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0C2F1" w14:textId="0A4A9354" w:rsidR="00E22E8B" w:rsidRPr="00E22E8B" w:rsidRDefault="00E22E8B" w:rsidP="00E22E8B">
      <w:pPr>
        <w:rPr>
          <w:u w:val="single"/>
        </w:rPr>
      </w:pPr>
      <w:r w:rsidRPr="00E22E8B">
        <w:rPr>
          <w:b/>
          <w:bCs/>
          <w:u w:val="single"/>
        </w:rPr>
        <w:t xml:space="preserve">A Critical Evaluation of Priority 2 in </w:t>
      </w:r>
      <w:r w:rsidR="0055407B">
        <w:rPr>
          <w:b/>
          <w:bCs/>
          <w:u w:val="single"/>
        </w:rPr>
        <w:t>School A’s</w:t>
      </w:r>
      <w:r w:rsidRPr="00E22E8B">
        <w:rPr>
          <w:b/>
          <w:bCs/>
          <w:u w:val="single"/>
        </w:rPr>
        <w:t xml:space="preserve"> School’s Development Plan: Actions, Impact, and Evidence-Based Reflections</w:t>
      </w:r>
    </w:p>
    <w:p w14:paraId="47F38F23" w14:textId="77777777" w:rsidR="00E22E8B" w:rsidRPr="00E22E8B" w:rsidRDefault="00E22E8B" w:rsidP="00E22E8B">
      <w:pPr>
        <w:rPr>
          <w:u w:val="single"/>
        </w:rPr>
      </w:pPr>
      <w:r w:rsidRPr="00E22E8B">
        <w:rPr>
          <w:u w:val="single"/>
        </w:rPr>
        <w:t>Introduction</w:t>
      </w:r>
    </w:p>
    <w:p w14:paraId="65C707A8" w14:textId="4725B109" w:rsidR="00E22E8B" w:rsidRPr="00E22E8B" w:rsidRDefault="00E22E8B" w:rsidP="00E22E8B">
      <w:r w:rsidRPr="00E22E8B">
        <w:t xml:space="preserve">The purpose of this essay is to critically evaluate Priority 2 of </w:t>
      </w:r>
      <w:r w:rsidR="00C564FE">
        <w:t>School A’s</w:t>
      </w:r>
      <w:r w:rsidRPr="00E22E8B">
        <w:t xml:space="preserve"> School’s Development Plan (SDP), which focuses on ensuring that the school’s Language, Literacy, and Communication (LLC) curriculum evidences the progression of skills, knowledge, and experiences, leading to a shared understanding of progression in writing. This priority is particularly significant within the school’s context as data analysis and quality assurance activities have highlighted inconsistencies in writing progression across year groups. The school’s approach aligns with the Welsh Government’s national priorities for improving pupils’ literacy and reducing the impact of poverty on attainment.</w:t>
      </w:r>
    </w:p>
    <w:p w14:paraId="421F9D19" w14:textId="2C21C637" w:rsidR="00455276" w:rsidRPr="00431C5A" w:rsidRDefault="00415DB1" w:rsidP="00431C5A">
      <w:r>
        <w:t>School A</w:t>
      </w:r>
      <w:r w:rsidR="00E22E8B">
        <w:t xml:space="preserve"> is located in a village just outside a major city in Wales. It has access to extensive facilities, including sports grounds, woodlands, and playgrounds. The school was formed through the amalgamation of two previous schools and moved to a purpose-built site in 2016.</w:t>
      </w:r>
      <w:r w:rsidR="00E22E8B">
        <w:t xml:space="preserve"> </w:t>
      </w:r>
      <w:r w:rsidR="00E22E8B">
        <w:t>There are 337 pupils, including 37 part-time nursery pupils, across single-age and mixed-age classes. Around 12.2% of pupils are eligible for free school meals, which is below local and national averages. 8.6% of pupils have Additional Learning Needs (ALN), with some requiring Individual Development Plans (IDPs).</w:t>
      </w:r>
      <w:r w:rsidR="00E22E8B">
        <w:t xml:space="preserve"> </w:t>
      </w:r>
      <w:r w:rsidR="00E22E8B">
        <w:t>Most pupils come from white British backgrounds, with very few speaking Welsh at home and 1.8% having English as an additional language. Attendance for 2023-2024 was 91.5%, showing an improvement from the previous year. A small proportion of pupils live in areas of significant deprivation.</w:t>
      </w:r>
      <w:r w:rsidR="00E22E8B">
        <w:t xml:space="preserve"> </w:t>
      </w:r>
      <w:r w:rsidR="00E22E8B" w:rsidRPr="00E22E8B">
        <w:t>The essay will explore the theoretical foundations of school development planning, evaluate the effectiveness of the school’s strategies in achieving writing progression, and provide evidence-based reflections on areas of improvement.</w:t>
      </w:r>
    </w:p>
    <w:p w14:paraId="3FB6B8A9" w14:textId="77777777" w:rsidR="00455276" w:rsidRPr="00455276" w:rsidRDefault="00455276" w:rsidP="00455276">
      <w:pPr>
        <w:rPr>
          <w:u w:val="single"/>
        </w:rPr>
      </w:pPr>
      <w:r w:rsidRPr="00455276">
        <w:rPr>
          <w:u w:val="single"/>
        </w:rPr>
        <w:t>The School Development Planning Process</w:t>
      </w:r>
    </w:p>
    <w:p w14:paraId="5FD6F100" w14:textId="77777777" w:rsidR="00455276" w:rsidRPr="00455276" w:rsidRDefault="00455276" w:rsidP="00455276">
      <w:r w:rsidRPr="00455276">
        <w:t>School development planning (SDP) is a structured, cyclical process aimed at fostering continuous improvement in education. As outlined by the Welsh Government (2014), the process involves key stages: establishing a shared vision aligned with national priorities like the Curriculum for Wales, conducting rigorous self-evaluation using a range of qualitative and quantitative data, and setting clear, measurable objectives. Schools develop action plans with specific steps, timelines, and resource allocations, ensuring effective implementation through staff development and collaboration. Continuous monitoring via assessments, lesson observations, and stakeholder feedback allows for necessary adjustments to strategies. Transparency and accountability are maintained through Estyn inspections, reinforcing the importance of evidence-based decision-making. This structured approach fosters reflection, collaboration, and sustained educational progress.</w:t>
      </w:r>
    </w:p>
    <w:p w14:paraId="53E88363" w14:textId="1148ED7D" w:rsidR="00455276" w:rsidRPr="00455276" w:rsidRDefault="00455276" w:rsidP="00455276">
      <w:r w:rsidRPr="00455276">
        <w:t>Writing progression plays a critical role within SDP, particularly as literacy development is central to the Welsh Government’s educational priorities. The Curriculum for Wales (2022) emphasi</w:t>
      </w:r>
      <w:r w:rsidR="0055407B">
        <w:t>s</w:t>
      </w:r>
      <w:r w:rsidRPr="00455276">
        <w:t>es a balanced approach to literacy, integrating reading, writing, speaking, and listening skills. However, research highlights inconsistencies in writing instruction, necessitating targeted interventions to improve outcomes. This review examines key challenges in writing progression, effective strategies for improvement, and their alignment with SDP objectives.</w:t>
      </w:r>
    </w:p>
    <w:p w14:paraId="1A054682" w14:textId="77777777" w:rsidR="00455276" w:rsidRPr="00455276" w:rsidRDefault="00455276" w:rsidP="00455276">
      <w:pPr>
        <w:rPr>
          <w:u w:val="single"/>
        </w:rPr>
      </w:pPr>
      <w:r w:rsidRPr="00455276">
        <w:rPr>
          <w:u w:val="single"/>
        </w:rPr>
        <w:t>Challenges in Writing Progression</w:t>
      </w:r>
    </w:p>
    <w:p w14:paraId="576E9F06" w14:textId="77777777" w:rsidR="00455276" w:rsidRPr="00455276" w:rsidRDefault="00455276" w:rsidP="00455276">
      <w:r w:rsidRPr="00455276">
        <w:lastRenderedPageBreak/>
        <w:t>Writing is a fundamental literacy skill that requires structured progression, yet research highlights several challenges, including inconsistent pedagogy, limited explicit instruction in writing structures, and fewer opportunities for extended writing (Myhill et al., 2012). Despite its significance, writing often receives less attention than reading, with major international assessments such as PISA (OECD, 2019) and PIRLS focusing primarily on reading indicators, excluding writing from their evaluations. This gap suggests a need for more focused research on writing development to inform effective teaching practices (</w:t>
      </w:r>
      <w:proofErr w:type="spellStart"/>
      <w:r w:rsidRPr="00455276">
        <w:t>Dockrell</w:t>
      </w:r>
      <w:proofErr w:type="spellEnd"/>
      <w:r w:rsidRPr="00455276">
        <w:t>, Marshall, &amp; Wyse, 2016).</w:t>
      </w:r>
    </w:p>
    <w:p w14:paraId="49D7930E" w14:textId="7AEAAEC9" w:rsidR="00455276" w:rsidRPr="00455276" w:rsidRDefault="00455276" w:rsidP="00455276">
      <w:r w:rsidRPr="00455276">
        <w:t xml:space="preserve">A persistent issue in writing attainment is the gender gap, with girls consistently outperforming boys across various educational stages. At Key Stage 2 in the UK, </w:t>
      </w:r>
      <w:r w:rsidR="00367710">
        <w:t>72</w:t>
      </w:r>
      <w:r w:rsidRPr="00455276">
        <w:t>% of pupils achieved the expected level in writing, with a significant disparity favo</w:t>
      </w:r>
      <w:r w:rsidR="0055407B">
        <w:t>u</w:t>
      </w:r>
      <w:r w:rsidRPr="00455276">
        <w:t>ring girls (Department for Education, 202</w:t>
      </w:r>
      <w:r w:rsidR="00367710">
        <w:t>5</w:t>
      </w:r>
      <w:r w:rsidRPr="00455276">
        <w:t>). Research suggests that differences in engagement, motivation, and self-efficacy contribute to this gap, with boys often perceiving writing as less relevant or enjoyable (Graham, 2018). Addressing these disparities requires targeted interventions, such as increasing the relevance of writing tasks and incorporating digital media to enhance engagement.</w:t>
      </w:r>
    </w:p>
    <w:p w14:paraId="6E314CCF" w14:textId="2470C7C2" w:rsidR="00455276" w:rsidRPr="00455276" w:rsidRDefault="00455276" w:rsidP="00455276">
      <w:r w:rsidRPr="00455276">
        <w:t xml:space="preserve">Another challenge is inconsistent teaching practices, with many educators lacking confidence in writing instruction. Studies indicate that teachers often feel underprepared to teach grammar, sentence construction, and scaffolding techniques effectively (Graham, 2020). This variation in instructional quality contributes to disparities in </w:t>
      </w:r>
      <w:r w:rsidR="006A40E1">
        <w:t>pupil</w:t>
      </w:r>
      <w:r w:rsidRPr="00455276">
        <w:t xml:space="preserve"> outcomes, emphasi</w:t>
      </w:r>
      <w:r w:rsidR="0055407B">
        <w:t>s</w:t>
      </w:r>
      <w:r w:rsidRPr="00455276">
        <w:t xml:space="preserve">ing the need for high-quality professional development in evidence-based writing strategies (Education Endowment Foundation, 2021). Research supports the effectiveness of direct grammar instruction within meaningful writing contexts, alongside metacognitive strategies that encourage </w:t>
      </w:r>
      <w:r w:rsidR="006A40E1">
        <w:t>pupil</w:t>
      </w:r>
      <w:r w:rsidRPr="00455276">
        <w:t>s to plan, monitor, and evaluate their writing (Myhill et al., 2012; EEF, 2021).</w:t>
      </w:r>
    </w:p>
    <w:p w14:paraId="745CA166" w14:textId="29FF2DF3" w:rsidR="00455276" w:rsidRPr="00455276" w:rsidRDefault="006A40E1" w:rsidP="00455276">
      <w:r>
        <w:t>Pupils</w:t>
      </w:r>
      <w:r w:rsidR="00455276" w:rsidRPr="00455276">
        <w:t xml:space="preserve">’ attitudes and motivation toward writing also significantly impact their progress. Many pupils report low enjoyment of writing, which can hinder engagement and proficiency (Clark </w:t>
      </w:r>
      <w:r w:rsidR="004F3DCB">
        <w:t>and</w:t>
      </w:r>
      <w:r w:rsidR="00455276" w:rsidRPr="00455276">
        <w:t xml:space="preserve"> Teravainen-Goff, 2020). Writing requires cognitive effort, fine motor skills, and linguistic proficiency, making it a complex process that some learners find overwhelming. Providing authentic and purposeful writing opportunities, such as creative writing, journaling, and digital storytelling, can help foster a more positive writing culture (Graham &amp; Perin, 2007).</w:t>
      </w:r>
    </w:p>
    <w:p w14:paraId="20A8BE2B" w14:textId="7B0EA2D9" w:rsidR="00455276" w:rsidRPr="00455276" w:rsidRDefault="00455276" w:rsidP="00455276">
      <w:r w:rsidRPr="00455276">
        <w:t xml:space="preserve">Additionally, limited out-of-school writing opportunities reduce </w:t>
      </w:r>
      <w:r w:rsidR="006A40E1">
        <w:t>pupil</w:t>
      </w:r>
      <w:r w:rsidRPr="00455276">
        <w:t>s’ chances to refine their skills in diverse contexts. Research suggests that engagement in writing beyond the classroom</w:t>
      </w:r>
      <w:r w:rsidR="006A40E1">
        <w:t xml:space="preserve"> </w:t>
      </w:r>
      <w:r w:rsidRPr="00455276">
        <w:t>such as blogging, personal writing, and collaborative projects</w:t>
      </w:r>
      <w:r w:rsidR="006A40E1">
        <w:t xml:space="preserve">, </w:t>
      </w:r>
      <w:r w:rsidRPr="00455276">
        <w:t>enhances proficiency and reinforces writing as a meaningful skill (Clark</w:t>
      </w:r>
      <w:r w:rsidR="004F3DCB">
        <w:t xml:space="preserve"> and </w:t>
      </w:r>
      <w:r w:rsidR="004F3DCB" w:rsidRPr="00455276">
        <w:t>Teravainen-Goff, 2020</w:t>
      </w:r>
      <w:r w:rsidRPr="00455276">
        <w:t xml:space="preserve">). Encouraging </w:t>
      </w:r>
      <w:r w:rsidR="006A40E1">
        <w:t>pupil</w:t>
      </w:r>
      <w:r w:rsidRPr="00455276">
        <w:t>s to see writing as a valuable tool for self-expression and communication can support their long-term literacy development.</w:t>
      </w:r>
    </w:p>
    <w:p w14:paraId="049431B2" w14:textId="77777777" w:rsidR="00455276" w:rsidRPr="00455276" w:rsidRDefault="00455276" w:rsidP="00455276">
      <w:pPr>
        <w:rPr>
          <w:u w:val="single"/>
        </w:rPr>
      </w:pPr>
      <w:r w:rsidRPr="00455276">
        <w:rPr>
          <w:u w:val="single"/>
        </w:rPr>
        <w:t>Effective Strategies for Improving Writing Progression</w:t>
      </w:r>
    </w:p>
    <w:p w14:paraId="4CBC9204" w14:textId="20B38A84" w:rsidR="00455276" w:rsidRPr="00455276" w:rsidRDefault="00455276" w:rsidP="00455276">
      <w:r w:rsidRPr="00455276">
        <w:t>Research highlights several evidence-based strategies for improving writing outcomes, emphasi</w:t>
      </w:r>
      <w:r w:rsidR="0055407B">
        <w:t>s</w:t>
      </w:r>
      <w:r w:rsidRPr="00455276">
        <w:t>ing explicit instruction, engagement, assessment, scaffolding, feedback, metacognition, reading, and collaboration.</w:t>
      </w:r>
      <w:r w:rsidR="00B11123">
        <w:t xml:space="preserve"> </w:t>
      </w:r>
      <w:r w:rsidRPr="00455276">
        <w:t>Explicit teaching of genre-specific structures ensures that pupils understand the linguistic and structural features of different text types, helping them construct coherent pieces of writing (Graham &amp; Perin, 2007).</w:t>
      </w:r>
      <w:r w:rsidR="00B11123">
        <w:t xml:space="preserve"> </w:t>
      </w:r>
      <w:r w:rsidRPr="00455276">
        <w:t>Immersive writing experiences, such as storytelling, drama, and digital media, enhance creativity and motivation by making writing more engaging and meaningful (Bearne, 2002).</w:t>
      </w:r>
      <w:r w:rsidR="00B11123">
        <w:t xml:space="preserve"> </w:t>
      </w:r>
      <w:r w:rsidRPr="00455276">
        <w:t>Comparative judgment tools provide a reliable alternative to traditional marking, allowing teachers to assess writing quality more consistently and identify areas for development (No More Marking, 2020).</w:t>
      </w:r>
      <w:r w:rsidR="00B11123">
        <w:t xml:space="preserve"> </w:t>
      </w:r>
      <w:r w:rsidRPr="00455276">
        <w:t xml:space="preserve">Scaffolded </w:t>
      </w:r>
      <w:r w:rsidRPr="00455276">
        <w:lastRenderedPageBreak/>
        <w:t>learning approaches, based on Vygotsky’s (1978) theory of gradual release of responsibility, support pupils in becoming independent writers by providing structured guidance before encouraging autonomy.</w:t>
      </w:r>
      <w:r w:rsidR="00B11123">
        <w:t xml:space="preserve"> </w:t>
      </w:r>
      <w:r w:rsidRPr="00455276">
        <w:t xml:space="preserve">Feedback loops play a crucial role in writing development, with timely, specific feedback and opportunities for revision helping </w:t>
      </w:r>
      <w:r w:rsidR="006A40E1">
        <w:t>pupil</w:t>
      </w:r>
      <w:r w:rsidRPr="00455276">
        <w:t xml:space="preserve">s refine their work (Black &amp; Wiliam, </w:t>
      </w:r>
      <w:r w:rsidR="004F3DCB">
        <w:t>2010</w:t>
      </w:r>
      <w:r w:rsidRPr="00455276">
        <w:t>).</w:t>
      </w:r>
      <w:r w:rsidR="00B11123">
        <w:t xml:space="preserve"> </w:t>
      </w:r>
      <w:r w:rsidRPr="00455276">
        <w:t>Developing metacognitive strategies further enhances writing quality, as teaching pupils to plan, monitor, and evaluate their writing fosters self-regulation and independence (EEF, 2018).</w:t>
      </w:r>
      <w:r w:rsidR="00B11123">
        <w:t xml:space="preserve"> </w:t>
      </w:r>
      <w:r w:rsidRPr="00455276">
        <w:t>Reading for writing is also a key factor, with exposure to high-quality literature enriching vocabulary, sentence structures, and writing styles (Myhill &amp; Fisher, 2010).</w:t>
      </w:r>
      <w:r w:rsidR="00B11123">
        <w:t xml:space="preserve"> </w:t>
      </w:r>
      <w:r w:rsidRPr="00455276">
        <w:t>Collaborative writing exercises encourage peer discussions and shared learning, deepening pupils’ understanding of writing structures and fostering a supportive writing culture.</w:t>
      </w:r>
    </w:p>
    <w:p w14:paraId="793A7951" w14:textId="77777777" w:rsidR="00455276" w:rsidRPr="00455276" w:rsidRDefault="00455276" w:rsidP="00455276">
      <w:pPr>
        <w:rPr>
          <w:u w:val="single"/>
        </w:rPr>
      </w:pPr>
      <w:r w:rsidRPr="00455276">
        <w:rPr>
          <w:u w:val="single"/>
        </w:rPr>
        <w:t>Assessment, Equity, and Policy Implications</w:t>
      </w:r>
    </w:p>
    <w:p w14:paraId="534D1EC5" w14:textId="492D903A" w:rsidR="00455276" w:rsidRPr="00455276" w:rsidRDefault="00455276" w:rsidP="00455276">
      <w:r w:rsidRPr="00455276">
        <w:t>A major concern in writing development is assessment reliability. Traditional rubric-based grading has been critici</w:t>
      </w:r>
      <w:r w:rsidR="00B11123">
        <w:t>s</w:t>
      </w:r>
      <w:r w:rsidRPr="00455276">
        <w:t>ed for subjectivity and inconsistency, particularly when evaluating complex writing features like creativity and coherence (No More Marking, 2020). Comparative judgment has been proposed as an alternative, with research suggesting it improves marking reliability and reduces unconscious bias (Christodoulou, 2017).</w:t>
      </w:r>
    </w:p>
    <w:p w14:paraId="2980D1EF" w14:textId="12B569F5" w:rsidR="002B596D" w:rsidRPr="006A40E1" w:rsidRDefault="00455276" w:rsidP="00E22E8B">
      <w:r w:rsidRPr="00455276">
        <w:t xml:space="preserve">Equity in writing assessment is also a concern, particularly for </w:t>
      </w:r>
      <w:r w:rsidR="006A40E1">
        <w:t>pupils</w:t>
      </w:r>
      <w:r w:rsidR="00B11123">
        <w:t xml:space="preserve"> with Additional Learning Needs (</w:t>
      </w:r>
      <w:r w:rsidRPr="00455276">
        <w:t>ALN</w:t>
      </w:r>
      <w:r w:rsidR="00B11123">
        <w:t>)</w:t>
      </w:r>
      <w:r w:rsidRPr="00455276">
        <w:t xml:space="preserve"> and English as an Additional Language</w:t>
      </w:r>
      <w:r w:rsidR="00B11123">
        <w:t xml:space="preserve"> (EAL)</w:t>
      </w:r>
      <w:r w:rsidRPr="00455276">
        <w:t>. Standardi</w:t>
      </w:r>
      <w:r w:rsidR="00B11123">
        <w:t>s</w:t>
      </w:r>
      <w:r w:rsidRPr="00455276">
        <w:t xml:space="preserve">ed writing assessments may not fully capture these </w:t>
      </w:r>
      <w:r w:rsidR="006A40E1">
        <w:t>pupil</w:t>
      </w:r>
      <w:r w:rsidRPr="00455276">
        <w:t>' abilities, as they often prioriti</w:t>
      </w:r>
      <w:r w:rsidR="00B11123">
        <w:t>s</w:t>
      </w:r>
      <w:r w:rsidRPr="00455276">
        <w:t>e spelling and grammatical accuracy over communication and content quality (</w:t>
      </w:r>
      <w:proofErr w:type="spellStart"/>
      <w:r w:rsidRPr="00455276">
        <w:t>Dockrell</w:t>
      </w:r>
      <w:proofErr w:type="spellEnd"/>
      <w:r w:rsidRPr="00455276">
        <w:t>, Marshall</w:t>
      </w:r>
      <w:r w:rsidR="00B11123">
        <w:t xml:space="preserve"> and</w:t>
      </w:r>
      <w:r w:rsidRPr="00455276">
        <w:t xml:space="preserve"> Wyse, 2016). The Welsh Government’s ALN Act (2021) seeks to address these disparities by promoting inclusive assessment methods that recogni</w:t>
      </w:r>
      <w:r w:rsidR="00B11123">
        <w:t>s</w:t>
      </w:r>
      <w:r w:rsidRPr="00455276">
        <w:t>e diverse pathways to literacy development.</w:t>
      </w:r>
    </w:p>
    <w:p w14:paraId="3614A571" w14:textId="77777777" w:rsidR="00AF3CB9" w:rsidRPr="00AF3CB9" w:rsidRDefault="00AF3CB9" w:rsidP="00AF3CB9">
      <w:pPr>
        <w:rPr>
          <w:u w:val="single"/>
        </w:rPr>
      </w:pPr>
      <w:r w:rsidRPr="00AF3CB9">
        <w:rPr>
          <w:u w:val="single"/>
        </w:rPr>
        <w:t>Context and Rationale</w:t>
      </w:r>
    </w:p>
    <w:p w14:paraId="511BAE33" w14:textId="77777777" w:rsidR="00AF3CB9" w:rsidRPr="00AF3CB9" w:rsidRDefault="00AF3CB9" w:rsidP="00AF3CB9">
      <w:r w:rsidRPr="00AF3CB9">
        <w:t xml:space="preserve">Priority 2 was identified as a key focus area through rigorous self-evaluation activities, which highlighted a significant gap in pupils’ writing proficiency. Comparative judgment data from No More Marking (2020) indicated that 74% of Year 6 pupils and 57% of Year 2 pupils were performing below age expectations in writing. This finding aligned with broader national trends, where research suggests that writing progression often lags behind reading development due to inconsistent instruction and limited opportunities for extended writing (Myhill et al., 2012; </w:t>
      </w:r>
      <w:proofErr w:type="spellStart"/>
      <w:r w:rsidRPr="00AF3CB9">
        <w:t>Dockrell</w:t>
      </w:r>
      <w:proofErr w:type="spellEnd"/>
      <w:r w:rsidRPr="00AF3CB9">
        <w:t>, Marshall, &amp; Wyse, 2016).</w:t>
      </w:r>
    </w:p>
    <w:p w14:paraId="2DF6C5AD" w14:textId="01B5BAC4" w:rsidR="00AF3CB9" w:rsidRPr="00AF3CB9" w:rsidRDefault="00AF3CB9" w:rsidP="00AF3CB9">
      <w:r w:rsidRPr="00AF3CB9">
        <w:t xml:space="preserve">The need to address this issue was further reinforced by Estyn (2022), which emphasises the importance of high-quality literacy instruction to support the Welsh Government’s Curriculum for Wales framework. The school’s development plan prioritised writing to ensure pupils acquired the necessary skills to meet curriculum expectations while fostering engagement and confidence in written expression. Additionally, pupil voice surveys conducted within the school revealed that many </w:t>
      </w:r>
      <w:r w:rsidR="006A40E1">
        <w:t>pupil</w:t>
      </w:r>
      <w:r w:rsidRPr="00AF3CB9">
        <w:t>s lacked motivation and self-efficacy in writing, underscoring the need for more structured and engaging learning opportunities.</w:t>
      </w:r>
    </w:p>
    <w:p w14:paraId="6F0A4DF2" w14:textId="77777777" w:rsidR="00AF3CB9" w:rsidRPr="00AF3CB9" w:rsidRDefault="00AF3CB9" w:rsidP="00AF3CB9">
      <w:pPr>
        <w:rPr>
          <w:u w:val="single"/>
        </w:rPr>
      </w:pPr>
      <w:r w:rsidRPr="00AF3CB9">
        <w:rPr>
          <w:u w:val="single"/>
        </w:rPr>
        <w:t>Implementation Strategies</w:t>
      </w:r>
    </w:p>
    <w:p w14:paraId="741089FD" w14:textId="5FBD766A" w:rsidR="00AF3CB9" w:rsidRPr="00AF3CB9" w:rsidRDefault="00AF3CB9" w:rsidP="00AF3CB9">
      <w:r w:rsidRPr="00AF3CB9">
        <w:t xml:space="preserve">To tackle the identified gaps in writing progression, the school adopted a multi-faceted approach that incorporated evidence-based strategies. </w:t>
      </w:r>
      <w:r w:rsidR="00E61F68">
        <w:t xml:space="preserve">They implemented </w:t>
      </w:r>
      <w:r w:rsidRPr="00AF3CB9">
        <w:t>the EPIC Teaching Framework (Engagement, Progression, Independence, Challenge) to provide a structured and consistent approach to writing instruction, ensuring clear expectations across year groups (EEF, 2021).</w:t>
      </w:r>
      <w:r w:rsidR="00E61F68">
        <w:t xml:space="preserve"> </w:t>
      </w:r>
      <w:r w:rsidRPr="00AF3CB9">
        <w:t xml:space="preserve">Integration of Alan Peat Sentence Structures to enhance grammar and sentence fluency, </w:t>
      </w:r>
      <w:r w:rsidRPr="00AF3CB9">
        <w:lastRenderedPageBreak/>
        <w:t>enabling pupils to construct more sophisticated and varied sentences (Peat, 2014).</w:t>
      </w:r>
      <w:r w:rsidR="00E61F68">
        <w:t xml:space="preserve"> </w:t>
      </w:r>
      <w:r w:rsidRPr="00AF3CB9">
        <w:t>Development of cross-curricular writing opportunities, aligning writing tasks with science, humanities, and digital literacy to reinforce relevance and application beyond English lessons (Bearne, 2002; Myhill &amp; Fisher, 2010).</w:t>
      </w:r>
      <w:r w:rsidR="00E61F68">
        <w:t xml:space="preserve"> </w:t>
      </w:r>
      <w:r w:rsidRPr="00AF3CB9">
        <w:t>Explicit vocabulary instruction through direct teaching of Tier 2 and Tier 3 words, enabling pupils to develop linguistic richness and precision in their writing (Beck, McKeown &amp; Kucan, 2013).</w:t>
      </w:r>
      <w:r w:rsidR="00E61F68">
        <w:t xml:space="preserve"> </w:t>
      </w:r>
      <w:r w:rsidRPr="00AF3CB9">
        <w:t>Regular moderation and comparative judgment assessments to ensure consistency in writing standards and enable teachers to make more reliable judgments about pupil progress (No More Marking, 2020).</w:t>
      </w:r>
    </w:p>
    <w:p w14:paraId="398A9BB5" w14:textId="77777777" w:rsidR="00AF3CB9" w:rsidRPr="00AF3CB9" w:rsidRDefault="00AF3CB9" w:rsidP="00AF3CB9">
      <w:pPr>
        <w:rPr>
          <w:u w:val="single"/>
        </w:rPr>
      </w:pPr>
      <w:r w:rsidRPr="00AF3CB9">
        <w:rPr>
          <w:u w:val="single"/>
        </w:rPr>
        <w:t>Impact Measurement</w:t>
      </w:r>
    </w:p>
    <w:p w14:paraId="1E99AE16" w14:textId="6B6CFD24" w:rsidR="00AF3CB9" w:rsidRPr="00AF3CB9" w:rsidRDefault="00AF3CB9" w:rsidP="00AF3CB9">
      <w:r w:rsidRPr="00AF3CB9">
        <w:t>To assess the effectiveness of these initiatives, the school employed a range of evaluation methods</w:t>
      </w:r>
      <w:r w:rsidR="00E61F68">
        <w:t xml:space="preserve">. </w:t>
      </w:r>
      <w:r w:rsidRPr="00AF3CB9">
        <w:t xml:space="preserve">Learning </w:t>
      </w:r>
      <w:r w:rsidR="00E61F68">
        <w:t>w</w:t>
      </w:r>
      <w:r w:rsidRPr="00AF3CB9">
        <w:t xml:space="preserve">alks and </w:t>
      </w:r>
      <w:r w:rsidR="00E61F68">
        <w:t>b</w:t>
      </w:r>
      <w:r w:rsidRPr="00AF3CB9">
        <w:t xml:space="preserve">ook </w:t>
      </w:r>
      <w:r w:rsidR="00E61F68">
        <w:t>s</w:t>
      </w:r>
      <w:r w:rsidRPr="00AF3CB9">
        <w:t>crutiny</w:t>
      </w:r>
      <w:r w:rsidR="00E61F68">
        <w:t xml:space="preserve"> revealed</w:t>
      </w:r>
      <w:r w:rsidRPr="00AF3CB9">
        <w:t xml:space="preserve"> increased use of scaffolding techniques and improved application of sentence structures, demonstrating a more consistent approach to writing instruction across classes (Estyn, 2022).</w:t>
      </w:r>
      <w:r w:rsidR="00E61F68">
        <w:t xml:space="preserve"> </w:t>
      </w:r>
      <w:r w:rsidRPr="00AF3CB9">
        <w:t xml:space="preserve">Assessment data from the Literacy and Numeracy Framework (LNF) suggested measurable progress in writing, with an increasing number of pupils meeting expected standards (Welsh Government, 2022). </w:t>
      </w:r>
      <w:r w:rsidR="006A40E1">
        <w:t>Pupil</w:t>
      </w:r>
      <w:r w:rsidRPr="00AF3CB9">
        <w:t>s reported greater confidence and enjoyment in writing activities, particularly those involving cross-curricular and creative elements, supporting the idea that engagement plays a crucial role in writing development (Clark &amp; Teravainen-Goff, 2020).</w:t>
      </w:r>
      <w:r w:rsidR="00E61F68">
        <w:t xml:space="preserve"> </w:t>
      </w:r>
      <w:r w:rsidRPr="00AF3CB9">
        <w:t>Staff surveys indicated improved confidence in delivering structured writing lessons, with teachers noting that resources such as Alan Peat’s sentence structures and comparative judgment were particularly beneficial (Graham, 2020).</w:t>
      </w:r>
    </w:p>
    <w:p w14:paraId="08B84A14" w14:textId="77777777" w:rsidR="00AF3CB9" w:rsidRPr="00AF3CB9" w:rsidRDefault="00AF3CB9" w:rsidP="00AF3CB9">
      <w:pPr>
        <w:rPr>
          <w:u w:val="single"/>
        </w:rPr>
      </w:pPr>
      <w:r w:rsidRPr="00AF3CB9">
        <w:rPr>
          <w:u w:val="single"/>
        </w:rPr>
        <w:t>Critical Analysis</w:t>
      </w:r>
    </w:p>
    <w:p w14:paraId="4C93745F" w14:textId="6E39D831" w:rsidR="00AF3CB9" w:rsidRPr="00AF3CB9" w:rsidRDefault="00AF3CB9" w:rsidP="00AF3CB9">
      <w:r w:rsidRPr="00AF3CB9">
        <w:t>While the school’s approach has led to noticeable improvements, several areas for further development remain</w:t>
      </w:r>
      <w:r w:rsidR="00E61F68">
        <w:t xml:space="preserve">. </w:t>
      </w:r>
      <w:r w:rsidRPr="00AF3CB9">
        <w:t xml:space="preserve">Book scrutiny revealed that while teachers provided feedback, pupils often had limited opportunities to act on it. Research suggests that effective feedback should be immediate and actionable, with dedicated time for </w:t>
      </w:r>
      <w:r w:rsidR="006A40E1">
        <w:t>pupil</w:t>
      </w:r>
      <w:r w:rsidRPr="00AF3CB9">
        <w:t xml:space="preserve">s to reflect and revise their work (Black &amp; Wiliam, </w:t>
      </w:r>
      <w:r w:rsidR="004F3DCB">
        <w:t>2010</w:t>
      </w:r>
      <w:r w:rsidRPr="00AF3CB9">
        <w:t>; EEF, 2021).</w:t>
      </w:r>
      <w:r w:rsidR="00E61F68">
        <w:t xml:space="preserve"> </w:t>
      </w:r>
      <w:r w:rsidRPr="00AF3CB9">
        <w:t>A review of pupil workbooks highlighted inconsistencies in handwriting. This suggests a need for a whole-school handwriting policy, aligned with guidance from the National Handwriting Association (2019), to ensure legibility and fluency.</w:t>
      </w:r>
      <w:r w:rsidR="00E61F68">
        <w:t xml:space="preserve"> </w:t>
      </w:r>
      <w:r w:rsidRPr="00AF3CB9">
        <w:t>Observations indicated that some writing tasks were overly scaffolded through worksheets, limiting opportunities for independent and extended writing. Research supports a shift towards inquiry-based and project-based writing tasks, which allow pupils to explore topics in depth and develop a more authentic writing voice (Graham &amp; Perin, 2007; Myhill et al., 2012).</w:t>
      </w:r>
      <w:r w:rsidR="00E61F68">
        <w:t xml:space="preserve"> </w:t>
      </w:r>
      <w:r w:rsidRPr="00AF3CB9">
        <w:t xml:space="preserve">While scaffolding strategies were evident, some pupils, particularly those with additional learning needs, required more personalised support. Adaptive teaching strategies, such as sentence starters for struggling writers and extended writing challenges for more able pupils, should be further embedded to meet diverse learner needs (EEF, 2018; </w:t>
      </w:r>
      <w:proofErr w:type="spellStart"/>
      <w:r w:rsidRPr="00AF3CB9">
        <w:t>Dockrell</w:t>
      </w:r>
      <w:proofErr w:type="spellEnd"/>
      <w:r w:rsidRPr="00AF3CB9">
        <w:t xml:space="preserve"> et al., 2016).</w:t>
      </w:r>
    </w:p>
    <w:p w14:paraId="60E18D15" w14:textId="406C04BE" w:rsidR="00AF3CB9" w:rsidRPr="0029360F" w:rsidRDefault="0029360F" w:rsidP="00E22E8B">
      <w:pPr>
        <w:rPr>
          <w:u w:val="single"/>
        </w:rPr>
      </w:pPr>
      <w:r w:rsidRPr="0029360F">
        <w:rPr>
          <w:u w:val="single"/>
        </w:rPr>
        <w:t>Reflection and Evaluation</w:t>
      </w:r>
    </w:p>
    <w:p w14:paraId="225F6391" w14:textId="532503D6" w:rsidR="00355DC5" w:rsidRPr="00355DC5" w:rsidRDefault="00355DC5" w:rsidP="00355DC5">
      <w:r w:rsidRPr="00355DC5">
        <w:t>Reflecting on my own practice during my placement, I have come to appreciate the pivotal role of structured writing progression in improving pupil outcomes. It has shown me the power of providing clear, scaffolded instruction and creating a supportive writing culture that fosters engagement (Graham &amp; Perin, 2007).</w:t>
      </w:r>
      <w:r>
        <w:t xml:space="preserve"> </w:t>
      </w:r>
      <w:r w:rsidRPr="00355DC5">
        <w:t>One area of personal growth has been in recogni</w:t>
      </w:r>
      <w:r>
        <w:t>s</w:t>
      </w:r>
      <w:r w:rsidRPr="00355DC5">
        <w:t xml:space="preserve">ing the significant impact that explicit instruction in writing structures can have on pupils’ confidence and ability to write effectively. When I observed the use of Alan Peat Sentence Structures, I saw </w:t>
      </w:r>
      <w:r w:rsidRPr="00355DC5">
        <w:lastRenderedPageBreak/>
        <w:t>how this tool helped pupils create more varied and grammatically complex sentences, thereby deepening their writing abilities (Peat, 2014). This strategy aligns with the school’s aim of improving writing standards across year groups and reinforced my belief in the importance of teaching genre-specific writing structures (Graham &amp; Perin, 2007). As a future practitioner, I intend to continue incorporating such tools into my own practice, ensuring that pupils are equipped with the skills they need to approach different types of writing with confidence.</w:t>
      </w:r>
    </w:p>
    <w:p w14:paraId="407B82AC" w14:textId="7C247AE6" w:rsidR="00355DC5" w:rsidRPr="00355DC5" w:rsidRDefault="00355DC5" w:rsidP="00355DC5">
      <w:r w:rsidRPr="00355DC5">
        <w:t xml:space="preserve">Furthermore, I have observed the importance of engagement in writing. Pupils who were given authentic writing opportunities, such as those integrated into cross-curricular activities, demonstrated increased motivation and enjoyment (Clark &amp; Teravainen-Goff, 2020). This reinforced my belief in the need to make writing more relevant and engaging for </w:t>
      </w:r>
      <w:r w:rsidR="006A40E1">
        <w:t>pupil</w:t>
      </w:r>
      <w:r w:rsidRPr="00355DC5">
        <w:t xml:space="preserve">s by connecting it to their lived experiences and interests. </w:t>
      </w:r>
    </w:p>
    <w:p w14:paraId="5D50E7E2" w14:textId="1A90B88D" w:rsidR="00355DC5" w:rsidRPr="00355DC5" w:rsidRDefault="00355DC5" w:rsidP="00355DC5">
      <w:r w:rsidRPr="00355DC5">
        <w:t xml:space="preserve">However, my evaluation of the school’s strategies also highlighted areas for improvement, particularly in relation to the consistency and effectiveness of feedback. Despite the positive impact of feedback on </w:t>
      </w:r>
      <w:r w:rsidR="006A40E1">
        <w:t>pupil</w:t>
      </w:r>
      <w:r w:rsidRPr="00355DC5">
        <w:t xml:space="preserve"> progress, I observed that pupils were often given limited opportunities to act on the feedback provided. In my future practice, I plan to dedicate time within lessons for </w:t>
      </w:r>
      <w:r w:rsidR="006A40E1">
        <w:t>pupil</w:t>
      </w:r>
      <w:r w:rsidRPr="00355DC5">
        <w:t xml:space="preserve">s to reflect on and revise their work based on feedback. I believe this will allow </w:t>
      </w:r>
      <w:r w:rsidR="006A40E1">
        <w:t>pupil</w:t>
      </w:r>
      <w:r w:rsidRPr="00355DC5">
        <w:t xml:space="preserve">s to engage more deeply with their learning and continue to develop their writing skills (Black &amp; Wiliam, </w:t>
      </w:r>
      <w:r w:rsidR="004F3DCB">
        <w:t>2010</w:t>
      </w:r>
      <w:r w:rsidRPr="00355DC5">
        <w:t>; EEF, 2021).</w:t>
      </w:r>
    </w:p>
    <w:p w14:paraId="03DCBC6C" w14:textId="3DDE89C0" w:rsidR="00355DC5" w:rsidRPr="00355DC5" w:rsidRDefault="00355DC5" w:rsidP="00355DC5">
      <w:r w:rsidRPr="00355DC5">
        <w:t>Additionally, I noted that handwriting w</w:t>
      </w:r>
      <w:r>
        <w:t>as</w:t>
      </w:r>
      <w:r w:rsidRPr="00355DC5">
        <w:t xml:space="preserve"> inconsistent </w:t>
      </w:r>
      <w:r>
        <w:t xml:space="preserve">in my class as some pupils </w:t>
      </w:r>
      <w:r w:rsidR="0055407B">
        <w:t>wrote in cursive and some did not</w:t>
      </w:r>
      <w:r w:rsidRPr="00355DC5">
        <w:t>. To address this, I would advocate for the implementation of a whole-school handwriting policy. This would help ensure that all pupils develop legible and fluent handwriting, which is a foundational skill for effective written communication (National Handwriting Association, 2019).</w:t>
      </w:r>
    </w:p>
    <w:p w14:paraId="3FEFBAB6" w14:textId="0AFEC9A3" w:rsidR="00AF3CB9" w:rsidRPr="00E22E8B" w:rsidRDefault="00355DC5" w:rsidP="00E22E8B">
      <w:r w:rsidRPr="00355DC5">
        <w:t>Looking ahead, I also recogni</w:t>
      </w:r>
      <w:r w:rsidR="0055407B">
        <w:t>s</w:t>
      </w:r>
      <w:r w:rsidRPr="00355DC5">
        <w:t xml:space="preserve">e the importance of differentiated instruction to support the diverse needs of learners, particularly those with Additional Learning Needs (ALN). As observed in my placement, some </w:t>
      </w:r>
      <w:r w:rsidR="006A40E1">
        <w:t>pupil</w:t>
      </w:r>
      <w:r w:rsidRPr="00355DC5">
        <w:t>s required more personali</w:t>
      </w:r>
      <w:r w:rsidR="0055407B">
        <w:t>s</w:t>
      </w:r>
      <w:r w:rsidRPr="00355DC5">
        <w:t>ed scaffolding to help them engage with writing tasks. I will continue to explore ways to adapt writing tasks and support strategies to ensure that all pupils can access writing at an appropriate level, whether through sentence starters, extended writing challenges, or additional support materials (</w:t>
      </w:r>
      <w:proofErr w:type="spellStart"/>
      <w:r w:rsidRPr="00355DC5">
        <w:t>Dockrell</w:t>
      </w:r>
      <w:proofErr w:type="spellEnd"/>
      <w:r w:rsidRPr="00355DC5">
        <w:t>, Marshall, &amp; Wyse, 2016; EEF, 2018).</w:t>
      </w:r>
    </w:p>
    <w:p w14:paraId="4E9EC199" w14:textId="77777777" w:rsidR="00E22E8B" w:rsidRPr="00E22E8B" w:rsidRDefault="00E22E8B" w:rsidP="00E22E8B">
      <w:pPr>
        <w:rPr>
          <w:u w:val="single"/>
        </w:rPr>
      </w:pPr>
      <w:r w:rsidRPr="00E22E8B">
        <w:rPr>
          <w:u w:val="single"/>
        </w:rPr>
        <w:t>Conclusion</w:t>
      </w:r>
    </w:p>
    <w:p w14:paraId="584CCE44" w14:textId="470546D8" w:rsidR="0055407B" w:rsidRPr="0055407B" w:rsidRDefault="0055407B" w:rsidP="0055407B">
      <w:r w:rsidRPr="0055407B">
        <w:t xml:space="preserve">In conclusion, this critical evaluation of Priority 2 in </w:t>
      </w:r>
      <w:r>
        <w:t>School A’s</w:t>
      </w:r>
      <w:r w:rsidRPr="0055407B">
        <w:t xml:space="preserve"> School Development Plan has provided valuable insights into the challenges and strategies surrounding writing progression. The focus on improving writing standards through structured, evidence-based interventions has highlighted the significance of clear instructional frameworks, such as Alan Peat’s Sentence Structures, and the impact of engaging, cross-curricular writing opportunities. My experience has shown the importance of scaffolding and providing authentic writing experiences to foster pupil motivation and engagement. However, I also identified areas for improvement, particularly in feedback implementation and handwriting consistency, which can be addressed through more targeted strategies.</w:t>
      </w:r>
    </w:p>
    <w:p w14:paraId="1591E9E9" w14:textId="77777777" w:rsidR="0055407B" w:rsidRPr="0055407B" w:rsidRDefault="0055407B" w:rsidP="0055407B">
      <w:r w:rsidRPr="0055407B">
        <w:t xml:space="preserve">Through this evaluation, I have learned the value of evidence-based decision-making in driving school development. The use of data and research-supported strategies, such as the EPIC Teaching Framework and comparative judgment assessments, has proven to be effective in addressing gaps in writing proficiency. This experience has not only deepened my </w:t>
      </w:r>
      <w:r w:rsidRPr="0055407B">
        <w:lastRenderedPageBreak/>
        <w:t>understanding of effective teaching practices but has also influenced my professional growth as an educator.</w:t>
      </w:r>
    </w:p>
    <w:p w14:paraId="19C75601" w14:textId="35543FE8" w:rsidR="0055407B" w:rsidRDefault="0055407B" w:rsidP="0055407B">
      <w:r w:rsidRPr="0055407B">
        <w:t xml:space="preserve">As I move forward in my teaching career, I am committed to incorporating the lessons learned from this evaluation, particularly in providing explicit writing instruction, engaging </w:t>
      </w:r>
      <w:r w:rsidR="006A40E1">
        <w:t>pupil</w:t>
      </w:r>
      <w:r w:rsidRPr="0055407B">
        <w:t xml:space="preserve">s with authentic writing opportunities, and ensuring differentiated support for all learners. This approach aligns with the professional standards expected of me and will guide my practice as I continue to support all </w:t>
      </w:r>
      <w:r w:rsidR="006A40E1">
        <w:t>pupil</w:t>
      </w:r>
      <w:r w:rsidRPr="0055407B">
        <w:t>s in becoming confident, capable writers.</w:t>
      </w:r>
    </w:p>
    <w:p w14:paraId="0A1ECBA9" w14:textId="708055E5" w:rsidR="00036B19" w:rsidRDefault="00036B19" w:rsidP="0055407B">
      <w:pPr>
        <w:rPr>
          <w:u w:val="single"/>
        </w:rPr>
      </w:pPr>
      <w:r>
        <w:rPr>
          <w:u w:val="single"/>
        </w:rPr>
        <w:t>Reference list</w:t>
      </w:r>
    </w:p>
    <w:p w14:paraId="58C6C894" w14:textId="77777777" w:rsidR="00036B19" w:rsidRPr="00711B98" w:rsidRDefault="00036B19" w:rsidP="00036B19">
      <w:r w:rsidRPr="00711B98">
        <w:t>Bearne, E. (2002) Making Progress in Writing. London: Routledge.</w:t>
      </w:r>
    </w:p>
    <w:p w14:paraId="5D09B034" w14:textId="77777777" w:rsidR="00036B19" w:rsidRPr="00711B98" w:rsidRDefault="00036B19" w:rsidP="00036B19">
      <w:r w:rsidRPr="00711B98">
        <w:t xml:space="preserve">Beck, I.L., McKeown, M.G. and Kucan, L. (2013) </w:t>
      </w:r>
      <w:r w:rsidRPr="00711B98">
        <w:rPr>
          <w:i/>
          <w:iCs/>
        </w:rPr>
        <w:t>Bringing Words to Life: Robust Vocabulary Instruction</w:t>
      </w:r>
      <w:r w:rsidRPr="00711B98">
        <w:t>. New York: Guilford Press.</w:t>
      </w:r>
    </w:p>
    <w:p w14:paraId="57B99DF2" w14:textId="77777777" w:rsidR="00036B19" w:rsidRPr="00711B98" w:rsidRDefault="00036B19" w:rsidP="00036B19">
      <w:r w:rsidRPr="00F16578">
        <w:t xml:space="preserve">Black, P., </w:t>
      </w:r>
      <w:r>
        <w:t xml:space="preserve">and </w:t>
      </w:r>
      <w:r w:rsidRPr="00F16578">
        <w:t>Wiliam, D. (</w:t>
      </w:r>
      <w:r>
        <w:t>2010</w:t>
      </w:r>
      <w:r w:rsidRPr="00F16578">
        <w:t xml:space="preserve">). </w:t>
      </w:r>
      <w:r w:rsidRPr="00F16578">
        <w:rPr>
          <w:i/>
          <w:iCs/>
        </w:rPr>
        <w:t>Inside the Black Box: Raising Standards through Classroom Assessment</w:t>
      </w:r>
      <w:r w:rsidRPr="00F16578">
        <w:t xml:space="preserve">. Phi Delta </w:t>
      </w:r>
      <w:proofErr w:type="spellStart"/>
      <w:r w:rsidRPr="00F16578">
        <w:t>Kappan</w:t>
      </w:r>
      <w:proofErr w:type="spellEnd"/>
      <w:r w:rsidRPr="00F16578">
        <w:t xml:space="preserve">, 80(2), </w:t>
      </w:r>
      <w:r>
        <w:t xml:space="preserve">pp. </w:t>
      </w:r>
      <w:r w:rsidRPr="00F16578">
        <w:t>139-148.</w:t>
      </w:r>
    </w:p>
    <w:p w14:paraId="06ED2BB4" w14:textId="77777777" w:rsidR="00036B19" w:rsidRPr="00F16578" w:rsidRDefault="00036B19" w:rsidP="00036B19">
      <w:r w:rsidRPr="00F16578">
        <w:t xml:space="preserve">Clark, C., </w:t>
      </w:r>
      <w:r>
        <w:t>and</w:t>
      </w:r>
      <w:r w:rsidRPr="00F16578">
        <w:t xml:space="preserve"> Teravainen-Goff, A. (2020) </w:t>
      </w:r>
      <w:r w:rsidRPr="00F16578">
        <w:rPr>
          <w:i/>
          <w:iCs/>
        </w:rPr>
        <w:t>Children and Young People’s Writing in 20</w:t>
      </w:r>
      <w:r>
        <w:rPr>
          <w:i/>
          <w:iCs/>
        </w:rPr>
        <w:t>19</w:t>
      </w:r>
      <w:r w:rsidRPr="00F16578">
        <w:t xml:space="preserve">. </w:t>
      </w:r>
      <w:r>
        <w:t xml:space="preserve">London: </w:t>
      </w:r>
      <w:r w:rsidRPr="00F16578">
        <w:t>National Literacy Trust.</w:t>
      </w:r>
    </w:p>
    <w:p w14:paraId="53B24340" w14:textId="77777777" w:rsidR="00036B19" w:rsidRPr="00F16578" w:rsidRDefault="00036B19" w:rsidP="00036B19">
      <w:r w:rsidRPr="00F16578">
        <w:t>Department for Education (202</w:t>
      </w:r>
      <w:r>
        <w:t>5</w:t>
      </w:r>
      <w:r w:rsidRPr="00F16578">
        <w:t xml:space="preserve">). </w:t>
      </w:r>
      <w:r w:rsidRPr="00F16578">
        <w:rPr>
          <w:i/>
          <w:iCs/>
        </w:rPr>
        <w:t xml:space="preserve">Key Stage 2 </w:t>
      </w:r>
      <w:r>
        <w:rPr>
          <w:i/>
          <w:iCs/>
        </w:rPr>
        <w:t>attainment</w:t>
      </w:r>
      <w:r w:rsidRPr="00F16578">
        <w:t>.</w:t>
      </w:r>
    </w:p>
    <w:p w14:paraId="78CAC431" w14:textId="77777777" w:rsidR="00036B19" w:rsidRPr="00F16578" w:rsidRDefault="00036B19" w:rsidP="00036B19">
      <w:proofErr w:type="spellStart"/>
      <w:r>
        <w:t>D</w:t>
      </w:r>
      <w:r w:rsidRPr="00F16578">
        <w:t>ockrell</w:t>
      </w:r>
      <w:proofErr w:type="spellEnd"/>
      <w:r w:rsidRPr="00F16578">
        <w:t xml:space="preserve">, J., Marshall, C., </w:t>
      </w:r>
      <w:r>
        <w:t xml:space="preserve">and </w:t>
      </w:r>
      <w:r w:rsidRPr="00F16578">
        <w:t xml:space="preserve">Wyse, D. (2016). </w:t>
      </w:r>
      <w:r w:rsidRPr="00220706">
        <w:t>Developing Writing in the Primary Classroom</w:t>
      </w:r>
      <w:r w:rsidRPr="00F16578">
        <w:t xml:space="preserve">. </w:t>
      </w:r>
      <w:r w:rsidRPr="00220706">
        <w:rPr>
          <w:i/>
          <w:iCs/>
        </w:rPr>
        <w:t>British Educational Research Journal,</w:t>
      </w:r>
      <w:r w:rsidRPr="00F16578">
        <w:t xml:space="preserve"> 42(3), </w:t>
      </w:r>
      <w:r>
        <w:t xml:space="preserve">pp. </w:t>
      </w:r>
      <w:r w:rsidRPr="00F16578">
        <w:t>443-460.</w:t>
      </w:r>
    </w:p>
    <w:p w14:paraId="15D572C1" w14:textId="77777777" w:rsidR="00036B19" w:rsidRPr="00711B98" w:rsidRDefault="00036B19" w:rsidP="00036B19">
      <w:r w:rsidRPr="00711B98">
        <w:t xml:space="preserve">Education Endowment Foundation (EEF) (2021) </w:t>
      </w:r>
      <w:r w:rsidRPr="00711B98">
        <w:rPr>
          <w:i/>
          <w:iCs/>
        </w:rPr>
        <w:t>Improving Literacy in Key Stage 2</w:t>
      </w:r>
      <w:r w:rsidRPr="00711B98">
        <w:t>. London: EEF.</w:t>
      </w:r>
    </w:p>
    <w:p w14:paraId="38A01FC5" w14:textId="77777777" w:rsidR="00036B19" w:rsidRPr="00F16578" w:rsidRDefault="00036B19" w:rsidP="00036B19">
      <w:r w:rsidRPr="00F16578">
        <w:t xml:space="preserve">Education Endowment Foundation (EEF). (2018). </w:t>
      </w:r>
      <w:r w:rsidRPr="00F16578">
        <w:rPr>
          <w:i/>
          <w:iCs/>
        </w:rPr>
        <w:t>Metacognition and Self-Regulated Learning: Guidance Report</w:t>
      </w:r>
      <w:r w:rsidRPr="00F16578">
        <w:t>. London: EEF.</w:t>
      </w:r>
    </w:p>
    <w:p w14:paraId="71EF913E" w14:textId="77777777" w:rsidR="00036B19" w:rsidRPr="00711B98" w:rsidRDefault="00036B19" w:rsidP="00036B19">
      <w:r w:rsidRPr="00711B98">
        <w:t>Estyn (2022) The Annual Report of Her Majesty’s Chief Inspector of Education and Training in Wales 2021-2022. Cardiff: Estyn.</w:t>
      </w:r>
    </w:p>
    <w:p w14:paraId="0EA3FF12" w14:textId="77777777" w:rsidR="00036B19" w:rsidRPr="00F16578" w:rsidRDefault="00036B19" w:rsidP="00036B19">
      <w:r w:rsidRPr="00F16578">
        <w:t xml:space="preserve">Graham, S. (2018). </w:t>
      </w:r>
      <w:r w:rsidRPr="0077740F">
        <w:t>A Writer(s)-within-Community Model of Writing</w:t>
      </w:r>
      <w:r w:rsidRPr="00F16578">
        <w:t xml:space="preserve">. </w:t>
      </w:r>
      <w:r w:rsidRPr="0077740F">
        <w:rPr>
          <w:i/>
          <w:iCs/>
        </w:rPr>
        <w:t>Educational Psychologist</w:t>
      </w:r>
      <w:r w:rsidRPr="00F16578">
        <w:t xml:space="preserve">, 53(4), </w:t>
      </w:r>
      <w:r>
        <w:t xml:space="preserve">pp. </w:t>
      </w:r>
      <w:r w:rsidRPr="00F16578">
        <w:t>258-279.</w:t>
      </w:r>
    </w:p>
    <w:p w14:paraId="447D1FA5" w14:textId="77777777" w:rsidR="00036B19" w:rsidRPr="00711B98" w:rsidRDefault="00036B19" w:rsidP="00036B19">
      <w:r w:rsidRPr="00711B98">
        <w:t xml:space="preserve">Graham, S. (2020) ‘The Sciences of Writing and Their Applications: The Development of Writing and Its Assessment’, </w:t>
      </w:r>
      <w:r w:rsidRPr="00711B98">
        <w:rPr>
          <w:i/>
          <w:iCs/>
        </w:rPr>
        <w:t>Educational Psychologist</w:t>
      </w:r>
      <w:r w:rsidRPr="00711B98">
        <w:t>, 55(4), pp. 173–195.</w:t>
      </w:r>
    </w:p>
    <w:p w14:paraId="0F33C912" w14:textId="77777777" w:rsidR="00036B19" w:rsidRPr="00711B98" w:rsidRDefault="00036B19" w:rsidP="00036B19">
      <w:r w:rsidRPr="00711B98">
        <w:t>Graham, S. and Perin, D. (2007) Writing Next: Effective Strategies to Improve Writing of Adolescents in Middle and High Schools. New York: Carnegie Corporation.</w:t>
      </w:r>
    </w:p>
    <w:p w14:paraId="50B57FFE" w14:textId="77777777" w:rsidR="00036B19" w:rsidRPr="00711B98" w:rsidRDefault="00036B19" w:rsidP="00036B19">
      <w:r w:rsidRPr="00711B98">
        <w:t xml:space="preserve">Myhill, D. and Fisher, R. (2010) ‘Writing development: Cognitive, sociocultural, linguistic perspectives’, </w:t>
      </w:r>
      <w:r w:rsidRPr="00711B98">
        <w:rPr>
          <w:i/>
          <w:iCs/>
        </w:rPr>
        <w:t>Educational Review</w:t>
      </w:r>
      <w:r w:rsidRPr="00711B98">
        <w:t>, 62(4), pp. 483–500.</w:t>
      </w:r>
    </w:p>
    <w:p w14:paraId="5DFC25EA" w14:textId="77777777" w:rsidR="00036B19" w:rsidRPr="00F16578" w:rsidRDefault="00036B19" w:rsidP="00036B19">
      <w:r w:rsidRPr="00F16578">
        <w:t xml:space="preserve">Myhill, D., Jones, S., Lines, H., &amp; Watson, A. (2012). </w:t>
      </w:r>
      <w:r w:rsidRPr="00F16578">
        <w:rPr>
          <w:i/>
          <w:iCs/>
        </w:rPr>
        <w:t>Re-thinking Grammar Teaching: Metalinguistic Awareness and Writing</w:t>
      </w:r>
      <w:r w:rsidRPr="00F16578">
        <w:t xml:space="preserve">. Journal of Research in Reading, </w:t>
      </w:r>
      <w:r>
        <w:t>27</w:t>
      </w:r>
      <w:r w:rsidRPr="00F16578">
        <w:t>(</w:t>
      </w:r>
      <w:r>
        <w:t>2</w:t>
      </w:r>
      <w:r w:rsidRPr="00F16578">
        <w:t xml:space="preserve">), </w:t>
      </w:r>
      <w:r>
        <w:t>pp. 139-166</w:t>
      </w:r>
      <w:r w:rsidRPr="00F16578">
        <w:t>.</w:t>
      </w:r>
    </w:p>
    <w:p w14:paraId="2D475867" w14:textId="77777777" w:rsidR="00036B19" w:rsidRPr="00966E79" w:rsidRDefault="00036B19" w:rsidP="00036B19">
      <w:r w:rsidRPr="00966E79">
        <w:t xml:space="preserve">National Handwriting Association. (2019). </w:t>
      </w:r>
      <w:r w:rsidRPr="00966E79">
        <w:rPr>
          <w:i/>
          <w:iCs/>
        </w:rPr>
        <w:t>Handwriting: Policy and Practice in Schools</w:t>
      </w:r>
      <w:r w:rsidRPr="00966E79">
        <w:t>. National Handwriting Association.</w:t>
      </w:r>
    </w:p>
    <w:p w14:paraId="25172B74" w14:textId="77777777" w:rsidR="00036B19" w:rsidRPr="00711B98" w:rsidRDefault="00036B19" w:rsidP="00036B19">
      <w:r w:rsidRPr="00711B98">
        <w:t xml:space="preserve">No More Marking (2020) </w:t>
      </w:r>
      <w:r w:rsidRPr="00711B98">
        <w:rPr>
          <w:i/>
          <w:iCs/>
        </w:rPr>
        <w:t>Comparative Judgement and Writing Assessment: Research Summary</w:t>
      </w:r>
      <w:r w:rsidRPr="00711B98">
        <w:t>.</w:t>
      </w:r>
    </w:p>
    <w:p w14:paraId="04EAD849" w14:textId="77777777" w:rsidR="00036B19" w:rsidRDefault="00036B19" w:rsidP="00036B19">
      <w:r w:rsidRPr="00F16578">
        <w:t xml:space="preserve">OECD (2019) </w:t>
      </w:r>
      <w:r w:rsidRPr="00F16578">
        <w:rPr>
          <w:i/>
          <w:iCs/>
        </w:rPr>
        <w:t>PISA 2018 Results (Volume I): What Students Know and Can Do</w:t>
      </w:r>
      <w:r w:rsidRPr="00F16578">
        <w:t>.</w:t>
      </w:r>
    </w:p>
    <w:p w14:paraId="40782583" w14:textId="77777777" w:rsidR="00036B19" w:rsidRPr="00711B98" w:rsidRDefault="00036B19" w:rsidP="00036B19">
      <w:r w:rsidRPr="00711B98">
        <w:lastRenderedPageBreak/>
        <w:t>Peat, A. (2014) Writing Exciting Sentences: Age 7-14. Stafford: Creative Educational Press.</w:t>
      </w:r>
    </w:p>
    <w:p w14:paraId="5C43E6E2" w14:textId="77777777" w:rsidR="00036B19" w:rsidRDefault="00036B19" w:rsidP="00036B19">
      <w:r w:rsidRPr="00F16578">
        <w:t xml:space="preserve">Vygotsky, L. S. (1978). </w:t>
      </w:r>
      <w:r w:rsidRPr="00F16578">
        <w:rPr>
          <w:i/>
          <w:iCs/>
        </w:rPr>
        <w:t>Mind in Society: The Development of Higher Psychological Processes</w:t>
      </w:r>
      <w:r w:rsidRPr="00F16578">
        <w:t>. Harvard University Press.</w:t>
      </w:r>
    </w:p>
    <w:p w14:paraId="33FD5334" w14:textId="77777777" w:rsidR="00036B19" w:rsidRDefault="00036B19" w:rsidP="00036B19">
      <w:r w:rsidRPr="00711B98">
        <w:t>Welsh Government (2022) Curriculum for Wales: Guidance for Schools.</w:t>
      </w:r>
    </w:p>
    <w:p w14:paraId="186DC956" w14:textId="77777777" w:rsidR="00036B19" w:rsidRPr="00966E79" w:rsidRDefault="00036B19" w:rsidP="00036B19">
      <w:r w:rsidRPr="00966E79">
        <w:t xml:space="preserve">Welsh Government. (2014). </w:t>
      </w:r>
      <w:r w:rsidRPr="00966E79">
        <w:rPr>
          <w:i/>
          <w:iCs/>
        </w:rPr>
        <w:t>School Development Plans and Self-Evaluation Framework</w:t>
      </w:r>
      <w:r w:rsidRPr="00966E79">
        <w:t>. Welsh Government.</w:t>
      </w:r>
    </w:p>
    <w:p w14:paraId="46D19ABE" w14:textId="77777777" w:rsidR="00036B19" w:rsidRPr="00711B98" w:rsidRDefault="00036B19" w:rsidP="00036B19">
      <w:r w:rsidRPr="00966E79">
        <w:t xml:space="preserve">Welsh Government. (2022). </w:t>
      </w:r>
      <w:r w:rsidRPr="00966E79">
        <w:rPr>
          <w:i/>
          <w:iCs/>
        </w:rPr>
        <w:t>Literacy and Numeracy Framework (LNF) Review</w:t>
      </w:r>
      <w:r w:rsidRPr="00966E79">
        <w:t>. Welsh Government.</w:t>
      </w:r>
    </w:p>
    <w:p w14:paraId="7CFEDF3B" w14:textId="77777777" w:rsidR="00036B19" w:rsidRPr="0055407B" w:rsidRDefault="00036B19" w:rsidP="0055407B"/>
    <w:p w14:paraId="6102E999" w14:textId="77777777" w:rsidR="00BB0E51" w:rsidRDefault="00BB0E51"/>
    <w:sectPr w:rsidR="00BB0E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34473"/>
    <w:multiLevelType w:val="multilevel"/>
    <w:tmpl w:val="8920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8E5C5D"/>
    <w:multiLevelType w:val="multilevel"/>
    <w:tmpl w:val="3E7C6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2325D6"/>
    <w:multiLevelType w:val="multilevel"/>
    <w:tmpl w:val="6796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333DAF"/>
    <w:multiLevelType w:val="multilevel"/>
    <w:tmpl w:val="3488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022DBB"/>
    <w:multiLevelType w:val="multilevel"/>
    <w:tmpl w:val="1092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E123E6"/>
    <w:multiLevelType w:val="multilevel"/>
    <w:tmpl w:val="DE22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0930569">
    <w:abstractNumId w:val="5"/>
  </w:num>
  <w:num w:numId="2" w16cid:durableId="1778601848">
    <w:abstractNumId w:val="2"/>
  </w:num>
  <w:num w:numId="3" w16cid:durableId="1453981901">
    <w:abstractNumId w:val="4"/>
  </w:num>
  <w:num w:numId="4" w16cid:durableId="1392383925">
    <w:abstractNumId w:val="3"/>
  </w:num>
  <w:num w:numId="5" w16cid:durableId="1125126291">
    <w:abstractNumId w:val="1"/>
  </w:num>
  <w:num w:numId="6" w16cid:durableId="16719100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EB7"/>
    <w:rsid w:val="00036B19"/>
    <w:rsid w:val="0017199E"/>
    <w:rsid w:val="00232012"/>
    <w:rsid w:val="0029360F"/>
    <w:rsid w:val="002B596D"/>
    <w:rsid w:val="003108B6"/>
    <w:rsid w:val="00355DC5"/>
    <w:rsid w:val="00367710"/>
    <w:rsid w:val="00415DB1"/>
    <w:rsid w:val="00431C5A"/>
    <w:rsid w:val="00455276"/>
    <w:rsid w:val="004F3DCB"/>
    <w:rsid w:val="0055407B"/>
    <w:rsid w:val="006A40E1"/>
    <w:rsid w:val="00726754"/>
    <w:rsid w:val="008E0FB5"/>
    <w:rsid w:val="00AF3CB9"/>
    <w:rsid w:val="00B11123"/>
    <w:rsid w:val="00B146C1"/>
    <w:rsid w:val="00BB0E51"/>
    <w:rsid w:val="00C2675B"/>
    <w:rsid w:val="00C564FE"/>
    <w:rsid w:val="00C76EB7"/>
    <w:rsid w:val="00E22E8B"/>
    <w:rsid w:val="00E61F68"/>
    <w:rsid w:val="00EA5FA6"/>
    <w:rsid w:val="00F807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97558"/>
  <w15:chartTrackingRefBased/>
  <w15:docId w15:val="{158B782E-33FF-4FF9-9CE4-3941FF57A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E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6E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E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6E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E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E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E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E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E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E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E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E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E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E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E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E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E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EB7"/>
    <w:rPr>
      <w:rFonts w:eastAsiaTheme="majorEastAsia" w:cstheme="majorBidi"/>
      <w:color w:val="272727" w:themeColor="text1" w:themeTint="D8"/>
    </w:rPr>
  </w:style>
  <w:style w:type="paragraph" w:styleId="Title">
    <w:name w:val="Title"/>
    <w:basedOn w:val="Normal"/>
    <w:next w:val="Normal"/>
    <w:link w:val="TitleChar"/>
    <w:uiPriority w:val="10"/>
    <w:qFormat/>
    <w:rsid w:val="00C76E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E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E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E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EB7"/>
    <w:pPr>
      <w:spacing w:before="160"/>
      <w:jc w:val="center"/>
    </w:pPr>
    <w:rPr>
      <w:i/>
      <w:iCs/>
      <w:color w:val="404040" w:themeColor="text1" w:themeTint="BF"/>
    </w:rPr>
  </w:style>
  <w:style w:type="character" w:customStyle="1" w:styleId="QuoteChar">
    <w:name w:val="Quote Char"/>
    <w:basedOn w:val="DefaultParagraphFont"/>
    <w:link w:val="Quote"/>
    <w:uiPriority w:val="29"/>
    <w:rsid w:val="00C76EB7"/>
    <w:rPr>
      <w:i/>
      <w:iCs/>
      <w:color w:val="404040" w:themeColor="text1" w:themeTint="BF"/>
    </w:rPr>
  </w:style>
  <w:style w:type="paragraph" w:styleId="ListParagraph">
    <w:name w:val="List Paragraph"/>
    <w:basedOn w:val="Normal"/>
    <w:uiPriority w:val="34"/>
    <w:qFormat/>
    <w:rsid w:val="00C76EB7"/>
    <w:pPr>
      <w:ind w:left="720"/>
      <w:contextualSpacing/>
    </w:pPr>
  </w:style>
  <w:style w:type="character" w:styleId="IntenseEmphasis">
    <w:name w:val="Intense Emphasis"/>
    <w:basedOn w:val="DefaultParagraphFont"/>
    <w:uiPriority w:val="21"/>
    <w:qFormat/>
    <w:rsid w:val="00C76EB7"/>
    <w:rPr>
      <w:i/>
      <w:iCs/>
      <w:color w:val="0F4761" w:themeColor="accent1" w:themeShade="BF"/>
    </w:rPr>
  </w:style>
  <w:style w:type="paragraph" w:styleId="IntenseQuote">
    <w:name w:val="Intense Quote"/>
    <w:basedOn w:val="Normal"/>
    <w:next w:val="Normal"/>
    <w:link w:val="IntenseQuoteChar"/>
    <w:uiPriority w:val="30"/>
    <w:qFormat/>
    <w:rsid w:val="00C76E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EB7"/>
    <w:rPr>
      <w:i/>
      <w:iCs/>
      <w:color w:val="0F4761" w:themeColor="accent1" w:themeShade="BF"/>
    </w:rPr>
  </w:style>
  <w:style w:type="character" w:styleId="IntenseReference">
    <w:name w:val="Intense Reference"/>
    <w:basedOn w:val="DefaultParagraphFont"/>
    <w:uiPriority w:val="32"/>
    <w:qFormat/>
    <w:rsid w:val="00C76EB7"/>
    <w:rPr>
      <w:b/>
      <w:bCs/>
      <w:smallCaps/>
      <w:color w:val="0F4761" w:themeColor="accent1" w:themeShade="BF"/>
      <w:spacing w:val="5"/>
    </w:rPr>
  </w:style>
  <w:style w:type="character" w:styleId="Hyperlink">
    <w:name w:val="Hyperlink"/>
    <w:basedOn w:val="DefaultParagraphFont"/>
    <w:uiPriority w:val="99"/>
    <w:unhideWhenUsed/>
    <w:rsid w:val="0017199E"/>
    <w:rPr>
      <w:color w:val="467886" w:themeColor="hyperlink"/>
      <w:u w:val="single"/>
    </w:rPr>
  </w:style>
  <w:style w:type="character" w:styleId="UnresolvedMention">
    <w:name w:val="Unresolved Mention"/>
    <w:basedOn w:val="DefaultParagraphFont"/>
    <w:uiPriority w:val="99"/>
    <w:semiHidden/>
    <w:unhideWhenUsed/>
    <w:rsid w:val="00171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11984">
      <w:bodyDiv w:val="1"/>
      <w:marLeft w:val="0"/>
      <w:marRight w:val="0"/>
      <w:marTop w:val="0"/>
      <w:marBottom w:val="0"/>
      <w:divBdr>
        <w:top w:val="none" w:sz="0" w:space="0" w:color="auto"/>
        <w:left w:val="none" w:sz="0" w:space="0" w:color="auto"/>
        <w:bottom w:val="none" w:sz="0" w:space="0" w:color="auto"/>
        <w:right w:val="none" w:sz="0" w:space="0" w:color="auto"/>
      </w:divBdr>
    </w:div>
    <w:div w:id="87625118">
      <w:bodyDiv w:val="1"/>
      <w:marLeft w:val="0"/>
      <w:marRight w:val="0"/>
      <w:marTop w:val="0"/>
      <w:marBottom w:val="0"/>
      <w:divBdr>
        <w:top w:val="none" w:sz="0" w:space="0" w:color="auto"/>
        <w:left w:val="none" w:sz="0" w:space="0" w:color="auto"/>
        <w:bottom w:val="none" w:sz="0" w:space="0" w:color="auto"/>
        <w:right w:val="none" w:sz="0" w:space="0" w:color="auto"/>
      </w:divBdr>
    </w:div>
    <w:div w:id="196238217">
      <w:bodyDiv w:val="1"/>
      <w:marLeft w:val="0"/>
      <w:marRight w:val="0"/>
      <w:marTop w:val="0"/>
      <w:marBottom w:val="0"/>
      <w:divBdr>
        <w:top w:val="none" w:sz="0" w:space="0" w:color="auto"/>
        <w:left w:val="none" w:sz="0" w:space="0" w:color="auto"/>
        <w:bottom w:val="none" w:sz="0" w:space="0" w:color="auto"/>
        <w:right w:val="none" w:sz="0" w:space="0" w:color="auto"/>
      </w:divBdr>
    </w:div>
    <w:div w:id="304630403">
      <w:bodyDiv w:val="1"/>
      <w:marLeft w:val="0"/>
      <w:marRight w:val="0"/>
      <w:marTop w:val="0"/>
      <w:marBottom w:val="0"/>
      <w:divBdr>
        <w:top w:val="none" w:sz="0" w:space="0" w:color="auto"/>
        <w:left w:val="none" w:sz="0" w:space="0" w:color="auto"/>
        <w:bottom w:val="none" w:sz="0" w:space="0" w:color="auto"/>
        <w:right w:val="none" w:sz="0" w:space="0" w:color="auto"/>
      </w:divBdr>
    </w:div>
    <w:div w:id="313413342">
      <w:bodyDiv w:val="1"/>
      <w:marLeft w:val="0"/>
      <w:marRight w:val="0"/>
      <w:marTop w:val="0"/>
      <w:marBottom w:val="0"/>
      <w:divBdr>
        <w:top w:val="none" w:sz="0" w:space="0" w:color="auto"/>
        <w:left w:val="none" w:sz="0" w:space="0" w:color="auto"/>
        <w:bottom w:val="none" w:sz="0" w:space="0" w:color="auto"/>
        <w:right w:val="none" w:sz="0" w:space="0" w:color="auto"/>
      </w:divBdr>
      <w:divsChild>
        <w:div w:id="682440951">
          <w:marLeft w:val="0"/>
          <w:marRight w:val="0"/>
          <w:marTop w:val="0"/>
          <w:marBottom w:val="0"/>
          <w:divBdr>
            <w:top w:val="none" w:sz="0" w:space="0" w:color="auto"/>
            <w:left w:val="none" w:sz="0" w:space="0" w:color="auto"/>
            <w:bottom w:val="none" w:sz="0" w:space="0" w:color="auto"/>
            <w:right w:val="none" w:sz="0" w:space="0" w:color="auto"/>
          </w:divBdr>
        </w:div>
        <w:div w:id="2008753681">
          <w:marLeft w:val="0"/>
          <w:marRight w:val="0"/>
          <w:marTop w:val="0"/>
          <w:marBottom w:val="0"/>
          <w:divBdr>
            <w:top w:val="none" w:sz="0" w:space="0" w:color="auto"/>
            <w:left w:val="none" w:sz="0" w:space="0" w:color="auto"/>
            <w:bottom w:val="none" w:sz="0" w:space="0" w:color="auto"/>
            <w:right w:val="none" w:sz="0" w:space="0" w:color="auto"/>
          </w:divBdr>
        </w:div>
        <w:div w:id="2119830485">
          <w:marLeft w:val="0"/>
          <w:marRight w:val="0"/>
          <w:marTop w:val="0"/>
          <w:marBottom w:val="0"/>
          <w:divBdr>
            <w:top w:val="none" w:sz="0" w:space="0" w:color="auto"/>
            <w:left w:val="none" w:sz="0" w:space="0" w:color="auto"/>
            <w:bottom w:val="none" w:sz="0" w:space="0" w:color="auto"/>
            <w:right w:val="none" w:sz="0" w:space="0" w:color="auto"/>
          </w:divBdr>
        </w:div>
        <w:div w:id="1990360502">
          <w:marLeft w:val="0"/>
          <w:marRight w:val="0"/>
          <w:marTop w:val="0"/>
          <w:marBottom w:val="0"/>
          <w:divBdr>
            <w:top w:val="none" w:sz="0" w:space="0" w:color="auto"/>
            <w:left w:val="none" w:sz="0" w:space="0" w:color="auto"/>
            <w:bottom w:val="none" w:sz="0" w:space="0" w:color="auto"/>
            <w:right w:val="none" w:sz="0" w:space="0" w:color="auto"/>
          </w:divBdr>
        </w:div>
        <w:div w:id="1503163757">
          <w:marLeft w:val="0"/>
          <w:marRight w:val="0"/>
          <w:marTop w:val="0"/>
          <w:marBottom w:val="0"/>
          <w:divBdr>
            <w:top w:val="none" w:sz="0" w:space="0" w:color="auto"/>
            <w:left w:val="none" w:sz="0" w:space="0" w:color="auto"/>
            <w:bottom w:val="none" w:sz="0" w:space="0" w:color="auto"/>
            <w:right w:val="none" w:sz="0" w:space="0" w:color="auto"/>
          </w:divBdr>
        </w:div>
      </w:divsChild>
    </w:div>
    <w:div w:id="458572033">
      <w:bodyDiv w:val="1"/>
      <w:marLeft w:val="0"/>
      <w:marRight w:val="0"/>
      <w:marTop w:val="0"/>
      <w:marBottom w:val="0"/>
      <w:divBdr>
        <w:top w:val="none" w:sz="0" w:space="0" w:color="auto"/>
        <w:left w:val="none" w:sz="0" w:space="0" w:color="auto"/>
        <w:bottom w:val="none" w:sz="0" w:space="0" w:color="auto"/>
        <w:right w:val="none" w:sz="0" w:space="0" w:color="auto"/>
      </w:divBdr>
    </w:div>
    <w:div w:id="492645937">
      <w:bodyDiv w:val="1"/>
      <w:marLeft w:val="0"/>
      <w:marRight w:val="0"/>
      <w:marTop w:val="0"/>
      <w:marBottom w:val="0"/>
      <w:divBdr>
        <w:top w:val="none" w:sz="0" w:space="0" w:color="auto"/>
        <w:left w:val="none" w:sz="0" w:space="0" w:color="auto"/>
        <w:bottom w:val="none" w:sz="0" w:space="0" w:color="auto"/>
        <w:right w:val="none" w:sz="0" w:space="0" w:color="auto"/>
      </w:divBdr>
    </w:div>
    <w:div w:id="551041085">
      <w:bodyDiv w:val="1"/>
      <w:marLeft w:val="0"/>
      <w:marRight w:val="0"/>
      <w:marTop w:val="0"/>
      <w:marBottom w:val="0"/>
      <w:divBdr>
        <w:top w:val="none" w:sz="0" w:space="0" w:color="auto"/>
        <w:left w:val="none" w:sz="0" w:space="0" w:color="auto"/>
        <w:bottom w:val="none" w:sz="0" w:space="0" w:color="auto"/>
        <w:right w:val="none" w:sz="0" w:space="0" w:color="auto"/>
      </w:divBdr>
    </w:div>
    <w:div w:id="613705946">
      <w:bodyDiv w:val="1"/>
      <w:marLeft w:val="0"/>
      <w:marRight w:val="0"/>
      <w:marTop w:val="0"/>
      <w:marBottom w:val="0"/>
      <w:divBdr>
        <w:top w:val="none" w:sz="0" w:space="0" w:color="auto"/>
        <w:left w:val="none" w:sz="0" w:space="0" w:color="auto"/>
        <w:bottom w:val="none" w:sz="0" w:space="0" w:color="auto"/>
        <w:right w:val="none" w:sz="0" w:space="0" w:color="auto"/>
      </w:divBdr>
    </w:div>
    <w:div w:id="652375023">
      <w:bodyDiv w:val="1"/>
      <w:marLeft w:val="0"/>
      <w:marRight w:val="0"/>
      <w:marTop w:val="0"/>
      <w:marBottom w:val="0"/>
      <w:divBdr>
        <w:top w:val="none" w:sz="0" w:space="0" w:color="auto"/>
        <w:left w:val="none" w:sz="0" w:space="0" w:color="auto"/>
        <w:bottom w:val="none" w:sz="0" w:space="0" w:color="auto"/>
        <w:right w:val="none" w:sz="0" w:space="0" w:color="auto"/>
      </w:divBdr>
      <w:divsChild>
        <w:div w:id="386228812">
          <w:marLeft w:val="0"/>
          <w:marRight w:val="0"/>
          <w:marTop w:val="0"/>
          <w:marBottom w:val="0"/>
          <w:divBdr>
            <w:top w:val="none" w:sz="0" w:space="0" w:color="auto"/>
            <w:left w:val="none" w:sz="0" w:space="0" w:color="auto"/>
            <w:bottom w:val="none" w:sz="0" w:space="0" w:color="auto"/>
            <w:right w:val="none" w:sz="0" w:space="0" w:color="auto"/>
          </w:divBdr>
        </w:div>
        <w:div w:id="889419052">
          <w:marLeft w:val="0"/>
          <w:marRight w:val="0"/>
          <w:marTop w:val="0"/>
          <w:marBottom w:val="0"/>
          <w:divBdr>
            <w:top w:val="none" w:sz="0" w:space="0" w:color="auto"/>
            <w:left w:val="none" w:sz="0" w:space="0" w:color="auto"/>
            <w:bottom w:val="none" w:sz="0" w:space="0" w:color="auto"/>
            <w:right w:val="none" w:sz="0" w:space="0" w:color="auto"/>
          </w:divBdr>
        </w:div>
        <w:div w:id="1437863841">
          <w:marLeft w:val="0"/>
          <w:marRight w:val="0"/>
          <w:marTop w:val="0"/>
          <w:marBottom w:val="0"/>
          <w:divBdr>
            <w:top w:val="none" w:sz="0" w:space="0" w:color="auto"/>
            <w:left w:val="none" w:sz="0" w:space="0" w:color="auto"/>
            <w:bottom w:val="none" w:sz="0" w:space="0" w:color="auto"/>
            <w:right w:val="none" w:sz="0" w:space="0" w:color="auto"/>
          </w:divBdr>
        </w:div>
        <w:div w:id="833107867">
          <w:marLeft w:val="0"/>
          <w:marRight w:val="0"/>
          <w:marTop w:val="0"/>
          <w:marBottom w:val="0"/>
          <w:divBdr>
            <w:top w:val="none" w:sz="0" w:space="0" w:color="auto"/>
            <w:left w:val="none" w:sz="0" w:space="0" w:color="auto"/>
            <w:bottom w:val="none" w:sz="0" w:space="0" w:color="auto"/>
            <w:right w:val="none" w:sz="0" w:space="0" w:color="auto"/>
          </w:divBdr>
        </w:div>
        <w:div w:id="1245452601">
          <w:marLeft w:val="0"/>
          <w:marRight w:val="0"/>
          <w:marTop w:val="0"/>
          <w:marBottom w:val="0"/>
          <w:divBdr>
            <w:top w:val="none" w:sz="0" w:space="0" w:color="auto"/>
            <w:left w:val="none" w:sz="0" w:space="0" w:color="auto"/>
            <w:bottom w:val="none" w:sz="0" w:space="0" w:color="auto"/>
            <w:right w:val="none" w:sz="0" w:space="0" w:color="auto"/>
          </w:divBdr>
        </w:div>
      </w:divsChild>
    </w:div>
    <w:div w:id="751662841">
      <w:bodyDiv w:val="1"/>
      <w:marLeft w:val="0"/>
      <w:marRight w:val="0"/>
      <w:marTop w:val="0"/>
      <w:marBottom w:val="0"/>
      <w:divBdr>
        <w:top w:val="none" w:sz="0" w:space="0" w:color="auto"/>
        <w:left w:val="none" w:sz="0" w:space="0" w:color="auto"/>
        <w:bottom w:val="none" w:sz="0" w:space="0" w:color="auto"/>
        <w:right w:val="none" w:sz="0" w:space="0" w:color="auto"/>
      </w:divBdr>
    </w:div>
    <w:div w:id="831874680">
      <w:bodyDiv w:val="1"/>
      <w:marLeft w:val="0"/>
      <w:marRight w:val="0"/>
      <w:marTop w:val="0"/>
      <w:marBottom w:val="0"/>
      <w:divBdr>
        <w:top w:val="none" w:sz="0" w:space="0" w:color="auto"/>
        <w:left w:val="none" w:sz="0" w:space="0" w:color="auto"/>
        <w:bottom w:val="none" w:sz="0" w:space="0" w:color="auto"/>
        <w:right w:val="none" w:sz="0" w:space="0" w:color="auto"/>
      </w:divBdr>
    </w:div>
    <w:div w:id="1063331552">
      <w:bodyDiv w:val="1"/>
      <w:marLeft w:val="0"/>
      <w:marRight w:val="0"/>
      <w:marTop w:val="0"/>
      <w:marBottom w:val="0"/>
      <w:divBdr>
        <w:top w:val="none" w:sz="0" w:space="0" w:color="auto"/>
        <w:left w:val="none" w:sz="0" w:space="0" w:color="auto"/>
        <w:bottom w:val="none" w:sz="0" w:space="0" w:color="auto"/>
        <w:right w:val="none" w:sz="0" w:space="0" w:color="auto"/>
      </w:divBdr>
    </w:div>
    <w:div w:id="1244029191">
      <w:bodyDiv w:val="1"/>
      <w:marLeft w:val="0"/>
      <w:marRight w:val="0"/>
      <w:marTop w:val="0"/>
      <w:marBottom w:val="0"/>
      <w:divBdr>
        <w:top w:val="none" w:sz="0" w:space="0" w:color="auto"/>
        <w:left w:val="none" w:sz="0" w:space="0" w:color="auto"/>
        <w:bottom w:val="none" w:sz="0" w:space="0" w:color="auto"/>
        <w:right w:val="none" w:sz="0" w:space="0" w:color="auto"/>
      </w:divBdr>
    </w:div>
    <w:div w:id="1267470118">
      <w:bodyDiv w:val="1"/>
      <w:marLeft w:val="0"/>
      <w:marRight w:val="0"/>
      <w:marTop w:val="0"/>
      <w:marBottom w:val="0"/>
      <w:divBdr>
        <w:top w:val="none" w:sz="0" w:space="0" w:color="auto"/>
        <w:left w:val="none" w:sz="0" w:space="0" w:color="auto"/>
        <w:bottom w:val="none" w:sz="0" w:space="0" w:color="auto"/>
        <w:right w:val="none" w:sz="0" w:space="0" w:color="auto"/>
      </w:divBdr>
    </w:div>
    <w:div w:id="1365985853">
      <w:bodyDiv w:val="1"/>
      <w:marLeft w:val="0"/>
      <w:marRight w:val="0"/>
      <w:marTop w:val="0"/>
      <w:marBottom w:val="0"/>
      <w:divBdr>
        <w:top w:val="none" w:sz="0" w:space="0" w:color="auto"/>
        <w:left w:val="none" w:sz="0" w:space="0" w:color="auto"/>
        <w:bottom w:val="none" w:sz="0" w:space="0" w:color="auto"/>
        <w:right w:val="none" w:sz="0" w:space="0" w:color="auto"/>
      </w:divBdr>
    </w:div>
    <w:div w:id="1371955260">
      <w:bodyDiv w:val="1"/>
      <w:marLeft w:val="0"/>
      <w:marRight w:val="0"/>
      <w:marTop w:val="0"/>
      <w:marBottom w:val="0"/>
      <w:divBdr>
        <w:top w:val="none" w:sz="0" w:space="0" w:color="auto"/>
        <w:left w:val="none" w:sz="0" w:space="0" w:color="auto"/>
        <w:bottom w:val="none" w:sz="0" w:space="0" w:color="auto"/>
        <w:right w:val="none" w:sz="0" w:space="0" w:color="auto"/>
      </w:divBdr>
    </w:div>
    <w:div w:id="1533377971">
      <w:bodyDiv w:val="1"/>
      <w:marLeft w:val="0"/>
      <w:marRight w:val="0"/>
      <w:marTop w:val="0"/>
      <w:marBottom w:val="0"/>
      <w:divBdr>
        <w:top w:val="none" w:sz="0" w:space="0" w:color="auto"/>
        <w:left w:val="none" w:sz="0" w:space="0" w:color="auto"/>
        <w:bottom w:val="none" w:sz="0" w:space="0" w:color="auto"/>
        <w:right w:val="none" w:sz="0" w:space="0" w:color="auto"/>
      </w:divBdr>
    </w:div>
    <w:div w:id="1561162491">
      <w:bodyDiv w:val="1"/>
      <w:marLeft w:val="0"/>
      <w:marRight w:val="0"/>
      <w:marTop w:val="0"/>
      <w:marBottom w:val="0"/>
      <w:divBdr>
        <w:top w:val="none" w:sz="0" w:space="0" w:color="auto"/>
        <w:left w:val="none" w:sz="0" w:space="0" w:color="auto"/>
        <w:bottom w:val="none" w:sz="0" w:space="0" w:color="auto"/>
        <w:right w:val="none" w:sz="0" w:space="0" w:color="auto"/>
      </w:divBdr>
    </w:div>
    <w:div w:id="1804303915">
      <w:bodyDiv w:val="1"/>
      <w:marLeft w:val="0"/>
      <w:marRight w:val="0"/>
      <w:marTop w:val="0"/>
      <w:marBottom w:val="0"/>
      <w:divBdr>
        <w:top w:val="none" w:sz="0" w:space="0" w:color="auto"/>
        <w:left w:val="none" w:sz="0" w:space="0" w:color="auto"/>
        <w:bottom w:val="none" w:sz="0" w:space="0" w:color="auto"/>
        <w:right w:val="none" w:sz="0" w:space="0" w:color="auto"/>
      </w:divBdr>
    </w:div>
    <w:div w:id="1902862715">
      <w:bodyDiv w:val="1"/>
      <w:marLeft w:val="0"/>
      <w:marRight w:val="0"/>
      <w:marTop w:val="0"/>
      <w:marBottom w:val="0"/>
      <w:divBdr>
        <w:top w:val="none" w:sz="0" w:space="0" w:color="auto"/>
        <w:left w:val="none" w:sz="0" w:space="0" w:color="auto"/>
        <w:bottom w:val="none" w:sz="0" w:space="0" w:color="auto"/>
        <w:right w:val="none" w:sz="0" w:space="0" w:color="auto"/>
      </w:divBdr>
    </w:div>
    <w:div w:id="1917206141">
      <w:bodyDiv w:val="1"/>
      <w:marLeft w:val="0"/>
      <w:marRight w:val="0"/>
      <w:marTop w:val="0"/>
      <w:marBottom w:val="0"/>
      <w:divBdr>
        <w:top w:val="none" w:sz="0" w:space="0" w:color="auto"/>
        <w:left w:val="none" w:sz="0" w:space="0" w:color="auto"/>
        <w:bottom w:val="none" w:sz="0" w:space="0" w:color="auto"/>
        <w:right w:val="none" w:sz="0" w:space="0" w:color="auto"/>
      </w:divBdr>
    </w:div>
    <w:div w:id="2079664983">
      <w:bodyDiv w:val="1"/>
      <w:marLeft w:val="0"/>
      <w:marRight w:val="0"/>
      <w:marTop w:val="0"/>
      <w:marBottom w:val="0"/>
      <w:divBdr>
        <w:top w:val="none" w:sz="0" w:space="0" w:color="auto"/>
        <w:left w:val="none" w:sz="0" w:space="0" w:color="auto"/>
        <w:bottom w:val="none" w:sz="0" w:space="0" w:color="auto"/>
        <w:right w:val="none" w:sz="0" w:space="0" w:color="auto"/>
      </w:divBdr>
    </w:div>
    <w:div w:id="212260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3229</Words>
  <Characters>18408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Gwinnett (1800102)</dc:creator>
  <cp:keywords/>
  <dc:description/>
  <cp:lastModifiedBy>Morgan Gwinnett (1800102)</cp:lastModifiedBy>
  <cp:revision>8</cp:revision>
  <dcterms:created xsi:type="dcterms:W3CDTF">2025-03-02T15:26:00Z</dcterms:created>
  <dcterms:modified xsi:type="dcterms:W3CDTF">2025-03-03T19:06:00Z</dcterms:modified>
</cp:coreProperties>
</file>