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01A9D" w14:textId="77777777" w:rsidR="00ED00F8" w:rsidRDefault="00ED00F8" w:rsidP="00ED00F8">
      <w:pPr>
        <w:jc w:val="center"/>
        <w:rPr>
          <w:rFonts w:ascii="Arial" w:hAnsi="Arial" w:cs="Arial"/>
          <w:b/>
          <w:bCs/>
          <w:sz w:val="32"/>
          <w:szCs w:val="32"/>
        </w:rPr>
      </w:pPr>
    </w:p>
    <w:p w14:paraId="28FFBF4F" w14:textId="7EA9ABC5" w:rsidR="007E2DC1" w:rsidRDefault="007E2DC1" w:rsidP="00ED00F8">
      <w:pPr>
        <w:jc w:val="center"/>
        <w:rPr>
          <w:rFonts w:ascii="Arial" w:hAnsi="Arial" w:cs="Arial"/>
          <w:b/>
          <w:bCs/>
          <w:sz w:val="32"/>
          <w:szCs w:val="32"/>
        </w:rPr>
      </w:pPr>
      <w:r w:rsidRPr="007E2DC1">
        <w:rPr>
          <w:rFonts w:ascii="Arial" w:hAnsi="Arial" w:cs="Arial"/>
          <w:b/>
          <w:bCs/>
          <w:noProof/>
          <w:sz w:val="32"/>
          <w:szCs w:val="32"/>
        </w:rPr>
        <w:drawing>
          <wp:inline distT="0" distB="0" distL="0" distR="0" wp14:anchorId="4E2FAB5D" wp14:editId="1E20538C">
            <wp:extent cx="4346041" cy="1562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49801" cy="1563451"/>
                    </a:xfrm>
                    <a:prstGeom prst="rect">
                      <a:avLst/>
                    </a:prstGeom>
                  </pic:spPr>
                </pic:pic>
              </a:graphicData>
            </a:graphic>
          </wp:inline>
        </w:drawing>
      </w:r>
    </w:p>
    <w:p w14:paraId="13D63B8C" w14:textId="765AFC9B" w:rsidR="00ED00F8" w:rsidRPr="00ED00F8" w:rsidRDefault="00ED00F8" w:rsidP="00ED00F8">
      <w:pPr>
        <w:jc w:val="center"/>
        <w:rPr>
          <w:rFonts w:ascii="Arial" w:hAnsi="Arial" w:cs="Arial"/>
          <w:b/>
          <w:bCs/>
          <w:sz w:val="32"/>
          <w:szCs w:val="32"/>
        </w:rPr>
      </w:pPr>
      <w:r w:rsidRPr="00ED00F8">
        <w:rPr>
          <w:rFonts w:ascii="Arial" w:hAnsi="Arial" w:cs="Arial"/>
          <w:b/>
          <w:bCs/>
          <w:sz w:val="32"/>
          <w:szCs w:val="32"/>
        </w:rPr>
        <w:t>ASSESSMENT COMPONENT: FINANCIAL PERFORMANCE AND MANAGEMENT</w:t>
      </w:r>
    </w:p>
    <w:p w14:paraId="10707731" w14:textId="67ECA1FF" w:rsidR="00ED00F8" w:rsidRPr="00ED00F8" w:rsidRDefault="00ED00F8" w:rsidP="00ED00F8">
      <w:pPr>
        <w:jc w:val="center"/>
        <w:rPr>
          <w:rFonts w:ascii="Arial" w:hAnsi="Arial" w:cs="Arial"/>
          <w:b/>
          <w:bCs/>
          <w:sz w:val="32"/>
          <w:szCs w:val="32"/>
        </w:rPr>
      </w:pPr>
      <w:r w:rsidRPr="00ED00F8">
        <w:rPr>
          <w:rFonts w:ascii="Arial" w:hAnsi="Arial" w:cs="Arial"/>
          <w:b/>
          <w:bCs/>
          <w:sz w:val="32"/>
          <w:szCs w:val="32"/>
        </w:rPr>
        <w:t>CHOSEN COMPANY - IHG HOTELS &amp; RESORTS (INTERCONTINENTAL HOTELS GROUP</w:t>
      </w:r>
    </w:p>
    <w:p w14:paraId="23F345ED" w14:textId="77777777" w:rsidR="00ED00F8" w:rsidRDefault="00ED00F8" w:rsidP="00ED00F8">
      <w:pPr>
        <w:jc w:val="center"/>
        <w:rPr>
          <w:rFonts w:ascii="Arial" w:hAnsi="Arial" w:cs="Arial"/>
        </w:rPr>
      </w:pPr>
    </w:p>
    <w:p w14:paraId="284BA7F6" w14:textId="77777777" w:rsidR="00DE2CFB" w:rsidRPr="00DE2CFB" w:rsidRDefault="00DE2CFB" w:rsidP="00DE2CFB">
      <w:pPr>
        <w:jc w:val="center"/>
        <w:rPr>
          <w:rFonts w:ascii="Arial" w:hAnsi="Arial" w:cs="Arial"/>
        </w:rPr>
      </w:pPr>
      <w:r w:rsidRPr="00DE2CFB">
        <w:rPr>
          <w:rFonts w:ascii="Arial" w:hAnsi="Arial" w:cs="Arial"/>
        </w:rPr>
        <w:t>Student Name: Ankitaben Shaileshkumar Thakor</w:t>
      </w:r>
    </w:p>
    <w:p w14:paraId="6319BB64" w14:textId="79774F79" w:rsidR="00DE2CFB" w:rsidRDefault="00DE2CFB" w:rsidP="00DE2CFB">
      <w:pPr>
        <w:jc w:val="center"/>
        <w:rPr>
          <w:rFonts w:ascii="Arial" w:hAnsi="Arial" w:cs="Arial"/>
        </w:rPr>
      </w:pPr>
      <w:r w:rsidRPr="00DE2CFB">
        <w:rPr>
          <w:rFonts w:ascii="Arial" w:hAnsi="Arial" w:cs="Arial"/>
        </w:rPr>
        <w:t>Student ID: 2541590</w:t>
      </w:r>
    </w:p>
    <w:p w14:paraId="1B9AC2A5" w14:textId="2B81DFD1" w:rsidR="007E2DC1" w:rsidRDefault="007E2DC1" w:rsidP="00DE2CFB">
      <w:pPr>
        <w:jc w:val="center"/>
        <w:rPr>
          <w:rFonts w:ascii="Arial" w:hAnsi="Arial" w:cs="Arial"/>
        </w:rPr>
      </w:pPr>
      <w:r>
        <w:rPr>
          <w:rFonts w:ascii="Arial" w:hAnsi="Arial" w:cs="Arial"/>
        </w:rPr>
        <w:t xml:space="preserve">Program Name: </w:t>
      </w:r>
      <w:r w:rsidRPr="007E2DC1">
        <w:rPr>
          <w:rFonts w:ascii="Arial" w:hAnsi="Arial" w:cs="Arial"/>
        </w:rPr>
        <w:t>Master of Business Administration</w:t>
      </w:r>
    </w:p>
    <w:p w14:paraId="748EE2BC" w14:textId="6BE93B53" w:rsidR="007E2DC1" w:rsidRDefault="007E2DC1" w:rsidP="00DE2CFB">
      <w:pPr>
        <w:jc w:val="center"/>
        <w:rPr>
          <w:rFonts w:ascii="Arial" w:hAnsi="Arial" w:cs="Arial"/>
        </w:rPr>
      </w:pPr>
      <w:r>
        <w:rPr>
          <w:rFonts w:ascii="Arial" w:hAnsi="Arial" w:cs="Arial"/>
        </w:rPr>
        <w:t xml:space="preserve">Module Name and Code: </w:t>
      </w:r>
      <w:r w:rsidRPr="007E2DC1">
        <w:rPr>
          <w:rFonts w:ascii="Arial" w:hAnsi="Arial" w:cs="Arial"/>
        </w:rPr>
        <w:t>LCMB7002</w:t>
      </w:r>
      <w:r>
        <w:rPr>
          <w:rFonts w:ascii="Arial" w:hAnsi="Arial" w:cs="Arial"/>
        </w:rPr>
        <w:t xml:space="preserve"> </w:t>
      </w:r>
      <w:r w:rsidRPr="007E2DC1">
        <w:rPr>
          <w:rFonts w:ascii="Arial" w:hAnsi="Arial" w:cs="Arial"/>
        </w:rPr>
        <w:t xml:space="preserve">Financial Management </w:t>
      </w:r>
    </w:p>
    <w:p w14:paraId="75D960D2" w14:textId="18539ED1" w:rsidR="00DE2CFB" w:rsidRDefault="00DE2CFB" w:rsidP="00DE2CFB">
      <w:pPr>
        <w:jc w:val="center"/>
        <w:rPr>
          <w:rFonts w:ascii="Arial" w:hAnsi="Arial" w:cs="Arial"/>
        </w:rPr>
      </w:pPr>
      <w:r>
        <w:rPr>
          <w:rFonts w:ascii="Arial" w:hAnsi="Arial" w:cs="Arial"/>
        </w:rPr>
        <w:t>Words: 5464</w:t>
      </w:r>
    </w:p>
    <w:p w14:paraId="5002DDFA" w14:textId="5ADD2F8B" w:rsidR="00ED00F8" w:rsidRPr="00ED00F8" w:rsidRDefault="00ED00F8" w:rsidP="00ED00F8">
      <w:pPr>
        <w:jc w:val="center"/>
        <w:rPr>
          <w:rFonts w:ascii="Arial" w:hAnsi="Arial" w:cs="Arial"/>
        </w:rPr>
      </w:pPr>
      <w:r w:rsidRPr="00ED00F8">
        <w:rPr>
          <w:rFonts w:ascii="Arial" w:hAnsi="Arial" w:cs="Arial"/>
        </w:rPr>
        <w:t>Submission Date</w:t>
      </w:r>
      <w:r w:rsidR="00DE2CFB">
        <w:rPr>
          <w:rFonts w:ascii="Arial" w:hAnsi="Arial" w:cs="Arial"/>
        </w:rPr>
        <w:t>: 13/08/2026</w:t>
      </w:r>
      <w:r w:rsidRPr="00ED00F8">
        <w:rPr>
          <w:rFonts w:ascii="Arial" w:hAnsi="Arial" w:cs="Arial"/>
        </w:rPr>
        <w:br w:type="page"/>
      </w:r>
    </w:p>
    <w:sdt>
      <w:sdtPr>
        <w:rPr>
          <w:rFonts w:ascii="Arial" w:eastAsiaTheme="minorHAnsi" w:hAnsi="Arial" w:cs="Arial"/>
          <w:b/>
          <w:bCs/>
          <w:color w:val="000000" w:themeColor="text1"/>
          <w:sz w:val="28"/>
          <w:szCs w:val="28"/>
          <w:lang w:val="en-GB"/>
          <w14:ligatures w14:val="standardContextual"/>
        </w:rPr>
        <w:id w:val="1104311014"/>
        <w:docPartObj>
          <w:docPartGallery w:val="Table of Contents"/>
          <w:docPartUnique/>
        </w:docPartObj>
      </w:sdtPr>
      <w:sdtEndPr>
        <w:rPr>
          <w:noProof/>
          <w:sz w:val="24"/>
          <w:szCs w:val="24"/>
        </w:rPr>
      </w:sdtEndPr>
      <w:sdtContent>
        <w:p w14:paraId="6343FF2A" w14:textId="4B1933EA" w:rsidR="005F0E88" w:rsidRPr="005F0E88" w:rsidRDefault="005F0E88" w:rsidP="005F0E88">
          <w:pPr>
            <w:pStyle w:val="TOCHeading"/>
            <w:spacing w:before="0" w:line="360" w:lineRule="auto"/>
            <w:jc w:val="center"/>
            <w:rPr>
              <w:rFonts w:ascii="Arial" w:hAnsi="Arial" w:cs="Arial"/>
              <w:b/>
              <w:bCs/>
              <w:color w:val="000000" w:themeColor="text1"/>
              <w:sz w:val="28"/>
              <w:szCs w:val="28"/>
            </w:rPr>
          </w:pPr>
          <w:r w:rsidRPr="005F0E88">
            <w:rPr>
              <w:rFonts w:ascii="Arial" w:hAnsi="Arial" w:cs="Arial"/>
              <w:b/>
              <w:bCs/>
              <w:color w:val="000000" w:themeColor="text1"/>
              <w:sz w:val="28"/>
              <w:szCs w:val="28"/>
            </w:rPr>
            <w:t>Table of Contents</w:t>
          </w:r>
        </w:p>
        <w:p w14:paraId="1E03F806" w14:textId="1C3C6998" w:rsidR="005F0E88" w:rsidRPr="005F0E88" w:rsidRDefault="005F0E88" w:rsidP="005F0E88">
          <w:pPr>
            <w:pStyle w:val="TOC1"/>
            <w:tabs>
              <w:tab w:val="right" w:leader="dot" w:pos="9350"/>
            </w:tabs>
            <w:spacing w:after="0"/>
            <w:rPr>
              <w:rFonts w:ascii="Arial" w:hAnsi="Arial" w:cs="Arial"/>
              <w:noProof/>
            </w:rPr>
          </w:pPr>
          <w:r w:rsidRPr="005F0E88">
            <w:rPr>
              <w:rFonts w:ascii="Arial" w:hAnsi="Arial" w:cs="Arial"/>
            </w:rPr>
            <w:fldChar w:fldCharType="begin"/>
          </w:r>
          <w:r w:rsidRPr="005F0E88">
            <w:rPr>
              <w:rFonts w:ascii="Arial" w:hAnsi="Arial" w:cs="Arial"/>
            </w:rPr>
            <w:instrText xml:space="preserve"> TOC \o "1-3" \h \z \u </w:instrText>
          </w:r>
          <w:r w:rsidRPr="005F0E88">
            <w:rPr>
              <w:rFonts w:ascii="Arial" w:hAnsi="Arial" w:cs="Arial"/>
            </w:rPr>
            <w:fldChar w:fldCharType="separate"/>
          </w:r>
          <w:hyperlink w:anchor="_Toc237529826" w:history="1">
            <w:r w:rsidRPr="005F0E88">
              <w:rPr>
                <w:rStyle w:val="Hyperlink"/>
                <w:rFonts w:ascii="Arial" w:hAnsi="Arial" w:cs="Arial"/>
                <w:noProof/>
                <w:color w:val="000000" w:themeColor="text1"/>
              </w:rPr>
              <w:t>1. Introduction</w:t>
            </w:r>
            <w:r w:rsidRPr="005F0E88">
              <w:rPr>
                <w:rFonts w:ascii="Arial" w:hAnsi="Arial" w:cs="Arial"/>
                <w:noProof/>
                <w:webHidden/>
              </w:rPr>
              <w:tab/>
            </w:r>
            <w:r w:rsidRPr="005F0E88">
              <w:rPr>
                <w:rFonts w:ascii="Arial" w:hAnsi="Arial" w:cs="Arial"/>
                <w:noProof/>
                <w:webHidden/>
              </w:rPr>
              <w:fldChar w:fldCharType="begin"/>
            </w:r>
            <w:r w:rsidRPr="005F0E88">
              <w:rPr>
                <w:rFonts w:ascii="Arial" w:hAnsi="Arial" w:cs="Arial"/>
                <w:noProof/>
                <w:webHidden/>
              </w:rPr>
              <w:instrText xml:space="preserve"> PAGEREF _Toc237529826 \h </w:instrText>
            </w:r>
            <w:r w:rsidRPr="005F0E88">
              <w:rPr>
                <w:rFonts w:ascii="Arial" w:hAnsi="Arial" w:cs="Arial"/>
                <w:noProof/>
                <w:webHidden/>
              </w:rPr>
            </w:r>
            <w:r w:rsidRPr="005F0E88">
              <w:rPr>
                <w:rFonts w:ascii="Arial" w:hAnsi="Arial" w:cs="Arial"/>
                <w:noProof/>
                <w:webHidden/>
              </w:rPr>
              <w:fldChar w:fldCharType="separate"/>
            </w:r>
            <w:r w:rsidR="00C27BD5">
              <w:rPr>
                <w:rFonts w:ascii="Arial" w:hAnsi="Arial" w:cs="Arial"/>
                <w:noProof/>
                <w:webHidden/>
              </w:rPr>
              <w:t>3</w:t>
            </w:r>
            <w:r w:rsidRPr="005F0E88">
              <w:rPr>
                <w:rFonts w:ascii="Arial" w:hAnsi="Arial" w:cs="Arial"/>
                <w:noProof/>
                <w:webHidden/>
              </w:rPr>
              <w:fldChar w:fldCharType="end"/>
            </w:r>
          </w:hyperlink>
        </w:p>
        <w:p w14:paraId="194EBFD2" w14:textId="56AA2661" w:rsidR="005F0E88" w:rsidRPr="005F0E88" w:rsidRDefault="00000000" w:rsidP="005F0E88">
          <w:pPr>
            <w:pStyle w:val="TOC1"/>
            <w:tabs>
              <w:tab w:val="right" w:leader="dot" w:pos="9350"/>
            </w:tabs>
            <w:spacing w:after="0"/>
            <w:rPr>
              <w:rFonts w:ascii="Arial" w:hAnsi="Arial" w:cs="Arial"/>
              <w:noProof/>
            </w:rPr>
          </w:pPr>
          <w:hyperlink w:anchor="_Toc237529827" w:history="1">
            <w:r w:rsidR="005F0E88" w:rsidRPr="005F0E88">
              <w:rPr>
                <w:rStyle w:val="Hyperlink"/>
                <w:rFonts w:ascii="Arial" w:hAnsi="Arial" w:cs="Arial"/>
                <w:noProof/>
                <w:color w:val="000000" w:themeColor="text1"/>
              </w:rPr>
              <w:t>2. Financial Health Check</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_Toc237529827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3</w:t>
            </w:r>
            <w:r w:rsidR="005F0E88" w:rsidRPr="005F0E88">
              <w:rPr>
                <w:rFonts w:ascii="Arial" w:hAnsi="Arial" w:cs="Arial"/>
                <w:noProof/>
                <w:webHidden/>
              </w:rPr>
              <w:fldChar w:fldCharType="end"/>
            </w:r>
          </w:hyperlink>
        </w:p>
        <w:p w14:paraId="7D219342" w14:textId="0960322C" w:rsidR="005F0E88" w:rsidRPr="005F0E88" w:rsidRDefault="00000000" w:rsidP="005F0E88">
          <w:pPr>
            <w:pStyle w:val="TOC2"/>
            <w:tabs>
              <w:tab w:val="right" w:leader="dot" w:pos="9350"/>
            </w:tabs>
            <w:spacing w:after="0"/>
            <w:rPr>
              <w:rFonts w:ascii="Arial" w:hAnsi="Arial" w:cs="Arial"/>
              <w:noProof/>
            </w:rPr>
          </w:pPr>
          <w:hyperlink w:anchor="_Toc237529828" w:history="1">
            <w:r w:rsidR="005F0E88" w:rsidRPr="005F0E88">
              <w:rPr>
                <w:rStyle w:val="Hyperlink"/>
                <w:rFonts w:ascii="Arial" w:hAnsi="Arial" w:cs="Arial"/>
                <w:noProof/>
                <w:color w:val="000000" w:themeColor="text1"/>
              </w:rPr>
              <w:t>2.1 Five-year revenue and profitability performance</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_Toc237529828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3</w:t>
            </w:r>
            <w:r w:rsidR="005F0E88" w:rsidRPr="005F0E88">
              <w:rPr>
                <w:rFonts w:ascii="Arial" w:hAnsi="Arial" w:cs="Arial"/>
                <w:noProof/>
                <w:webHidden/>
              </w:rPr>
              <w:fldChar w:fldCharType="end"/>
            </w:r>
          </w:hyperlink>
        </w:p>
        <w:p w14:paraId="0C1B3F1E" w14:textId="7EED5370" w:rsidR="005F0E88" w:rsidRPr="005F0E88" w:rsidRDefault="00000000" w:rsidP="005F0E88">
          <w:pPr>
            <w:pStyle w:val="TOC2"/>
            <w:tabs>
              <w:tab w:val="right" w:leader="dot" w:pos="9350"/>
            </w:tabs>
            <w:spacing w:after="0"/>
            <w:rPr>
              <w:rFonts w:ascii="Arial" w:hAnsi="Arial" w:cs="Arial"/>
              <w:noProof/>
            </w:rPr>
          </w:pPr>
          <w:hyperlink w:anchor="_Toc237529829" w:history="1">
            <w:r w:rsidR="005F0E88" w:rsidRPr="005F0E88">
              <w:rPr>
                <w:rStyle w:val="Hyperlink"/>
                <w:rFonts w:ascii="Arial" w:hAnsi="Arial" w:cs="Arial"/>
                <w:noProof/>
                <w:color w:val="000000" w:themeColor="text1"/>
              </w:rPr>
              <w:t>2.2 Liquidity and short-term financial capacity</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_Toc237529829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5</w:t>
            </w:r>
            <w:r w:rsidR="005F0E88" w:rsidRPr="005F0E88">
              <w:rPr>
                <w:rFonts w:ascii="Arial" w:hAnsi="Arial" w:cs="Arial"/>
                <w:noProof/>
                <w:webHidden/>
              </w:rPr>
              <w:fldChar w:fldCharType="end"/>
            </w:r>
          </w:hyperlink>
        </w:p>
        <w:p w14:paraId="0C512A5C" w14:textId="2DE8DD28" w:rsidR="005F0E88" w:rsidRPr="005F0E88" w:rsidRDefault="00000000" w:rsidP="005F0E88">
          <w:pPr>
            <w:pStyle w:val="TOC2"/>
            <w:tabs>
              <w:tab w:val="right" w:leader="dot" w:pos="9350"/>
            </w:tabs>
            <w:spacing w:after="0"/>
            <w:rPr>
              <w:rFonts w:ascii="Arial" w:hAnsi="Arial" w:cs="Arial"/>
              <w:noProof/>
            </w:rPr>
          </w:pPr>
          <w:hyperlink w:anchor="_Toc237529830" w:history="1">
            <w:r w:rsidR="005F0E88" w:rsidRPr="005F0E88">
              <w:rPr>
                <w:rStyle w:val="Hyperlink"/>
                <w:rFonts w:ascii="Arial" w:hAnsi="Arial" w:cs="Arial"/>
                <w:noProof/>
                <w:color w:val="000000" w:themeColor="text1"/>
              </w:rPr>
              <w:t>2.3 Operating efficiency and cash generation</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_Toc237529830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6</w:t>
            </w:r>
            <w:r w:rsidR="005F0E88" w:rsidRPr="005F0E88">
              <w:rPr>
                <w:rFonts w:ascii="Arial" w:hAnsi="Arial" w:cs="Arial"/>
                <w:noProof/>
                <w:webHidden/>
              </w:rPr>
              <w:fldChar w:fldCharType="end"/>
            </w:r>
          </w:hyperlink>
        </w:p>
        <w:p w14:paraId="20D2B156" w14:textId="16F68BB4" w:rsidR="005F0E88" w:rsidRPr="005F0E88" w:rsidRDefault="00000000" w:rsidP="005F0E88">
          <w:pPr>
            <w:pStyle w:val="TOC2"/>
            <w:tabs>
              <w:tab w:val="right" w:leader="dot" w:pos="9350"/>
            </w:tabs>
            <w:spacing w:after="0"/>
            <w:rPr>
              <w:rFonts w:ascii="Arial" w:hAnsi="Arial" w:cs="Arial"/>
              <w:noProof/>
            </w:rPr>
          </w:pPr>
          <w:hyperlink w:anchor="_Toc237529831" w:history="1">
            <w:r w:rsidR="005F0E88" w:rsidRPr="005F0E88">
              <w:rPr>
                <w:rStyle w:val="Hyperlink"/>
                <w:rFonts w:ascii="Arial" w:hAnsi="Arial" w:cs="Arial"/>
                <w:noProof/>
                <w:color w:val="000000" w:themeColor="text1"/>
              </w:rPr>
              <w:t>2.4 Gearing, shareholder returns and financial risk</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_Toc237529831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7</w:t>
            </w:r>
            <w:r w:rsidR="005F0E88" w:rsidRPr="005F0E88">
              <w:rPr>
                <w:rFonts w:ascii="Arial" w:hAnsi="Arial" w:cs="Arial"/>
                <w:noProof/>
                <w:webHidden/>
              </w:rPr>
              <w:fldChar w:fldCharType="end"/>
            </w:r>
          </w:hyperlink>
        </w:p>
        <w:p w14:paraId="4DEA06A2" w14:textId="1FB8D9A6" w:rsidR="005F0E88" w:rsidRPr="005F0E88" w:rsidRDefault="00000000" w:rsidP="005F0E88">
          <w:pPr>
            <w:pStyle w:val="TOC2"/>
            <w:tabs>
              <w:tab w:val="right" w:leader="dot" w:pos="9350"/>
            </w:tabs>
            <w:spacing w:after="0"/>
            <w:rPr>
              <w:rFonts w:ascii="Arial" w:hAnsi="Arial" w:cs="Arial"/>
              <w:noProof/>
            </w:rPr>
          </w:pPr>
          <w:hyperlink w:anchor="_Toc237529832" w:history="1">
            <w:r w:rsidR="005F0E88" w:rsidRPr="005F0E88">
              <w:rPr>
                <w:rStyle w:val="Hyperlink"/>
                <w:rFonts w:ascii="Arial" w:hAnsi="Arial" w:cs="Arial"/>
                <w:noProof/>
                <w:color w:val="000000" w:themeColor="text1"/>
              </w:rPr>
              <w:t>2.5 Overall financial diagnosis</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_Toc237529832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7</w:t>
            </w:r>
            <w:r w:rsidR="005F0E88" w:rsidRPr="005F0E88">
              <w:rPr>
                <w:rFonts w:ascii="Arial" w:hAnsi="Arial" w:cs="Arial"/>
                <w:noProof/>
                <w:webHidden/>
              </w:rPr>
              <w:fldChar w:fldCharType="end"/>
            </w:r>
          </w:hyperlink>
        </w:p>
        <w:p w14:paraId="260D5F40" w14:textId="52FA9254" w:rsidR="005F0E88" w:rsidRPr="005F0E88" w:rsidRDefault="00000000" w:rsidP="005F0E88">
          <w:pPr>
            <w:pStyle w:val="TOC1"/>
            <w:tabs>
              <w:tab w:val="right" w:leader="dot" w:pos="9350"/>
            </w:tabs>
            <w:spacing w:after="0"/>
            <w:rPr>
              <w:rFonts w:ascii="Arial" w:hAnsi="Arial" w:cs="Arial"/>
              <w:noProof/>
            </w:rPr>
          </w:pPr>
          <w:hyperlink w:anchor="_Toc237529833" w:history="1">
            <w:r w:rsidR="005F0E88" w:rsidRPr="005F0E88">
              <w:rPr>
                <w:rStyle w:val="Hyperlink"/>
                <w:rFonts w:ascii="Arial" w:hAnsi="Arial" w:cs="Arial"/>
                <w:noProof/>
                <w:color w:val="000000" w:themeColor="text1"/>
              </w:rPr>
              <w:t>3. Working Capital Management Analysis</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_Toc237529833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8</w:t>
            </w:r>
            <w:r w:rsidR="005F0E88" w:rsidRPr="005F0E88">
              <w:rPr>
                <w:rFonts w:ascii="Arial" w:hAnsi="Arial" w:cs="Arial"/>
                <w:noProof/>
                <w:webHidden/>
              </w:rPr>
              <w:fldChar w:fldCharType="end"/>
            </w:r>
          </w:hyperlink>
        </w:p>
        <w:p w14:paraId="6A0BF164" w14:textId="4C6D8782" w:rsidR="005F0E88" w:rsidRPr="005F0E88" w:rsidRDefault="00000000" w:rsidP="005F0E88">
          <w:pPr>
            <w:pStyle w:val="TOC2"/>
            <w:tabs>
              <w:tab w:val="right" w:leader="dot" w:pos="9350"/>
            </w:tabs>
            <w:spacing w:after="0"/>
            <w:rPr>
              <w:rFonts w:ascii="Arial" w:hAnsi="Arial" w:cs="Arial"/>
              <w:noProof/>
            </w:rPr>
          </w:pPr>
          <w:hyperlink w:anchor="_Toc237529834" w:history="1">
            <w:r w:rsidR="005F0E88" w:rsidRPr="005F0E88">
              <w:rPr>
                <w:rStyle w:val="Hyperlink"/>
                <w:rFonts w:ascii="Arial" w:hAnsi="Arial" w:cs="Arial"/>
                <w:noProof/>
                <w:color w:val="000000" w:themeColor="text1"/>
              </w:rPr>
              <w:t>3.1 Cash operating cycle</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_Toc237529834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8</w:t>
            </w:r>
            <w:r w:rsidR="005F0E88" w:rsidRPr="005F0E88">
              <w:rPr>
                <w:rFonts w:ascii="Arial" w:hAnsi="Arial" w:cs="Arial"/>
                <w:noProof/>
                <w:webHidden/>
              </w:rPr>
              <w:fldChar w:fldCharType="end"/>
            </w:r>
          </w:hyperlink>
        </w:p>
        <w:p w14:paraId="67386CAE" w14:textId="57F9D629" w:rsidR="005F0E88" w:rsidRPr="005F0E88" w:rsidRDefault="00000000" w:rsidP="005F0E88">
          <w:pPr>
            <w:pStyle w:val="TOC2"/>
            <w:tabs>
              <w:tab w:val="right" w:leader="dot" w:pos="9350"/>
            </w:tabs>
            <w:spacing w:after="0"/>
            <w:rPr>
              <w:rFonts w:ascii="Arial" w:hAnsi="Arial" w:cs="Arial"/>
              <w:noProof/>
            </w:rPr>
          </w:pPr>
          <w:hyperlink w:anchor="_Toc237529835" w:history="1">
            <w:r w:rsidR="005F0E88" w:rsidRPr="005F0E88">
              <w:rPr>
                <w:rStyle w:val="Hyperlink"/>
                <w:rFonts w:ascii="Arial" w:hAnsi="Arial" w:cs="Arial"/>
                <w:noProof/>
                <w:color w:val="000000" w:themeColor="text1"/>
              </w:rPr>
              <w:t>3.2 Working-capital reforms</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_Toc237529835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9</w:t>
            </w:r>
            <w:r w:rsidR="005F0E88" w:rsidRPr="005F0E88">
              <w:rPr>
                <w:rFonts w:ascii="Arial" w:hAnsi="Arial" w:cs="Arial"/>
                <w:noProof/>
                <w:webHidden/>
              </w:rPr>
              <w:fldChar w:fldCharType="end"/>
            </w:r>
          </w:hyperlink>
        </w:p>
        <w:p w14:paraId="7AAE49DE" w14:textId="73F87DCF" w:rsidR="005F0E88" w:rsidRPr="005F0E88" w:rsidRDefault="00000000" w:rsidP="005F0E88">
          <w:pPr>
            <w:pStyle w:val="TOC2"/>
            <w:tabs>
              <w:tab w:val="right" w:leader="dot" w:pos="9350"/>
            </w:tabs>
            <w:spacing w:after="0"/>
            <w:rPr>
              <w:rFonts w:ascii="Arial" w:hAnsi="Arial" w:cs="Arial"/>
              <w:noProof/>
            </w:rPr>
          </w:pPr>
          <w:hyperlink w:anchor="_Toc237529836" w:history="1">
            <w:r w:rsidR="005F0E88" w:rsidRPr="005F0E88">
              <w:rPr>
                <w:rStyle w:val="Hyperlink"/>
                <w:rFonts w:ascii="Arial" w:hAnsi="Arial" w:cs="Arial"/>
                <w:noProof/>
                <w:color w:val="000000" w:themeColor="text1"/>
              </w:rPr>
              <w:t>3.3 Short-term versus long-term financing</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_Toc237529836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10</w:t>
            </w:r>
            <w:r w:rsidR="005F0E88" w:rsidRPr="005F0E88">
              <w:rPr>
                <w:rFonts w:ascii="Arial" w:hAnsi="Arial" w:cs="Arial"/>
                <w:noProof/>
                <w:webHidden/>
              </w:rPr>
              <w:fldChar w:fldCharType="end"/>
            </w:r>
          </w:hyperlink>
        </w:p>
        <w:p w14:paraId="0B54B0C1" w14:textId="479A3E68" w:rsidR="005F0E88" w:rsidRPr="005F0E88" w:rsidRDefault="00000000" w:rsidP="005F0E88">
          <w:pPr>
            <w:pStyle w:val="TOC1"/>
            <w:tabs>
              <w:tab w:val="right" w:leader="dot" w:pos="9350"/>
            </w:tabs>
            <w:spacing w:after="0"/>
            <w:rPr>
              <w:rFonts w:ascii="Arial" w:hAnsi="Arial" w:cs="Arial"/>
              <w:noProof/>
            </w:rPr>
          </w:pPr>
          <w:hyperlink w:anchor="_Toc237529837" w:history="1">
            <w:r w:rsidR="005F0E88" w:rsidRPr="005F0E88">
              <w:rPr>
                <w:rStyle w:val="Hyperlink"/>
                <w:rFonts w:ascii="Arial" w:hAnsi="Arial" w:cs="Arial"/>
                <w:noProof/>
                <w:color w:val="000000" w:themeColor="text1"/>
              </w:rPr>
              <w:t>4. Strategic Financial Restructuring Plan</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_Toc237529837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10</w:t>
            </w:r>
            <w:r w:rsidR="005F0E88" w:rsidRPr="005F0E88">
              <w:rPr>
                <w:rFonts w:ascii="Arial" w:hAnsi="Arial" w:cs="Arial"/>
                <w:noProof/>
                <w:webHidden/>
              </w:rPr>
              <w:fldChar w:fldCharType="end"/>
            </w:r>
          </w:hyperlink>
        </w:p>
        <w:p w14:paraId="4B0D8D31" w14:textId="07E4BA27" w:rsidR="005F0E88" w:rsidRPr="005F0E88" w:rsidRDefault="00000000" w:rsidP="005F0E88">
          <w:pPr>
            <w:pStyle w:val="TOC2"/>
            <w:tabs>
              <w:tab w:val="right" w:leader="dot" w:pos="9350"/>
            </w:tabs>
            <w:spacing w:after="0"/>
            <w:rPr>
              <w:rFonts w:ascii="Arial" w:hAnsi="Arial" w:cs="Arial"/>
              <w:noProof/>
            </w:rPr>
          </w:pPr>
          <w:hyperlink w:anchor="_Toc237529838" w:history="1">
            <w:r w:rsidR="005F0E88" w:rsidRPr="005F0E88">
              <w:rPr>
                <w:rStyle w:val="Hyperlink"/>
                <w:rFonts w:ascii="Arial" w:hAnsi="Arial" w:cs="Arial"/>
                <w:noProof/>
                <w:color w:val="000000" w:themeColor="text1"/>
              </w:rPr>
              <w:t>4.1 Capital structure and shareholder distributions</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_Toc237529838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10</w:t>
            </w:r>
            <w:r w:rsidR="005F0E88" w:rsidRPr="005F0E88">
              <w:rPr>
                <w:rFonts w:ascii="Arial" w:hAnsi="Arial" w:cs="Arial"/>
                <w:noProof/>
                <w:webHidden/>
              </w:rPr>
              <w:fldChar w:fldCharType="end"/>
            </w:r>
          </w:hyperlink>
        </w:p>
        <w:p w14:paraId="61EE69AA" w14:textId="062D02F9" w:rsidR="005F0E88" w:rsidRPr="005F0E88" w:rsidRDefault="00000000" w:rsidP="005F0E88">
          <w:pPr>
            <w:pStyle w:val="TOC2"/>
            <w:tabs>
              <w:tab w:val="right" w:leader="dot" w:pos="9350"/>
            </w:tabs>
            <w:spacing w:after="0"/>
            <w:rPr>
              <w:rFonts w:ascii="Arial" w:hAnsi="Arial" w:cs="Arial"/>
              <w:noProof/>
            </w:rPr>
          </w:pPr>
          <w:hyperlink w:anchor="_Toc237529839" w:history="1">
            <w:r w:rsidR="005F0E88" w:rsidRPr="005F0E88">
              <w:rPr>
                <w:rStyle w:val="Hyperlink"/>
                <w:rFonts w:ascii="Arial" w:hAnsi="Arial" w:cs="Arial"/>
                <w:noProof/>
                <w:color w:val="000000" w:themeColor="text1"/>
              </w:rPr>
              <w:t>4.2 International financial risks</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_Toc237529839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11</w:t>
            </w:r>
            <w:r w:rsidR="005F0E88" w:rsidRPr="005F0E88">
              <w:rPr>
                <w:rFonts w:ascii="Arial" w:hAnsi="Arial" w:cs="Arial"/>
                <w:noProof/>
                <w:webHidden/>
              </w:rPr>
              <w:fldChar w:fldCharType="end"/>
            </w:r>
          </w:hyperlink>
        </w:p>
        <w:p w14:paraId="125888EF" w14:textId="7A1FD12F" w:rsidR="005F0E88" w:rsidRPr="005F0E88" w:rsidRDefault="00000000" w:rsidP="005F0E88">
          <w:pPr>
            <w:pStyle w:val="TOC2"/>
            <w:tabs>
              <w:tab w:val="right" w:leader="dot" w:pos="9350"/>
            </w:tabs>
            <w:spacing w:after="0"/>
            <w:rPr>
              <w:rFonts w:ascii="Arial" w:hAnsi="Arial" w:cs="Arial"/>
              <w:noProof/>
            </w:rPr>
          </w:pPr>
          <w:hyperlink w:anchor="_Toc237529840" w:history="1">
            <w:r w:rsidR="005F0E88" w:rsidRPr="005F0E88">
              <w:rPr>
                <w:rStyle w:val="Hyperlink"/>
                <w:rFonts w:ascii="Arial" w:hAnsi="Arial" w:cs="Arial"/>
                <w:noProof/>
                <w:color w:val="000000" w:themeColor="text1"/>
              </w:rPr>
              <w:t>4.3 ESG and ethical restructuring</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_Toc237529840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11</w:t>
            </w:r>
            <w:r w:rsidR="005F0E88" w:rsidRPr="005F0E88">
              <w:rPr>
                <w:rFonts w:ascii="Arial" w:hAnsi="Arial" w:cs="Arial"/>
                <w:noProof/>
                <w:webHidden/>
              </w:rPr>
              <w:fldChar w:fldCharType="end"/>
            </w:r>
          </w:hyperlink>
        </w:p>
        <w:p w14:paraId="6989FB0F" w14:textId="38A5E06C" w:rsidR="005F0E88" w:rsidRPr="005F0E88" w:rsidRDefault="00000000" w:rsidP="005F0E88">
          <w:pPr>
            <w:pStyle w:val="TOC1"/>
            <w:tabs>
              <w:tab w:val="right" w:leader="dot" w:pos="9350"/>
            </w:tabs>
            <w:spacing w:after="0"/>
            <w:rPr>
              <w:rFonts w:ascii="Arial" w:hAnsi="Arial" w:cs="Arial"/>
              <w:noProof/>
            </w:rPr>
          </w:pPr>
          <w:hyperlink w:anchor="_Toc237529841" w:history="1">
            <w:r w:rsidR="005F0E88" w:rsidRPr="005F0E88">
              <w:rPr>
                <w:rStyle w:val="Hyperlink"/>
                <w:rFonts w:ascii="Arial" w:hAnsi="Arial" w:cs="Arial"/>
                <w:noProof/>
                <w:color w:val="000000" w:themeColor="text1"/>
              </w:rPr>
              <w:t>5. Investment Appraisal and Capital Budgeting</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_Toc237529841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12</w:t>
            </w:r>
            <w:r w:rsidR="005F0E88" w:rsidRPr="005F0E88">
              <w:rPr>
                <w:rFonts w:ascii="Arial" w:hAnsi="Arial" w:cs="Arial"/>
                <w:noProof/>
                <w:webHidden/>
              </w:rPr>
              <w:fldChar w:fldCharType="end"/>
            </w:r>
          </w:hyperlink>
        </w:p>
        <w:p w14:paraId="6D715E2A" w14:textId="53B73946" w:rsidR="005F0E88" w:rsidRPr="005F0E88" w:rsidRDefault="00000000" w:rsidP="005F0E88">
          <w:pPr>
            <w:pStyle w:val="TOC2"/>
            <w:tabs>
              <w:tab w:val="right" w:leader="dot" w:pos="9350"/>
            </w:tabs>
            <w:spacing w:after="0"/>
            <w:rPr>
              <w:rFonts w:ascii="Arial" w:hAnsi="Arial" w:cs="Arial"/>
              <w:noProof/>
            </w:rPr>
          </w:pPr>
          <w:hyperlink w:anchor="_Toc237529842" w:history="1">
            <w:r w:rsidR="005F0E88" w:rsidRPr="005F0E88">
              <w:rPr>
                <w:rStyle w:val="Hyperlink"/>
                <w:rFonts w:ascii="Arial" w:hAnsi="Arial" w:cs="Arial"/>
                <w:noProof/>
                <w:color w:val="000000" w:themeColor="text1"/>
              </w:rPr>
              <w:t>5.1 Comparative appraisal of Projects A, B and C</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_Toc237529842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12</w:t>
            </w:r>
            <w:r w:rsidR="005F0E88" w:rsidRPr="005F0E88">
              <w:rPr>
                <w:rFonts w:ascii="Arial" w:hAnsi="Arial" w:cs="Arial"/>
                <w:noProof/>
                <w:webHidden/>
              </w:rPr>
              <w:fldChar w:fldCharType="end"/>
            </w:r>
          </w:hyperlink>
        </w:p>
        <w:p w14:paraId="31366ACB" w14:textId="70AEA1C3" w:rsidR="005F0E88" w:rsidRPr="005F0E88" w:rsidRDefault="00000000" w:rsidP="005F0E88">
          <w:pPr>
            <w:pStyle w:val="TOC2"/>
            <w:tabs>
              <w:tab w:val="right" w:leader="dot" w:pos="9350"/>
            </w:tabs>
            <w:spacing w:after="0"/>
            <w:rPr>
              <w:rFonts w:ascii="Arial" w:hAnsi="Arial" w:cs="Arial"/>
              <w:noProof/>
            </w:rPr>
          </w:pPr>
          <w:hyperlink w:anchor="_Toc237529843" w:history="1">
            <w:r w:rsidR="005F0E88" w:rsidRPr="005F0E88">
              <w:rPr>
                <w:rStyle w:val="Hyperlink"/>
                <w:rFonts w:ascii="Arial" w:hAnsi="Arial" w:cs="Arial"/>
                <w:noProof/>
                <w:color w:val="000000" w:themeColor="text1"/>
              </w:rPr>
              <w:t>5.2 Financial and non-financial recommendation</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_Toc237529843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15</w:t>
            </w:r>
            <w:r w:rsidR="005F0E88" w:rsidRPr="005F0E88">
              <w:rPr>
                <w:rFonts w:ascii="Arial" w:hAnsi="Arial" w:cs="Arial"/>
                <w:noProof/>
                <w:webHidden/>
              </w:rPr>
              <w:fldChar w:fldCharType="end"/>
            </w:r>
          </w:hyperlink>
        </w:p>
        <w:p w14:paraId="0FABB934" w14:textId="400E959D" w:rsidR="005F0E88" w:rsidRPr="005F0E88" w:rsidRDefault="00000000" w:rsidP="005F0E88">
          <w:pPr>
            <w:pStyle w:val="TOC2"/>
            <w:tabs>
              <w:tab w:val="right" w:leader="dot" w:pos="9350"/>
            </w:tabs>
            <w:spacing w:after="0"/>
            <w:rPr>
              <w:rFonts w:ascii="Arial" w:hAnsi="Arial" w:cs="Arial"/>
              <w:noProof/>
            </w:rPr>
          </w:pPr>
          <w:hyperlink w:anchor="_Toc237529844" w:history="1">
            <w:r w:rsidR="005F0E88" w:rsidRPr="005F0E88">
              <w:rPr>
                <w:rStyle w:val="Hyperlink"/>
                <w:rFonts w:ascii="Arial" w:hAnsi="Arial" w:cs="Arial"/>
                <w:noProof/>
                <w:color w:val="000000" w:themeColor="text1"/>
              </w:rPr>
              <w:t>5.3 Capital rationing under the £100 million ceiling</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_Toc237529844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16</w:t>
            </w:r>
            <w:r w:rsidR="005F0E88" w:rsidRPr="005F0E88">
              <w:rPr>
                <w:rFonts w:ascii="Arial" w:hAnsi="Arial" w:cs="Arial"/>
                <w:noProof/>
                <w:webHidden/>
              </w:rPr>
              <w:fldChar w:fldCharType="end"/>
            </w:r>
          </w:hyperlink>
        </w:p>
        <w:p w14:paraId="49ECAFFF" w14:textId="155BDF9B" w:rsidR="005F0E88" w:rsidRPr="005F0E88" w:rsidRDefault="00000000" w:rsidP="005F0E88">
          <w:pPr>
            <w:pStyle w:val="TOC1"/>
            <w:tabs>
              <w:tab w:val="right" w:leader="dot" w:pos="9350"/>
            </w:tabs>
            <w:spacing w:after="0"/>
            <w:rPr>
              <w:rFonts w:ascii="Arial" w:hAnsi="Arial" w:cs="Arial"/>
              <w:noProof/>
            </w:rPr>
          </w:pPr>
          <w:hyperlink w:anchor="_Toc237529845" w:history="1">
            <w:r w:rsidR="005F0E88" w:rsidRPr="005F0E88">
              <w:rPr>
                <w:rStyle w:val="Hyperlink"/>
                <w:rFonts w:ascii="Arial" w:hAnsi="Arial" w:cs="Arial"/>
                <w:noProof/>
                <w:color w:val="000000" w:themeColor="text1"/>
              </w:rPr>
              <w:t>6. Critical Reflection on AI Usage</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_Toc237529845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17</w:t>
            </w:r>
            <w:r w:rsidR="005F0E88" w:rsidRPr="005F0E88">
              <w:rPr>
                <w:rFonts w:ascii="Arial" w:hAnsi="Arial" w:cs="Arial"/>
                <w:noProof/>
                <w:webHidden/>
              </w:rPr>
              <w:fldChar w:fldCharType="end"/>
            </w:r>
          </w:hyperlink>
        </w:p>
        <w:p w14:paraId="182894A5" w14:textId="47505380" w:rsidR="005F0E88" w:rsidRPr="005F0E88" w:rsidRDefault="00000000" w:rsidP="005F0E88">
          <w:pPr>
            <w:pStyle w:val="TOC2"/>
            <w:tabs>
              <w:tab w:val="right" w:leader="dot" w:pos="9350"/>
            </w:tabs>
            <w:spacing w:after="0"/>
            <w:rPr>
              <w:rFonts w:ascii="Arial" w:hAnsi="Arial" w:cs="Arial"/>
              <w:noProof/>
            </w:rPr>
          </w:pPr>
          <w:hyperlink w:anchor="_Toc237529846" w:history="1">
            <w:r w:rsidR="005F0E88" w:rsidRPr="005F0E88">
              <w:rPr>
                <w:rStyle w:val="Hyperlink"/>
                <w:rFonts w:ascii="Arial" w:hAnsi="Arial" w:cs="Arial"/>
                <w:noProof/>
                <w:color w:val="000000" w:themeColor="text1"/>
              </w:rPr>
              <w:t>6.1 Tool disclosure and verification</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_Toc237529846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17</w:t>
            </w:r>
            <w:r w:rsidR="005F0E88" w:rsidRPr="005F0E88">
              <w:rPr>
                <w:rFonts w:ascii="Arial" w:hAnsi="Arial" w:cs="Arial"/>
                <w:noProof/>
                <w:webHidden/>
              </w:rPr>
              <w:fldChar w:fldCharType="end"/>
            </w:r>
          </w:hyperlink>
        </w:p>
        <w:p w14:paraId="67DB2A99" w14:textId="6F72F7AB" w:rsidR="005F0E88" w:rsidRPr="005F0E88" w:rsidRDefault="00000000" w:rsidP="005F0E88">
          <w:pPr>
            <w:pStyle w:val="TOC2"/>
            <w:tabs>
              <w:tab w:val="right" w:leader="dot" w:pos="9350"/>
            </w:tabs>
            <w:spacing w:after="0"/>
            <w:rPr>
              <w:rFonts w:ascii="Arial" w:hAnsi="Arial" w:cs="Arial"/>
              <w:noProof/>
            </w:rPr>
          </w:pPr>
          <w:hyperlink w:anchor="_Toc237529847" w:history="1">
            <w:r w:rsidR="005F0E88" w:rsidRPr="005F0E88">
              <w:rPr>
                <w:rStyle w:val="Hyperlink"/>
                <w:rFonts w:ascii="Arial" w:hAnsi="Arial" w:cs="Arial"/>
                <w:noProof/>
                <w:color w:val="000000" w:themeColor="text1"/>
              </w:rPr>
              <w:t>6.2 Contribution, ethics and professional judgement</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_Toc237529847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18</w:t>
            </w:r>
            <w:r w:rsidR="005F0E88" w:rsidRPr="005F0E88">
              <w:rPr>
                <w:rFonts w:ascii="Arial" w:hAnsi="Arial" w:cs="Arial"/>
                <w:noProof/>
                <w:webHidden/>
              </w:rPr>
              <w:fldChar w:fldCharType="end"/>
            </w:r>
          </w:hyperlink>
        </w:p>
        <w:p w14:paraId="5DFE134F" w14:textId="5EDC4CC2" w:rsidR="005F0E88" w:rsidRPr="005F0E88" w:rsidRDefault="00000000" w:rsidP="005F0E88">
          <w:pPr>
            <w:pStyle w:val="TOC1"/>
            <w:tabs>
              <w:tab w:val="right" w:leader="dot" w:pos="9350"/>
            </w:tabs>
            <w:spacing w:after="0"/>
            <w:rPr>
              <w:rFonts w:ascii="Arial" w:hAnsi="Arial" w:cs="Arial"/>
              <w:noProof/>
            </w:rPr>
          </w:pPr>
          <w:hyperlink w:anchor="_Toc237529848" w:history="1">
            <w:r w:rsidR="005F0E88" w:rsidRPr="005F0E88">
              <w:rPr>
                <w:rStyle w:val="Hyperlink"/>
                <w:rFonts w:ascii="Arial" w:hAnsi="Arial" w:cs="Arial"/>
                <w:noProof/>
                <w:color w:val="000000" w:themeColor="text1"/>
              </w:rPr>
              <w:t>7. Conclusion</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_Toc237529848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19</w:t>
            </w:r>
            <w:r w:rsidR="005F0E88" w:rsidRPr="005F0E88">
              <w:rPr>
                <w:rFonts w:ascii="Arial" w:hAnsi="Arial" w:cs="Arial"/>
                <w:noProof/>
                <w:webHidden/>
              </w:rPr>
              <w:fldChar w:fldCharType="end"/>
            </w:r>
          </w:hyperlink>
        </w:p>
        <w:p w14:paraId="7737B4D5" w14:textId="09A54C9B" w:rsidR="005F0E88" w:rsidRPr="005F0E88" w:rsidRDefault="00000000" w:rsidP="005F0E88">
          <w:pPr>
            <w:pStyle w:val="TOC1"/>
            <w:tabs>
              <w:tab w:val="right" w:leader="dot" w:pos="9350"/>
            </w:tabs>
            <w:spacing w:after="0"/>
            <w:rPr>
              <w:rFonts w:ascii="Arial" w:hAnsi="Arial" w:cs="Arial"/>
              <w:noProof/>
            </w:rPr>
          </w:pPr>
          <w:hyperlink w:anchor="_Toc237529849" w:history="1">
            <w:r w:rsidR="005F0E88" w:rsidRPr="005F0E88">
              <w:rPr>
                <w:rStyle w:val="Hyperlink"/>
                <w:rFonts w:ascii="Arial" w:hAnsi="Arial" w:cs="Arial"/>
                <w:noProof/>
                <w:color w:val="000000" w:themeColor="text1"/>
              </w:rPr>
              <w:t>Reference List</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_Toc237529849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20</w:t>
            </w:r>
            <w:r w:rsidR="005F0E88" w:rsidRPr="005F0E88">
              <w:rPr>
                <w:rFonts w:ascii="Arial" w:hAnsi="Arial" w:cs="Arial"/>
                <w:noProof/>
                <w:webHidden/>
              </w:rPr>
              <w:fldChar w:fldCharType="end"/>
            </w:r>
          </w:hyperlink>
        </w:p>
        <w:p w14:paraId="2F21483D" w14:textId="1A98A939" w:rsidR="005F0E88" w:rsidRPr="005F0E88" w:rsidRDefault="00000000" w:rsidP="005F0E88">
          <w:pPr>
            <w:pStyle w:val="TOC1"/>
            <w:tabs>
              <w:tab w:val="right" w:leader="dot" w:pos="9350"/>
            </w:tabs>
            <w:spacing w:after="0"/>
            <w:rPr>
              <w:rFonts w:ascii="Arial" w:hAnsi="Arial" w:cs="Arial"/>
              <w:noProof/>
            </w:rPr>
          </w:pPr>
          <w:hyperlink w:anchor="_Toc237529850" w:history="1">
            <w:r w:rsidR="005F0E88" w:rsidRPr="005F0E88">
              <w:rPr>
                <w:rStyle w:val="Hyperlink"/>
                <w:rFonts w:ascii="Arial" w:hAnsi="Arial" w:cs="Arial"/>
                <w:noProof/>
                <w:color w:val="000000" w:themeColor="text1"/>
              </w:rPr>
              <w:t>Appendix 1: Financial Calculation</w:t>
            </w:r>
            <w:r w:rsidR="005F0E88" w:rsidRPr="005F0E88">
              <w:rPr>
                <w:rFonts w:ascii="Arial" w:hAnsi="Arial" w:cs="Arial"/>
                <w:noProof/>
                <w:webHidden/>
              </w:rPr>
              <w:tab/>
            </w:r>
            <w:r w:rsidR="005F0E88" w:rsidRPr="005F0E88">
              <w:rPr>
                <w:rFonts w:ascii="Arial" w:hAnsi="Arial" w:cs="Arial"/>
                <w:noProof/>
                <w:webHidden/>
              </w:rPr>
              <w:fldChar w:fldCharType="begin"/>
            </w:r>
            <w:r w:rsidR="005F0E88" w:rsidRPr="005F0E88">
              <w:rPr>
                <w:rFonts w:ascii="Arial" w:hAnsi="Arial" w:cs="Arial"/>
                <w:noProof/>
                <w:webHidden/>
              </w:rPr>
              <w:instrText xml:space="preserve"> PAGEREF _Toc237529850 \h </w:instrText>
            </w:r>
            <w:r w:rsidR="005F0E88" w:rsidRPr="005F0E88">
              <w:rPr>
                <w:rFonts w:ascii="Arial" w:hAnsi="Arial" w:cs="Arial"/>
                <w:noProof/>
                <w:webHidden/>
              </w:rPr>
            </w:r>
            <w:r w:rsidR="005F0E88" w:rsidRPr="005F0E88">
              <w:rPr>
                <w:rFonts w:ascii="Arial" w:hAnsi="Arial" w:cs="Arial"/>
                <w:noProof/>
                <w:webHidden/>
              </w:rPr>
              <w:fldChar w:fldCharType="separate"/>
            </w:r>
            <w:r w:rsidR="00C27BD5">
              <w:rPr>
                <w:rFonts w:ascii="Arial" w:hAnsi="Arial" w:cs="Arial"/>
                <w:noProof/>
                <w:webHidden/>
              </w:rPr>
              <w:t>24</w:t>
            </w:r>
            <w:r w:rsidR="005F0E88" w:rsidRPr="005F0E88">
              <w:rPr>
                <w:rFonts w:ascii="Arial" w:hAnsi="Arial" w:cs="Arial"/>
                <w:noProof/>
                <w:webHidden/>
              </w:rPr>
              <w:fldChar w:fldCharType="end"/>
            </w:r>
          </w:hyperlink>
        </w:p>
        <w:p w14:paraId="42A0E039" w14:textId="697510FA" w:rsidR="005F0E88" w:rsidRDefault="005F0E88" w:rsidP="005F0E88">
          <w:r w:rsidRPr="005F0E88">
            <w:rPr>
              <w:rFonts w:ascii="Arial" w:hAnsi="Arial" w:cs="Arial"/>
              <w:b/>
              <w:bCs/>
              <w:noProof/>
            </w:rPr>
            <w:fldChar w:fldCharType="end"/>
          </w:r>
        </w:p>
      </w:sdtContent>
    </w:sdt>
    <w:p w14:paraId="6AE98908" w14:textId="1C3AE022" w:rsidR="00ED00F8" w:rsidRPr="00ED00F8" w:rsidRDefault="00ED00F8" w:rsidP="00ED00F8">
      <w:pPr>
        <w:rPr>
          <w:rFonts w:ascii="Arial" w:hAnsi="Arial" w:cs="Arial"/>
        </w:rPr>
      </w:pPr>
      <w:r w:rsidRPr="00ED00F8">
        <w:rPr>
          <w:rFonts w:ascii="Arial" w:hAnsi="Arial" w:cs="Arial"/>
        </w:rPr>
        <w:br w:type="page"/>
      </w:r>
    </w:p>
    <w:p w14:paraId="34870922" w14:textId="77777777" w:rsidR="0084407E" w:rsidRPr="0084407E" w:rsidRDefault="0084407E" w:rsidP="0084407E">
      <w:pPr>
        <w:pStyle w:val="Heading1"/>
      </w:pPr>
      <w:bookmarkStart w:id="0" w:name="_Toc237529826"/>
      <w:r w:rsidRPr="0084407E">
        <w:lastRenderedPageBreak/>
        <w:t>1. Introduction</w:t>
      </w:r>
      <w:bookmarkEnd w:id="0"/>
    </w:p>
    <w:p w14:paraId="761BB8CB" w14:textId="512289AB" w:rsidR="002D76EA" w:rsidRPr="002D76EA" w:rsidRDefault="002D76EA" w:rsidP="002D76EA">
      <w:pPr>
        <w:rPr>
          <w:rFonts w:ascii="Arial" w:hAnsi="Arial" w:cs="Arial"/>
        </w:rPr>
      </w:pPr>
      <w:r w:rsidRPr="002D76EA">
        <w:rPr>
          <w:rFonts w:ascii="Arial" w:hAnsi="Arial" w:cs="Arial"/>
        </w:rPr>
        <w:t xml:space="preserve">The management of an international hospitality organization finances cannot be evaluated on whether the accounting profit is increasing since the sustainable value is determined by profitability, liquidity, cash generation, financing capability and investment discipline at the same time. The problem is especially concerning to IHG Hotels &amp; Resorts that has a relatively large business model that is mostly asset-light in nature, which results in the establishment of a financial structure that is materially different when compared to that of hotel operators with huge property portfolios. </w:t>
      </w:r>
    </w:p>
    <w:p w14:paraId="109F749D" w14:textId="7E410EFA" w:rsidR="0084407E" w:rsidRPr="0084407E" w:rsidRDefault="002D76EA" w:rsidP="002D76EA">
      <w:pPr>
        <w:rPr>
          <w:rFonts w:ascii="Arial" w:hAnsi="Arial" w:cs="Arial"/>
        </w:rPr>
      </w:pPr>
      <w:r w:rsidRPr="002D76EA">
        <w:rPr>
          <w:rFonts w:ascii="Arial" w:hAnsi="Arial" w:cs="Arial"/>
        </w:rPr>
        <w:t xml:space="preserve">IHG entered 2026 in a relatively robust operating position despite the imbalanced environment in the regions. The global RevPAR was growing by 1.5 in 2025, and EMEAA grew by 4.6, the Americas by 0.3 per cent and Greater China by 1.6, showing that the aggregate growth masked significant geographic variations (IHG, 2026a). The broader UK tourism landscape also continued to perform well with VisitBritain estimating 43.6 million inbound visits and 33.4 billion </w:t>
      </w:r>
      <w:r w:rsidR="004B5BFD" w:rsidRPr="002D76EA">
        <w:rPr>
          <w:rFonts w:ascii="Arial" w:hAnsi="Arial" w:cs="Arial"/>
        </w:rPr>
        <w:t>visitors</w:t>
      </w:r>
      <w:r w:rsidRPr="002D76EA">
        <w:rPr>
          <w:rFonts w:ascii="Arial" w:hAnsi="Arial" w:cs="Arial"/>
        </w:rPr>
        <w:t xml:space="preserve"> spending in 2025, although visitor spending in real terms was estimated to have decreased by about 1 per cent (VisitBritain, 2026). Similar research also suggests that revenue-management ability is gaining relevance in safeguarding the financial sustainability of hotels in instances where the demand, prices and externalities are volatile (Lima Santos et al., 2024). This scenario implies that the financial strategy of IHG should safeguard the cash and balance-sheet strength at the same time as financing scalable expansion.</w:t>
      </w:r>
      <w:r w:rsidR="006A3DCF">
        <w:rPr>
          <w:rFonts w:ascii="Arial" w:hAnsi="Arial" w:cs="Arial"/>
        </w:rPr>
        <w:t xml:space="preserve"> </w:t>
      </w:r>
      <w:r w:rsidRPr="002D76EA">
        <w:rPr>
          <w:rFonts w:ascii="Arial" w:hAnsi="Arial" w:cs="Arial"/>
        </w:rPr>
        <w:t xml:space="preserve">This report will analyze the financial performance of the IHG Hotels and Resorts in the five years (2021-2025) and advise the </w:t>
      </w:r>
      <w:r w:rsidR="004B5BFD" w:rsidRPr="002D76EA">
        <w:rPr>
          <w:rFonts w:ascii="Arial" w:hAnsi="Arial" w:cs="Arial"/>
        </w:rPr>
        <w:t>financially</w:t>
      </w:r>
      <w:r w:rsidRPr="002D76EA">
        <w:rPr>
          <w:rFonts w:ascii="Arial" w:hAnsi="Arial" w:cs="Arial"/>
        </w:rPr>
        <w:t xml:space="preserve"> feasible working capital, restructuring, and future investment strategies. </w:t>
      </w:r>
    </w:p>
    <w:p w14:paraId="27F56DB2" w14:textId="77777777" w:rsidR="0084407E" w:rsidRPr="0084407E" w:rsidRDefault="0084407E" w:rsidP="0084407E">
      <w:pPr>
        <w:pStyle w:val="Heading1"/>
      </w:pPr>
      <w:bookmarkStart w:id="1" w:name="_Toc237529827"/>
      <w:r w:rsidRPr="0084407E">
        <w:t>2. Financial Health Check</w:t>
      </w:r>
      <w:bookmarkEnd w:id="1"/>
    </w:p>
    <w:p w14:paraId="0D7E1E02" w14:textId="77777777" w:rsidR="0084407E" w:rsidRPr="0084407E" w:rsidRDefault="0084407E" w:rsidP="0084407E">
      <w:pPr>
        <w:pStyle w:val="Heading2"/>
      </w:pPr>
      <w:bookmarkStart w:id="2" w:name="_Toc237529828"/>
      <w:r w:rsidRPr="0084407E">
        <w:t>2.1 Five-year revenue and profitability performance</w:t>
      </w:r>
      <w:bookmarkEnd w:id="2"/>
    </w:p>
    <w:p w14:paraId="18E8D089" w14:textId="11CFB407" w:rsidR="002D76EA" w:rsidRPr="002D76EA" w:rsidRDefault="002D76EA" w:rsidP="002D76EA">
      <w:pPr>
        <w:rPr>
          <w:rFonts w:ascii="Arial" w:hAnsi="Arial" w:cs="Arial"/>
        </w:rPr>
      </w:pPr>
      <w:r w:rsidRPr="002D76EA">
        <w:rPr>
          <w:rFonts w:ascii="Arial" w:hAnsi="Arial" w:cs="Arial"/>
        </w:rPr>
        <w:t xml:space="preserve">The five-year performance of IHG is characterized by a high recovery of earnings, but the decreasing pace of revenue growth means that the creation of value in the future cannot rely solely on the momentum of recovery after the pandemic. Revenue increased from $2,907 million in 2021 to $5,189 million in 2025, while growth slowed from 33.88% in 2022 and 18.81% in 2023 to 6.47% in 2024 and 5.40% in 2025. In 2023, IHG achieved revenue and operating profit of $4,624 million and $1,066 million, respectively, which is compared to 3,892 million and 628 million in 2022 (IHG, 2024a). The study of hospitality indicates </w:t>
      </w:r>
      <w:r w:rsidRPr="002D76EA">
        <w:rPr>
          <w:rFonts w:ascii="Arial" w:hAnsi="Arial" w:cs="Arial"/>
        </w:rPr>
        <w:lastRenderedPageBreak/>
        <w:t>that attributes of the company and macro-economic variables co-determine the profitability of hotels, and thus, the ability of the hotel to grow revenues in the long run is not enough to determine its financial strength (Soni</w:t>
      </w:r>
      <w:r w:rsidR="00986FA5">
        <w:rPr>
          <w:rFonts w:ascii="Arial" w:hAnsi="Arial" w:cs="Arial"/>
        </w:rPr>
        <w:t xml:space="preserve"> et al.</w:t>
      </w:r>
      <w:r w:rsidRPr="002D76EA">
        <w:rPr>
          <w:rFonts w:ascii="Arial" w:hAnsi="Arial" w:cs="Arial"/>
        </w:rPr>
        <w:t>, 2022). Thus, IHG has left the fast recovery mode to a more mature stage of growth when margins and capital efficiency become more important.</w:t>
      </w:r>
    </w:p>
    <w:p w14:paraId="639D5D10" w14:textId="3694E6E5" w:rsidR="0084407E" w:rsidRDefault="002D76EA" w:rsidP="002D76EA">
      <w:pPr>
        <w:rPr>
          <w:rFonts w:ascii="Arial" w:hAnsi="Arial" w:cs="Arial"/>
        </w:rPr>
      </w:pPr>
      <w:r w:rsidRPr="002D76EA">
        <w:rPr>
          <w:rFonts w:ascii="Arial" w:hAnsi="Arial" w:cs="Arial"/>
        </w:rPr>
        <w:t>The profitability has however increased better than the sales growth moderation would have indicated. Operating margin increased from 16.99% in 2021 to 23.09% in 2025, while net margin rose from 9.12% to 14.63% and ROA from 5.62% to 14.20%. Table 1 indicates that the 2025 operating margin was a little bit higher than the 23.05% of 2023 despite a much slower growth in revenue.</w:t>
      </w:r>
    </w:p>
    <w:p w14:paraId="2DAA5FC7" w14:textId="2C2683C8" w:rsidR="0084407E" w:rsidRDefault="0084407E" w:rsidP="0084407E">
      <w:pPr>
        <w:jc w:val="center"/>
        <w:rPr>
          <w:rFonts w:ascii="Arial" w:hAnsi="Arial" w:cs="Arial"/>
        </w:rPr>
      </w:pPr>
      <w:r w:rsidRPr="0084407E">
        <w:rPr>
          <w:noProof/>
        </w:rPr>
        <w:drawing>
          <wp:inline distT="0" distB="0" distL="0" distR="0" wp14:anchorId="455C3661" wp14:editId="6184E65C">
            <wp:extent cx="4772025" cy="332818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3708" cy="3329356"/>
                    </a:xfrm>
                    <a:prstGeom prst="rect">
                      <a:avLst/>
                    </a:prstGeom>
                    <a:noFill/>
                    <a:ln>
                      <a:noFill/>
                    </a:ln>
                  </pic:spPr>
                </pic:pic>
              </a:graphicData>
            </a:graphic>
          </wp:inline>
        </w:drawing>
      </w:r>
    </w:p>
    <w:p w14:paraId="28E554CC" w14:textId="2AFF670E" w:rsidR="0084407E" w:rsidRPr="0084407E" w:rsidRDefault="0084407E" w:rsidP="0084407E">
      <w:pPr>
        <w:jc w:val="center"/>
        <w:rPr>
          <w:rFonts w:ascii="Arial" w:hAnsi="Arial" w:cs="Arial"/>
        </w:rPr>
      </w:pPr>
      <w:r w:rsidRPr="0084407E">
        <w:rPr>
          <w:noProof/>
        </w:rPr>
        <w:lastRenderedPageBreak/>
        <w:drawing>
          <wp:inline distT="0" distB="0" distL="0" distR="0" wp14:anchorId="0F3A4DE0" wp14:editId="231FBEA1">
            <wp:extent cx="4924425" cy="231490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3968" cy="2319387"/>
                    </a:xfrm>
                    <a:prstGeom prst="rect">
                      <a:avLst/>
                    </a:prstGeom>
                    <a:noFill/>
                    <a:ln>
                      <a:noFill/>
                    </a:ln>
                  </pic:spPr>
                </pic:pic>
              </a:graphicData>
            </a:graphic>
          </wp:inline>
        </w:drawing>
      </w:r>
    </w:p>
    <w:p w14:paraId="22D390B9" w14:textId="6E88A655" w:rsidR="0084407E" w:rsidRPr="0084407E" w:rsidRDefault="0084407E" w:rsidP="0084407E">
      <w:pPr>
        <w:jc w:val="center"/>
        <w:rPr>
          <w:rFonts w:ascii="Arial" w:hAnsi="Arial" w:cs="Arial"/>
        </w:rPr>
      </w:pPr>
      <w:r w:rsidRPr="0084407E">
        <w:rPr>
          <w:rFonts w:ascii="Arial" w:hAnsi="Arial" w:cs="Arial"/>
          <w:b/>
          <w:bCs/>
        </w:rPr>
        <w:t>Table 1. Selected five-year financial ratios of IHG</w:t>
      </w:r>
    </w:p>
    <w:p w14:paraId="11B8556B" w14:textId="6B415D01" w:rsidR="0084407E" w:rsidRPr="0084407E" w:rsidRDefault="002D76EA" w:rsidP="0084407E">
      <w:pPr>
        <w:rPr>
          <w:rFonts w:ascii="Arial" w:hAnsi="Arial" w:cs="Arial"/>
        </w:rPr>
      </w:pPr>
      <w:r w:rsidRPr="002D76EA">
        <w:rPr>
          <w:rFonts w:ascii="Arial" w:hAnsi="Arial" w:cs="Arial"/>
        </w:rPr>
        <w:t>IHG announced that its adjusted EBITDA in 2025 was 1,332 million, 12 percent higher than the previous year, even though the global RevPAR growth was only 1.5 percent (IHG, 2026a). It has been made evident in research that hotel performance is not to be evaluated with a single indicator of headline, but with a number of complementary financial indicators (Velickovic</w:t>
      </w:r>
      <w:r w:rsidR="004B5BFD">
        <w:rPr>
          <w:rFonts w:ascii="Arial" w:hAnsi="Arial" w:cs="Arial"/>
        </w:rPr>
        <w:t xml:space="preserve"> et al.</w:t>
      </w:r>
      <w:r w:rsidRPr="002D76EA">
        <w:rPr>
          <w:rFonts w:ascii="Arial" w:hAnsi="Arial" w:cs="Arial"/>
        </w:rPr>
        <w:t>, 2023). Therefore, IHG is turning a moderate growth in its revenue more and more into higher earnings, which is strategically more worthwhile than growth without improvement in margin.</w:t>
      </w:r>
    </w:p>
    <w:p w14:paraId="67B19E78" w14:textId="77777777" w:rsidR="0084407E" w:rsidRPr="0084407E" w:rsidRDefault="0084407E" w:rsidP="0084407E">
      <w:pPr>
        <w:pStyle w:val="Heading2"/>
      </w:pPr>
      <w:bookmarkStart w:id="3" w:name="_Toc237529829"/>
      <w:r w:rsidRPr="0084407E">
        <w:t>2.2 Liquidity and short-term financial capacity</w:t>
      </w:r>
      <w:bookmarkEnd w:id="3"/>
    </w:p>
    <w:p w14:paraId="73003CF1" w14:textId="77777777" w:rsidR="002D76EA" w:rsidRPr="002D76EA" w:rsidRDefault="002D76EA" w:rsidP="002D76EA">
      <w:pPr>
        <w:rPr>
          <w:rFonts w:ascii="Arial" w:hAnsi="Arial" w:cs="Arial"/>
        </w:rPr>
      </w:pPr>
      <w:r w:rsidRPr="002D76EA">
        <w:rPr>
          <w:rFonts w:ascii="Arial" w:hAnsi="Arial" w:cs="Arial"/>
        </w:rPr>
        <w:t>The main weakness IHG has faced in its balance-sheet is that the standard liquidity has worsened despite the improvement in profitability. The current ratio fell from 1.272 in 2021 to 0.976 in 2025, while the quick ratio fell from 1.270 to 0.973 and the cash ratio from 0.893 to 0.538. The current assets stood at 2,049 million and current liabilities stood at 2,100 million in 2025 respectively, making it 51 million less in 2025. This is partially mitigated by cash-flow-based evidence since in 2025, operating cash flow is projected to be $898 million and in 2024, it will be $724 million (IHGA, 2026a). Studies on the hotel financial evaluation indicate that cash-flow ratios may be used to augment the information of the balance-sheet liquidity ratios (Seretidou et al., 2025). So, IHG does not currently exhibit an obvious cash deficit, but its lower balance-sheet cushion makes it more reliant on ongoing operating cash flows.</w:t>
      </w:r>
    </w:p>
    <w:p w14:paraId="79FB011C" w14:textId="6B2EED0C" w:rsidR="0084407E" w:rsidRPr="0084407E" w:rsidRDefault="002D76EA" w:rsidP="002D76EA">
      <w:pPr>
        <w:rPr>
          <w:rFonts w:ascii="Arial" w:hAnsi="Arial" w:cs="Arial"/>
        </w:rPr>
      </w:pPr>
      <w:r w:rsidRPr="002D76EA">
        <w:rPr>
          <w:rFonts w:ascii="Arial" w:hAnsi="Arial" w:cs="Arial"/>
        </w:rPr>
        <w:t xml:space="preserve">Liquidity benchmark supports the cautiousness, but does not mean that it is in a state of financial distress. The current ratio of 0.976 of IHG is higher than the reference of 0.87 of </w:t>
      </w:r>
      <w:r w:rsidRPr="002D76EA">
        <w:rPr>
          <w:rFonts w:ascii="Arial" w:hAnsi="Arial" w:cs="Arial"/>
        </w:rPr>
        <w:lastRenderedPageBreak/>
        <w:t>hotel, tourism and leisure industry according to CSIMarket, which is approximately 0.106 (CSIMarket, 2026). Nevertheless, there is widespread hospitality financial advice where a current ratio of around 1.2-2.0 is taken as an easier comfort zone, based on the business model of the operator (Hospitality Institute, 2024). IHG, therefore, is doing well as compared to a low sector standard but still short of a traditional liquidity comfort zone. The studies show that the liquidity impacts of hotels are context-specific since the excessive low liquidity and the high liquid resource inefficiently may undermine the performance (Matias et al., 2024). Therefore, the right CFO answer is not to hoard cash but to replenish a small liquidity buffer at the same time maintaining the asset-efficient capital base of IHG.</w:t>
      </w:r>
    </w:p>
    <w:p w14:paraId="2D668962" w14:textId="77777777" w:rsidR="0084407E" w:rsidRPr="0084407E" w:rsidRDefault="0084407E" w:rsidP="0084407E">
      <w:pPr>
        <w:pStyle w:val="Heading2"/>
      </w:pPr>
      <w:bookmarkStart w:id="4" w:name="_Toc237529830"/>
      <w:r w:rsidRPr="0084407E">
        <w:t>2.3 Operating efficiency and cash generation</w:t>
      </w:r>
      <w:bookmarkEnd w:id="4"/>
    </w:p>
    <w:p w14:paraId="4F602CEA" w14:textId="77777777" w:rsidR="002D76EA" w:rsidRPr="002D76EA" w:rsidRDefault="002D76EA" w:rsidP="002D76EA">
      <w:pPr>
        <w:rPr>
          <w:rFonts w:ascii="Arial" w:hAnsi="Arial" w:cs="Arial"/>
        </w:rPr>
      </w:pPr>
      <w:r w:rsidRPr="002D76EA">
        <w:rPr>
          <w:rFonts w:ascii="Arial" w:hAnsi="Arial" w:cs="Arial"/>
        </w:rPr>
        <w:t>The areas where IHG is operating most efficiently are its minimal inventory exposure and its rising receivable collection relative to 2021, but there have been recent efficiency gains that have levelled off. Receivables turnover improved from 5.064 times in 2021 to 6.229 times in 2025, while DSO decreased from 72.07 to 58.59 days. The asset turnover increased to 0.971 as compared to 0.616 in the period, but decreases as compared to 1.037 in 2024. Hospitality studies indicate that quality of operations and customer-management can impact financial performance due to service capability eventually converting revenue and repeat demand (Skordoulis et al., 2024). The importance of IHG high contribution to the direct channel is also strategically significant as the group has stated that 83 percent of the room revenue has been at the IHG-managed channels in 2025 (IHG, 2026b). As such, the efficiency gains must henceforth revolve around the digital collection, economics of distribution and the quality of revenue and not the physical inventory management.</w:t>
      </w:r>
    </w:p>
    <w:p w14:paraId="15D6C7DF" w14:textId="6B39BBF4" w:rsidR="0084407E" w:rsidRPr="0084407E" w:rsidRDefault="002D76EA" w:rsidP="002D76EA">
      <w:pPr>
        <w:rPr>
          <w:rFonts w:ascii="Arial" w:hAnsi="Arial" w:cs="Arial"/>
        </w:rPr>
      </w:pPr>
      <w:r w:rsidRPr="002D76EA">
        <w:rPr>
          <w:rFonts w:ascii="Arial" w:hAnsi="Arial" w:cs="Arial"/>
        </w:rPr>
        <w:t xml:space="preserve">The conversion of cash is additional indication that IHG has bizarre working-capital economics on account of its asset-light model. DIO is still 2.39 days in 2025 and DSO is 58.59 days and DPO is 322.96 days forming a cash conversion cycle of about -261.98 days. Studies of service sectors affirm that the correlation between CCC and profitability may vary significantly as compared to the conventional manufacturing due to the difference in working-capital makeup of service sector jobs (Stavropoulos and Zounta, 2025). IHG however calculates its DPO using trade and other payables in relation to the </w:t>
      </w:r>
      <w:r w:rsidRPr="002D76EA">
        <w:rPr>
          <w:rFonts w:ascii="Arial" w:hAnsi="Arial" w:cs="Arial"/>
        </w:rPr>
        <w:lastRenderedPageBreak/>
        <w:t xml:space="preserve">cost of sales and such balances can have obligations that do not act like typical supplier purchases. </w:t>
      </w:r>
    </w:p>
    <w:p w14:paraId="01C7FEC3" w14:textId="77777777" w:rsidR="0084407E" w:rsidRPr="0084407E" w:rsidRDefault="0084407E" w:rsidP="0084407E">
      <w:pPr>
        <w:pStyle w:val="Heading2"/>
      </w:pPr>
      <w:bookmarkStart w:id="5" w:name="_Toc237529831"/>
      <w:r w:rsidRPr="0084407E">
        <w:t>2.4 Gearing, shareholder returns and financial risk</w:t>
      </w:r>
      <w:bookmarkEnd w:id="5"/>
    </w:p>
    <w:p w14:paraId="6DB8B707" w14:textId="77777777" w:rsidR="002D76EA" w:rsidRPr="002D76EA" w:rsidRDefault="002D76EA" w:rsidP="002D76EA">
      <w:pPr>
        <w:rPr>
          <w:rFonts w:ascii="Arial" w:hAnsi="Arial" w:cs="Arial"/>
        </w:rPr>
      </w:pPr>
      <w:r w:rsidRPr="002D76EA">
        <w:rPr>
          <w:rFonts w:ascii="Arial" w:hAnsi="Arial" w:cs="Arial"/>
        </w:rPr>
        <w:t>The growing earnings of IHGA have also been coupled with significantly increased leverage which has posed the most obvious conflict in the financial strategy of the company. Gross debt rose to $2,845 million in 2021 to $4,201 million in 2025 with the debt as a ratio to total assets rising to 60.33 to 78.60. There was also an increase in net debt to 3,072 million as compared to 1395 million. The net debt/Adjusted EBITDA ratio of IHG however stood at 2.5 times in 2025, which is within the lower target of 2.5-3.0 times (IHG, 2025a). Scholarly data show that leverage and hotel performance may co-operate in varying ways depending on the profitability, business and firm specifics and not yielding an optimal debt level (Metaxas and Romanopoulos, 2023). Thus, IHG has still the borrowing, and the increase in absolute debt decreases the margin of simultaneous acquisitions, buybacks and massive investment.</w:t>
      </w:r>
    </w:p>
    <w:p w14:paraId="3E1F3F2C" w14:textId="55256421" w:rsidR="0084407E" w:rsidRPr="0084407E" w:rsidRDefault="002D76EA" w:rsidP="002D76EA">
      <w:pPr>
        <w:rPr>
          <w:rFonts w:ascii="Arial" w:hAnsi="Arial" w:cs="Arial"/>
        </w:rPr>
      </w:pPr>
      <w:r w:rsidRPr="002D76EA">
        <w:rPr>
          <w:rFonts w:ascii="Arial" w:hAnsi="Arial" w:cs="Arial"/>
        </w:rPr>
        <w:t>The debt to equity ratio is not a feasible measure of solvency of IHG due to negative accounting equity. The change in the total equity between 2021 and 2025 was that of -1,474 million to -2,736 million; that is, a mathematically negative debt/equity ratio is not an indicator of low financial leverage. Interest cover is a more significant measure, and stood at 5.93 times in 2025, less than the 8.46 times of the previous year, 2023. The finance expense also rose concurrently by 2023 to 2025 by 126 and 202 million respectively. IHG paid over 1.1 billion to members of the stock in 2025 as dividends and stock buybacks, but retained its leverage structure (IHG, 2026b). The studies on financial sustainability warn that the performance should be evaluated with the ability to retain financing resilience in the long run (Velickovic</w:t>
      </w:r>
      <w:r w:rsidR="00E048A9">
        <w:rPr>
          <w:rFonts w:ascii="Arial" w:hAnsi="Arial" w:cs="Arial"/>
        </w:rPr>
        <w:t xml:space="preserve"> et al.</w:t>
      </w:r>
      <w:r w:rsidRPr="002D76EA">
        <w:rPr>
          <w:rFonts w:ascii="Arial" w:hAnsi="Arial" w:cs="Arial"/>
        </w:rPr>
        <w:t>, 2023). The distributions of the future should thus become conditional on leverage and liquidity and not be assumed to be able to be repeated in the future.</w:t>
      </w:r>
    </w:p>
    <w:p w14:paraId="4FC75DAA" w14:textId="77777777" w:rsidR="0084407E" w:rsidRPr="0084407E" w:rsidRDefault="0084407E" w:rsidP="0084407E">
      <w:pPr>
        <w:pStyle w:val="Heading2"/>
      </w:pPr>
      <w:bookmarkStart w:id="6" w:name="_Toc237529832"/>
      <w:r w:rsidRPr="0084407E">
        <w:t>2.5 Overall financial diagnosis</w:t>
      </w:r>
      <w:bookmarkEnd w:id="6"/>
    </w:p>
    <w:p w14:paraId="2E612511" w14:textId="1F5C8B20" w:rsidR="0084407E" w:rsidRPr="0084407E" w:rsidRDefault="002D76EA" w:rsidP="0084407E">
      <w:pPr>
        <w:rPr>
          <w:rFonts w:ascii="Arial" w:hAnsi="Arial" w:cs="Arial"/>
        </w:rPr>
      </w:pPr>
      <w:r w:rsidRPr="002D76EA">
        <w:rPr>
          <w:rFonts w:ascii="Arial" w:hAnsi="Arial" w:cs="Arial"/>
        </w:rPr>
        <w:t>The financial health of IHG can be thus described as very profitable and cash-generative and more leveraged and liquid. The year-over-year increase of profit was achieved to $265 million in 2021 to 759 million in 2025, the year over year EPS increased to 490.9 cents in 2025 compared to 145.4 cents in 2021 and the 2025 operating cash-flow-to-net-</w:t>
      </w:r>
      <w:r w:rsidRPr="002D76EA">
        <w:rPr>
          <w:rFonts w:ascii="Arial" w:hAnsi="Arial" w:cs="Arial"/>
        </w:rPr>
        <w:lastRenderedPageBreak/>
        <w:t>profit ratio stood at 1.183. Nevertheless, the current ratio continued to be less than one and net debt/Adjusted EBITDA improved to 2.5 times in 2025 as compared to 2.1 times in 2023. Literature on hotel performance indicates that accounting profitability is not a substitute of funding and financial resiliency (Soni, Arora and Le, 2022). The Q3 2025 trading update of IHG also reported disproportionate regional RevPAR as well as the persistent underperformance in Greater China (IHG, 2025b). Thus, the management is able to invest further towards growth, but the following step must be based on selective value creation as opposed to a growth that is supported by debt or unlimited capital distributions.</w:t>
      </w:r>
      <w:r w:rsidR="0084407E" w:rsidRPr="0084407E">
        <w:rPr>
          <w:rFonts w:ascii="Arial" w:hAnsi="Arial" w:cs="Arial"/>
        </w:rPr>
        <w:t>.</w:t>
      </w:r>
    </w:p>
    <w:p w14:paraId="726CB3A5" w14:textId="77777777" w:rsidR="0084407E" w:rsidRPr="0084407E" w:rsidRDefault="0084407E" w:rsidP="0084407E">
      <w:pPr>
        <w:pStyle w:val="Heading1"/>
      </w:pPr>
      <w:bookmarkStart w:id="7" w:name="_Toc237529833"/>
      <w:r w:rsidRPr="0084407E">
        <w:t>3. Working Capital Management Analysis</w:t>
      </w:r>
      <w:bookmarkEnd w:id="7"/>
    </w:p>
    <w:p w14:paraId="4F34B980" w14:textId="77777777" w:rsidR="0084407E" w:rsidRPr="0084407E" w:rsidRDefault="0084407E" w:rsidP="0084407E">
      <w:pPr>
        <w:pStyle w:val="Heading2"/>
      </w:pPr>
      <w:bookmarkStart w:id="8" w:name="_Toc237529834"/>
      <w:r w:rsidRPr="0084407E">
        <w:t>3.1 Cash operating cycle</w:t>
      </w:r>
      <w:bookmarkEnd w:id="8"/>
    </w:p>
    <w:p w14:paraId="34BD4761" w14:textId="46750637" w:rsidR="0084407E" w:rsidRDefault="002D76EA" w:rsidP="0084407E">
      <w:pPr>
        <w:rPr>
          <w:rFonts w:ascii="Arial" w:hAnsi="Arial" w:cs="Arial"/>
        </w:rPr>
      </w:pPr>
      <w:r w:rsidRPr="002D76EA">
        <w:rPr>
          <w:rFonts w:ascii="Arial" w:hAnsi="Arial" w:cs="Arial"/>
        </w:rPr>
        <w:t>The cash operating cycle of IHG is structurally favourable but the five-year trend of the company indicates that a portion of this strength has diminished. DSO decreased to 58.59 in 2025 compared to 72.07 in 2021 and the inventory was also low, but DPO also dropped significantly to 322.96 compared to 434.85. As a result, the cash conversion cycle shifted towards the negative, as it was at -359.77 days in 2021 and -261.98 days in 2025.</w:t>
      </w:r>
    </w:p>
    <w:p w14:paraId="039673FA" w14:textId="103A496C" w:rsidR="0084407E" w:rsidRPr="0084407E" w:rsidRDefault="0084407E" w:rsidP="0084407E">
      <w:pPr>
        <w:jc w:val="center"/>
        <w:rPr>
          <w:rFonts w:ascii="Arial" w:hAnsi="Arial" w:cs="Arial"/>
        </w:rPr>
      </w:pPr>
      <w:r w:rsidRPr="0084407E">
        <w:rPr>
          <w:noProof/>
        </w:rPr>
        <w:drawing>
          <wp:inline distT="0" distB="0" distL="0" distR="0" wp14:anchorId="52EBB4F1" wp14:editId="29FAA936">
            <wp:extent cx="4257675" cy="1638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7675" cy="1638300"/>
                    </a:xfrm>
                    <a:prstGeom prst="rect">
                      <a:avLst/>
                    </a:prstGeom>
                    <a:noFill/>
                    <a:ln>
                      <a:noFill/>
                    </a:ln>
                  </pic:spPr>
                </pic:pic>
              </a:graphicData>
            </a:graphic>
          </wp:inline>
        </w:drawing>
      </w:r>
    </w:p>
    <w:p w14:paraId="5C6832F2" w14:textId="77777777" w:rsidR="0084407E" w:rsidRDefault="0084407E" w:rsidP="0084407E">
      <w:pPr>
        <w:jc w:val="center"/>
        <w:rPr>
          <w:rFonts w:ascii="Arial" w:hAnsi="Arial" w:cs="Arial"/>
          <w:b/>
          <w:bCs/>
        </w:rPr>
      </w:pPr>
      <w:r w:rsidRPr="0084407E">
        <w:rPr>
          <w:rFonts w:ascii="Arial" w:hAnsi="Arial" w:cs="Arial"/>
          <w:b/>
          <w:bCs/>
        </w:rPr>
        <w:t>Table 2. IHG working-capital cycle</w:t>
      </w:r>
    </w:p>
    <w:p w14:paraId="7BE5D6C2" w14:textId="704655A0" w:rsidR="0084407E" w:rsidRDefault="0084407E" w:rsidP="0084407E">
      <w:pPr>
        <w:jc w:val="center"/>
        <w:rPr>
          <w:rFonts w:ascii="Arial" w:hAnsi="Arial" w:cs="Arial"/>
          <w:b/>
          <w:bCs/>
        </w:rPr>
      </w:pPr>
      <w:r>
        <w:rPr>
          <w:rFonts w:ascii="Arial" w:hAnsi="Arial" w:cs="Arial"/>
          <w:b/>
          <w:bCs/>
          <w:noProof/>
        </w:rPr>
        <w:lastRenderedPageBreak/>
        <w:drawing>
          <wp:inline distT="0" distB="0" distL="0" distR="0" wp14:anchorId="79762CD6" wp14:editId="4628C862">
            <wp:extent cx="5257800" cy="26126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0199" cy="2613834"/>
                    </a:xfrm>
                    <a:prstGeom prst="rect">
                      <a:avLst/>
                    </a:prstGeom>
                    <a:noFill/>
                  </pic:spPr>
                </pic:pic>
              </a:graphicData>
            </a:graphic>
          </wp:inline>
        </w:drawing>
      </w:r>
    </w:p>
    <w:p w14:paraId="7394B40F" w14:textId="295613DE" w:rsidR="0084407E" w:rsidRPr="0084407E" w:rsidRDefault="0084407E" w:rsidP="0084407E">
      <w:pPr>
        <w:jc w:val="center"/>
        <w:rPr>
          <w:rFonts w:ascii="Arial" w:hAnsi="Arial" w:cs="Arial"/>
          <w:b/>
          <w:bCs/>
        </w:rPr>
      </w:pPr>
      <w:r>
        <w:rPr>
          <w:rFonts w:ascii="Arial" w:hAnsi="Arial" w:cs="Arial"/>
          <w:b/>
          <w:bCs/>
        </w:rPr>
        <w:t xml:space="preserve">Figure 1: </w:t>
      </w:r>
      <w:r w:rsidRPr="0084407E">
        <w:rPr>
          <w:rFonts w:ascii="Arial" w:hAnsi="Arial" w:cs="Arial"/>
          <w:b/>
          <w:bCs/>
        </w:rPr>
        <w:t>IHG working-capital cycle</w:t>
      </w:r>
    </w:p>
    <w:p w14:paraId="68F96365" w14:textId="4965D7A4" w:rsidR="0084407E" w:rsidRPr="0084407E" w:rsidRDefault="002D76EA" w:rsidP="0084407E">
      <w:pPr>
        <w:rPr>
          <w:rFonts w:ascii="Arial" w:hAnsi="Arial" w:cs="Arial"/>
        </w:rPr>
      </w:pPr>
      <w:r w:rsidRPr="002D76EA">
        <w:rPr>
          <w:rFonts w:ascii="Arial" w:hAnsi="Arial" w:cs="Arial"/>
        </w:rPr>
        <w:t>Chambers and Cifter (2022) discover that there is a non-linear correlation between the working capital and the performance of the hospitality, which means that the aim is to optimize the working capital, and not to reduce it mechanically. Similarly, Ahmad, Bashir and Waqas (2022) demonstrate that the changes in the working-capital effects may vary during economic stress. Hence, the negative cycle of IHG can only be an advantage whilst it does not hurt the relationships with suppliers, liquidity resilience or operating flexibility.</w:t>
      </w:r>
    </w:p>
    <w:p w14:paraId="426717A5" w14:textId="77777777" w:rsidR="0084407E" w:rsidRPr="0084407E" w:rsidRDefault="0084407E" w:rsidP="0084407E">
      <w:pPr>
        <w:pStyle w:val="Heading2"/>
      </w:pPr>
      <w:bookmarkStart w:id="9" w:name="_Toc237529835"/>
      <w:r w:rsidRPr="0084407E">
        <w:t>3.2 Working-capital reforms</w:t>
      </w:r>
      <w:bookmarkEnd w:id="9"/>
    </w:p>
    <w:p w14:paraId="1DEF36EA" w14:textId="77777777" w:rsidR="002D76EA" w:rsidRPr="002D76EA" w:rsidRDefault="002D76EA" w:rsidP="002D76EA">
      <w:pPr>
        <w:rPr>
          <w:rFonts w:ascii="Arial" w:hAnsi="Arial" w:cs="Arial"/>
        </w:rPr>
      </w:pPr>
      <w:r w:rsidRPr="002D76EA">
        <w:rPr>
          <w:rFonts w:ascii="Arial" w:hAnsi="Arial" w:cs="Arial"/>
        </w:rPr>
        <w:t>Rapid cash collection without undermining the owner and franchisee relationships of IHG can be considered the most suitable liquidity reform. The receivables in 2025 stood at $833 million as compared to 574 million in 2021 and DSO has settled at 58659 days since 2023. Digital billing, automated fee reconciliation, and prior exception detection and credit controls differentiation might free up cash without the need to sell material assets. Studies show that working-capital policy influences performance with the liquidity protection and the efficient use of the short-term resources (Chambers and Cifter, 2022). Liquidity monitoring should also include cash-flow evidence since the current ratios are not always the same, and the potential of the actual cash generation can be ignored (Seretidou et al., 2025). Thus, CFO must ensure DSO and overdue-receivable targets are set by market but not using a single collection target in the geographically diverse owner base of IHG.</w:t>
      </w:r>
    </w:p>
    <w:p w14:paraId="758089F4" w14:textId="20EC7D4C" w:rsidR="0084407E" w:rsidRPr="0084407E" w:rsidRDefault="002D76EA" w:rsidP="002D76EA">
      <w:pPr>
        <w:rPr>
          <w:rFonts w:ascii="Arial" w:hAnsi="Arial" w:cs="Arial"/>
        </w:rPr>
      </w:pPr>
      <w:r w:rsidRPr="002D76EA">
        <w:rPr>
          <w:rFonts w:ascii="Arial" w:hAnsi="Arial" w:cs="Arial"/>
        </w:rPr>
        <w:lastRenderedPageBreak/>
        <w:t>IHG needs to maintain its favourable payment structure and at the same time avoid aggressive creditor stretching. The negative cash cycle is largely a result of the DPO of 322.96 days, which may be increased by means of deliberately changing the balance of reported CCC, but this is likely to shift the financial burden onto suppliers and hotel partners. The studies on working-capital management suggest that over-investment and over-reduction might both be detrimental towards financial performance (Ahmad, Bashir and Waqas, 2022). The responsible-business programme of IHG encompasses the relationships with people, communities and the value chain as a whole, which implies that the working-capital efficiency must not contradict the ethical business behavior (IHG, 2025c). The negotiating of contractual payment terms and centralisation of procurement data and maximising early-payment discounts where the annualised value of it is higher than the financing cost are therefore the practical reforms.</w:t>
      </w:r>
    </w:p>
    <w:p w14:paraId="5F393EFD" w14:textId="77777777" w:rsidR="0084407E" w:rsidRPr="0084407E" w:rsidRDefault="0084407E" w:rsidP="0084407E">
      <w:pPr>
        <w:pStyle w:val="Heading2"/>
      </w:pPr>
      <w:bookmarkStart w:id="10" w:name="_Toc237529836"/>
      <w:r w:rsidRPr="0084407E">
        <w:t>3.3 Short-term versus long-term financing</w:t>
      </w:r>
      <w:bookmarkEnd w:id="10"/>
    </w:p>
    <w:p w14:paraId="323258BC" w14:textId="3EB8350E" w:rsidR="0084407E" w:rsidRPr="0084407E" w:rsidRDefault="002D76EA" w:rsidP="0084407E">
      <w:pPr>
        <w:rPr>
          <w:rFonts w:ascii="Arial" w:hAnsi="Arial" w:cs="Arial"/>
        </w:rPr>
      </w:pPr>
      <w:r w:rsidRPr="002D76EA">
        <w:rPr>
          <w:rFonts w:ascii="Arial" w:hAnsi="Arial" w:cs="Arial"/>
        </w:rPr>
        <w:t>The temporary timing gaps might be financed by short-term financing, but IHG should not rely on it to finance structural investment as long as its current ratio is less than one. Revolving credit and short-term borrowing gives flexibility to seasonal working-capital requirements and unforeseen cash requirements, but risks of repricing and refinancing are enhanced when market rates are high. As of 30 July 2026, the Bank of England announced Bank Rate of 3.75% implying that short-term funding in sterling is still significantly more expensive than it was in the pre-tightening phase (Bank of England, 2026). Financial studies reveal that liquidity and financing structures need to be correlated to business operating features as opposed to being assessed separately (Matias et al., 2024). Term debt would therefore be best to use in long term strategic investments that can be balanced with the cash flow of future projects.</w:t>
      </w:r>
    </w:p>
    <w:p w14:paraId="4D05EEC2" w14:textId="77777777" w:rsidR="0084407E" w:rsidRPr="0084407E" w:rsidRDefault="0084407E" w:rsidP="0084407E">
      <w:pPr>
        <w:pStyle w:val="Heading1"/>
      </w:pPr>
      <w:bookmarkStart w:id="11" w:name="_Toc237529837"/>
      <w:r w:rsidRPr="0084407E">
        <w:t>4. Strategic Financial Restructuring Plan</w:t>
      </w:r>
      <w:bookmarkEnd w:id="11"/>
    </w:p>
    <w:p w14:paraId="77A554E6" w14:textId="77777777" w:rsidR="0084407E" w:rsidRPr="0084407E" w:rsidRDefault="0084407E" w:rsidP="0084407E">
      <w:pPr>
        <w:pStyle w:val="Heading2"/>
      </w:pPr>
      <w:bookmarkStart w:id="12" w:name="_Toc237529838"/>
      <w:r w:rsidRPr="0084407E">
        <w:t>4.1 Capital structure and shareholder distributions</w:t>
      </w:r>
      <w:bookmarkEnd w:id="12"/>
    </w:p>
    <w:p w14:paraId="66107F73" w14:textId="77777777" w:rsidR="002D76EA" w:rsidRPr="002D76EA" w:rsidRDefault="002D76EA" w:rsidP="002D76EA">
      <w:pPr>
        <w:rPr>
          <w:rFonts w:ascii="Arial" w:hAnsi="Arial" w:cs="Arial"/>
        </w:rPr>
      </w:pPr>
      <w:r w:rsidRPr="002D76EA">
        <w:rPr>
          <w:rFonts w:ascii="Arial" w:hAnsi="Arial" w:cs="Arial"/>
        </w:rPr>
        <w:t xml:space="preserve">IHG needs a rigorous rebalancing of capital deployment and not a troubled financial re-engineering. The company is still profitable, cash-generative, and within its leverage policy, thus a massive equity injection would dilute its shareholders without need, and would be symptomatic of financial health problems. Nonetheless, the net debt grew to $3,072 million in the workbook and leverage to 2.5 times Adjusted EBITDA and traditional </w:t>
      </w:r>
      <w:r w:rsidRPr="002D76EA">
        <w:rPr>
          <w:rFonts w:ascii="Arial" w:hAnsi="Arial" w:cs="Arial"/>
        </w:rPr>
        <w:lastRenderedPageBreak/>
        <w:t>liquidity to less than one. The capital-allocation framework described by IHG comprises the growth investment, sustainable dividend and excess capital-return and an investment-grade profile (IHG, 2025a). Research on hospitality financial performance also reveals that debt should be used in conjunction with profitability and operating capacity, but not as a single optimisation goal (Matias et al., 2024). Thus, the next round of share repurchases must be cut or postponed in case leverage exceeds target range or liquidity is worsened, as distributions must be an output of financial capacity and not a promise.</w:t>
      </w:r>
    </w:p>
    <w:p w14:paraId="3477811E" w14:textId="5B407F41" w:rsidR="0084407E" w:rsidRPr="0084407E" w:rsidRDefault="002D76EA" w:rsidP="002D76EA">
      <w:pPr>
        <w:rPr>
          <w:rFonts w:ascii="Arial" w:hAnsi="Arial" w:cs="Arial"/>
        </w:rPr>
      </w:pPr>
      <w:r w:rsidRPr="002D76EA">
        <w:rPr>
          <w:rFonts w:ascii="Arial" w:hAnsi="Arial" w:cs="Arial"/>
        </w:rPr>
        <w:t>A large merger that relies on debt to finance its activities is not the right mechanism of restructuring as compared to a targeted asset and portfolio rationalisation. Based on this, non-core owned assets or investments that are not reinforcing the brand platform can be sold and the revenues repurposed into digital infrastructure, loyalty, conversions and higher-return markets. Studies reveal that the ability of revenue management enhances financial sustainability by enhancing the quality of revenue decisions in the face of uncertainty operating conditions (Lima Santos et al., 2024). The research of hotel business-performance also emphasizes the importance of considering financial measures along with operational and strategic drivers, as opposed to considering them separately (Skordoulis et al., 2024). Therefore, divestiture is acceptable when it enhances the profitability of capital and flexibility and merger should be undertaken when identifiable synergies surpass the cost of acquisition and integration.</w:t>
      </w:r>
    </w:p>
    <w:p w14:paraId="67A13AC1" w14:textId="77777777" w:rsidR="0084407E" w:rsidRPr="0084407E" w:rsidRDefault="0084407E" w:rsidP="0084407E">
      <w:pPr>
        <w:pStyle w:val="Heading2"/>
      </w:pPr>
      <w:bookmarkStart w:id="13" w:name="_Toc237529839"/>
      <w:r w:rsidRPr="0084407E">
        <w:t>4.2 International financial risks</w:t>
      </w:r>
      <w:bookmarkEnd w:id="13"/>
    </w:p>
    <w:p w14:paraId="2F57FCAB" w14:textId="71C84BB2" w:rsidR="0084407E" w:rsidRPr="0084407E" w:rsidRDefault="002D76EA" w:rsidP="0084407E">
      <w:pPr>
        <w:rPr>
          <w:rFonts w:ascii="Arial" w:hAnsi="Arial" w:cs="Arial"/>
        </w:rPr>
      </w:pPr>
      <w:r w:rsidRPr="002D76EA">
        <w:rPr>
          <w:rFonts w:ascii="Arial" w:hAnsi="Arial" w:cs="Arial"/>
        </w:rPr>
        <w:t xml:space="preserve">IHG should directly include currency and inflation risk in its capital structure since there is no elimination of financial volatility by geographically diversified revenues. IHG has already seen performance variation across regions in 2025 with EMEAA performing better and Greater China declining, proving that a single global forecast </w:t>
      </w:r>
      <w:r w:rsidR="00E048A9" w:rsidRPr="002D76EA">
        <w:rPr>
          <w:rFonts w:ascii="Arial" w:hAnsi="Arial" w:cs="Arial"/>
        </w:rPr>
        <w:t>cannot</w:t>
      </w:r>
      <w:r w:rsidRPr="002D76EA">
        <w:rPr>
          <w:rFonts w:ascii="Arial" w:hAnsi="Arial" w:cs="Arial"/>
        </w:rPr>
        <w:t xml:space="preserve"> represent all markets (IHG, 2025b). The UK has a 3.0% annual CPI inflation in January 2026 and 4.1% restaurants and hotels inflation which further strains hospitality operating economics (ONS, 2026). Despite the fact that in the IHG asset-light model, much of the property-level cost risk is transferred to the owners, the long-term impact of wage, utility and food inflation can undermine the profitability of the owners, dampen the desire to develop and eventually limit the fee base of IHG.</w:t>
      </w:r>
    </w:p>
    <w:p w14:paraId="5D84FDF1" w14:textId="77777777" w:rsidR="0084407E" w:rsidRPr="0084407E" w:rsidRDefault="0084407E" w:rsidP="0084407E">
      <w:pPr>
        <w:pStyle w:val="Heading2"/>
      </w:pPr>
      <w:bookmarkStart w:id="14" w:name="_Toc237529840"/>
      <w:r w:rsidRPr="0084407E">
        <w:t>4.3 ESG and ethical restructuring</w:t>
      </w:r>
      <w:bookmarkEnd w:id="14"/>
    </w:p>
    <w:p w14:paraId="512736B7" w14:textId="35A159AE" w:rsidR="002D76EA" w:rsidRPr="002D76EA" w:rsidRDefault="002D76EA" w:rsidP="002D76EA">
      <w:pPr>
        <w:rPr>
          <w:rFonts w:ascii="Arial" w:hAnsi="Arial" w:cs="Arial"/>
        </w:rPr>
      </w:pPr>
      <w:r w:rsidRPr="002D76EA">
        <w:rPr>
          <w:rFonts w:ascii="Arial" w:hAnsi="Arial" w:cs="Arial"/>
        </w:rPr>
        <w:lastRenderedPageBreak/>
        <w:t>The reorganization of IHG needs to consider ESG investment as a value generator and financial limit instead of discretion cost. The carbon and energy, waste, water, people and communities, and the Journey to Tomorrow programme of the group also takes care of the third parties that own the majority of hotels in its system of asset light (IHG, 2025c). Studies conducted among hospitality companies worldwide establish a connection between ESG ratings and corporate financial performance, although the outcomes depend on the ESG dimension and company-specific circumstances (Lu et al., 2025). Broader evidence documents the positive associations between ESG systems and measures like ROA and ROE and establishes leverage as a possible financial limitation (Li</w:t>
      </w:r>
      <w:r w:rsidR="006A3DCF">
        <w:rPr>
          <w:rFonts w:ascii="Arial" w:hAnsi="Arial" w:cs="Arial"/>
        </w:rPr>
        <w:t xml:space="preserve"> et al.</w:t>
      </w:r>
      <w:r w:rsidRPr="002D76EA">
        <w:rPr>
          <w:rFonts w:ascii="Arial" w:hAnsi="Arial" w:cs="Arial"/>
        </w:rPr>
        <w:t>, 2024). The IHG carbon strategy also claims that a reduction in energy can reduce the operating costs and decrease the risks that are related to resources and regulations in the long run (IHG, 2025d). Thus, the restructuring decisions must be biased towards the projects that generate plausible financial returns and quantifiable environmental benefits as opposed to the ESG spending that cannot exhibit either of them.</w:t>
      </w:r>
    </w:p>
    <w:p w14:paraId="21C896B9" w14:textId="779159EC" w:rsidR="0084407E" w:rsidRPr="0084407E" w:rsidRDefault="002D76EA" w:rsidP="002D76EA">
      <w:pPr>
        <w:rPr>
          <w:rFonts w:ascii="Arial" w:hAnsi="Arial" w:cs="Arial"/>
        </w:rPr>
      </w:pPr>
      <w:r w:rsidRPr="002D76EA">
        <w:rPr>
          <w:rFonts w:ascii="Arial" w:hAnsi="Arial" w:cs="Arial"/>
        </w:rPr>
        <w:t>It also has a revenue side implication as sustainable practices may translate into economic benefits through customer loyalty. Hotel consumers show that perceived sustainability practices have the potential to enhance loyalty and revisit intention (Dedat and Rodrigues, 2025). Similar results were also achieved by Shrivastava and Gautam (2024) who discovered that 397 valid respondents were more willing to patronise a hotel in relation to sustainability practices. This does not imply that all environmental initiatives will necessarily create a positive NPV, the customer perceptions, costs and local market conditions vary.</w:t>
      </w:r>
    </w:p>
    <w:p w14:paraId="03DA220E" w14:textId="77777777" w:rsidR="0084407E" w:rsidRPr="0084407E" w:rsidRDefault="0084407E" w:rsidP="0084407E">
      <w:pPr>
        <w:pStyle w:val="Heading1"/>
      </w:pPr>
      <w:bookmarkStart w:id="15" w:name="_Toc237529841"/>
      <w:r w:rsidRPr="0084407E">
        <w:t>5. Investment Appraisal and Capital Budgeting</w:t>
      </w:r>
      <w:bookmarkEnd w:id="15"/>
    </w:p>
    <w:p w14:paraId="62592AC2" w14:textId="77777777" w:rsidR="0084407E" w:rsidRPr="0084407E" w:rsidRDefault="0084407E" w:rsidP="0084407E">
      <w:pPr>
        <w:pStyle w:val="Heading2"/>
      </w:pPr>
      <w:bookmarkStart w:id="16" w:name="_Toc237529842"/>
      <w:r w:rsidRPr="0084407E">
        <w:t>5.1 Comparative appraisal of Projects A, B and C</w:t>
      </w:r>
      <w:bookmarkEnd w:id="16"/>
    </w:p>
    <w:p w14:paraId="11CA2CBF" w14:textId="2939F968" w:rsidR="0084407E" w:rsidRPr="0084407E" w:rsidRDefault="002D76EA" w:rsidP="0084407E">
      <w:pPr>
        <w:rPr>
          <w:rFonts w:ascii="Arial" w:hAnsi="Arial" w:cs="Arial"/>
        </w:rPr>
      </w:pPr>
      <w:r w:rsidRPr="002D76EA">
        <w:rPr>
          <w:rFonts w:ascii="Arial" w:hAnsi="Arial" w:cs="Arial"/>
        </w:rPr>
        <w:t xml:space="preserve">The timing of cash-flow of the three projects varies significantly and they cannot be ranked with the help of a single accounting parameter. Project A generates 54 million of undiscounted inflows, Project B 55 million and Project C 65 million, and would have an initial investment of £50 million, which would be injected into each project. Linear write-down to zero = £10 million yearly per project. Recent studies on capital-budgeting prove that organizations often integrate NPV, IRR and payback since they represent various </w:t>
      </w:r>
      <w:r w:rsidRPr="002D76EA">
        <w:rPr>
          <w:rFonts w:ascii="Arial" w:hAnsi="Arial" w:cs="Arial"/>
        </w:rPr>
        <w:lastRenderedPageBreak/>
        <w:t>aspects of investment performance (Mota and Moreira, 2023). Sinaga et al. (2023) also draw a line between discounted value measurements and the less complex payback method. Project C as shown in Table 3 prevails in the alternatives in all measures that were taken in the brief.</w:t>
      </w:r>
    </w:p>
    <w:p w14:paraId="2828852A" w14:textId="0C3F6E4D" w:rsidR="0084407E" w:rsidRDefault="0084407E" w:rsidP="0084407E">
      <w:pPr>
        <w:jc w:val="center"/>
        <w:rPr>
          <w:rFonts w:ascii="Arial" w:hAnsi="Arial" w:cs="Arial"/>
          <w:b/>
          <w:bCs/>
        </w:rPr>
      </w:pPr>
      <w:r w:rsidRPr="0084407E">
        <w:rPr>
          <w:noProof/>
        </w:rPr>
        <w:drawing>
          <wp:inline distT="0" distB="0" distL="0" distR="0" wp14:anchorId="61E6DC7A" wp14:editId="5B1F321E">
            <wp:extent cx="5267325" cy="10320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2190" cy="1034994"/>
                    </a:xfrm>
                    <a:prstGeom prst="rect">
                      <a:avLst/>
                    </a:prstGeom>
                    <a:noFill/>
                    <a:ln>
                      <a:noFill/>
                    </a:ln>
                  </pic:spPr>
                </pic:pic>
              </a:graphicData>
            </a:graphic>
          </wp:inline>
        </w:drawing>
      </w:r>
    </w:p>
    <w:p w14:paraId="64B2010C" w14:textId="020BADC1" w:rsidR="0084407E" w:rsidRDefault="0084407E" w:rsidP="0084407E">
      <w:pPr>
        <w:jc w:val="center"/>
        <w:rPr>
          <w:rFonts w:ascii="Arial" w:hAnsi="Arial" w:cs="Arial"/>
          <w:b/>
          <w:bCs/>
        </w:rPr>
      </w:pPr>
      <w:r w:rsidRPr="0084407E">
        <w:rPr>
          <w:noProof/>
        </w:rPr>
        <w:drawing>
          <wp:inline distT="0" distB="0" distL="0" distR="0" wp14:anchorId="2A492C68" wp14:editId="7E07887A">
            <wp:extent cx="3867150" cy="1543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67150" cy="1543050"/>
                    </a:xfrm>
                    <a:prstGeom prst="rect">
                      <a:avLst/>
                    </a:prstGeom>
                    <a:noFill/>
                    <a:ln>
                      <a:noFill/>
                    </a:ln>
                  </pic:spPr>
                </pic:pic>
              </a:graphicData>
            </a:graphic>
          </wp:inline>
        </w:drawing>
      </w:r>
    </w:p>
    <w:p w14:paraId="14234DD1" w14:textId="0501911C" w:rsidR="0084407E" w:rsidRDefault="0084407E" w:rsidP="0084407E">
      <w:pPr>
        <w:jc w:val="center"/>
        <w:rPr>
          <w:rFonts w:ascii="Arial" w:hAnsi="Arial" w:cs="Arial"/>
          <w:b/>
          <w:bCs/>
        </w:rPr>
      </w:pPr>
      <w:r w:rsidRPr="0084407E">
        <w:rPr>
          <w:rFonts w:ascii="Arial" w:hAnsi="Arial" w:cs="Arial"/>
          <w:b/>
          <w:bCs/>
        </w:rPr>
        <w:t>Table 3. Investment appraisal results</w:t>
      </w:r>
    </w:p>
    <w:p w14:paraId="742785DF" w14:textId="2F2E01FA" w:rsidR="0084407E" w:rsidRDefault="0084407E" w:rsidP="0084407E">
      <w:pPr>
        <w:jc w:val="center"/>
        <w:rPr>
          <w:rFonts w:ascii="Arial" w:hAnsi="Arial" w:cs="Arial"/>
          <w:b/>
          <w:bCs/>
        </w:rPr>
      </w:pPr>
      <w:r>
        <w:rPr>
          <w:rFonts w:ascii="Arial" w:hAnsi="Arial" w:cs="Arial"/>
          <w:b/>
          <w:bCs/>
          <w:noProof/>
        </w:rPr>
        <w:drawing>
          <wp:inline distT="0" distB="0" distL="0" distR="0" wp14:anchorId="409DC1D7" wp14:editId="06EFC2EA">
            <wp:extent cx="4514850" cy="25366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8375" cy="2538584"/>
                    </a:xfrm>
                    <a:prstGeom prst="rect">
                      <a:avLst/>
                    </a:prstGeom>
                    <a:noFill/>
                  </pic:spPr>
                </pic:pic>
              </a:graphicData>
            </a:graphic>
          </wp:inline>
        </w:drawing>
      </w:r>
    </w:p>
    <w:p w14:paraId="6BF32A23" w14:textId="3172D2B8" w:rsidR="0084407E" w:rsidRPr="0084407E" w:rsidRDefault="0084407E" w:rsidP="0084407E">
      <w:pPr>
        <w:jc w:val="center"/>
        <w:rPr>
          <w:rFonts w:ascii="Arial" w:hAnsi="Arial" w:cs="Arial"/>
          <w:b/>
          <w:bCs/>
        </w:rPr>
      </w:pPr>
      <w:r w:rsidRPr="0084407E">
        <w:rPr>
          <w:rFonts w:ascii="Arial" w:hAnsi="Arial" w:cs="Arial"/>
          <w:b/>
          <w:bCs/>
        </w:rPr>
        <w:t xml:space="preserve">Figure </w:t>
      </w:r>
      <w:r>
        <w:rPr>
          <w:rFonts w:ascii="Arial" w:hAnsi="Arial" w:cs="Arial"/>
          <w:b/>
          <w:bCs/>
        </w:rPr>
        <w:t>2</w:t>
      </w:r>
      <w:r w:rsidRPr="0084407E">
        <w:rPr>
          <w:rFonts w:ascii="Arial" w:hAnsi="Arial" w:cs="Arial"/>
          <w:b/>
          <w:bCs/>
        </w:rPr>
        <w:t xml:space="preserve">: </w:t>
      </w:r>
      <w:r>
        <w:rPr>
          <w:rFonts w:ascii="Arial" w:hAnsi="Arial" w:cs="Arial"/>
          <w:b/>
          <w:bCs/>
        </w:rPr>
        <w:t>NPV</w:t>
      </w:r>
    </w:p>
    <w:p w14:paraId="45539A2E" w14:textId="77777777" w:rsidR="002D76EA" w:rsidRPr="002D76EA" w:rsidRDefault="002D76EA" w:rsidP="002D76EA">
      <w:pPr>
        <w:rPr>
          <w:rFonts w:ascii="Arial" w:hAnsi="Arial" w:cs="Arial"/>
        </w:rPr>
      </w:pPr>
      <w:r w:rsidRPr="002D76EA">
        <w:rPr>
          <w:rFonts w:ascii="Arial" w:hAnsi="Arial" w:cs="Arial"/>
        </w:rPr>
        <w:t xml:space="preserve">The investment of Project C is supported by Payback since the project will break even after 3.6 years, as compared to 4.5 and 4.55 years of investment in Project A and B respectively. It can be applied to IHG since the ratio of the current assets is lower than one and quicker recovery of capital minimizes the duration of liquidity being held up. Payback however does not consider time value of money and post-recovery cash flows </w:t>
      </w:r>
      <w:r w:rsidRPr="002D76EA">
        <w:rPr>
          <w:rFonts w:ascii="Arial" w:hAnsi="Arial" w:cs="Arial"/>
        </w:rPr>
        <w:lastRenderedPageBreak/>
        <w:t>that may make an economically inferior project seem appealing (Sinaga et al., 2023). Capital-budgeting studies thus reveal that companies tend to combine payback and more advanced discounted methods, instead of having them as alternatives (Mota and Moreira, 2023). The payback of project C is thus facilitative and not decisive. In general, payback makes the case of C more convincing since an actual liquidity motive of IHG to appreciate the past recovery is present, yet the determination of shareholder value should be made by use of discounted cash flow.</w:t>
      </w:r>
    </w:p>
    <w:p w14:paraId="334EB86B" w14:textId="77777777" w:rsidR="002D76EA" w:rsidRPr="002D76EA" w:rsidRDefault="002D76EA" w:rsidP="002D76EA">
      <w:pPr>
        <w:rPr>
          <w:rFonts w:ascii="Arial" w:hAnsi="Arial" w:cs="Arial"/>
        </w:rPr>
      </w:pPr>
      <w:r w:rsidRPr="002D76EA">
        <w:rPr>
          <w:rFonts w:ascii="Arial" w:hAnsi="Arial" w:cs="Arial"/>
        </w:rPr>
        <w:t>ARR generates identical ranking but with lesser evidence since it evaluates accounting returns as opposed to discounted cash value. Project A, Project B and Project C yield an ARR of only 1.6, 2.0 and 6.0 respectively. Positive ARR fails to create economic acceptability as a project may report a positive accounting profit and still less than the amount that is needed by investors. Comparative studies of capital-budgeting techniques claim that discounted techniques offer a more detailed picture of investment worth in circumstances whereby the timing of cash flows vary (Purnamasari and Adriza, 2024). This weakness is significant to IHGA as by 2025 it already has strong financial performance with its operating margin standing at 23.09, so any project with low returns that is taken due to the positive ARR will only dilute the capital productivity. Project C is most robust on ARR, but even its 6% amount cannot be used alone to promote its approval. Thus, ARR should be rather considered as a secondary accounting indicator and not the core of the investment decision.</w:t>
      </w:r>
    </w:p>
    <w:p w14:paraId="6E05B550" w14:textId="77777777" w:rsidR="002D76EA" w:rsidRPr="002D76EA" w:rsidRDefault="002D76EA" w:rsidP="002D76EA">
      <w:pPr>
        <w:rPr>
          <w:rFonts w:ascii="Arial" w:hAnsi="Arial" w:cs="Arial"/>
        </w:rPr>
      </w:pPr>
      <w:r w:rsidRPr="002D76EA">
        <w:rPr>
          <w:rFonts w:ascii="Arial" w:hAnsi="Arial" w:cs="Arial"/>
        </w:rPr>
        <w:t xml:space="preserve">The NPV has the best decision criterion since it directly quantifies the incremental present value generated by applying the necessary 8% return. Project A kills 6.544 million pounds worth and Project B kills 6.080 million but, Project C generates 0.858 million pounds. There is capital-budgeting evidence that NPV is an effective central economic decision tool since it includes the time value of money and considers absolute value creation (Purnamasari and Adriza, 2024). This conclusion can be supported by the profitability index since only £0.869 and 0.878 of discounted inflow per pound of investment are generated by A and B, respectively, as compared to C, which generates about 1.017. IHG should thus reject A and B irrespective of their positive undiscounted total inflows. But the NPV of C is only 1.7 of its initial investment of £50 million, which does not offer much insurance against forecast error. Therefore, Project C is viable at the base case, but with </w:t>
      </w:r>
      <w:r w:rsidRPr="002D76EA">
        <w:rPr>
          <w:rFonts w:ascii="Arial" w:hAnsi="Arial" w:cs="Arial"/>
        </w:rPr>
        <w:lastRenderedPageBreak/>
        <w:t>its narrow value spread, it needs to have stricter risk management than its positive NPV alone would initially indicate.</w:t>
      </w:r>
    </w:p>
    <w:p w14:paraId="376D7EE4" w14:textId="6C09B319" w:rsidR="0084407E" w:rsidRPr="0084407E" w:rsidRDefault="002D76EA" w:rsidP="002D76EA">
      <w:pPr>
        <w:rPr>
          <w:rFonts w:ascii="Arial" w:hAnsi="Arial" w:cs="Arial"/>
        </w:rPr>
      </w:pPr>
      <w:r w:rsidRPr="002D76EA">
        <w:rPr>
          <w:rFonts w:ascii="Arial" w:hAnsi="Arial" w:cs="Arial"/>
        </w:rPr>
        <w:t>IRR comes to the same conclusion with the small margin of safety being especially noticeable. In Project A, the IRR would be around 2.72% and Project B 3.26, which is significantly lower than the required rate of 8% whereas in Project C, it would be around 8.59. Studies that compare NPV and IRR highlight that IRR is convenient to communicate the threshold of a percentage of returns but must be used in conjunction with NPV and not mechanically when project cash-flow patterns vary (Sinaga et al., 2023). Project C is only marginally beating the rate of the hurdle (approximately, 0.59 percentage points) which implies that slight cost increase, slower cash flows or reduced demand will eliminate its economic benefit. This is particularly crucial when the inflation in the UK hospitality sector is still high and the finance facilities are tighter than during the low-rate period (Bank of England, 2026). Thus, C must be approved with post-approval surveillance of the timing of the cash-flow and the project-specific risk instead of being considered to be comfortably above the acceptance criterion.</w:t>
      </w:r>
    </w:p>
    <w:p w14:paraId="7EA9C545" w14:textId="77777777" w:rsidR="0084407E" w:rsidRPr="0084407E" w:rsidRDefault="0084407E" w:rsidP="00121645">
      <w:pPr>
        <w:pStyle w:val="Heading2"/>
      </w:pPr>
      <w:bookmarkStart w:id="17" w:name="_Toc237529843"/>
      <w:r w:rsidRPr="0084407E">
        <w:t>5.2 Financial and non-financial recommendation</w:t>
      </w:r>
      <w:bookmarkEnd w:id="17"/>
    </w:p>
    <w:p w14:paraId="1EB0E8C6" w14:textId="77777777" w:rsidR="002D76EA" w:rsidRPr="002D76EA" w:rsidRDefault="002D76EA" w:rsidP="002D76EA">
      <w:pPr>
        <w:rPr>
          <w:rFonts w:ascii="Arial" w:hAnsi="Arial" w:cs="Arial"/>
        </w:rPr>
      </w:pPr>
      <w:r w:rsidRPr="002D76EA">
        <w:rPr>
          <w:rFonts w:ascii="Arial" w:hAnsi="Arial" w:cs="Arial"/>
        </w:rPr>
        <w:t>The right project to invest in IHG is Project C since it generates value and also recovers capital quicker than the other alternatives, although it should be chosen conditionally on strategic fit. The ability of IHG to finance a project of £50 million is backed by its high profitability and operating cash flow of $898 million, but the current ratio of 0.976 and net debt/Adjusted EBITDA of 2.5 times say that it is not worth investing in multiple marginal projects at the same time. The 2025 performance of IHG indicates that it has continued to invest and generate returns to its shareholders and maintain a strict leverage policy (IHG, 2026a). The non-financial screening is also to check on geographic political risk, exposure to local currency, involvement of the owners, regulatory approvals and impact on customer loyalty. Surveys show that customer satisfaction levels and service delivery at hotels may be part of financial-performance implications, i.e. that the forecasted cash flows are not entirely independent of customer reaction (Skordoulis et al., 2024). Thus, C must advance in areas where its positioning, brand positioning and operating design cushion the already-low positive financial margin.</w:t>
      </w:r>
    </w:p>
    <w:p w14:paraId="2C8C2429" w14:textId="03DEA9CF" w:rsidR="0084407E" w:rsidRPr="0084407E" w:rsidRDefault="002D76EA" w:rsidP="002D76EA">
      <w:pPr>
        <w:rPr>
          <w:rFonts w:ascii="Arial" w:hAnsi="Arial" w:cs="Arial"/>
        </w:rPr>
      </w:pPr>
      <w:r w:rsidRPr="002D76EA">
        <w:rPr>
          <w:rFonts w:ascii="Arial" w:hAnsi="Arial" w:cs="Arial"/>
        </w:rPr>
        <w:lastRenderedPageBreak/>
        <w:t>The risks of sustainability and loyalty are yet another reason that requires the project-specific due diligence. IHG has a global network where decisions made regarding investments can impact brand perception even in other projects and sustainability research shows that environmentally friendly hotel management practices can enhance intentions to come back (Dedat and Rodrigues, 2025). The carbon strategy of IHG itself focuses on energy-saving, lowering operating-cost, securing resources and reducing risk to the owners of the hotels (IHG, 2025d). This means that under Project C, the cost of energy, the amount of carbon it will need and the economics of the owner should be stress-tested alongside the cash-flow forecast provided. This becomes especially crucial since its IRR is less than one percentage point away than the hurdle rate. A project of higher environmental design can help in lessening the operating exposure in future but a costly sustainability specification that does not provide compensating savings might also eliminate the NPV of C. Therefore, non-financial factors ought to alter the project forecast as opposed to dominating the basic demand of positive economic value.</w:t>
      </w:r>
    </w:p>
    <w:p w14:paraId="1753FA16" w14:textId="77777777" w:rsidR="0084407E" w:rsidRPr="0084407E" w:rsidRDefault="0084407E" w:rsidP="00121645">
      <w:pPr>
        <w:pStyle w:val="Heading2"/>
      </w:pPr>
      <w:bookmarkStart w:id="18" w:name="_Toc237529844"/>
      <w:r w:rsidRPr="0084407E">
        <w:t>5.3 Capital rationing under the £100 million ceiling</w:t>
      </w:r>
      <w:bookmarkEnd w:id="18"/>
    </w:p>
    <w:p w14:paraId="0BADD285" w14:textId="770DC650" w:rsidR="0084407E" w:rsidRDefault="002D76EA" w:rsidP="0084407E">
      <w:pPr>
        <w:rPr>
          <w:rFonts w:ascii="Arial" w:hAnsi="Arial" w:cs="Arial"/>
        </w:rPr>
      </w:pPr>
      <w:r w:rsidRPr="002D76EA">
        <w:rPr>
          <w:rFonts w:ascii="Arial" w:hAnsi="Arial" w:cs="Arial"/>
        </w:rPr>
        <w:t>The 100 million limit is a maximum amount of investment as opposed to spending the entire amount. Since each project will require a cost of 50 million pounds, IHG has the option of choosing any two projects but capital rationing would entail that the combination that provides the highest value is chosen and not the use of the funds. This profitability index is especially insightful in situations with limited capital since it presents discounted benefits in comparison with capital invested, but absolute NPV is necessary to maximise shareholder-value (Mota and Moreira, 2023). Table 4 indicates that all the two-project combinations give a negative aggregate NPV.</w:t>
      </w:r>
    </w:p>
    <w:p w14:paraId="5BC3990F" w14:textId="4E729FC5" w:rsidR="00121645" w:rsidRPr="0084407E" w:rsidRDefault="00121645" w:rsidP="00121645">
      <w:pPr>
        <w:jc w:val="center"/>
        <w:rPr>
          <w:rFonts w:ascii="Arial" w:hAnsi="Arial" w:cs="Arial"/>
        </w:rPr>
      </w:pPr>
      <w:r w:rsidRPr="00121645">
        <w:rPr>
          <w:noProof/>
        </w:rPr>
        <w:drawing>
          <wp:inline distT="0" distB="0" distL="0" distR="0" wp14:anchorId="5A7E6217" wp14:editId="5A76D53A">
            <wp:extent cx="5467350" cy="195037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74160" cy="1952801"/>
                    </a:xfrm>
                    <a:prstGeom prst="rect">
                      <a:avLst/>
                    </a:prstGeom>
                    <a:noFill/>
                    <a:ln>
                      <a:noFill/>
                    </a:ln>
                  </pic:spPr>
                </pic:pic>
              </a:graphicData>
            </a:graphic>
          </wp:inline>
        </w:drawing>
      </w:r>
    </w:p>
    <w:p w14:paraId="2671F875" w14:textId="77777777" w:rsidR="0084407E" w:rsidRPr="0084407E" w:rsidRDefault="0084407E" w:rsidP="00121645">
      <w:pPr>
        <w:jc w:val="center"/>
        <w:rPr>
          <w:rFonts w:ascii="Arial" w:hAnsi="Arial" w:cs="Arial"/>
          <w:b/>
          <w:bCs/>
        </w:rPr>
      </w:pPr>
      <w:r w:rsidRPr="0084407E">
        <w:rPr>
          <w:rFonts w:ascii="Arial" w:hAnsi="Arial" w:cs="Arial"/>
          <w:b/>
          <w:bCs/>
        </w:rPr>
        <w:lastRenderedPageBreak/>
        <w:t>Table 4. Capital-rationing alternatives</w:t>
      </w:r>
    </w:p>
    <w:p w14:paraId="6F1E8248" w14:textId="77777777" w:rsidR="002D76EA" w:rsidRPr="002D76EA" w:rsidRDefault="002D76EA" w:rsidP="002D76EA">
      <w:pPr>
        <w:rPr>
          <w:rFonts w:ascii="Arial" w:hAnsi="Arial" w:cs="Arial"/>
        </w:rPr>
      </w:pPr>
      <w:r w:rsidRPr="002D76EA">
        <w:rPr>
          <w:rFonts w:ascii="Arial" w:hAnsi="Arial" w:cs="Arial"/>
        </w:rPr>
        <w:t>Even though B+C is the least damaging two-project combination, its acceptance solely due to having available the funds of £100 million would ruin the value of £5.222 million. Thus, the most economically optimal rationing choice would be to invest in C with a 50 million pound and hold the rest 50 million pounds as liquidity, debt repayment or a positive-NPV opportunity in the future.</w:t>
      </w:r>
    </w:p>
    <w:p w14:paraId="70927AA7" w14:textId="0078ED23" w:rsidR="0084407E" w:rsidRPr="0084407E" w:rsidRDefault="002D76EA" w:rsidP="002D76EA">
      <w:pPr>
        <w:rPr>
          <w:rFonts w:ascii="Arial" w:hAnsi="Arial" w:cs="Arial"/>
        </w:rPr>
      </w:pPr>
      <w:r w:rsidRPr="002D76EA">
        <w:rPr>
          <w:rFonts w:ascii="Arial" w:hAnsi="Arial" w:cs="Arial"/>
        </w:rPr>
        <w:t>The hoarding of idle cash is especially justifiable to IHG since financial flexibility now is quantifiably strategic. The earnings of the company are strong, yet net debt has increased and its current ratio is lower than one, and regional demand growth is inhomogeneous. Capital-budgeting studies indicate that advanced methods can be used to enhance the quality of investment decisions when risk is clearly captured as opposed to managers depleting budgeted amounts (Purnamasari and Adriza, 2024). Disciplined capital allocation is also highlighted in the 2025 investor materials of IHG as part of its target leverage framework (IHG, 2025a). The expenditure of the £50 million on B just so that it would get to the £100 million cap would hence be illogical with regards to NPV logic as well as the priorities of the present balance-sheet of IHG. On the whole, Project C, in itself, maximises value and maintains strategic optionality, which is economically better than using all available capital into a negative-NPV portfolio.</w:t>
      </w:r>
    </w:p>
    <w:p w14:paraId="267B1CDA" w14:textId="77777777" w:rsidR="0084407E" w:rsidRPr="0084407E" w:rsidRDefault="0084407E" w:rsidP="00121645">
      <w:pPr>
        <w:pStyle w:val="Heading1"/>
      </w:pPr>
      <w:bookmarkStart w:id="19" w:name="_Toc237529845"/>
      <w:r w:rsidRPr="0084407E">
        <w:t>6. Critical Reflection on AI Usage</w:t>
      </w:r>
      <w:bookmarkEnd w:id="19"/>
    </w:p>
    <w:p w14:paraId="5C0E9CBA" w14:textId="77777777" w:rsidR="0084407E" w:rsidRPr="0084407E" w:rsidRDefault="0084407E" w:rsidP="00121645">
      <w:pPr>
        <w:pStyle w:val="Heading2"/>
      </w:pPr>
      <w:bookmarkStart w:id="20" w:name="_Toc237529846"/>
      <w:r w:rsidRPr="0084407E">
        <w:t>6.1 Tool disclosure and verification</w:t>
      </w:r>
      <w:bookmarkEnd w:id="20"/>
    </w:p>
    <w:p w14:paraId="5257146E" w14:textId="77777777" w:rsidR="00221663" w:rsidRPr="00221663" w:rsidRDefault="00221663" w:rsidP="00221663">
      <w:pPr>
        <w:rPr>
          <w:rFonts w:ascii="Arial" w:hAnsi="Arial" w:cs="Arial"/>
        </w:rPr>
      </w:pPr>
      <w:r w:rsidRPr="00221663">
        <w:rPr>
          <w:rFonts w:ascii="Arial" w:hAnsi="Arial" w:cs="Arial"/>
        </w:rPr>
        <w:t xml:space="preserve">Artificial intelligence usage in this report was carefully restricted in such a way that the financial analysis was made a part and parcel of my own calculations, judgement and interpretation. The application of grammar was done only to detect grammar, spelling and sentence-structure mistakes during the writing process. It was not employed to create financial analysis, ratios, to choose investment projects or make strategic recommendations. The spelling and punctuation and readability were also checked using Microsoft Word proofreading functions before the finalisation of the report. Studies have shown that AI-based writing assistants can enhance the speed and readability of written communication, yet their outputs need to be checked by a human as the automated mechanism may add unsuitable language or change the meaning (Lee et al., 2024). Ridzuan et al. (2024) also claim that the responsible use of AI needs transparency and </w:t>
      </w:r>
      <w:r w:rsidRPr="00221663">
        <w:rPr>
          <w:rFonts w:ascii="Arial" w:hAnsi="Arial" w:cs="Arial"/>
        </w:rPr>
        <w:lastRenderedPageBreak/>
        <w:t>human responsibility. I would thus revise all the proposed corrections prior to its acceptance and was left in charge of the final wording. In general, the tools aided in the accuracy of language as opposed to academic or financial judgement.</w:t>
      </w:r>
    </w:p>
    <w:p w14:paraId="7C3E1991" w14:textId="2C0FB996" w:rsidR="0084407E" w:rsidRPr="0084407E" w:rsidRDefault="00221663" w:rsidP="00221663">
      <w:pPr>
        <w:rPr>
          <w:rFonts w:ascii="Arial" w:hAnsi="Arial" w:cs="Arial"/>
        </w:rPr>
      </w:pPr>
      <w:r w:rsidRPr="00221663">
        <w:rPr>
          <w:rFonts w:ascii="Arial" w:hAnsi="Arial" w:cs="Arial"/>
        </w:rPr>
        <w:t>It was particularly important to be verified since even basic writing-support software may suggest changes that are semantically correct but inappropriate in a financial setting. As an illustration, Grammarly might propose to substitute technical terms with more simple ones, but altering long-established terms like net debt/Adjusted EBITDA, profitability index or cash conversion cycle might decrease the financial precision. I then checked against the original financial meaning all those sentences that had been altered and eliminated any change that diluted technical accuracy. The same was done with the proofreading suggestions of Microsoft Word since automated readability corrections are not aware of the entire context of accounting. Williamson (2024) emphasizes that the results of automated language technologies might seem authoritative yet need close human supervision. According to Nastoska et al. (2025), transparency, robustness, and human validation are also emphasised in the trustful AI usage. As such, presentation quality was only enhanced, thanks to the fact that the suggestions of the proofreading tools were not just blindly accepted.</w:t>
      </w:r>
    </w:p>
    <w:p w14:paraId="7567D1D3" w14:textId="77777777" w:rsidR="0084407E" w:rsidRPr="0084407E" w:rsidRDefault="0084407E" w:rsidP="00121645">
      <w:pPr>
        <w:pStyle w:val="Heading2"/>
      </w:pPr>
      <w:bookmarkStart w:id="21" w:name="_Toc237529847"/>
      <w:r w:rsidRPr="0084407E">
        <w:t>6.2 Contribution, ethics and professional judgement</w:t>
      </w:r>
      <w:bookmarkEnd w:id="21"/>
    </w:p>
    <w:p w14:paraId="2AE97920" w14:textId="35892DE4" w:rsidR="0084407E" w:rsidRPr="0084407E" w:rsidRDefault="00221663" w:rsidP="0084407E">
      <w:pPr>
        <w:rPr>
          <w:rFonts w:ascii="Arial" w:hAnsi="Arial" w:cs="Arial"/>
        </w:rPr>
      </w:pPr>
      <w:r w:rsidRPr="00221663">
        <w:rPr>
          <w:rFonts w:ascii="Arial" w:hAnsi="Arial" w:cs="Arial"/>
        </w:rPr>
        <w:t>The substantive contribution to this report was by me as the financial calculations, explanations and recommendations were made based on the published information on the IHGA, and the finished Excel workbook. Grammarly was only used to correct sentences and refine language and Microsoft Word assisted with proofreading and final presentation. Both tools did not establish the interpretation of the liquidity, leverage, profitability or working-capital position of IHG and neither chosen Project C nor determined the decision of capital-rationing of £100 million. It has been proposed that technology has potential to enhance efficiency in financial reporting, however, professional judgement and governance is needed where conclusions can influence significant decision making (Alhazmi</w:t>
      </w:r>
      <w:r w:rsidR="00E048A9">
        <w:rPr>
          <w:rFonts w:ascii="Arial" w:hAnsi="Arial" w:cs="Arial"/>
        </w:rPr>
        <w:t xml:space="preserve"> et al.</w:t>
      </w:r>
      <w:r w:rsidRPr="00221663">
        <w:rPr>
          <w:rFonts w:ascii="Arial" w:hAnsi="Arial" w:cs="Arial"/>
        </w:rPr>
        <w:t xml:space="preserve">, 2025). Ethical use also involved the not uploading of confidential financial, customer or employee data into external systems and being open to the restricted purpose of automated tools. So, Grammarly and Microsoft </w:t>
      </w:r>
      <w:r w:rsidRPr="00221663">
        <w:rPr>
          <w:rFonts w:ascii="Arial" w:hAnsi="Arial" w:cs="Arial"/>
        </w:rPr>
        <w:lastRenderedPageBreak/>
        <w:t>Word improved the readability and professionalism of the report, and it was my responsibility to do the financial reasoning, evidence, and final recommendations.</w:t>
      </w:r>
    </w:p>
    <w:p w14:paraId="62188207" w14:textId="77777777" w:rsidR="0084407E" w:rsidRPr="0084407E" w:rsidRDefault="0084407E" w:rsidP="00121645">
      <w:pPr>
        <w:pStyle w:val="Heading1"/>
      </w:pPr>
      <w:bookmarkStart w:id="22" w:name="_Toc237529848"/>
      <w:r w:rsidRPr="0084407E">
        <w:t>7. Conclusion</w:t>
      </w:r>
      <w:bookmarkEnd w:id="22"/>
    </w:p>
    <w:p w14:paraId="3574B0F4" w14:textId="77777777" w:rsidR="00221663" w:rsidRPr="00221663" w:rsidRDefault="00221663" w:rsidP="00221663">
      <w:pPr>
        <w:rPr>
          <w:rFonts w:ascii="Arial" w:hAnsi="Arial" w:cs="Arial"/>
        </w:rPr>
      </w:pPr>
      <w:r w:rsidRPr="00221663">
        <w:rPr>
          <w:rFonts w:ascii="Arial" w:hAnsi="Arial" w:cs="Arial"/>
        </w:rPr>
        <w:t>This report was commissioned with the objective of appraising the five-year financial performance of IHG Hotels and Resorts and come up with financial recommendations that were financially viable in terms of working capital, restructuring and future investment. The analysis concludes that IHG is significantly better in profitability and cash generation as compared to the year 2021 and revenue, operating profit, margins and returns on assets are significantly better. But the financial position of the company is not equally stronger since the conventional liquidity is lower than one, absolute debt is higher, accounting equity is negative and net debt/Adjusted EBITDA has gone back to 2.5 times. The business recovery is thus not a financial challenge, but rather maintenance of flexibility in balance sheet whilst it attempts to generate shareholder value.</w:t>
      </w:r>
    </w:p>
    <w:p w14:paraId="16E4C383" w14:textId="3F422012" w:rsidR="0084407E" w:rsidRPr="0084407E" w:rsidRDefault="00221663" w:rsidP="00221663">
      <w:pPr>
        <w:rPr>
          <w:rFonts w:ascii="Arial" w:hAnsi="Arial" w:cs="Arial"/>
        </w:rPr>
      </w:pPr>
      <w:r w:rsidRPr="00221663">
        <w:rPr>
          <w:rFonts w:ascii="Arial" w:hAnsi="Arial" w:cs="Arial"/>
        </w:rPr>
        <w:t xml:space="preserve">An analysis of working-capital shows that IHG has an odd negative cash conversion cycle, but the interpretation should be based on the asset-light accounting structure of the group. The best answer is to enhance the collection of receivables, keep payment terms and use commercial terms short-term financing should only be used to meet short-term liquidity needs. IHG does not need an equity restructuring that is in distress. The decision of investment is also quite evident. Project A and B ruin shareholder value below the 8% hurdle rate, but Project C is the only proposal that has a positive NPV, PI exceeding one and IRR higher than the hurdle rate. However, its NPV of 0.858 million and 8.59% IRR only offer a small margin of safety and monitoring risks is necessary. Project C will then have an investment of only £50 million instead of the actual 100 million invested in the project by IHG under capital rationing since all two project </w:t>
      </w:r>
      <w:r w:rsidR="00E048A9" w:rsidRPr="00221663">
        <w:rPr>
          <w:rFonts w:ascii="Arial" w:hAnsi="Arial" w:cs="Arial"/>
        </w:rPr>
        <w:t>portfolios</w:t>
      </w:r>
      <w:r w:rsidRPr="00221663">
        <w:rPr>
          <w:rFonts w:ascii="Arial" w:hAnsi="Arial" w:cs="Arial"/>
        </w:rPr>
        <w:t xml:space="preserve"> will have negative NPV. Disciplined selectivity is then the best future financial plan: defend liquidity, manage leverage and commit capital only where the anticipated payoff has proven to be greater than its economic and strategic risk.</w:t>
      </w:r>
    </w:p>
    <w:p w14:paraId="3BD593DA" w14:textId="77777777" w:rsidR="00121645" w:rsidRDefault="00121645">
      <w:pPr>
        <w:spacing w:after="160" w:line="259" w:lineRule="auto"/>
        <w:jc w:val="left"/>
        <w:rPr>
          <w:rFonts w:ascii="Arial" w:hAnsi="Arial" w:cs="Arial"/>
          <w:b/>
          <w:bCs/>
        </w:rPr>
      </w:pPr>
      <w:r>
        <w:rPr>
          <w:rFonts w:ascii="Arial" w:hAnsi="Arial" w:cs="Arial"/>
          <w:b/>
          <w:bCs/>
        </w:rPr>
        <w:br w:type="page"/>
      </w:r>
    </w:p>
    <w:p w14:paraId="612D3CEC" w14:textId="53A6AA06" w:rsidR="0084407E" w:rsidRPr="0084407E" w:rsidRDefault="0084407E" w:rsidP="00121645">
      <w:pPr>
        <w:pStyle w:val="Heading1"/>
      </w:pPr>
      <w:bookmarkStart w:id="23" w:name="_Toc237529849"/>
      <w:r w:rsidRPr="0084407E">
        <w:lastRenderedPageBreak/>
        <w:t>Reference List</w:t>
      </w:r>
      <w:bookmarkEnd w:id="23"/>
    </w:p>
    <w:p w14:paraId="1F871CC0" w14:textId="633CCD8C" w:rsidR="0084407E" w:rsidRPr="0084407E" w:rsidRDefault="0084407E" w:rsidP="0084407E">
      <w:pPr>
        <w:rPr>
          <w:rFonts w:ascii="Arial" w:hAnsi="Arial" w:cs="Arial"/>
        </w:rPr>
      </w:pPr>
      <w:r w:rsidRPr="0084407E">
        <w:rPr>
          <w:rFonts w:ascii="Arial" w:hAnsi="Arial" w:cs="Arial"/>
        </w:rPr>
        <w:t xml:space="preserve">Ahmad, M., Bashir, R. and Waqas, H. (2022) 'Working capital management and firm performance: Are their effects same in COVID-19 compared to financial crisis 2008?', </w:t>
      </w:r>
      <w:r w:rsidRPr="0084407E">
        <w:rPr>
          <w:rFonts w:ascii="Arial" w:hAnsi="Arial" w:cs="Arial"/>
          <w:i/>
          <w:iCs/>
        </w:rPr>
        <w:t>Cogent Economics &amp; Finance</w:t>
      </w:r>
      <w:r w:rsidRPr="0084407E">
        <w:rPr>
          <w:rFonts w:ascii="Arial" w:hAnsi="Arial" w:cs="Arial"/>
        </w:rPr>
        <w:t xml:space="preserve">, 10(1), 2101224. Available at: </w:t>
      </w:r>
      <w:hyperlink r:id="rId16" w:history="1">
        <w:r w:rsidR="003C16B8" w:rsidRPr="0084407E">
          <w:rPr>
            <w:rStyle w:val="Hyperlink"/>
            <w:rFonts w:ascii="Arial" w:hAnsi="Arial" w:cs="Arial"/>
          </w:rPr>
          <w:t>https://doi.org/10.1080/23322039.2022.2101224</w:t>
        </w:r>
      </w:hyperlink>
      <w:r w:rsidR="003C16B8">
        <w:rPr>
          <w:rFonts w:ascii="Arial" w:hAnsi="Arial" w:cs="Arial"/>
        </w:rPr>
        <w:t xml:space="preserve"> </w:t>
      </w:r>
    </w:p>
    <w:p w14:paraId="1D66C4A0" w14:textId="78961A05" w:rsidR="0084407E" w:rsidRPr="0084407E" w:rsidRDefault="0084407E" w:rsidP="0084407E">
      <w:pPr>
        <w:rPr>
          <w:rFonts w:ascii="Arial" w:hAnsi="Arial" w:cs="Arial"/>
        </w:rPr>
      </w:pPr>
      <w:r w:rsidRPr="0084407E">
        <w:rPr>
          <w:rFonts w:ascii="Arial" w:hAnsi="Arial" w:cs="Arial"/>
        </w:rPr>
        <w:t xml:space="preserve">Alhazmi, A.H.J., Islam, S.M.N. and Prokofieva, M. (2025) 'The impact of artificial intelligence adoption on the quality of financial reports on the Saudi Stock Exchange', </w:t>
      </w:r>
      <w:r w:rsidRPr="0084407E">
        <w:rPr>
          <w:rFonts w:ascii="Arial" w:hAnsi="Arial" w:cs="Arial"/>
          <w:i/>
          <w:iCs/>
        </w:rPr>
        <w:t>International Journal of Financial Studies</w:t>
      </w:r>
      <w:r w:rsidRPr="0084407E">
        <w:rPr>
          <w:rFonts w:ascii="Arial" w:hAnsi="Arial" w:cs="Arial"/>
        </w:rPr>
        <w:t xml:space="preserve">, 13(1), 21. Available at: </w:t>
      </w:r>
      <w:hyperlink r:id="rId17" w:history="1">
        <w:r w:rsidR="003C16B8" w:rsidRPr="0084407E">
          <w:rPr>
            <w:rStyle w:val="Hyperlink"/>
            <w:rFonts w:ascii="Arial" w:hAnsi="Arial" w:cs="Arial"/>
          </w:rPr>
          <w:t>https://doi.org/10.3390/ijfs13010021</w:t>
        </w:r>
      </w:hyperlink>
      <w:r w:rsidR="003C16B8">
        <w:rPr>
          <w:rFonts w:ascii="Arial" w:hAnsi="Arial" w:cs="Arial"/>
        </w:rPr>
        <w:t xml:space="preserve"> </w:t>
      </w:r>
    </w:p>
    <w:p w14:paraId="0A91DD8F" w14:textId="2C789B41" w:rsidR="0084407E" w:rsidRPr="0084407E" w:rsidRDefault="0084407E" w:rsidP="0084407E">
      <w:pPr>
        <w:rPr>
          <w:rFonts w:ascii="Arial" w:hAnsi="Arial" w:cs="Arial"/>
        </w:rPr>
      </w:pPr>
      <w:r w:rsidRPr="0084407E">
        <w:rPr>
          <w:rFonts w:ascii="Arial" w:hAnsi="Arial" w:cs="Arial"/>
        </w:rPr>
        <w:t xml:space="preserve">Chambers, N. and Cifter, A. (2022) 'Working capital management and firm performance in the hospitality and tourism industry', </w:t>
      </w:r>
      <w:r w:rsidRPr="0084407E">
        <w:rPr>
          <w:rFonts w:ascii="Arial" w:hAnsi="Arial" w:cs="Arial"/>
          <w:i/>
          <w:iCs/>
        </w:rPr>
        <w:t>International Journal of Hospitality Management</w:t>
      </w:r>
      <w:r w:rsidRPr="0084407E">
        <w:rPr>
          <w:rFonts w:ascii="Arial" w:hAnsi="Arial" w:cs="Arial"/>
        </w:rPr>
        <w:t xml:space="preserve">, 102, 103144. Available at: </w:t>
      </w:r>
      <w:hyperlink r:id="rId18" w:history="1">
        <w:r w:rsidR="003C16B8" w:rsidRPr="0084407E">
          <w:rPr>
            <w:rStyle w:val="Hyperlink"/>
            <w:rFonts w:ascii="Arial" w:hAnsi="Arial" w:cs="Arial"/>
          </w:rPr>
          <w:t>https://doi.org/10.1016/j.ijhm.2022.103144</w:t>
        </w:r>
      </w:hyperlink>
      <w:r w:rsidR="003C16B8">
        <w:rPr>
          <w:rFonts w:ascii="Arial" w:hAnsi="Arial" w:cs="Arial"/>
        </w:rPr>
        <w:t xml:space="preserve"> </w:t>
      </w:r>
    </w:p>
    <w:p w14:paraId="18ED699A" w14:textId="318D07F8" w:rsidR="0084407E" w:rsidRPr="0084407E" w:rsidRDefault="0084407E" w:rsidP="0084407E">
      <w:pPr>
        <w:rPr>
          <w:rFonts w:ascii="Arial" w:hAnsi="Arial" w:cs="Arial"/>
        </w:rPr>
      </w:pPr>
      <w:r w:rsidRPr="0084407E">
        <w:rPr>
          <w:rFonts w:ascii="Arial" w:hAnsi="Arial" w:cs="Arial"/>
        </w:rPr>
        <w:t xml:space="preserve">Dedat, S. and Rodrigues, R.I. (2025) 'Perceived sustainability improves guest loyalty in hospitality sector', </w:t>
      </w:r>
      <w:r w:rsidRPr="0084407E">
        <w:rPr>
          <w:rFonts w:ascii="Arial" w:hAnsi="Arial" w:cs="Arial"/>
          <w:i/>
          <w:iCs/>
        </w:rPr>
        <w:t>Frontiers in Sustainability</w:t>
      </w:r>
      <w:r w:rsidRPr="0084407E">
        <w:rPr>
          <w:rFonts w:ascii="Arial" w:hAnsi="Arial" w:cs="Arial"/>
        </w:rPr>
        <w:t xml:space="preserve">. Available at: </w:t>
      </w:r>
      <w:hyperlink r:id="rId19" w:history="1">
        <w:r w:rsidR="003C16B8" w:rsidRPr="0084407E">
          <w:rPr>
            <w:rStyle w:val="Hyperlink"/>
            <w:rFonts w:ascii="Arial" w:hAnsi="Arial" w:cs="Arial"/>
          </w:rPr>
          <w:t>https://doi.org/10.3389/frsus.2025.1628871</w:t>
        </w:r>
      </w:hyperlink>
      <w:r w:rsidR="003C16B8">
        <w:rPr>
          <w:rFonts w:ascii="Arial" w:hAnsi="Arial" w:cs="Arial"/>
        </w:rPr>
        <w:t xml:space="preserve"> </w:t>
      </w:r>
    </w:p>
    <w:p w14:paraId="66F90AB1" w14:textId="697FFF8C" w:rsidR="0084407E" w:rsidRPr="0084407E" w:rsidRDefault="005F0E88" w:rsidP="0084407E">
      <w:pPr>
        <w:rPr>
          <w:rFonts w:ascii="Arial" w:hAnsi="Arial" w:cs="Arial"/>
        </w:rPr>
      </w:pPr>
      <w:r w:rsidRPr="005F0E88">
        <w:rPr>
          <w:rFonts w:ascii="Arial" w:hAnsi="Arial" w:cs="Arial"/>
        </w:rPr>
        <w:t>Lee, D.K.C., Guan, C., Yu, Y. and Ding, Q.</w:t>
      </w:r>
      <w:r w:rsidR="0084407E" w:rsidRPr="0084407E">
        <w:rPr>
          <w:rFonts w:ascii="Arial" w:hAnsi="Arial" w:cs="Arial"/>
        </w:rPr>
        <w:t xml:space="preserve"> (2024) 'A comprehensive review of generative AI in finance', </w:t>
      </w:r>
      <w:r w:rsidR="0084407E" w:rsidRPr="0084407E">
        <w:rPr>
          <w:rFonts w:ascii="Arial" w:hAnsi="Arial" w:cs="Arial"/>
          <w:i/>
          <w:iCs/>
        </w:rPr>
        <w:t>FinTech</w:t>
      </w:r>
      <w:r w:rsidR="0084407E" w:rsidRPr="0084407E">
        <w:rPr>
          <w:rFonts w:ascii="Arial" w:hAnsi="Arial" w:cs="Arial"/>
        </w:rPr>
        <w:t xml:space="preserve">, 3(3), 25. Available at: </w:t>
      </w:r>
      <w:hyperlink r:id="rId20" w:history="1">
        <w:r w:rsidR="003C16B8" w:rsidRPr="0084407E">
          <w:rPr>
            <w:rStyle w:val="Hyperlink"/>
            <w:rFonts w:ascii="Arial" w:hAnsi="Arial" w:cs="Arial"/>
          </w:rPr>
          <w:t>https://www.mdpi.com/2674-1032/3/3/25</w:t>
        </w:r>
      </w:hyperlink>
      <w:r w:rsidR="003C16B8">
        <w:rPr>
          <w:rFonts w:ascii="Arial" w:hAnsi="Arial" w:cs="Arial"/>
        </w:rPr>
        <w:t xml:space="preserve"> </w:t>
      </w:r>
    </w:p>
    <w:p w14:paraId="7B1C08A8" w14:textId="2EB12074" w:rsidR="0084407E" w:rsidRPr="0084407E" w:rsidRDefault="0084407E" w:rsidP="0084407E">
      <w:pPr>
        <w:rPr>
          <w:rFonts w:ascii="Arial" w:hAnsi="Arial" w:cs="Arial"/>
        </w:rPr>
      </w:pPr>
      <w:r w:rsidRPr="0084407E">
        <w:rPr>
          <w:rFonts w:ascii="Arial" w:hAnsi="Arial" w:cs="Arial"/>
        </w:rPr>
        <w:t xml:space="preserve">Li, Q., Tang, W. and Li, Z. (2024) 'ESG systems and financial performance in industries with significant environmental impact: A comprehensive analysis', </w:t>
      </w:r>
      <w:r w:rsidRPr="0084407E">
        <w:rPr>
          <w:rFonts w:ascii="Arial" w:hAnsi="Arial" w:cs="Arial"/>
          <w:i/>
          <w:iCs/>
        </w:rPr>
        <w:t>Frontiers in Sustainability</w:t>
      </w:r>
      <w:r w:rsidRPr="0084407E">
        <w:rPr>
          <w:rFonts w:ascii="Arial" w:hAnsi="Arial" w:cs="Arial"/>
        </w:rPr>
        <w:t xml:space="preserve">, 5, 1454822. Available at: </w:t>
      </w:r>
      <w:hyperlink r:id="rId21" w:history="1">
        <w:r w:rsidR="003C16B8" w:rsidRPr="0084407E">
          <w:rPr>
            <w:rStyle w:val="Hyperlink"/>
            <w:rFonts w:ascii="Arial" w:hAnsi="Arial" w:cs="Arial"/>
          </w:rPr>
          <w:t>https://doi.org/10.3389/frsus.2024.1454822</w:t>
        </w:r>
      </w:hyperlink>
      <w:r w:rsidR="003C16B8">
        <w:rPr>
          <w:rFonts w:ascii="Arial" w:hAnsi="Arial" w:cs="Arial"/>
        </w:rPr>
        <w:t xml:space="preserve"> </w:t>
      </w:r>
    </w:p>
    <w:p w14:paraId="7D85057F" w14:textId="55C48591" w:rsidR="0084407E" w:rsidRPr="0084407E" w:rsidRDefault="0084407E" w:rsidP="0084407E">
      <w:pPr>
        <w:rPr>
          <w:rFonts w:ascii="Arial" w:hAnsi="Arial" w:cs="Arial"/>
        </w:rPr>
      </w:pPr>
      <w:r w:rsidRPr="0084407E">
        <w:rPr>
          <w:rFonts w:ascii="Arial" w:hAnsi="Arial" w:cs="Arial"/>
        </w:rPr>
        <w:t xml:space="preserve">Lima Santos, L., Gomes, C., Malheiros, C., Crespo, C. and Bento, C. (2024) 'Factors influencing hotel revenue management in times of crisis: Towards financial sustainability', </w:t>
      </w:r>
      <w:r w:rsidRPr="0084407E">
        <w:rPr>
          <w:rFonts w:ascii="Arial" w:hAnsi="Arial" w:cs="Arial"/>
          <w:i/>
          <w:iCs/>
        </w:rPr>
        <w:t>International Journal of Financial Studies</w:t>
      </w:r>
      <w:r w:rsidRPr="0084407E">
        <w:rPr>
          <w:rFonts w:ascii="Arial" w:hAnsi="Arial" w:cs="Arial"/>
        </w:rPr>
        <w:t xml:space="preserve">, 12(4), 112. Available at: </w:t>
      </w:r>
      <w:hyperlink r:id="rId22" w:history="1">
        <w:r w:rsidR="003C16B8" w:rsidRPr="0084407E">
          <w:rPr>
            <w:rStyle w:val="Hyperlink"/>
            <w:rFonts w:ascii="Arial" w:hAnsi="Arial" w:cs="Arial"/>
          </w:rPr>
          <w:t>https://doi.org/10.3390/ijfs12040112</w:t>
        </w:r>
      </w:hyperlink>
      <w:r w:rsidR="003C16B8">
        <w:rPr>
          <w:rFonts w:ascii="Arial" w:hAnsi="Arial" w:cs="Arial"/>
        </w:rPr>
        <w:t xml:space="preserve"> </w:t>
      </w:r>
    </w:p>
    <w:p w14:paraId="7330CBB3" w14:textId="32093FD5" w:rsidR="0084407E" w:rsidRPr="0084407E" w:rsidRDefault="0084407E" w:rsidP="0084407E">
      <w:pPr>
        <w:rPr>
          <w:rFonts w:ascii="Arial" w:hAnsi="Arial" w:cs="Arial"/>
        </w:rPr>
      </w:pPr>
      <w:r w:rsidRPr="0084407E">
        <w:rPr>
          <w:rFonts w:ascii="Arial" w:hAnsi="Arial" w:cs="Arial"/>
        </w:rPr>
        <w:t xml:space="preserve">Lu, K., Onuk, C.B., Xia, Y. and Zhang, J. (2025) 'ESG ratings and financial performance in the global hospitality industry', </w:t>
      </w:r>
      <w:r w:rsidRPr="0084407E">
        <w:rPr>
          <w:rFonts w:ascii="Arial" w:hAnsi="Arial" w:cs="Arial"/>
          <w:i/>
          <w:iCs/>
        </w:rPr>
        <w:t>Journal of Risk and Financial Management</w:t>
      </w:r>
      <w:r w:rsidRPr="0084407E">
        <w:rPr>
          <w:rFonts w:ascii="Arial" w:hAnsi="Arial" w:cs="Arial"/>
        </w:rPr>
        <w:t xml:space="preserve">, 18(1), 24. Available at: </w:t>
      </w:r>
      <w:hyperlink r:id="rId23" w:history="1">
        <w:r w:rsidR="003C16B8" w:rsidRPr="0084407E">
          <w:rPr>
            <w:rStyle w:val="Hyperlink"/>
            <w:rFonts w:ascii="Arial" w:hAnsi="Arial" w:cs="Arial"/>
          </w:rPr>
          <w:t>https://doi.org/10.3390/jrfm18010024</w:t>
        </w:r>
      </w:hyperlink>
      <w:r w:rsidR="003C16B8">
        <w:rPr>
          <w:rFonts w:ascii="Arial" w:hAnsi="Arial" w:cs="Arial"/>
        </w:rPr>
        <w:t xml:space="preserve"> </w:t>
      </w:r>
    </w:p>
    <w:p w14:paraId="320387E4" w14:textId="55AD47F1" w:rsidR="0084407E" w:rsidRPr="0084407E" w:rsidRDefault="0084407E" w:rsidP="0084407E">
      <w:pPr>
        <w:rPr>
          <w:rFonts w:ascii="Arial" w:hAnsi="Arial" w:cs="Arial"/>
        </w:rPr>
      </w:pPr>
      <w:r w:rsidRPr="0084407E">
        <w:rPr>
          <w:rFonts w:ascii="Arial" w:hAnsi="Arial" w:cs="Arial"/>
        </w:rPr>
        <w:t xml:space="preserve">Matias, F., Rebelo, S., Andraz, G. and Guerreiro, J. (2024) 'The influence of firm characteristics and macroeconomic factors on financial performance: Evidence from the Portuguese hotel industry', </w:t>
      </w:r>
      <w:r w:rsidRPr="0084407E">
        <w:rPr>
          <w:rFonts w:ascii="Arial" w:hAnsi="Arial" w:cs="Arial"/>
          <w:i/>
          <w:iCs/>
        </w:rPr>
        <w:t>Economies</w:t>
      </w:r>
      <w:r w:rsidRPr="0084407E">
        <w:rPr>
          <w:rFonts w:ascii="Arial" w:hAnsi="Arial" w:cs="Arial"/>
        </w:rPr>
        <w:t xml:space="preserve">, 12(11), 306. Available at: </w:t>
      </w:r>
      <w:hyperlink r:id="rId24" w:history="1">
        <w:r w:rsidR="003C16B8" w:rsidRPr="0084407E">
          <w:rPr>
            <w:rStyle w:val="Hyperlink"/>
            <w:rFonts w:ascii="Arial" w:hAnsi="Arial" w:cs="Arial"/>
          </w:rPr>
          <w:t>https://doi.org/10.3390/economies12110306</w:t>
        </w:r>
      </w:hyperlink>
      <w:r w:rsidR="003C16B8">
        <w:rPr>
          <w:rFonts w:ascii="Arial" w:hAnsi="Arial" w:cs="Arial"/>
        </w:rPr>
        <w:t xml:space="preserve"> </w:t>
      </w:r>
    </w:p>
    <w:p w14:paraId="4C810507" w14:textId="659B79B8" w:rsidR="0084407E" w:rsidRPr="0084407E" w:rsidRDefault="0084407E" w:rsidP="0084407E">
      <w:pPr>
        <w:rPr>
          <w:rFonts w:ascii="Arial" w:hAnsi="Arial" w:cs="Arial"/>
        </w:rPr>
      </w:pPr>
      <w:r w:rsidRPr="0084407E">
        <w:rPr>
          <w:rFonts w:ascii="Arial" w:hAnsi="Arial" w:cs="Arial"/>
        </w:rPr>
        <w:lastRenderedPageBreak/>
        <w:t xml:space="preserve">Metaxas, T. and Romanopoulos, A. (2023) 'A literature review on the financial determinants of hotel default', </w:t>
      </w:r>
      <w:r w:rsidRPr="0084407E">
        <w:rPr>
          <w:rFonts w:ascii="Arial" w:hAnsi="Arial" w:cs="Arial"/>
          <w:i/>
          <w:iCs/>
        </w:rPr>
        <w:t>Journal of Risk and Financial Management</w:t>
      </w:r>
      <w:r w:rsidRPr="0084407E">
        <w:rPr>
          <w:rFonts w:ascii="Arial" w:hAnsi="Arial" w:cs="Arial"/>
        </w:rPr>
        <w:t xml:space="preserve">, 16(7), 323. Available at: </w:t>
      </w:r>
      <w:hyperlink r:id="rId25" w:history="1">
        <w:r w:rsidR="003C16B8" w:rsidRPr="0084407E">
          <w:rPr>
            <w:rStyle w:val="Hyperlink"/>
            <w:rFonts w:ascii="Arial" w:hAnsi="Arial" w:cs="Arial"/>
          </w:rPr>
          <w:t>https://doi.org/10.3390/jrfm16070323</w:t>
        </w:r>
      </w:hyperlink>
      <w:r w:rsidR="003C16B8">
        <w:rPr>
          <w:rFonts w:ascii="Arial" w:hAnsi="Arial" w:cs="Arial"/>
        </w:rPr>
        <w:t xml:space="preserve"> </w:t>
      </w:r>
    </w:p>
    <w:p w14:paraId="0CAAB729" w14:textId="08A50D63" w:rsidR="0084407E" w:rsidRPr="0084407E" w:rsidRDefault="0084407E" w:rsidP="0084407E">
      <w:pPr>
        <w:rPr>
          <w:rFonts w:ascii="Arial" w:hAnsi="Arial" w:cs="Arial"/>
        </w:rPr>
      </w:pPr>
      <w:r w:rsidRPr="0084407E">
        <w:rPr>
          <w:rFonts w:ascii="Arial" w:hAnsi="Arial" w:cs="Arial"/>
        </w:rPr>
        <w:t xml:space="preserve">Mota, J. and Moreira, A.C. (2023) 'Capital budgeting practices: A survey of two industries', </w:t>
      </w:r>
      <w:r w:rsidRPr="0084407E">
        <w:rPr>
          <w:rFonts w:ascii="Arial" w:hAnsi="Arial" w:cs="Arial"/>
          <w:i/>
          <w:iCs/>
        </w:rPr>
        <w:t>Journal of Risk and Financial Management</w:t>
      </w:r>
      <w:r w:rsidRPr="0084407E">
        <w:rPr>
          <w:rFonts w:ascii="Arial" w:hAnsi="Arial" w:cs="Arial"/>
        </w:rPr>
        <w:t xml:space="preserve">, 16(3), 191. Available at: </w:t>
      </w:r>
      <w:hyperlink r:id="rId26" w:history="1">
        <w:r w:rsidR="003C16B8" w:rsidRPr="0084407E">
          <w:rPr>
            <w:rStyle w:val="Hyperlink"/>
            <w:rFonts w:ascii="Arial" w:hAnsi="Arial" w:cs="Arial"/>
          </w:rPr>
          <w:t>https://doi.org/10.3390/jrfm16030191</w:t>
        </w:r>
      </w:hyperlink>
      <w:r w:rsidR="003C16B8">
        <w:rPr>
          <w:rFonts w:ascii="Arial" w:hAnsi="Arial" w:cs="Arial"/>
        </w:rPr>
        <w:t xml:space="preserve"> </w:t>
      </w:r>
    </w:p>
    <w:p w14:paraId="0C415CAA" w14:textId="27B722E8" w:rsidR="0084407E" w:rsidRPr="0084407E" w:rsidRDefault="005F0E88" w:rsidP="0084407E">
      <w:pPr>
        <w:rPr>
          <w:rFonts w:ascii="Arial" w:hAnsi="Arial" w:cs="Arial"/>
        </w:rPr>
      </w:pPr>
      <w:r w:rsidRPr="005F0E88">
        <w:rPr>
          <w:rFonts w:ascii="Arial" w:hAnsi="Arial" w:cs="Arial"/>
        </w:rPr>
        <w:t>Nastoska, A., Jancheska, B., Rizinski, M. and Trajanov, D.</w:t>
      </w:r>
      <w:r w:rsidR="0084407E" w:rsidRPr="0084407E">
        <w:rPr>
          <w:rFonts w:ascii="Arial" w:hAnsi="Arial" w:cs="Arial"/>
        </w:rPr>
        <w:t xml:space="preserve"> (2025) 'Evaluating trustworthiness in AI: Risks, metrics, and </w:t>
      </w:r>
      <w:r w:rsidRPr="005F0E88">
        <w:rPr>
          <w:rFonts w:ascii="Arial" w:hAnsi="Arial" w:cs="Arial"/>
        </w:rPr>
        <w:t>applications across industries</w:t>
      </w:r>
      <w:r w:rsidR="0084407E" w:rsidRPr="0084407E">
        <w:rPr>
          <w:rFonts w:ascii="Arial" w:hAnsi="Arial" w:cs="Arial"/>
        </w:rPr>
        <w:t xml:space="preserve">', </w:t>
      </w:r>
      <w:r w:rsidR="0084407E" w:rsidRPr="0084407E">
        <w:rPr>
          <w:rFonts w:ascii="Arial" w:hAnsi="Arial" w:cs="Arial"/>
          <w:i/>
          <w:iCs/>
        </w:rPr>
        <w:t>Electronics</w:t>
      </w:r>
      <w:r w:rsidR="0084407E" w:rsidRPr="0084407E">
        <w:rPr>
          <w:rFonts w:ascii="Arial" w:hAnsi="Arial" w:cs="Arial"/>
        </w:rPr>
        <w:t xml:space="preserve">, 14(13), 2717. Available at: </w:t>
      </w:r>
      <w:hyperlink r:id="rId27" w:history="1">
        <w:r w:rsidR="003C16B8" w:rsidRPr="0084407E">
          <w:rPr>
            <w:rStyle w:val="Hyperlink"/>
            <w:rFonts w:ascii="Arial" w:hAnsi="Arial" w:cs="Arial"/>
          </w:rPr>
          <w:t>https://www.mdpi.com/2079-9292/14/13/2717</w:t>
        </w:r>
      </w:hyperlink>
      <w:r w:rsidR="003C16B8">
        <w:rPr>
          <w:rFonts w:ascii="Arial" w:hAnsi="Arial" w:cs="Arial"/>
        </w:rPr>
        <w:t xml:space="preserve"> </w:t>
      </w:r>
    </w:p>
    <w:p w14:paraId="428CA526" w14:textId="7E291A3E" w:rsidR="0084407E" w:rsidRPr="0084407E" w:rsidRDefault="005F0E88" w:rsidP="0084407E">
      <w:pPr>
        <w:rPr>
          <w:rFonts w:ascii="Arial" w:hAnsi="Arial" w:cs="Arial"/>
        </w:rPr>
      </w:pPr>
      <w:r w:rsidRPr="005F0E88">
        <w:rPr>
          <w:rFonts w:ascii="Arial" w:hAnsi="Arial" w:cs="Arial"/>
        </w:rPr>
        <w:t>Purnamasari, P. and Adriza,</w:t>
      </w:r>
      <w:r>
        <w:rPr>
          <w:rFonts w:ascii="Arial" w:hAnsi="Arial" w:cs="Arial"/>
        </w:rPr>
        <w:t xml:space="preserve"> D.</w:t>
      </w:r>
      <w:r w:rsidR="0084407E" w:rsidRPr="0084407E">
        <w:rPr>
          <w:rFonts w:ascii="Arial" w:hAnsi="Arial" w:cs="Arial"/>
        </w:rPr>
        <w:t xml:space="preserve"> (2024) 'Capital budgeting techniques and financial performance', </w:t>
      </w:r>
      <w:r w:rsidR="0084407E" w:rsidRPr="0084407E">
        <w:rPr>
          <w:rFonts w:ascii="Arial" w:hAnsi="Arial" w:cs="Arial"/>
          <w:i/>
          <w:iCs/>
        </w:rPr>
        <w:t>Cogent Business &amp; Management</w:t>
      </w:r>
      <w:r w:rsidR="0084407E" w:rsidRPr="0084407E">
        <w:rPr>
          <w:rFonts w:ascii="Arial" w:hAnsi="Arial" w:cs="Arial"/>
        </w:rPr>
        <w:t xml:space="preserve">. Available at: </w:t>
      </w:r>
      <w:hyperlink r:id="rId28" w:history="1">
        <w:r w:rsidR="003C16B8" w:rsidRPr="0084407E">
          <w:rPr>
            <w:rStyle w:val="Hyperlink"/>
            <w:rFonts w:ascii="Arial" w:hAnsi="Arial" w:cs="Arial"/>
          </w:rPr>
          <w:t>https://doi.org/10.1080/23322039.2024.2404707</w:t>
        </w:r>
      </w:hyperlink>
      <w:r w:rsidR="003C16B8">
        <w:rPr>
          <w:rFonts w:ascii="Arial" w:hAnsi="Arial" w:cs="Arial"/>
        </w:rPr>
        <w:t xml:space="preserve"> </w:t>
      </w:r>
    </w:p>
    <w:p w14:paraId="28A86FE8" w14:textId="4CC0A6CD" w:rsidR="0084407E" w:rsidRPr="0084407E" w:rsidRDefault="0084407E" w:rsidP="0084407E">
      <w:pPr>
        <w:rPr>
          <w:rFonts w:ascii="Arial" w:hAnsi="Arial" w:cs="Arial"/>
        </w:rPr>
      </w:pPr>
      <w:r w:rsidRPr="0084407E">
        <w:rPr>
          <w:rFonts w:ascii="Arial" w:hAnsi="Arial" w:cs="Arial"/>
        </w:rPr>
        <w:t xml:space="preserve">Ridzuan, N.N., Masri, M., Anshari, M., Fitriyani, N.L. and Syafrudin, M. (2024) 'AI in the financial sector: The line between innovation, regulation and ethical responsibility', </w:t>
      </w:r>
      <w:r w:rsidRPr="0084407E">
        <w:rPr>
          <w:rFonts w:ascii="Arial" w:hAnsi="Arial" w:cs="Arial"/>
          <w:i/>
          <w:iCs/>
        </w:rPr>
        <w:t>Information</w:t>
      </w:r>
      <w:r w:rsidRPr="0084407E">
        <w:rPr>
          <w:rFonts w:ascii="Arial" w:hAnsi="Arial" w:cs="Arial"/>
        </w:rPr>
        <w:t xml:space="preserve">, 15(8), 432. Available at: </w:t>
      </w:r>
      <w:hyperlink r:id="rId29" w:history="1">
        <w:r w:rsidR="003C16B8" w:rsidRPr="0084407E">
          <w:rPr>
            <w:rStyle w:val="Hyperlink"/>
            <w:rFonts w:ascii="Arial" w:hAnsi="Arial" w:cs="Arial"/>
          </w:rPr>
          <w:t>https://doi.org/10.3390/info15080432</w:t>
        </w:r>
      </w:hyperlink>
      <w:r w:rsidR="003C16B8">
        <w:rPr>
          <w:rFonts w:ascii="Arial" w:hAnsi="Arial" w:cs="Arial"/>
        </w:rPr>
        <w:t xml:space="preserve"> </w:t>
      </w:r>
    </w:p>
    <w:p w14:paraId="60D9ED99" w14:textId="10F6043F" w:rsidR="0084407E" w:rsidRPr="0084407E" w:rsidRDefault="005F0E88" w:rsidP="0084407E">
      <w:pPr>
        <w:rPr>
          <w:rFonts w:ascii="Arial" w:hAnsi="Arial" w:cs="Arial"/>
        </w:rPr>
      </w:pPr>
      <w:r w:rsidRPr="005F0E88">
        <w:rPr>
          <w:rFonts w:ascii="Arial" w:hAnsi="Arial" w:cs="Arial"/>
        </w:rPr>
        <w:t>Seretidou, D., Billios, D. and Stavropoulos, A.</w:t>
      </w:r>
      <w:r w:rsidR="0084407E" w:rsidRPr="0084407E">
        <w:rPr>
          <w:rFonts w:ascii="Arial" w:hAnsi="Arial" w:cs="Arial"/>
        </w:rPr>
        <w:t xml:space="preserve"> (2025) 'Integrative analysis of traditional and cash flow financial indicators', </w:t>
      </w:r>
      <w:r w:rsidR="0084407E" w:rsidRPr="0084407E">
        <w:rPr>
          <w:rFonts w:ascii="Arial" w:hAnsi="Arial" w:cs="Arial"/>
          <w:i/>
          <w:iCs/>
        </w:rPr>
        <w:t>Risks</w:t>
      </w:r>
      <w:r w:rsidR="0084407E" w:rsidRPr="0084407E">
        <w:rPr>
          <w:rFonts w:ascii="Arial" w:hAnsi="Arial" w:cs="Arial"/>
        </w:rPr>
        <w:t xml:space="preserve">, 13(4), 62. Available at: </w:t>
      </w:r>
      <w:hyperlink r:id="rId30" w:history="1">
        <w:r w:rsidR="003C16B8" w:rsidRPr="0084407E">
          <w:rPr>
            <w:rStyle w:val="Hyperlink"/>
            <w:rFonts w:ascii="Arial" w:hAnsi="Arial" w:cs="Arial"/>
          </w:rPr>
          <w:t>https://doi.org/10.3390/risks13040062</w:t>
        </w:r>
      </w:hyperlink>
      <w:r w:rsidR="003C16B8">
        <w:rPr>
          <w:rFonts w:ascii="Arial" w:hAnsi="Arial" w:cs="Arial"/>
        </w:rPr>
        <w:t xml:space="preserve"> </w:t>
      </w:r>
    </w:p>
    <w:p w14:paraId="237CEA04" w14:textId="2E40E30B" w:rsidR="0084407E" w:rsidRPr="0084407E" w:rsidRDefault="0084407E" w:rsidP="0084407E">
      <w:pPr>
        <w:rPr>
          <w:rFonts w:ascii="Arial" w:hAnsi="Arial" w:cs="Arial"/>
        </w:rPr>
      </w:pPr>
      <w:r w:rsidRPr="0084407E">
        <w:rPr>
          <w:rFonts w:ascii="Arial" w:hAnsi="Arial" w:cs="Arial"/>
        </w:rPr>
        <w:t xml:space="preserve">Shrivastava, P. and Gautam, O. (2024) 'Examining patronage intentions of customers: A case of green hotels', </w:t>
      </w:r>
      <w:r w:rsidRPr="0084407E">
        <w:rPr>
          <w:rFonts w:ascii="Arial" w:hAnsi="Arial" w:cs="Arial"/>
          <w:i/>
          <w:iCs/>
        </w:rPr>
        <w:t>Frontiers in Sustainable Tourism</w:t>
      </w:r>
      <w:r w:rsidRPr="0084407E">
        <w:rPr>
          <w:rFonts w:ascii="Arial" w:hAnsi="Arial" w:cs="Arial"/>
        </w:rPr>
        <w:t xml:space="preserve">. Available at: </w:t>
      </w:r>
      <w:hyperlink r:id="rId31" w:history="1">
        <w:r w:rsidR="003C16B8" w:rsidRPr="0084407E">
          <w:rPr>
            <w:rStyle w:val="Hyperlink"/>
            <w:rFonts w:ascii="Arial" w:hAnsi="Arial" w:cs="Arial"/>
          </w:rPr>
          <w:t>https://doi.org/10.3389/frsut.2024.1429472</w:t>
        </w:r>
      </w:hyperlink>
      <w:r w:rsidR="003C16B8">
        <w:rPr>
          <w:rFonts w:ascii="Arial" w:hAnsi="Arial" w:cs="Arial"/>
        </w:rPr>
        <w:t xml:space="preserve"> </w:t>
      </w:r>
    </w:p>
    <w:p w14:paraId="0A2A505B" w14:textId="1FCFC912" w:rsidR="0084407E" w:rsidRPr="0084407E" w:rsidRDefault="0084407E" w:rsidP="0084407E">
      <w:pPr>
        <w:rPr>
          <w:rFonts w:ascii="Arial" w:hAnsi="Arial" w:cs="Arial"/>
        </w:rPr>
      </w:pPr>
      <w:r w:rsidRPr="0084407E">
        <w:rPr>
          <w:rFonts w:ascii="Arial" w:hAnsi="Arial" w:cs="Arial"/>
        </w:rPr>
        <w:t xml:space="preserve">Sinaga, A.S., Sari, M.M., Hutasuhut, A.A., Zahara, S.T., Amanda, A., Fitri, A. and Caesario, M.A. (2023) 'Comparison of capital budgeting methods: NPV, IRR, payback period', </w:t>
      </w:r>
      <w:r w:rsidRPr="0084407E">
        <w:rPr>
          <w:rFonts w:ascii="Arial" w:hAnsi="Arial" w:cs="Arial"/>
          <w:i/>
          <w:iCs/>
        </w:rPr>
        <w:t>World Journal of Advanced Research and Reviews</w:t>
      </w:r>
      <w:r w:rsidRPr="0084407E">
        <w:rPr>
          <w:rFonts w:ascii="Arial" w:hAnsi="Arial" w:cs="Arial"/>
        </w:rPr>
        <w:t xml:space="preserve">, 19(2), pp. 1078–1081. Available at: </w:t>
      </w:r>
      <w:hyperlink r:id="rId32" w:history="1">
        <w:r w:rsidR="003C16B8" w:rsidRPr="0084407E">
          <w:rPr>
            <w:rStyle w:val="Hyperlink"/>
            <w:rFonts w:ascii="Arial" w:hAnsi="Arial" w:cs="Arial"/>
          </w:rPr>
          <w:t>https://doi.org/10.30574/wjarr.2023.19.2.1483</w:t>
        </w:r>
      </w:hyperlink>
      <w:r w:rsidR="003C16B8">
        <w:rPr>
          <w:rFonts w:ascii="Arial" w:hAnsi="Arial" w:cs="Arial"/>
        </w:rPr>
        <w:t xml:space="preserve"> </w:t>
      </w:r>
    </w:p>
    <w:p w14:paraId="14596FAE" w14:textId="46C3CCB9" w:rsidR="0084407E" w:rsidRPr="0084407E" w:rsidRDefault="005F0E88" w:rsidP="0084407E">
      <w:pPr>
        <w:rPr>
          <w:rFonts w:ascii="Arial" w:hAnsi="Arial" w:cs="Arial"/>
        </w:rPr>
      </w:pPr>
      <w:r w:rsidRPr="005F0E88">
        <w:rPr>
          <w:rFonts w:ascii="Arial" w:hAnsi="Arial" w:cs="Arial"/>
        </w:rPr>
        <w:t>Skordoulis, M., Stavropoulos, A.S., Papagrigoriou, A. and Kalantonis, P.</w:t>
      </w:r>
      <w:r w:rsidR="0084407E" w:rsidRPr="0084407E">
        <w:rPr>
          <w:rFonts w:ascii="Arial" w:hAnsi="Arial" w:cs="Arial"/>
        </w:rPr>
        <w:t xml:space="preserve"> (2024) 'Guest satisfaction and financial performance: A case study of 5-star hotels in Athens', </w:t>
      </w:r>
      <w:r w:rsidR="0084407E" w:rsidRPr="0084407E">
        <w:rPr>
          <w:rFonts w:ascii="Arial" w:hAnsi="Arial" w:cs="Arial"/>
          <w:i/>
          <w:iCs/>
        </w:rPr>
        <w:t>Journal of Risk and Financial Management</w:t>
      </w:r>
      <w:r w:rsidR="0084407E" w:rsidRPr="0084407E">
        <w:rPr>
          <w:rFonts w:ascii="Arial" w:hAnsi="Arial" w:cs="Arial"/>
        </w:rPr>
        <w:t xml:space="preserve">, 17(10), 473. Available at: </w:t>
      </w:r>
      <w:hyperlink r:id="rId33" w:history="1">
        <w:r w:rsidR="003C16B8" w:rsidRPr="0084407E">
          <w:rPr>
            <w:rStyle w:val="Hyperlink"/>
            <w:rFonts w:ascii="Arial" w:hAnsi="Arial" w:cs="Arial"/>
          </w:rPr>
          <w:t>https://doi.org/10.3390/jrfm17100473</w:t>
        </w:r>
      </w:hyperlink>
      <w:r w:rsidR="003C16B8">
        <w:rPr>
          <w:rFonts w:ascii="Arial" w:hAnsi="Arial" w:cs="Arial"/>
        </w:rPr>
        <w:t xml:space="preserve"> </w:t>
      </w:r>
    </w:p>
    <w:p w14:paraId="461E17AA" w14:textId="4F5D5BE4" w:rsidR="0084407E" w:rsidRPr="0084407E" w:rsidRDefault="0084407E" w:rsidP="0084407E">
      <w:pPr>
        <w:rPr>
          <w:rFonts w:ascii="Arial" w:hAnsi="Arial" w:cs="Arial"/>
        </w:rPr>
      </w:pPr>
      <w:r w:rsidRPr="0084407E">
        <w:rPr>
          <w:rFonts w:ascii="Arial" w:hAnsi="Arial" w:cs="Arial"/>
        </w:rPr>
        <w:lastRenderedPageBreak/>
        <w:t xml:space="preserve">Soni, T.K., Arora, A. and Le, T.N. (2022) 'Firm-specific determinants of firm performance in the hospitality sector in India', </w:t>
      </w:r>
      <w:r w:rsidRPr="0084407E">
        <w:rPr>
          <w:rFonts w:ascii="Arial" w:hAnsi="Arial" w:cs="Arial"/>
          <w:i/>
          <w:iCs/>
        </w:rPr>
        <w:t>Sustainability</w:t>
      </w:r>
      <w:r w:rsidRPr="0084407E">
        <w:rPr>
          <w:rFonts w:ascii="Arial" w:hAnsi="Arial" w:cs="Arial"/>
        </w:rPr>
        <w:t xml:space="preserve">, 15(1), 554. Available at: </w:t>
      </w:r>
      <w:hyperlink r:id="rId34" w:history="1">
        <w:r w:rsidR="003C16B8" w:rsidRPr="0084407E">
          <w:rPr>
            <w:rStyle w:val="Hyperlink"/>
            <w:rFonts w:ascii="Arial" w:hAnsi="Arial" w:cs="Arial"/>
          </w:rPr>
          <w:t>https://doi.org/10.3390/su15010554</w:t>
        </w:r>
      </w:hyperlink>
      <w:r w:rsidR="003C16B8">
        <w:rPr>
          <w:rFonts w:ascii="Arial" w:hAnsi="Arial" w:cs="Arial"/>
        </w:rPr>
        <w:t xml:space="preserve"> </w:t>
      </w:r>
    </w:p>
    <w:p w14:paraId="0B7EAA1B" w14:textId="4BBCD433" w:rsidR="0084407E" w:rsidRPr="0084407E" w:rsidRDefault="005F0E88" w:rsidP="0084407E">
      <w:pPr>
        <w:rPr>
          <w:rFonts w:ascii="Arial" w:hAnsi="Arial" w:cs="Arial"/>
        </w:rPr>
      </w:pPr>
      <w:r w:rsidRPr="005F0E88">
        <w:rPr>
          <w:rFonts w:ascii="Arial" w:hAnsi="Arial" w:cs="Arial"/>
        </w:rPr>
        <w:t>Stavropoulos, A.S. and Zounta, S.</w:t>
      </w:r>
      <w:r w:rsidR="0084407E" w:rsidRPr="0084407E">
        <w:rPr>
          <w:rFonts w:ascii="Arial" w:hAnsi="Arial" w:cs="Arial"/>
        </w:rPr>
        <w:t xml:space="preserve"> (2025) 'Cash conversion cycle and profitability: Evidence from major service sectors', </w:t>
      </w:r>
      <w:r w:rsidR="0084407E" w:rsidRPr="0084407E">
        <w:rPr>
          <w:rFonts w:ascii="Arial" w:hAnsi="Arial" w:cs="Arial"/>
          <w:i/>
          <w:iCs/>
        </w:rPr>
        <w:t>Journal of Risk and Financial Management</w:t>
      </w:r>
      <w:r w:rsidR="0084407E" w:rsidRPr="0084407E">
        <w:rPr>
          <w:rFonts w:ascii="Arial" w:hAnsi="Arial" w:cs="Arial"/>
        </w:rPr>
        <w:t xml:space="preserve">, 18(4), 208. Available at: </w:t>
      </w:r>
      <w:hyperlink r:id="rId35" w:history="1">
        <w:r w:rsidR="003C16B8" w:rsidRPr="0084407E">
          <w:rPr>
            <w:rStyle w:val="Hyperlink"/>
            <w:rFonts w:ascii="Arial" w:hAnsi="Arial" w:cs="Arial"/>
          </w:rPr>
          <w:t>https://doi.org/10.3390/jrfm18040208</w:t>
        </w:r>
      </w:hyperlink>
      <w:r w:rsidR="003C16B8">
        <w:rPr>
          <w:rFonts w:ascii="Arial" w:hAnsi="Arial" w:cs="Arial"/>
        </w:rPr>
        <w:t xml:space="preserve"> </w:t>
      </w:r>
    </w:p>
    <w:p w14:paraId="15507D04" w14:textId="5CC7D29A" w:rsidR="0084407E" w:rsidRPr="0084407E" w:rsidRDefault="0084407E" w:rsidP="0084407E">
      <w:pPr>
        <w:rPr>
          <w:rFonts w:ascii="Arial" w:hAnsi="Arial" w:cs="Arial"/>
        </w:rPr>
      </w:pPr>
      <w:r w:rsidRPr="0084407E">
        <w:rPr>
          <w:rFonts w:ascii="Arial" w:hAnsi="Arial" w:cs="Arial"/>
        </w:rPr>
        <w:t xml:space="preserve">Velickovic, G., Stanojevic, J. and Veselinovic, M. (2023) 'Managing financial performance toward achievements in sustainability prospects: Comparative analysis of the e-commerce and hospitality industries', </w:t>
      </w:r>
      <w:r w:rsidRPr="0084407E">
        <w:rPr>
          <w:rFonts w:ascii="Arial" w:hAnsi="Arial" w:cs="Arial"/>
          <w:i/>
          <w:iCs/>
        </w:rPr>
        <w:t>Journal of Risk and Financial Management</w:t>
      </w:r>
      <w:r w:rsidRPr="0084407E">
        <w:rPr>
          <w:rFonts w:ascii="Arial" w:hAnsi="Arial" w:cs="Arial"/>
        </w:rPr>
        <w:t xml:space="preserve">, 16(9), 395. Available at: </w:t>
      </w:r>
      <w:hyperlink r:id="rId36" w:history="1">
        <w:r w:rsidR="003C16B8" w:rsidRPr="0084407E">
          <w:rPr>
            <w:rStyle w:val="Hyperlink"/>
            <w:rFonts w:ascii="Arial" w:hAnsi="Arial" w:cs="Arial"/>
          </w:rPr>
          <w:t>https://doi.org/10.3390/jrfm16090395</w:t>
        </w:r>
      </w:hyperlink>
      <w:r w:rsidR="003C16B8">
        <w:rPr>
          <w:rFonts w:ascii="Arial" w:hAnsi="Arial" w:cs="Arial"/>
        </w:rPr>
        <w:t xml:space="preserve"> </w:t>
      </w:r>
    </w:p>
    <w:p w14:paraId="4BD8C690" w14:textId="7C72E510" w:rsidR="0084407E" w:rsidRPr="0084407E" w:rsidRDefault="0084407E" w:rsidP="0084407E">
      <w:pPr>
        <w:rPr>
          <w:rFonts w:ascii="Arial" w:hAnsi="Arial" w:cs="Arial"/>
        </w:rPr>
      </w:pPr>
      <w:r w:rsidRPr="0084407E">
        <w:rPr>
          <w:rFonts w:ascii="Arial" w:hAnsi="Arial" w:cs="Arial"/>
        </w:rPr>
        <w:t xml:space="preserve">Williamson, S.M. (2024) 'The era of artificial intelligence deception', </w:t>
      </w:r>
      <w:r w:rsidRPr="0084407E">
        <w:rPr>
          <w:rFonts w:ascii="Arial" w:hAnsi="Arial" w:cs="Arial"/>
          <w:i/>
          <w:iCs/>
        </w:rPr>
        <w:t>Information</w:t>
      </w:r>
      <w:r w:rsidRPr="0084407E">
        <w:rPr>
          <w:rFonts w:ascii="Arial" w:hAnsi="Arial" w:cs="Arial"/>
        </w:rPr>
        <w:t xml:space="preserve">, 15(6), 299. Available at: </w:t>
      </w:r>
      <w:hyperlink r:id="rId37" w:history="1">
        <w:r w:rsidR="003C16B8" w:rsidRPr="0084407E">
          <w:rPr>
            <w:rStyle w:val="Hyperlink"/>
            <w:rFonts w:ascii="Arial" w:hAnsi="Arial" w:cs="Arial"/>
          </w:rPr>
          <w:t>https://doi.org/10.3390/info15060299</w:t>
        </w:r>
      </w:hyperlink>
      <w:r w:rsidR="003C16B8">
        <w:rPr>
          <w:rFonts w:ascii="Arial" w:hAnsi="Arial" w:cs="Arial"/>
        </w:rPr>
        <w:t xml:space="preserve"> </w:t>
      </w:r>
    </w:p>
    <w:p w14:paraId="5646606C" w14:textId="4408A6C5" w:rsidR="0084407E" w:rsidRPr="0084407E" w:rsidRDefault="0084407E" w:rsidP="0084407E">
      <w:pPr>
        <w:rPr>
          <w:rFonts w:ascii="Arial" w:hAnsi="Arial" w:cs="Arial"/>
        </w:rPr>
      </w:pPr>
      <w:r w:rsidRPr="0084407E">
        <w:rPr>
          <w:rFonts w:ascii="Arial" w:hAnsi="Arial" w:cs="Arial"/>
        </w:rPr>
        <w:t xml:space="preserve">Bank of England (2026) </w:t>
      </w:r>
      <w:r w:rsidRPr="0084407E">
        <w:rPr>
          <w:rFonts w:ascii="Arial" w:hAnsi="Arial" w:cs="Arial"/>
          <w:i/>
          <w:iCs/>
        </w:rPr>
        <w:t>Bank Rate</w:t>
      </w:r>
      <w:r w:rsidRPr="0084407E">
        <w:rPr>
          <w:rFonts w:ascii="Arial" w:hAnsi="Arial" w:cs="Arial"/>
        </w:rPr>
        <w:t xml:space="preserve">. Available at: </w:t>
      </w:r>
      <w:hyperlink r:id="rId38" w:history="1">
        <w:r w:rsidR="003C16B8" w:rsidRPr="0084407E">
          <w:rPr>
            <w:rStyle w:val="Hyperlink"/>
            <w:rFonts w:ascii="Arial" w:hAnsi="Arial" w:cs="Arial"/>
          </w:rPr>
          <w:t>https://www.bankofengland.co.uk/boeapps/database/Bank-Rate.asp</w:t>
        </w:r>
      </w:hyperlink>
      <w:r w:rsidR="003C16B8">
        <w:rPr>
          <w:rFonts w:ascii="Arial" w:hAnsi="Arial" w:cs="Arial"/>
        </w:rPr>
        <w:t xml:space="preserve"> </w:t>
      </w:r>
    </w:p>
    <w:p w14:paraId="64EDEE77" w14:textId="4E867CF7" w:rsidR="0084407E" w:rsidRPr="0084407E" w:rsidRDefault="0084407E" w:rsidP="0084407E">
      <w:pPr>
        <w:rPr>
          <w:rFonts w:ascii="Arial" w:hAnsi="Arial" w:cs="Arial"/>
        </w:rPr>
      </w:pPr>
      <w:r w:rsidRPr="0084407E">
        <w:rPr>
          <w:rFonts w:ascii="Arial" w:hAnsi="Arial" w:cs="Arial"/>
        </w:rPr>
        <w:t xml:space="preserve">CSIMarket (2026) </w:t>
      </w:r>
      <w:r w:rsidRPr="0084407E">
        <w:rPr>
          <w:rFonts w:ascii="Arial" w:hAnsi="Arial" w:cs="Arial"/>
          <w:i/>
          <w:iCs/>
        </w:rPr>
        <w:t>Hotel and tourism industry current ratio</w:t>
      </w:r>
      <w:r w:rsidRPr="0084407E">
        <w:rPr>
          <w:rFonts w:ascii="Arial" w:hAnsi="Arial" w:cs="Arial"/>
        </w:rPr>
        <w:t xml:space="preserve">. Available at: </w:t>
      </w:r>
      <w:hyperlink r:id="rId39" w:history="1">
        <w:r w:rsidR="003C16B8" w:rsidRPr="0084407E">
          <w:rPr>
            <w:rStyle w:val="Hyperlink"/>
            <w:rFonts w:ascii="Arial" w:hAnsi="Arial" w:cs="Arial"/>
          </w:rPr>
          <w:t>https://csimarket.com/Industry/industry_Financial_Strength_Ratios.php?ind=906</w:t>
        </w:r>
      </w:hyperlink>
      <w:r w:rsidR="003C16B8">
        <w:rPr>
          <w:rFonts w:ascii="Arial" w:hAnsi="Arial" w:cs="Arial"/>
        </w:rPr>
        <w:t xml:space="preserve"> </w:t>
      </w:r>
    </w:p>
    <w:p w14:paraId="16E24644" w14:textId="7D4E9599" w:rsidR="0084407E" w:rsidRPr="0084407E" w:rsidRDefault="0084407E" w:rsidP="0084407E">
      <w:pPr>
        <w:rPr>
          <w:rFonts w:ascii="Arial" w:hAnsi="Arial" w:cs="Arial"/>
        </w:rPr>
      </w:pPr>
      <w:r w:rsidRPr="0084407E">
        <w:rPr>
          <w:rFonts w:ascii="Arial" w:hAnsi="Arial" w:cs="Arial"/>
        </w:rPr>
        <w:t xml:space="preserve">Hospitality Institute (2024) </w:t>
      </w:r>
      <w:r w:rsidRPr="0084407E">
        <w:rPr>
          <w:rFonts w:ascii="Arial" w:hAnsi="Arial" w:cs="Arial"/>
          <w:i/>
          <w:iCs/>
        </w:rPr>
        <w:t>Understanding hotel financial ratios and performance benchmarks</w:t>
      </w:r>
      <w:r w:rsidRPr="0084407E">
        <w:rPr>
          <w:rFonts w:ascii="Arial" w:hAnsi="Arial" w:cs="Arial"/>
        </w:rPr>
        <w:t xml:space="preserve">. Available at: </w:t>
      </w:r>
      <w:hyperlink r:id="rId40" w:history="1">
        <w:r w:rsidR="003C16B8" w:rsidRPr="0084407E">
          <w:rPr>
            <w:rStyle w:val="Hyperlink"/>
            <w:rFonts w:ascii="Arial" w:hAnsi="Arial" w:cs="Arial"/>
          </w:rPr>
          <w:t>https://hospitality.institute/</w:t>
        </w:r>
      </w:hyperlink>
      <w:r w:rsidR="003C16B8">
        <w:rPr>
          <w:rFonts w:ascii="Arial" w:hAnsi="Arial" w:cs="Arial"/>
        </w:rPr>
        <w:t xml:space="preserve"> </w:t>
      </w:r>
    </w:p>
    <w:p w14:paraId="01AE5BEC" w14:textId="40A7B4F9" w:rsidR="0084407E" w:rsidRPr="0084407E" w:rsidRDefault="0084407E" w:rsidP="0084407E">
      <w:pPr>
        <w:rPr>
          <w:rFonts w:ascii="Arial" w:hAnsi="Arial" w:cs="Arial"/>
        </w:rPr>
      </w:pPr>
      <w:r w:rsidRPr="0084407E">
        <w:rPr>
          <w:rFonts w:ascii="Arial" w:hAnsi="Arial" w:cs="Arial"/>
        </w:rPr>
        <w:t xml:space="preserve">IHG (2023) </w:t>
      </w:r>
      <w:r w:rsidRPr="0084407E">
        <w:rPr>
          <w:rFonts w:ascii="Arial" w:hAnsi="Arial" w:cs="Arial"/>
          <w:i/>
          <w:iCs/>
        </w:rPr>
        <w:t>Annual Report and Form 20-F 2022</w:t>
      </w:r>
      <w:r w:rsidRPr="0084407E">
        <w:rPr>
          <w:rFonts w:ascii="Arial" w:hAnsi="Arial" w:cs="Arial"/>
        </w:rPr>
        <w:t xml:space="preserve">. InterContinental Hotels Group PLC. Available at: </w:t>
      </w:r>
      <w:hyperlink r:id="rId41" w:history="1">
        <w:r w:rsidR="003C16B8" w:rsidRPr="0084407E">
          <w:rPr>
            <w:rStyle w:val="Hyperlink"/>
            <w:rFonts w:ascii="Arial" w:hAnsi="Arial" w:cs="Arial"/>
          </w:rPr>
          <w:t>https://www.ihgplc.com/en/investors/annual-report</w:t>
        </w:r>
      </w:hyperlink>
      <w:r w:rsidR="003C16B8">
        <w:rPr>
          <w:rFonts w:ascii="Arial" w:hAnsi="Arial" w:cs="Arial"/>
        </w:rPr>
        <w:t xml:space="preserve"> </w:t>
      </w:r>
    </w:p>
    <w:p w14:paraId="19092F93" w14:textId="306C15AD" w:rsidR="0084407E" w:rsidRPr="0084407E" w:rsidRDefault="0084407E" w:rsidP="0084407E">
      <w:pPr>
        <w:rPr>
          <w:rFonts w:ascii="Arial" w:hAnsi="Arial" w:cs="Arial"/>
        </w:rPr>
      </w:pPr>
      <w:r w:rsidRPr="0084407E">
        <w:rPr>
          <w:rFonts w:ascii="Arial" w:hAnsi="Arial" w:cs="Arial"/>
        </w:rPr>
        <w:t xml:space="preserve">IHG (2024a) </w:t>
      </w:r>
      <w:r w:rsidRPr="0084407E">
        <w:rPr>
          <w:rFonts w:ascii="Arial" w:hAnsi="Arial" w:cs="Arial"/>
          <w:i/>
          <w:iCs/>
        </w:rPr>
        <w:t>Full year results for the year to 31 December 2023</w:t>
      </w:r>
      <w:r w:rsidRPr="0084407E">
        <w:rPr>
          <w:rFonts w:ascii="Arial" w:hAnsi="Arial" w:cs="Arial"/>
        </w:rPr>
        <w:t xml:space="preserve">. Available at: </w:t>
      </w:r>
      <w:hyperlink r:id="rId42" w:history="1">
        <w:r w:rsidR="003C16B8" w:rsidRPr="0084407E">
          <w:rPr>
            <w:rStyle w:val="Hyperlink"/>
            <w:rFonts w:ascii="Arial" w:hAnsi="Arial" w:cs="Arial"/>
          </w:rPr>
          <w:t>https://www.ihgplc.com/en/news-and-media/news-releases/2024/full-year-results-for-the-year-to-31-dec-2023</w:t>
        </w:r>
      </w:hyperlink>
      <w:r w:rsidR="003C16B8">
        <w:rPr>
          <w:rFonts w:ascii="Arial" w:hAnsi="Arial" w:cs="Arial"/>
        </w:rPr>
        <w:t xml:space="preserve"> </w:t>
      </w:r>
    </w:p>
    <w:p w14:paraId="1072CEC8" w14:textId="4CB924EA" w:rsidR="0084407E" w:rsidRPr="0084407E" w:rsidRDefault="0084407E" w:rsidP="0084407E">
      <w:pPr>
        <w:rPr>
          <w:rFonts w:ascii="Arial" w:hAnsi="Arial" w:cs="Arial"/>
        </w:rPr>
      </w:pPr>
      <w:r w:rsidRPr="0084407E">
        <w:rPr>
          <w:rFonts w:ascii="Arial" w:hAnsi="Arial" w:cs="Arial"/>
        </w:rPr>
        <w:t xml:space="preserve">IHG (2025a) </w:t>
      </w:r>
      <w:r w:rsidRPr="0084407E">
        <w:rPr>
          <w:rFonts w:ascii="Arial" w:hAnsi="Arial" w:cs="Arial"/>
          <w:i/>
          <w:iCs/>
        </w:rPr>
        <w:t>IHG Full Investor Pack – September 2025</w:t>
      </w:r>
      <w:r w:rsidRPr="0084407E">
        <w:rPr>
          <w:rFonts w:ascii="Arial" w:hAnsi="Arial" w:cs="Arial"/>
        </w:rPr>
        <w:t xml:space="preserve">. Available at: </w:t>
      </w:r>
      <w:hyperlink r:id="rId43" w:history="1">
        <w:r w:rsidR="003C16B8" w:rsidRPr="0084407E">
          <w:rPr>
            <w:rStyle w:val="Hyperlink"/>
            <w:rFonts w:ascii="Arial" w:hAnsi="Arial" w:cs="Arial"/>
          </w:rPr>
          <w:t>https://www.ihgplc.com/~/media/Files/I/Ihg-Plc/investors/ihg-full-investor-pack-september-2025.pdf</w:t>
        </w:r>
      </w:hyperlink>
      <w:r w:rsidR="003C16B8">
        <w:rPr>
          <w:rFonts w:ascii="Arial" w:hAnsi="Arial" w:cs="Arial"/>
        </w:rPr>
        <w:t xml:space="preserve"> </w:t>
      </w:r>
    </w:p>
    <w:p w14:paraId="1F7397DD" w14:textId="206E54B5" w:rsidR="0084407E" w:rsidRPr="0084407E" w:rsidRDefault="0084407E" w:rsidP="0084407E">
      <w:pPr>
        <w:rPr>
          <w:rFonts w:ascii="Arial" w:hAnsi="Arial" w:cs="Arial"/>
        </w:rPr>
      </w:pPr>
      <w:r w:rsidRPr="0084407E">
        <w:rPr>
          <w:rFonts w:ascii="Arial" w:hAnsi="Arial" w:cs="Arial"/>
        </w:rPr>
        <w:t xml:space="preserve">IHG (2025b) </w:t>
      </w:r>
      <w:r w:rsidRPr="0084407E">
        <w:rPr>
          <w:rFonts w:ascii="Arial" w:hAnsi="Arial" w:cs="Arial"/>
          <w:i/>
          <w:iCs/>
        </w:rPr>
        <w:t>Third quarter 2025 trading update</w:t>
      </w:r>
      <w:r w:rsidRPr="0084407E">
        <w:rPr>
          <w:rFonts w:ascii="Arial" w:hAnsi="Arial" w:cs="Arial"/>
        </w:rPr>
        <w:t xml:space="preserve">. Available at: </w:t>
      </w:r>
      <w:hyperlink r:id="rId44" w:history="1">
        <w:r w:rsidR="003C16B8" w:rsidRPr="0084407E">
          <w:rPr>
            <w:rStyle w:val="Hyperlink"/>
            <w:rFonts w:ascii="Arial" w:hAnsi="Arial" w:cs="Arial"/>
          </w:rPr>
          <w:t>https://www.ihgplc.com/en/investors/results-and-presentations</w:t>
        </w:r>
      </w:hyperlink>
      <w:r w:rsidR="003C16B8">
        <w:rPr>
          <w:rFonts w:ascii="Arial" w:hAnsi="Arial" w:cs="Arial"/>
        </w:rPr>
        <w:t xml:space="preserve"> </w:t>
      </w:r>
    </w:p>
    <w:p w14:paraId="3095BE85" w14:textId="13C72655" w:rsidR="0084407E" w:rsidRPr="0084407E" w:rsidRDefault="0084407E" w:rsidP="0084407E">
      <w:pPr>
        <w:rPr>
          <w:rFonts w:ascii="Arial" w:hAnsi="Arial" w:cs="Arial"/>
        </w:rPr>
      </w:pPr>
      <w:r w:rsidRPr="0084407E">
        <w:rPr>
          <w:rFonts w:ascii="Arial" w:hAnsi="Arial" w:cs="Arial"/>
        </w:rPr>
        <w:t xml:space="preserve">IHG (2025c) </w:t>
      </w:r>
      <w:r w:rsidRPr="0084407E">
        <w:rPr>
          <w:rFonts w:ascii="Arial" w:hAnsi="Arial" w:cs="Arial"/>
          <w:i/>
          <w:iCs/>
        </w:rPr>
        <w:t>Responsible Business Report 2025</w:t>
      </w:r>
      <w:r w:rsidRPr="0084407E">
        <w:rPr>
          <w:rFonts w:ascii="Arial" w:hAnsi="Arial" w:cs="Arial"/>
        </w:rPr>
        <w:t xml:space="preserve">. Available at: </w:t>
      </w:r>
      <w:hyperlink r:id="rId45" w:history="1">
        <w:r w:rsidR="003C16B8" w:rsidRPr="0084407E">
          <w:rPr>
            <w:rStyle w:val="Hyperlink"/>
            <w:rFonts w:ascii="Arial" w:hAnsi="Arial" w:cs="Arial"/>
          </w:rPr>
          <w:t>https://www.ihgplc.com/en/responsible-business</w:t>
        </w:r>
      </w:hyperlink>
      <w:r w:rsidR="003C16B8">
        <w:rPr>
          <w:rFonts w:ascii="Arial" w:hAnsi="Arial" w:cs="Arial"/>
        </w:rPr>
        <w:t xml:space="preserve"> </w:t>
      </w:r>
    </w:p>
    <w:p w14:paraId="7BBAC7DC" w14:textId="483FE587" w:rsidR="0084407E" w:rsidRPr="0084407E" w:rsidRDefault="0084407E" w:rsidP="0084407E">
      <w:pPr>
        <w:rPr>
          <w:rFonts w:ascii="Arial" w:hAnsi="Arial" w:cs="Arial"/>
        </w:rPr>
      </w:pPr>
      <w:r w:rsidRPr="0084407E">
        <w:rPr>
          <w:rFonts w:ascii="Arial" w:hAnsi="Arial" w:cs="Arial"/>
        </w:rPr>
        <w:lastRenderedPageBreak/>
        <w:t xml:space="preserve">IHG (2025d) </w:t>
      </w:r>
      <w:r w:rsidRPr="0084407E">
        <w:rPr>
          <w:rFonts w:ascii="Arial" w:hAnsi="Arial" w:cs="Arial"/>
          <w:i/>
          <w:iCs/>
        </w:rPr>
        <w:t>Carbon and Energy</w:t>
      </w:r>
      <w:r w:rsidRPr="0084407E">
        <w:rPr>
          <w:rFonts w:ascii="Arial" w:hAnsi="Arial" w:cs="Arial"/>
        </w:rPr>
        <w:t xml:space="preserve">. Available at: </w:t>
      </w:r>
      <w:hyperlink r:id="rId46" w:history="1">
        <w:r w:rsidR="003C16B8" w:rsidRPr="0084407E">
          <w:rPr>
            <w:rStyle w:val="Hyperlink"/>
            <w:rFonts w:ascii="Arial" w:hAnsi="Arial" w:cs="Arial"/>
          </w:rPr>
          <w:t>https://www.ihgplc.com/en/responsible-business/carbon-and-energy</w:t>
        </w:r>
      </w:hyperlink>
      <w:r w:rsidR="003C16B8">
        <w:rPr>
          <w:rFonts w:ascii="Arial" w:hAnsi="Arial" w:cs="Arial"/>
        </w:rPr>
        <w:t xml:space="preserve"> </w:t>
      </w:r>
    </w:p>
    <w:p w14:paraId="47923111" w14:textId="2BEF0C14" w:rsidR="0084407E" w:rsidRPr="0084407E" w:rsidRDefault="0084407E" w:rsidP="0084407E">
      <w:pPr>
        <w:rPr>
          <w:rFonts w:ascii="Arial" w:hAnsi="Arial" w:cs="Arial"/>
        </w:rPr>
      </w:pPr>
      <w:r w:rsidRPr="0084407E">
        <w:rPr>
          <w:rFonts w:ascii="Arial" w:hAnsi="Arial" w:cs="Arial"/>
        </w:rPr>
        <w:t xml:space="preserve">IHG (2025e) </w:t>
      </w:r>
      <w:r w:rsidRPr="0084407E">
        <w:rPr>
          <w:rFonts w:ascii="Arial" w:hAnsi="Arial" w:cs="Arial"/>
          <w:i/>
          <w:iCs/>
        </w:rPr>
        <w:t>Annual Report and Form 20-F 2024</w:t>
      </w:r>
      <w:r w:rsidRPr="0084407E">
        <w:rPr>
          <w:rFonts w:ascii="Arial" w:hAnsi="Arial" w:cs="Arial"/>
        </w:rPr>
        <w:t xml:space="preserve">. Available at: </w:t>
      </w:r>
      <w:hyperlink r:id="rId47" w:history="1">
        <w:r w:rsidR="003C16B8" w:rsidRPr="0084407E">
          <w:rPr>
            <w:rStyle w:val="Hyperlink"/>
            <w:rFonts w:ascii="Arial" w:hAnsi="Arial" w:cs="Arial"/>
          </w:rPr>
          <w:t>https://www.ihgplc.com/en/investors/annual-report</w:t>
        </w:r>
      </w:hyperlink>
      <w:r w:rsidR="003C16B8">
        <w:rPr>
          <w:rFonts w:ascii="Arial" w:hAnsi="Arial" w:cs="Arial"/>
        </w:rPr>
        <w:t xml:space="preserve"> </w:t>
      </w:r>
    </w:p>
    <w:p w14:paraId="4E71339D" w14:textId="29144547" w:rsidR="0084407E" w:rsidRPr="0084407E" w:rsidRDefault="0084407E" w:rsidP="0084407E">
      <w:pPr>
        <w:rPr>
          <w:rFonts w:ascii="Arial" w:hAnsi="Arial" w:cs="Arial"/>
        </w:rPr>
      </w:pPr>
      <w:r w:rsidRPr="0084407E">
        <w:rPr>
          <w:rFonts w:ascii="Arial" w:hAnsi="Arial" w:cs="Arial"/>
        </w:rPr>
        <w:t xml:space="preserve">IHG (2026a) </w:t>
      </w:r>
      <w:r w:rsidRPr="0084407E">
        <w:rPr>
          <w:rFonts w:ascii="Arial" w:hAnsi="Arial" w:cs="Arial"/>
          <w:i/>
          <w:iCs/>
        </w:rPr>
        <w:t>Full year results for the year to 31 December 2025</w:t>
      </w:r>
      <w:r w:rsidRPr="0084407E">
        <w:rPr>
          <w:rFonts w:ascii="Arial" w:hAnsi="Arial" w:cs="Arial"/>
        </w:rPr>
        <w:t xml:space="preserve">. InterContinental Hotels Group PLC. Available at: </w:t>
      </w:r>
      <w:hyperlink r:id="rId48" w:history="1">
        <w:r w:rsidR="003C16B8" w:rsidRPr="0084407E">
          <w:rPr>
            <w:rStyle w:val="Hyperlink"/>
            <w:rFonts w:ascii="Arial" w:hAnsi="Arial" w:cs="Arial"/>
          </w:rPr>
          <w:t>https://www.ihgplc.com/en/investors/results-and-presentations</w:t>
        </w:r>
      </w:hyperlink>
      <w:r w:rsidR="003C16B8">
        <w:rPr>
          <w:rFonts w:ascii="Arial" w:hAnsi="Arial" w:cs="Arial"/>
        </w:rPr>
        <w:t xml:space="preserve"> </w:t>
      </w:r>
    </w:p>
    <w:p w14:paraId="67D5F117" w14:textId="7E9E045D" w:rsidR="0084407E" w:rsidRPr="0084407E" w:rsidRDefault="0084407E" w:rsidP="0084407E">
      <w:pPr>
        <w:rPr>
          <w:rFonts w:ascii="Arial" w:hAnsi="Arial" w:cs="Arial"/>
        </w:rPr>
      </w:pPr>
      <w:r w:rsidRPr="0084407E">
        <w:rPr>
          <w:rFonts w:ascii="Arial" w:hAnsi="Arial" w:cs="Arial"/>
        </w:rPr>
        <w:t xml:space="preserve">IHG (2026b) </w:t>
      </w:r>
      <w:r w:rsidRPr="0084407E">
        <w:rPr>
          <w:rFonts w:ascii="Arial" w:hAnsi="Arial" w:cs="Arial"/>
          <w:i/>
          <w:iCs/>
        </w:rPr>
        <w:t>Annual Report and Form 20-F 2025</w:t>
      </w:r>
      <w:r w:rsidRPr="0084407E">
        <w:rPr>
          <w:rFonts w:ascii="Arial" w:hAnsi="Arial" w:cs="Arial"/>
        </w:rPr>
        <w:t xml:space="preserve">. InterContinental Hotels Group PLC. Available at: </w:t>
      </w:r>
      <w:hyperlink r:id="rId49" w:history="1">
        <w:r w:rsidR="003C16B8" w:rsidRPr="0084407E">
          <w:rPr>
            <w:rStyle w:val="Hyperlink"/>
            <w:rFonts w:ascii="Arial" w:hAnsi="Arial" w:cs="Arial"/>
          </w:rPr>
          <w:t>https://www.ihgplc.com/en/investors/annual-report</w:t>
        </w:r>
      </w:hyperlink>
      <w:r w:rsidR="003C16B8">
        <w:rPr>
          <w:rFonts w:ascii="Arial" w:hAnsi="Arial" w:cs="Arial"/>
        </w:rPr>
        <w:t xml:space="preserve"> </w:t>
      </w:r>
    </w:p>
    <w:p w14:paraId="158EDE25" w14:textId="6EA6316B" w:rsidR="0084407E" w:rsidRPr="0084407E" w:rsidRDefault="0084407E" w:rsidP="0084407E">
      <w:pPr>
        <w:rPr>
          <w:rFonts w:ascii="Arial" w:hAnsi="Arial" w:cs="Arial"/>
        </w:rPr>
      </w:pPr>
      <w:r w:rsidRPr="0084407E">
        <w:rPr>
          <w:rFonts w:ascii="Arial" w:hAnsi="Arial" w:cs="Arial"/>
        </w:rPr>
        <w:t xml:space="preserve">Office for National Statistics (2026) </w:t>
      </w:r>
      <w:r w:rsidRPr="0084407E">
        <w:rPr>
          <w:rFonts w:ascii="Arial" w:hAnsi="Arial" w:cs="Arial"/>
          <w:i/>
          <w:iCs/>
        </w:rPr>
        <w:t>Consumer price inflation, UK: January 2026</w:t>
      </w:r>
      <w:r w:rsidRPr="0084407E">
        <w:rPr>
          <w:rFonts w:ascii="Arial" w:hAnsi="Arial" w:cs="Arial"/>
        </w:rPr>
        <w:t xml:space="preserve">. Available at: </w:t>
      </w:r>
      <w:hyperlink r:id="rId50" w:history="1">
        <w:r w:rsidR="003C16B8" w:rsidRPr="0084407E">
          <w:rPr>
            <w:rStyle w:val="Hyperlink"/>
            <w:rFonts w:ascii="Arial" w:hAnsi="Arial" w:cs="Arial"/>
          </w:rPr>
          <w:t>https://www.ons.gov.uk/economy/inflationandpriceindices</w:t>
        </w:r>
      </w:hyperlink>
      <w:r w:rsidR="003C16B8">
        <w:rPr>
          <w:rFonts w:ascii="Arial" w:hAnsi="Arial" w:cs="Arial"/>
        </w:rPr>
        <w:t xml:space="preserve"> </w:t>
      </w:r>
    </w:p>
    <w:p w14:paraId="24ECDC4D" w14:textId="37431B2E" w:rsidR="0084407E" w:rsidRPr="0084407E" w:rsidRDefault="0084407E" w:rsidP="0084407E">
      <w:pPr>
        <w:rPr>
          <w:rFonts w:ascii="Arial" w:hAnsi="Arial" w:cs="Arial"/>
        </w:rPr>
      </w:pPr>
      <w:r w:rsidRPr="0084407E">
        <w:rPr>
          <w:rFonts w:ascii="Arial" w:hAnsi="Arial" w:cs="Arial"/>
        </w:rPr>
        <w:t xml:space="preserve">VisitBritain (2026) </w:t>
      </w:r>
      <w:r w:rsidRPr="0084407E">
        <w:rPr>
          <w:rFonts w:ascii="Arial" w:hAnsi="Arial" w:cs="Arial"/>
          <w:i/>
          <w:iCs/>
        </w:rPr>
        <w:t>2026 tourism forecast</w:t>
      </w:r>
      <w:r w:rsidRPr="0084407E">
        <w:rPr>
          <w:rFonts w:ascii="Arial" w:hAnsi="Arial" w:cs="Arial"/>
        </w:rPr>
        <w:t xml:space="preserve">. Available at: </w:t>
      </w:r>
      <w:hyperlink r:id="rId51" w:history="1">
        <w:r w:rsidR="003C16B8" w:rsidRPr="0084407E">
          <w:rPr>
            <w:rStyle w:val="Hyperlink"/>
            <w:rFonts w:ascii="Arial" w:hAnsi="Arial" w:cs="Arial"/>
          </w:rPr>
          <w:t>https://www.visitbritain.org/research-insights/inbound-tourism-forecast</w:t>
        </w:r>
      </w:hyperlink>
      <w:r w:rsidR="003C16B8">
        <w:rPr>
          <w:rFonts w:ascii="Arial" w:hAnsi="Arial" w:cs="Arial"/>
        </w:rPr>
        <w:t xml:space="preserve"> </w:t>
      </w:r>
    </w:p>
    <w:p w14:paraId="19B5454E" w14:textId="0B95ECB6" w:rsidR="00121645" w:rsidRDefault="00121645">
      <w:pPr>
        <w:spacing w:after="160" w:line="259" w:lineRule="auto"/>
        <w:jc w:val="left"/>
        <w:rPr>
          <w:rFonts w:ascii="Arial" w:hAnsi="Arial" w:cs="Arial"/>
        </w:rPr>
      </w:pPr>
      <w:r>
        <w:rPr>
          <w:rFonts w:ascii="Arial" w:hAnsi="Arial" w:cs="Arial"/>
        </w:rPr>
        <w:br w:type="page"/>
      </w:r>
    </w:p>
    <w:p w14:paraId="11A6C5C8" w14:textId="4685C6A7" w:rsidR="00A715BE" w:rsidRDefault="00121645" w:rsidP="00121645">
      <w:pPr>
        <w:pStyle w:val="Heading1"/>
      </w:pPr>
      <w:bookmarkStart w:id="24" w:name="_Toc237529850"/>
      <w:r>
        <w:lastRenderedPageBreak/>
        <w:t>Appendix 1: Financial Calculation</w:t>
      </w:r>
      <w:bookmarkEnd w:id="24"/>
      <w:r>
        <w:t xml:space="preserve"> </w:t>
      </w:r>
    </w:p>
    <w:p w14:paraId="713CBB36" w14:textId="5FD9050A" w:rsidR="00121645" w:rsidRDefault="00121645" w:rsidP="00121645">
      <w:pPr>
        <w:jc w:val="center"/>
        <w:rPr>
          <w:rFonts w:ascii="Arial" w:hAnsi="Arial" w:cs="Arial"/>
        </w:rPr>
      </w:pPr>
      <w:r w:rsidRPr="00121645">
        <w:rPr>
          <w:noProof/>
        </w:rPr>
        <w:drawing>
          <wp:inline distT="0" distB="0" distL="0" distR="0" wp14:anchorId="4E7BF9DF" wp14:editId="44A16BBA">
            <wp:extent cx="5943600" cy="35718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3600" cy="3571875"/>
                    </a:xfrm>
                    <a:prstGeom prst="rect">
                      <a:avLst/>
                    </a:prstGeom>
                    <a:noFill/>
                    <a:ln>
                      <a:noFill/>
                    </a:ln>
                  </pic:spPr>
                </pic:pic>
              </a:graphicData>
            </a:graphic>
          </wp:inline>
        </w:drawing>
      </w:r>
    </w:p>
    <w:p w14:paraId="66567A1E" w14:textId="3CDF9E81" w:rsidR="00121645" w:rsidRDefault="00121645" w:rsidP="00121645">
      <w:pPr>
        <w:jc w:val="center"/>
        <w:rPr>
          <w:rFonts w:ascii="Arial" w:hAnsi="Arial" w:cs="Arial"/>
        </w:rPr>
      </w:pPr>
      <w:r w:rsidRPr="00121645">
        <w:rPr>
          <w:noProof/>
        </w:rPr>
        <w:lastRenderedPageBreak/>
        <w:drawing>
          <wp:inline distT="0" distB="0" distL="0" distR="0" wp14:anchorId="3896AB31" wp14:editId="65D52454">
            <wp:extent cx="5572125" cy="7562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72125" cy="7562850"/>
                    </a:xfrm>
                    <a:prstGeom prst="rect">
                      <a:avLst/>
                    </a:prstGeom>
                    <a:noFill/>
                    <a:ln>
                      <a:noFill/>
                    </a:ln>
                  </pic:spPr>
                </pic:pic>
              </a:graphicData>
            </a:graphic>
          </wp:inline>
        </w:drawing>
      </w:r>
    </w:p>
    <w:p w14:paraId="02EE032B" w14:textId="24628139" w:rsidR="00121645" w:rsidRDefault="00121645" w:rsidP="00121645">
      <w:pPr>
        <w:jc w:val="center"/>
        <w:rPr>
          <w:rFonts w:ascii="Arial" w:hAnsi="Arial" w:cs="Arial"/>
        </w:rPr>
      </w:pPr>
      <w:r w:rsidRPr="00121645">
        <w:rPr>
          <w:noProof/>
        </w:rPr>
        <w:lastRenderedPageBreak/>
        <w:drawing>
          <wp:inline distT="0" distB="0" distL="0" distR="0" wp14:anchorId="1B0EC5BE" wp14:editId="2668FA99">
            <wp:extent cx="4257675" cy="25241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257675" cy="2524125"/>
                    </a:xfrm>
                    <a:prstGeom prst="rect">
                      <a:avLst/>
                    </a:prstGeom>
                    <a:noFill/>
                    <a:ln>
                      <a:noFill/>
                    </a:ln>
                  </pic:spPr>
                </pic:pic>
              </a:graphicData>
            </a:graphic>
          </wp:inline>
        </w:drawing>
      </w:r>
    </w:p>
    <w:p w14:paraId="234023FD" w14:textId="1245DD25" w:rsidR="00121645" w:rsidRDefault="00121645" w:rsidP="00121645">
      <w:pPr>
        <w:jc w:val="center"/>
        <w:rPr>
          <w:rFonts w:ascii="Arial" w:hAnsi="Arial" w:cs="Arial"/>
        </w:rPr>
      </w:pPr>
      <w:r>
        <w:rPr>
          <w:rFonts w:ascii="Arial" w:hAnsi="Arial" w:cs="Arial"/>
          <w:noProof/>
        </w:rPr>
        <w:drawing>
          <wp:inline distT="0" distB="0" distL="0" distR="0" wp14:anchorId="2613FE48" wp14:editId="021B123C">
            <wp:extent cx="4905375" cy="243752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8862" cy="2439253"/>
                    </a:xfrm>
                    <a:prstGeom prst="rect">
                      <a:avLst/>
                    </a:prstGeom>
                    <a:noFill/>
                  </pic:spPr>
                </pic:pic>
              </a:graphicData>
            </a:graphic>
          </wp:inline>
        </w:drawing>
      </w:r>
    </w:p>
    <w:p w14:paraId="3AB5CA85" w14:textId="21C815ED" w:rsidR="00121645" w:rsidRDefault="00121645" w:rsidP="00121645">
      <w:pPr>
        <w:jc w:val="center"/>
        <w:rPr>
          <w:rFonts w:ascii="Arial" w:hAnsi="Arial" w:cs="Arial"/>
        </w:rPr>
      </w:pPr>
      <w:r w:rsidRPr="00121645">
        <w:rPr>
          <w:noProof/>
        </w:rPr>
        <w:drawing>
          <wp:inline distT="0" distB="0" distL="0" distR="0" wp14:anchorId="06AA34DF" wp14:editId="1E908CA5">
            <wp:extent cx="5943600" cy="19659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1965960"/>
                    </a:xfrm>
                    <a:prstGeom prst="rect">
                      <a:avLst/>
                    </a:prstGeom>
                    <a:noFill/>
                    <a:ln>
                      <a:noFill/>
                    </a:ln>
                  </pic:spPr>
                </pic:pic>
              </a:graphicData>
            </a:graphic>
          </wp:inline>
        </w:drawing>
      </w:r>
    </w:p>
    <w:p w14:paraId="30C5FF28" w14:textId="78533347" w:rsidR="00121645" w:rsidRDefault="00121645" w:rsidP="00121645">
      <w:pPr>
        <w:jc w:val="center"/>
        <w:rPr>
          <w:rFonts w:ascii="Arial" w:hAnsi="Arial" w:cs="Arial"/>
        </w:rPr>
      </w:pPr>
      <w:r w:rsidRPr="00121645">
        <w:rPr>
          <w:noProof/>
        </w:rPr>
        <w:lastRenderedPageBreak/>
        <w:drawing>
          <wp:inline distT="0" distB="0" distL="0" distR="0" wp14:anchorId="6D59E6C2" wp14:editId="42244E51">
            <wp:extent cx="5943600" cy="34499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3449955"/>
                    </a:xfrm>
                    <a:prstGeom prst="rect">
                      <a:avLst/>
                    </a:prstGeom>
                    <a:noFill/>
                    <a:ln>
                      <a:noFill/>
                    </a:ln>
                  </pic:spPr>
                </pic:pic>
              </a:graphicData>
            </a:graphic>
          </wp:inline>
        </w:drawing>
      </w:r>
    </w:p>
    <w:p w14:paraId="18B8D364" w14:textId="58612114" w:rsidR="00121645" w:rsidRDefault="00121645" w:rsidP="00121645">
      <w:pPr>
        <w:jc w:val="center"/>
        <w:rPr>
          <w:rFonts w:ascii="Arial" w:hAnsi="Arial" w:cs="Arial"/>
        </w:rPr>
      </w:pPr>
      <w:r w:rsidRPr="00121645">
        <w:rPr>
          <w:noProof/>
        </w:rPr>
        <w:drawing>
          <wp:inline distT="0" distB="0" distL="0" distR="0" wp14:anchorId="7A9C864A" wp14:editId="46DAF120">
            <wp:extent cx="3867150" cy="1543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867150" cy="1543050"/>
                    </a:xfrm>
                    <a:prstGeom prst="rect">
                      <a:avLst/>
                    </a:prstGeom>
                    <a:noFill/>
                    <a:ln>
                      <a:noFill/>
                    </a:ln>
                  </pic:spPr>
                </pic:pic>
              </a:graphicData>
            </a:graphic>
          </wp:inline>
        </w:drawing>
      </w:r>
    </w:p>
    <w:p w14:paraId="066010AD" w14:textId="3B071D7A" w:rsidR="00121645" w:rsidRDefault="00121645" w:rsidP="00121645">
      <w:pPr>
        <w:jc w:val="center"/>
        <w:rPr>
          <w:rFonts w:ascii="Arial" w:hAnsi="Arial" w:cs="Arial"/>
        </w:rPr>
      </w:pPr>
      <w:r>
        <w:rPr>
          <w:rFonts w:ascii="Arial" w:hAnsi="Arial" w:cs="Arial"/>
          <w:noProof/>
        </w:rPr>
        <w:drawing>
          <wp:inline distT="0" distB="0" distL="0" distR="0" wp14:anchorId="179A52C5" wp14:editId="58C28F7A">
            <wp:extent cx="5078095" cy="2853055"/>
            <wp:effectExtent l="0" t="0" r="8255"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8095" cy="2853055"/>
                    </a:xfrm>
                    <a:prstGeom prst="rect">
                      <a:avLst/>
                    </a:prstGeom>
                    <a:noFill/>
                  </pic:spPr>
                </pic:pic>
              </a:graphicData>
            </a:graphic>
          </wp:inline>
        </w:drawing>
      </w:r>
    </w:p>
    <w:p w14:paraId="69E24EC4" w14:textId="1CFA7185" w:rsidR="00121645" w:rsidRPr="00ED00F8" w:rsidRDefault="00121645" w:rsidP="00121645">
      <w:pPr>
        <w:jc w:val="center"/>
        <w:rPr>
          <w:rFonts w:ascii="Arial" w:hAnsi="Arial" w:cs="Arial"/>
        </w:rPr>
      </w:pPr>
      <w:r w:rsidRPr="00121645">
        <w:rPr>
          <w:noProof/>
        </w:rPr>
        <w:lastRenderedPageBreak/>
        <w:drawing>
          <wp:inline distT="0" distB="0" distL="0" distR="0" wp14:anchorId="71425EA6" wp14:editId="3B6FA494">
            <wp:extent cx="5943600" cy="294513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2945130"/>
                    </a:xfrm>
                    <a:prstGeom prst="rect">
                      <a:avLst/>
                    </a:prstGeom>
                    <a:noFill/>
                    <a:ln>
                      <a:noFill/>
                    </a:ln>
                  </pic:spPr>
                </pic:pic>
              </a:graphicData>
            </a:graphic>
          </wp:inline>
        </w:drawing>
      </w:r>
    </w:p>
    <w:sectPr w:rsidR="00121645" w:rsidRPr="00ED00F8" w:rsidSect="00ED00F8">
      <w:footerReference w:type="default" r:id="rId5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50EBD" w14:textId="77777777" w:rsidR="00183E08" w:rsidRDefault="00183E08" w:rsidP="00ED00F8">
      <w:pPr>
        <w:spacing w:line="240" w:lineRule="auto"/>
      </w:pPr>
      <w:r>
        <w:separator/>
      </w:r>
    </w:p>
  </w:endnote>
  <w:endnote w:type="continuationSeparator" w:id="0">
    <w:p w14:paraId="3F587152" w14:textId="77777777" w:rsidR="00183E08" w:rsidRDefault="00183E08" w:rsidP="00ED00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488257725"/>
      <w:docPartObj>
        <w:docPartGallery w:val="Page Numbers (Bottom of Page)"/>
        <w:docPartUnique/>
      </w:docPartObj>
    </w:sdtPr>
    <w:sdtEndPr>
      <w:rPr>
        <w:noProof/>
      </w:rPr>
    </w:sdtEndPr>
    <w:sdtContent>
      <w:p w14:paraId="63BFA845" w14:textId="21BB59AC" w:rsidR="00ED00F8" w:rsidRPr="00ED00F8" w:rsidRDefault="00ED00F8" w:rsidP="00ED00F8">
        <w:pPr>
          <w:pStyle w:val="Footer"/>
          <w:jc w:val="right"/>
          <w:rPr>
            <w:rFonts w:ascii="Arial" w:hAnsi="Arial" w:cs="Arial"/>
            <w:sz w:val="20"/>
            <w:szCs w:val="20"/>
          </w:rPr>
        </w:pPr>
        <w:r w:rsidRPr="00ED00F8">
          <w:rPr>
            <w:rFonts w:ascii="Arial" w:hAnsi="Arial" w:cs="Arial"/>
            <w:sz w:val="20"/>
            <w:szCs w:val="20"/>
          </w:rPr>
          <w:fldChar w:fldCharType="begin"/>
        </w:r>
        <w:r w:rsidRPr="00ED00F8">
          <w:rPr>
            <w:rFonts w:ascii="Arial" w:hAnsi="Arial" w:cs="Arial"/>
            <w:sz w:val="20"/>
            <w:szCs w:val="20"/>
          </w:rPr>
          <w:instrText xml:space="preserve"> PAGE   \* MERGEFORMAT </w:instrText>
        </w:r>
        <w:r w:rsidRPr="00ED00F8">
          <w:rPr>
            <w:rFonts w:ascii="Arial" w:hAnsi="Arial" w:cs="Arial"/>
            <w:sz w:val="20"/>
            <w:szCs w:val="20"/>
          </w:rPr>
          <w:fldChar w:fldCharType="separate"/>
        </w:r>
        <w:r w:rsidRPr="00ED00F8">
          <w:rPr>
            <w:rFonts w:ascii="Arial" w:hAnsi="Arial" w:cs="Arial"/>
            <w:noProof/>
            <w:sz w:val="20"/>
            <w:szCs w:val="20"/>
          </w:rPr>
          <w:t>2</w:t>
        </w:r>
        <w:r w:rsidRPr="00ED00F8">
          <w:rPr>
            <w:rFonts w:ascii="Arial" w:hAnsi="Arial" w:cs="Arial"/>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8F5DD" w14:textId="77777777" w:rsidR="00183E08" w:rsidRDefault="00183E08" w:rsidP="00ED00F8">
      <w:pPr>
        <w:spacing w:line="240" w:lineRule="auto"/>
      </w:pPr>
      <w:r>
        <w:separator/>
      </w:r>
    </w:p>
  </w:footnote>
  <w:footnote w:type="continuationSeparator" w:id="0">
    <w:p w14:paraId="3A31DA5F" w14:textId="77777777" w:rsidR="00183E08" w:rsidRDefault="00183E08" w:rsidP="00ED00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53F"/>
    <w:rsid w:val="00071687"/>
    <w:rsid w:val="000A453F"/>
    <w:rsid w:val="00121645"/>
    <w:rsid w:val="00162EB3"/>
    <w:rsid w:val="00183E08"/>
    <w:rsid w:val="00221663"/>
    <w:rsid w:val="002D76EA"/>
    <w:rsid w:val="002F77ED"/>
    <w:rsid w:val="00315B7E"/>
    <w:rsid w:val="003C16B8"/>
    <w:rsid w:val="004A6C16"/>
    <w:rsid w:val="004B5BE0"/>
    <w:rsid w:val="004B5BFD"/>
    <w:rsid w:val="0053483C"/>
    <w:rsid w:val="005354CB"/>
    <w:rsid w:val="005908A8"/>
    <w:rsid w:val="005F0E88"/>
    <w:rsid w:val="00632067"/>
    <w:rsid w:val="00646727"/>
    <w:rsid w:val="006A3DCF"/>
    <w:rsid w:val="007D1FAD"/>
    <w:rsid w:val="007E2DC1"/>
    <w:rsid w:val="0084407E"/>
    <w:rsid w:val="008A2705"/>
    <w:rsid w:val="00986FA5"/>
    <w:rsid w:val="00A663A5"/>
    <w:rsid w:val="00A715BE"/>
    <w:rsid w:val="00B75001"/>
    <w:rsid w:val="00C27BD5"/>
    <w:rsid w:val="00CD501B"/>
    <w:rsid w:val="00DE2CFB"/>
    <w:rsid w:val="00DF3B53"/>
    <w:rsid w:val="00DF7B32"/>
    <w:rsid w:val="00E048A9"/>
    <w:rsid w:val="00E535F7"/>
    <w:rsid w:val="00E90347"/>
    <w:rsid w:val="00ED00F8"/>
    <w:rsid w:val="00EF50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F4413"/>
  <w15:chartTrackingRefBased/>
  <w15:docId w15:val="{768F8445-3F5F-46B4-BAD0-6AB28F2C2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EB3"/>
    <w:pPr>
      <w:spacing w:after="0" w:line="360" w:lineRule="auto"/>
      <w:jc w:val="both"/>
    </w:pPr>
    <w:rPr>
      <w:rFonts w:ascii="Times New Roman" w:hAnsi="Times New Roman"/>
      <w:color w:val="000000" w:themeColor="text1"/>
      <w:sz w:val="24"/>
      <w:szCs w:val="24"/>
    </w:rPr>
  </w:style>
  <w:style w:type="paragraph" w:styleId="Heading1">
    <w:name w:val="heading 1"/>
    <w:basedOn w:val="Normal"/>
    <w:next w:val="Normal"/>
    <w:link w:val="Heading1Char"/>
    <w:uiPriority w:val="9"/>
    <w:qFormat/>
    <w:rsid w:val="0084407E"/>
    <w:pPr>
      <w:outlineLvl w:val="0"/>
    </w:pPr>
    <w:rPr>
      <w:rFonts w:ascii="Arial" w:hAnsi="Arial" w:cs="Arial"/>
      <w:b/>
      <w:bCs/>
      <w:sz w:val="28"/>
      <w:szCs w:val="28"/>
    </w:rPr>
  </w:style>
  <w:style w:type="paragraph" w:styleId="Heading2">
    <w:name w:val="heading 2"/>
    <w:basedOn w:val="Normal"/>
    <w:next w:val="Normal"/>
    <w:link w:val="Heading2Char"/>
    <w:uiPriority w:val="9"/>
    <w:unhideWhenUsed/>
    <w:qFormat/>
    <w:rsid w:val="0084407E"/>
    <w:pPr>
      <w:outlineLvl w:val="1"/>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0F8"/>
    <w:pPr>
      <w:tabs>
        <w:tab w:val="center" w:pos="4513"/>
        <w:tab w:val="right" w:pos="9026"/>
      </w:tabs>
      <w:spacing w:line="240" w:lineRule="auto"/>
    </w:pPr>
  </w:style>
  <w:style w:type="character" w:customStyle="1" w:styleId="HeaderChar">
    <w:name w:val="Header Char"/>
    <w:basedOn w:val="DefaultParagraphFont"/>
    <w:link w:val="Header"/>
    <w:uiPriority w:val="99"/>
    <w:rsid w:val="00ED00F8"/>
    <w:rPr>
      <w:rFonts w:ascii="Times New Roman" w:hAnsi="Times New Roman"/>
      <w:color w:val="000000" w:themeColor="text1"/>
      <w:sz w:val="24"/>
      <w:szCs w:val="24"/>
    </w:rPr>
  </w:style>
  <w:style w:type="paragraph" w:styleId="Footer">
    <w:name w:val="footer"/>
    <w:basedOn w:val="Normal"/>
    <w:link w:val="FooterChar"/>
    <w:uiPriority w:val="99"/>
    <w:unhideWhenUsed/>
    <w:rsid w:val="00ED00F8"/>
    <w:pPr>
      <w:tabs>
        <w:tab w:val="center" w:pos="4513"/>
        <w:tab w:val="right" w:pos="9026"/>
      </w:tabs>
      <w:spacing w:line="240" w:lineRule="auto"/>
    </w:pPr>
  </w:style>
  <w:style w:type="character" w:customStyle="1" w:styleId="FooterChar">
    <w:name w:val="Footer Char"/>
    <w:basedOn w:val="DefaultParagraphFont"/>
    <w:link w:val="Footer"/>
    <w:uiPriority w:val="99"/>
    <w:rsid w:val="00ED00F8"/>
    <w:rPr>
      <w:rFonts w:ascii="Times New Roman" w:hAnsi="Times New Roman"/>
      <w:color w:val="000000" w:themeColor="text1"/>
      <w:sz w:val="24"/>
      <w:szCs w:val="24"/>
    </w:rPr>
  </w:style>
  <w:style w:type="character" w:styleId="Hyperlink">
    <w:name w:val="Hyperlink"/>
    <w:basedOn w:val="DefaultParagraphFont"/>
    <w:uiPriority w:val="99"/>
    <w:unhideWhenUsed/>
    <w:rsid w:val="0084407E"/>
    <w:rPr>
      <w:color w:val="467886" w:themeColor="hyperlink"/>
      <w:u w:val="single"/>
    </w:rPr>
  </w:style>
  <w:style w:type="character" w:styleId="UnresolvedMention">
    <w:name w:val="Unresolved Mention"/>
    <w:basedOn w:val="DefaultParagraphFont"/>
    <w:uiPriority w:val="99"/>
    <w:semiHidden/>
    <w:unhideWhenUsed/>
    <w:rsid w:val="0084407E"/>
    <w:rPr>
      <w:color w:val="605E5C"/>
      <w:shd w:val="clear" w:color="auto" w:fill="E1DFDD"/>
    </w:rPr>
  </w:style>
  <w:style w:type="character" w:customStyle="1" w:styleId="Heading1Char">
    <w:name w:val="Heading 1 Char"/>
    <w:basedOn w:val="DefaultParagraphFont"/>
    <w:link w:val="Heading1"/>
    <w:uiPriority w:val="9"/>
    <w:rsid w:val="0084407E"/>
    <w:rPr>
      <w:rFonts w:ascii="Arial" w:hAnsi="Arial" w:cs="Arial"/>
      <w:b/>
      <w:bCs/>
      <w:color w:val="000000" w:themeColor="text1"/>
      <w:sz w:val="28"/>
      <w:szCs w:val="28"/>
    </w:rPr>
  </w:style>
  <w:style w:type="character" w:customStyle="1" w:styleId="Heading2Char">
    <w:name w:val="Heading 2 Char"/>
    <w:basedOn w:val="DefaultParagraphFont"/>
    <w:link w:val="Heading2"/>
    <w:uiPriority w:val="9"/>
    <w:rsid w:val="0084407E"/>
    <w:rPr>
      <w:rFonts w:ascii="Arial" w:hAnsi="Arial" w:cs="Arial"/>
      <w:b/>
      <w:bCs/>
      <w:color w:val="000000" w:themeColor="text1"/>
      <w:sz w:val="24"/>
      <w:szCs w:val="24"/>
    </w:rPr>
  </w:style>
  <w:style w:type="character" w:styleId="FollowedHyperlink">
    <w:name w:val="FollowedHyperlink"/>
    <w:basedOn w:val="DefaultParagraphFont"/>
    <w:uiPriority w:val="99"/>
    <w:semiHidden/>
    <w:unhideWhenUsed/>
    <w:rsid w:val="003C16B8"/>
    <w:rPr>
      <w:color w:val="96607D" w:themeColor="followedHyperlink"/>
      <w:u w:val="single"/>
    </w:rPr>
  </w:style>
  <w:style w:type="paragraph" w:styleId="TOCHeading">
    <w:name w:val="TOC Heading"/>
    <w:basedOn w:val="Heading1"/>
    <w:next w:val="Normal"/>
    <w:uiPriority w:val="39"/>
    <w:unhideWhenUsed/>
    <w:qFormat/>
    <w:rsid w:val="005F0E88"/>
    <w:pPr>
      <w:keepNext/>
      <w:keepLines/>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14:ligatures w14:val="none"/>
    </w:rPr>
  </w:style>
  <w:style w:type="paragraph" w:styleId="TOC1">
    <w:name w:val="toc 1"/>
    <w:basedOn w:val="Normal"/>
    <w:next w:val="Normal"/>
    <w:autoRedefine/>
    <w:uiPriority w:val="39"/>
    <w:unhideWhenUsed/>
    <w:rsid w:val="005F0E88"/>
    <w:pPr>
      <w:spacing w:after="100"/>
    </w:pPr>
  </w:style>
  <w:style w:type="paragraph" w:styleId="TOC2">
    <w:name w:val="toc 2"/>
    <w:basedOn w:val="Normal"/>
    <w:next w:val="Normal"/>
    <w:autoRedefine/>
    <w:uiPriority w:val="39"/>
    <w:unhideWhenUsed/>
    <w:rsid w:val="005F0E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5294">
      <w:bodyDiv w:val="1"/>
      <w:marLeft w:val="0"/>
      <w:marRight w:val="0"/>
      <w:marTop w:val="0"/>
      <w:marBottom w:val="0"/>
      <w:divBdr>
        <w:top w:val="none" w:sz="0" w:space="0" w:color="auto"/>
        <w:left w:val="none" w:sz="0" w:space="0" w:color="auto"/>
        <w:bottom w:val="none" w:sz="0" w:space="0" w:color="auto"/>
        <w:right w:val="none" w:sz="0" w:space="0" w:color="auto"/>
      </w:divBdr>
    </w:div>
    <w:div w:id="140075158">
      <w:bodyDiv w:val="1"/>
      <w:marLeft w:val="0"/>
      <w:marRight w:val="0"/>
      <w:marTop w:val="0"/>
      <w:marBottom w:val="0"/>
      <w:divBdr>
        <w:top w:val="none" w:sz="0" w:space="0" w:color="auto"/>
        <w:left w:val="none" w:sz="0" w:space="0" w:color="auto"/>
        <w:bottom w:val="none" w:sz="0" w:space="0" w:color="auto"/>
        <w:right w:val="none" w:sz="0" w:space="0" w:color="auto"/>
      </w:divBdr>
    </w:div>
    <w:div w:id="179466149">
      <w:bodyDiv w:val="1"/>
      <w:marLeft w:val="0"/>
      <w:marRight w:val="0"/>
      <w:marTop w:val="0"/>
      <w:marBottom w:val="0"/>
      <w:divBdr>
        <w:top w:val="none" w:sz="0" w:space="0" w:color="auto"/>
        <w:left w:val="none" w:sz="0" w:space="0" w:color="auto"/>
        <w:bottom w:val="none" w:sz="0" w:space="0" w:color="auto"/>
        <w:right w:val="none" w:sz="0" w:space="0" w:color="auto"/>
      </w:divBdr>
    </w:div>
    <w:div w:id="283462496">
      <w:bodyDiv w:val="1"/>
      <w:marLeft w:val="0"/>
      <w:marRight w:val="0"/>
      <w:marTop w:val="0"/>
      <w:marBottom w:val="0"/>
      <w:divBdr>
        <w:top w:val="none" w:sz="0" w:space="0" w:color="auto"/>
        <w:left w:val="none" w:sz="0" w:space="0" w:color="auto"/>
        <w:bottom w:val="none" w:sz="0" w:space="0" w:color="auto"/>
        <w:right w:val="none" w:sz="0" w:space="0" w:color="auto"/>
      </w:divBdr>
    </w:div>
    <w:div w:id="327026698">
      <w:bodyDiv w:val="1"/>
      <w:marLeft w:val="0"/>
      <w:marRight w:val="0"/>
      <w:marTop w:val="0"/>
      <w:marBottom w:val="0"/>
      <w:divBdr>
        <w:top w:val="none" w:sz="0" w:space="0" w:color="auto"/>
        <w:left w:val="none" w:sz="0" w:space="0" w:color="auto"/>
        <w:bottom w:val="none" w:sz="0" w:space="0" w:color="auto"/>
        <w:right w:val="none" w:sz="0" w:space="0" w:color="auto"/>
      </w:divBdr>
    </w:div>
    <w:div w:id="380714408">
      <w:bodyDiv w:val="1"/>
      <w:marLeft w:val="0"/>
      <w:marRight w:val="0"/>
      <w:marTop w:val="0"/>
      <w:marBottom w:val="0"/>
      <w:divBdr>
        <w:top w:val="none" w:sz="0" w:space="0" w:color="auto"/>
        <w:left w:val="none" w:sz="0" w:space="0" w:color="auto"/>
        <w:bottom w:val="none" w:sz="0" w:space="0" w:color="auto"/>
        <w:right w:val="none" w:sz="0" w:space="0" w:color="auto"/>
      </w:divBdr>
    </w:div>
    <w:div w:id="541668690">
      <w:bodyDiv w:val="1"/>
      <w:marLeft w:val="0"/>
      <w:marRight w:val="0"/>
      <w:marTop w:val="0"/>
      <w:marBottom w:val="0"/>
      <w:divBdr>
        <w:top w:val="none" w:sz="0" w:space="0" w:color="auto"/>
        <w:left w:val="none" w:sz="0" w:space="0" w:color="auto"/>
        <w:bottom w:val="none" w:sz="0" w:space="0" w:color="auto"/>
        <w:right w:val="none" w:sz="0" w:space="0" w:color="auto"/>
      </w:divBdr>
    </w:div>
    <w:div w:id="751510461">
      <w:bodyDiv w:val="1"/>
      <w:marLeft w:val="0"/>
      <w:marRight w:val="0"/>
      <w:marTop w:val="0"/>
      <w:marBottom w:val="0"/>
      <w:divBdr>
        <w:top w:val="none" w:sz="0" w:space="0" w:color="auto"/>
        <w:left w:val="none" w:sz="0" w:space="0" w:color="auto"/>
        <w:bottom w:val="none" w:sz="0" w:space="0" w:color="auto"/>
        <w:right w:val="none" w:sz="0" w:space="0" w:color="auto"/>
      </w:divBdr>
    </w:div>
    <w:div w:id="920987746">
      <w:bodyDiv w:val="1"/>
      <w:marLeft w:val="0"/>
      <w:marRight w:val="0"/>
      <w:marTop w:val="0"/>
      <w:marBottom w:val="0"/>
      <w:divBdr>
        <w:top w:val="none" w:sz="0" w:space="0" w:color="auto"/>
        <w:left w:val="none" w:sz="0" w:space="0" w:color="auto"/>
        <w:bottom w:val="none" w:sz="0" w:space="0" w:color="auto"/>
        <w:right w:val="none" w:sz="0" w:space="0" w:color="auto"/>
      </w:divBdr>
    </w:div>
    <w:div w:id="1033651714">
      <w:bodyDiv w:val="1"/>
      <w:marLeft w:val="0"/>
      <w:marRight w:val="0"/>
      <w:marTop w:val="0"/>
      <w:marBottom w:val="0"/>
      <w:divBdr>
        <w:top w:val="none" w:sz="0" w:space="0" w:color="auto"/>
        <w:left w:val="none" w:sz="0" w:space="0" w:color="auto"/>
        <w:bottom w:val="none" w:sz="0" w:space="0" w:color="auto"/>
        <w:right w:val="none" w:sz="0" w:space="0" w:color="auto"/>
      </w:divBdr>
    </w:div>
    <w:div w:id="1291353669">
      <w:bodyDiv w:val="1"/>
      <w:marLeft w:val="0"/>
      <w:marRight w:val="0"/>
      <w:marTop w:val="0"/>
      <w:marBottom w:val="0"/>
      <w:divBdr>
        <w:top w:val="none" w:sz="0" w:space="0" w:color="auto"/>
        <w:left w:val="none" w:sz="0" w:space="0" w:color="auto"/>
        <w:bottom w:val="none" w:sz="0" w:space="0" w:color="auto"/>
        <w:right w:val="none" w:sz="0" w:space="0" w:color="auto"/>
      </w:divBdr>
    </w:div>
    <w:div w:id="1424494050">
      <w:bodyDiv w:val="1"/>
      <w:marLeft w:val="0"/>
      <w:marRight w:val="0"/>
      <w:marTop w:val="0"/>
      <w:marBottom w:val="0"/>
      <w:divBdr>
        <w:top w:val="none" w:sz="0" w:space="0" w:color="auto"/>
        <w:left w:val="none" w:sz="0" w:space="0" w:color="auto"/>
        <w:bottom w:val="none" w:sz="0" w:space="0" w:color="auto"/>
        <w:right w:val="none" w:sz="0" w:space="0" w:color="auto"/>
      </w:divBdr>
    </w:div>
    <w:div w:id="1525946642">
      <w:bodyDiv w:val="1"/>
      <w:marLeft w:val="0"/>
      <w:marRight w:val="0"/>
      <w:marTop w:val="0"/>
      <w:marBottom w:val="0"/>
      <w:divBdr>
        <w:top w:val="none" w:sz="0" w:space="0" w:color="auto"/>
        <w:left w:val="none" w:sz="0" w:space="0" w:color="auto"/>
        <w:bottom w:val="none" w:sz="0" w:space="0" w:color="auto"/>
        <w:right w:val="none" w:sz="0" w:space="0" w:color="auto"/>
      </w:divBdr>
    </w:div>
    <w:div w:id="2014913786">
      <w:bodyDiv w:val="1"/>
      <w:marLeft w:val="0"/>
      <w:marRight w:val="0"/>
      <w:marTop w:val="0"/>
      <w:marBottom w:val="0"/>
      <w:divBdr>
        <w:top w:val="none" w:sz="0" w:space="0" w:color="auto"/>
        <w:left w:val="none" w:sz="0" w:space="0" w:color="auto"/>
        <w:bottom w:val="none" w:sz="0" w:space="0" w:color="auto"/>
        <w:right w:val="none" w:sz="0" w:space="0" w:color="auto"/>
      </w:divBdr>
    </w:div>
    <w:div w:id="2068138607">
      <w:bodyDiv w:val="1"/>
      <w:marLeft w:val="0"/>
      <w:marRight w:val="0"/>
      <w:marTop w:val="0"/>
      <w:marBottom w:val="0"/>
      <w:divBdr>
        <w:top w:val="none" w:sz="0" w:space="0" w:color="auto"/>
        <w:left w:val="none" w:sz="0" w:space="0" w:color="auto"/>
        <w:bottom w:val="none" w:sz="0" w:space="0" w:color="auto"/>
        <w:right w:val="none" w:sz="0" w:space="0" w:color="auto"/>
      </w:divBdr>
    </w:div>
    <w:div w:id="210299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hyperlink" Target="https://doi.org/10.1016/j.ijhm.2022.103144" TargetMode="External"/><Relationship Id="rId26" Type="http://schemas.openxmlformats.org/officeDocument/2006/relationships/hyperlink" Target="https://doi.org/10.3390/jrfm16030191" TargetMode="External"/><Relationship Id="rId39" Type="http://schemas.openxmlformats.org/officeDocument/2006/relationships/hyperlink" Target="https://csimarket.com/Industry/industry_Financial_Strength_Ratios.php?ind=906" TargetMode="External"/><Relationship Id="rId21" Type="http://schemas.openxmlformats.org/officeDocument/2006/relationships/hyperlink" Target="https://doi.org/10.3389/frsus.2024.1454822" TargetMode="External"/><Relationship Id="rId34" Type="http://schemas.openxmlformats.org/officeDocument/2006/relationships/hyperlink" Target="https://doi.org/10.3390/su15010554" TargetMode="External"/><Relationship Id="rId42" Type="http://schemas.openxmlformats.org/officeDocument/2006/relationships/hyperlink" Target="https://www.ihgplc.com/en/news-and-media/news-releases/2024/full-year-results-for-the-year-to-31-dec-2023" TargetMode="External"/><Relationship Id="rId47" Type="http://schemas.openxmlformats.org/officeDocument/2006/relationships/hyperlink" Target="https://www.ihgplc.com/en/investors/annual-report" TargetMode="External"/><Relationship Id="rId50" Type="http://schemas.openxmlformats.org/officeDocument/2006/relationships/hyperlink" Target="https://www.ons.gov.uk/economy/inflationandpriceindices" TargetMode="External"/><Relationship Id="rId55" Type="http://schemas.openxmlformats.org/officeDocument/2006/relationships/image" Target="media/image13.emf"/><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23322039.2022.2101224" TargetMode="External"/><Relationship Id="rId29" Type="http://schemas.openxmlformats.org/officeDocument/2006/relationships/hyperlink" Target="https://doi.org/10.3390/info15080432" TargetMode="External"/><Relationship Id="rId11" Type="http://schemas.openxmlformats.org/officeDocument/2006/relationships/image" Target="media/image5.png"/><Relationship Id="rId24" Type="http://schemas.openxmlformats.org/officeDocument/2006/relationships/hyperlink" Target="https://doi.org/10.3390/economies12110306" TargetMode="External"/><Relationship Id="rId32" Type="http://schemas.openxmlformats.org/officeDocument/2006/relationships/hyperlink" Target="https://doi.org/10.30574/wjarr.2023.19.2.1483" TargetMode="External"/><Relationship Id="rId37" Type="http://schemas.openxmlformats.org/officeDocument/2006/relationships/hyperlink" Target="https://doi.org/10.3390/info15060299" TargetMode="External"/><Relationship Id="rId40" Type="http://schemas.openxmlformats.org/officeDocument/2006/relationships/hyperlink" Target="https://hospitality.institute/" TargetMode="External"/><Relationship Id="rId45" Type="http://schemas.openxmlformats.org/officeDocument/2006/relationships/hyperlink" Target="https://www.ihgplc.com/en/responsible-business" TargetMode="External"/><Relationship Id="rId53" Type="http://schemas.openxmlformats.org/officeDocument/2006/relationships/image" Target="media/image11.emf"/><Relationship Id="rId58" Type="http://schemas.openxmlformats.org/officeDocument/2006/relationships/image" Target="media/image16.emf"/><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doi.org/10.3389/frsus.2025.1628871" TargetMode="External"/><Relationship Id="rId14" Type="http://schemas.openxmlformats.org/officeDocument/2006/relationships/image" Target="media/image8.png"/><Relationship Id="rId22" Type="http://schemas.openxmlformats.org/officeDocument/2006/relationships/hyperlink" Target="https://doi.org/10.3390/ijfs12040112" TargetMode="External"/><Relationship Id="rId27" Type="http://schemas.openxmlformats.org/officeDocument/2006/relationships/hyperlink" Target="https://www.mdpi.com/2079-9292/14/13/2717" TargetMode="External"/><Relationship Id="rId30" Type="http://schemas.openxmlformats.org/officeDocument/2006/relationships/hyperlink" Target="https://doi.org/10.3390/risks13040062" TargetMode="External"/><Relationship Id="rId35" Type="http://schemas.openxmlformats.org/officeDocument/2006/relationships/hyperlink" Target="https://doi.org/10.3390/jrfm18040208" TargetMode="External"/><Relationship Id="rId43" Type="http://schemas.openxmlformats.org/officeDocument/2006/relationships/hyperlink" Target="https://www.ihgplc.com/~/media/Files/I/Ihg-Plc/investors/ihg-full-investor-pack-september-2025.pdf" TargetMode="External"/><Relationship Id="rId48" Type="http://schemas.openxmlformats.org/officeDocument/2006/relationships/hyperlink" Target="https://www.ihgplc.com/en/investors/results-and-presentations" TargetMode="External"/><Relationship Id="rId56" Type="http://schemas.openxmlformats.org/officeDocument/2006/relationships/image" Target="media/image14.emf"/><Relationship Id="rId8" Type="http://schemas.openxmlformats.org/officeDocument/2006/relationships/image" Target="media/image2.emf"/><Relationship Id="rId51" Type="http://schemas.openxmlformats.org/officeDocument/2006/relationships/hyperlink" Target="https://www.visitbritain.org/research-insights/inbound-tourism-forecast" TargetMode="External"/><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hyperlink" Target="https://doi.org/10.3390/ijfs13010021" TargetMode="External"/><Relationship Id="rId25" Type="http://schemas.openxmlformats.org/officeDocument/2006/relationships/hyperlink" Target="https://doi.org/10.3390/jrfm16070323" TargetMode="External"/><Relationship Id="rId33" Type="http://schemas.openxmlformats.org/officeDocument/2006/relationships/hyperlink" Target="https://doi.org/10.3390/jrfm17100473" TargetMode="External"/><Relationship Id="rId38" Type="http://schemas.openxmlformats.org/officeDocument/2006/relationships/hyperlink" Target="https://www.bankofengland.co.uk/boeapps/database/Bank-Rate.asp" TargetMode="External"/><Relationship Id="rId46" Type="http://schemas.openxmlformats.org/officeDocument/2006/relationships/hyperlink" Target="https://www.ihgplc.com/en/responsible-business/carbon-and-energy" TargetMode="External"/><Relationship Id="rId59" Type="http://schemas.openxmlformats.org/officeDocument/2006/relationships/footer" Target="footer1.xml"/><Relationship Id="rId20" Type="http://schemas.openxmlformats.org/officeDocument/2006/relationships/hyperlink" Target="https://www.mdpi.com/2674-1032/3/3/25" TargetMode="External"/><Relationship Id="rId41" Type="http://schemas.openxmlformats.org/officeDocument/2006/relationships/hyperlink" Target="https://www.ihgplc.com/en/investors/annual-report" TargetMode="External"/><Relationship Id="rId54"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emf"/><Relationship Id="rId23" Type="http://schemas.openxmlformats.org/officeDocument/2006/relationships/hyperlink" Target="https://doi.org/10.3390/jrfm18010024" TargetMode="External"/><Relationship Id="rId28" Type="http://schemas.openxmlformats.org/officeDocument/2006/relationships/hyperlink" Target="https://doi.org/10.1080/23322039.2024.2404707" TargetMode="External"/><Relationship Id="rId36" Type="http://schemas.openxmlformats.org/officeDocument/2006/relationships/hyperlink" Target="https://doi.org/10.3390/jrfm16090395" TargetMode="External"/><Relationship Id="rId49" Type="http://schemas.openxmlformats.org/officeDocument/2006/relationships/hyperlink" Target="https://www.ihgplc.com/en/investors/annual-report" TargetMode="External"/><Relationship Id="rId57" Type="http://schemas.openxmlformats.org/officeDocument/2006/relationships/image" Target="media/image15.emf"/><Relationship Id="rId10" Type="http://schemas.openxmlformats.org/officeDocument/2006/relationships/image" Target="media/image4.emf"/><Relationship Id="rId31" Type="http://schemas.openxmlformats.org/officeDocument/2006/relationships/hyperlink" Target="https://doi.org/10.3389/frsut.2024.1429472" TargetMode="External"/><Relationship Id="rId44" Type="http://schemas.openxmlformats.org/officeDocument/2006/relationships/hyperlink" Target="https://www.ihgplc.com/en/investors/results-and-presentations" TargetMode="External"/><Relationship Id="rId52" Type="http://schemas.openxmlformats.org/officeDocument/2006/relationships/image" Target="media/image10.emf"/><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05143-88B6-4C62-80E7-FC4D23CD2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28</Pages>
  <Words>7127</Words>
  <Characters>40629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Ankita</cp:lastModifiedBy>
  <cp:revision>4</cp:revision>
  <dcterms:created xsi:type="dcterms:W3CDTF">2026-08-13T09:34:00Z</dcterms:created>
  <dcterms:modified xsi:type="dcterms:W3CDTF">2026-08-13T12:16:00Z</dcterms:modified>
</cp:coreProperties>
</file>