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D35493"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18F75A03" wp14:editId="6444DEA2">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6DA2411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3B8DE65"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18F75A03"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6DA24110"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3B8DE65"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411DD9DF" wp14:editId="313C24DE">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3361885E"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FB94AB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411DD9DF"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3361885E"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FB94AB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4F6050D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6B5F1EDB" wp14:editId="3B2F98F7">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0C6434E0" w14:textId="77777777" w:rsidR="00530E16" w:rsidRDefault="004468F8">
                            <w:pPr>
                              <w:spacing w:after="0" w:line="240" w:lineRule="auto"/>
                              <w:textDirection w:val="btLr"/>
                            </w:pPr>
                            <w:r>
                              <w:rPr>
                                <w:rFonts w:ascii="Play" w:eastAsia="Play" w:hAnsi="Play" w:cs="Play"/>
                                <w:color w:val="262626"/>
                                <w:sz w:val="72"/>
                              </w:rPr>
                              <w:t>Individual Report</w:t>
                            </w:r>
                          </w:p>
                          <w:p w14:paraId="7B4D27A6" w14:textId="77777777" w:rsidR="00530E16" w:rsidRDefault="004468F8">
                            <w:pPr>
                              <w:spacing w:before="120" w:line="277" w:lineRule="auto"/>
                              <w:textDirection w:val="btLr"/>
                            </w:pPr>
                            <w:r>
                              <w:rPr>
                                <w:color w:val="404040"/>
                                <w:sz w:val="36"/>
                              </w:rPr>
                              <w:t>Module Name: Digital Skills and Research Methods</w:t>
                            </w:r>
                          </w:p>
                          <w:p w14:paraId="59F706EF" w14:textId="77777777" w:rsidR="00530E16" w:rsidRDefault="004468F8">
                            <w:pPr>
                              <w:spacing w:before="120" w:line="277" w:lineRule="auto"/>
                              <w:textDirection w:val="btLr"/>
                            </w:pPr>
                            <w:r>
                              <w:rPr>
                                <w:color w:val="404040"/>
                                <w:sz w:val="36"/>
                              </w:rPr>
                              <w:t>Module Code: LCHS 4007</w:t>
                            </w:r>
                          </w:p>
                          <w:p w14:paraId="74D1F3EF" w14:textId="7C171760" w:rsidR="00530E16" w:rsidRDefault="004468F8">
                            <w:pPr>
                              <w:spacing w:before="120" w:line="277" w:lineRule="auto"/>
                              <w:textDirection w:val="btLr"/>
                            </w:pPr>
                            <w:r>
                              <w:rPr>
                                <w:color w:val="404040"/>
                                <w:sz w:val="36"/>
                              </w:rPr>
                              <w:t xml:space="preserve">Student name: </w:t>
                            </w:r>
                            <w:r w:rsidR="00A43B47">
                              <w:rPr>
                                <w:color w:val="404040"/>
                                <w:sz w:val="36"/>
                              </w:rPr>
                              <w:t>Sara</w:t>
                            </w:r>
                            <w:r w:rsidR="00BC3C19">
                              <w:rPr>
                                <w:color w:val="404040"/>
                                <w:sz w:val="36"/>
                              </w:rPr>
                              <w:t>tu Mohammed</w:t>
                            </w:r>
                          </w:p>
                          <w:p w14:paraId="3588145B" w14:textId="4EF6FE55" w:rsidR="00530E16" w:rsidRDefault="004468F8">
                            <w:pPr>
                              <w:spacing w:before="120" w:line="277" w:lineRule="auto"/>
                              <w:textDirection w:val="btLr"/>
                            </w:pPr>
                            <w:r>
                              <w:rPr>
                                <w:color w:val="404040"/>
                                <w:sz w:val="36"/>
                              </w:rPr>
                              <w:t>Student ID:</w:t>
                            </w:r>
                            <w:r w:rsidR="00BC3C19">
                              <w:rPr>
                                <w:color w:val="404040"/>
                                <w:sz w:val="36"/>
                              </w:rPr>
                              <w:t>2</w:t>
                            </w:r>
                            <w:r w:rsidR="007D375B">
                              <w:rPr>
                                <w:color w:val="404040"/>
                                <w:sz w:val="36"/>
                              </w:rPr>
                              <w:t>442252</w:t>
                            </w:r>
                          </w:p>
                          <w:p w14:paraId="4081BCB4" w14:textId="750B6C0B" w:rsidR="00530E16" w:rsidRDefault="004468F8">
                            <w:pPr>
                              <w:spacing w:before="120" w:line="277" w:lineRule="auto"/>
                              <w:textDirection w:val="btLr"/>
                            </w:pPr>
                            <w:r>
                              <w:rPr>
                                <w:color w:val="404040"/>
                                <w:sz w:val="36"/>
                              </w:rPr>
                              <w:t>Lecturer’s Name:</w:t>
                            </w:r>
                            <w:r w:rsidR="007D375B">
                              <w:rPr>
                                <w:color w:val="404040"/>
                                <w:sz w:val="36"/>
                              </w:rPr>
                              <w:t xml:space="preserve"> Dr Pat</w:t>
                            </w:r>
                            <w:r w:rsidR="0047670D">
                              <w:rPr>
                                <w:color w:val="404040"/>
                                <w:sz w:val="36"/>
                              </w:rPr>
                              <w:t>ronella Ganza</w:t>
                            </w:r>
                            <w:r>
                              <w:rPr>
                                <w:color w:val="404040"/>
                                <w:sz w:val="36"/>
                              </w:rPr>
                              <w:t xml:space="preserve"> </w:t>
                            </w:r>
                          </w:p>
                        </w:txbxContent>
                      </wps:txbx>
                      <wps:bodyPr spcFirstLastPara="1" wrap="square" lIns="0" tIns="0" rIns="0" bIns="0" anchor="t" anchorCtr="0">
                        <a:noAutofit/>
                      </wps:bodyPr>
                    </wps:wsp>
                  </a:graphicData>
                </a:graphic>
              </wp:anchor>
            </w:drawing>
          </mc:Choice>
          <mc:Fallback>
            <w:pict>
              <v:rect w14:anchorId="6B5F1EDB"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0C6434E0" w14:textId="77777777" w:rsidR="00530E16" w:rsidRDefault="004468F8">
                      <w:pPr>
                        <w:spacing w:after="0" w:line="240" w:lineRule="auto"/>
                        <w:textDirection w:val="btLr"/>
                      </w:pPr>
                      <w:r>
                        <w:rPr>
                          <w:rFonts w:ascii="Play" w:eastAsia="Play" w:hAnsi="Play" w:cs="Play"/>
                          <w:color w:val="262626"/>
                          <w:sz w:val="72"/>
                        </w:rPr>
                        <w:t>Individual Report</w:t>
                      </w:r>
                    </w:p>
                    <w:p w14:paraId="7B4D27A6" w14:textId="77777777" w:rsidR="00530E16" w:rsidRDefault="004468F8">
                      <w:pPr>
                        <w:spacing w:before="120" w:line="277" w:lineRule="auto"/>
                        <w:textDirection w:val="btLr"/>
                      </w:pPr>
                      <w:r>
                        <w:rPr>
                          <w:color w:val="404040"/>
                          <w:sz w:val="36"/>
                        </w:rPr>
                        <w:t>Module Name: Digital Skills and Research Methods</w:t>
                      </w:r>
                    </w:p>
                    <w:p w14:paraId="59F706EF" w14:textId="77777777" w:rsidR="00530E16" w:rsidRDefault="004468F8">
                      <w:pPr>
                        <w:spacing w:before="120" w:line="277" w:lineRule="auto"/>
                        <w:textDirection w:val="btLr"/>
                      </w:pPr>
                      <w:r>
                        <w:rPr>
                          <w:color w:val="404040"/>
                          <w:sz w:val="36"/>
                        </w:rPr>
                        <w:t>Module Code: LCHS 4007</w:t>
                      </w:r>
                    </w:p>
                    <w:p w14:paraId="74D1F3EF" w14:textId="7C171760" w:rsidR="00530E16" w:rsidRDefault="004468F8">
                      <w:pPr>
                        <w:spacing w:before="120" w:line="277" w:lineRule="auto"/>
                        <w:textDirection w:val="btLr"/>
                      </w:pPr>
                      <w:r>
                        <w:rPr>
                          <w:color w:val="404040"/>
                          <w:sz w:val="36"/>
                        </w:rPr>
                        <w:t xml:space="preserve">Student name: </w:t>
                      </w:r>
                      <w:r w:rsidR="00A43B47">
                        <w:rPr>
                          <w:color w:val="404040"/>
                          <w:sz w:val="36"/>
                        </w:rPr>
                        <w:t>Sara</w:t>
                      </w:r>
                      <w:r w:rsidR="00BC3C19">
                        <w:rPr>
                          <w:color w:val="404040"/>
                          <w:sz w:val="36"/>
                        </w:rPr>
                        <w:t>tu Mohammed</w:t>
                      </w:r>
                    </w:p>
                    <w:p w14:paraId="3588145B" w14:textId="4EF6FE55" w:rsidR="00530E16" w:rsidRDefault="004468F8">
                      <w:pPr>
                        <w:spacing w:before="120" w:line="277" w:lineRule="auto"/>
                        <w:textDirection w:val="btLr"/>
                      </w:pPr>
                      <w:r>
                        <w:rPr>
                          <w:color w:val="404040"/>
                          <w:sz w:val="36"/>
                        </w:rPr>
                        <w:t>Student ID:</w:t>
                      </w:r>
                      <w:r w:rsidR="00BC3C19">
                        <w:rPr>
                          <w:color w:val="404040"/>
                          <w:sz w:val="36"/>
                        </w:rPr>
                        <w:t>2</w:t>
                      </w:r>
                      <w:r w:rsidR="007D375B">
                        <w:rPr>
                          <w:color w:val="404040"/>
                          <w:sz w:val="36"/>
                        </w:rPr>
                        <w:t>442252</w:t>
                      </w:r>
                    </w:p>
                    <w:p w14:paraId="4081BCB4" w14:textId="750B6C0B" w:rsidR="00530E16" w:rsidRDefault="004468F8">
                      <w:pPr>
                        <w:spacing w:before="120" w:line="277" w:lineRule="auto"/>
                        <w:textDirection w:val="btLr"/>
                      </w:pPr>
                      <w:r>
                        <w:rPr>
                          <w:color w:val="404040"/>
                          <w:sz w:val="36"/>
                        </w:rPr>
                        <w:t>Lecturer’s Name:</w:t>
                      </w:r>
                      <w:r w:rsidR="007D375B">
                        <w:rPr>
                          <w:color w:val="404040"/>
                          <w:sz w:val="36"/>
                        </w:rPr>
                        <w:t xml:space="preserve"> Dr Pat</w:t>
                      </w:r>
                      <w:r w:rsidR="0047670D">
                        <w:rPr>
                          <w:color w:val="404040"/>
                          <w:sz w:val="36"/>
                        </w:rPr>
                        <w:t>ronella Ganza</w:t>
                      </w:r>
                      <w:r>
                        <w:rPr>
                          <w:color w:val="404040"/>
                          <w:sz w:val="36"/>
                        </w:rPr>
                        <w:t xml:space="preserve"> </w:t>
                      </w:r>
                    </w:p>
                  </w:txbxContent>
                </v:textbox>
                <w10:wrap anchorx="page" anchory="page"/>
              </v:rect>
            </w:pict>
          </mc:Fallback>
        </mc:AlternateContent>
      </w:r>
      <w:r>
        <w:br w:type="page"/>
      </w:r>
    </w:p>
    <w:p w14:paraId="3D0AF05F" w14:textId="77777777" w:rsidR="00530E16" w:rsidRDefault="00530E16">
      <w:pPr>
        <w:rPr>
          <w:rFonts w:ascii="Arial" w:eastAsia="Arial" w:hAnsi="Arial" w:cs="Arial"/>
        </w:rPr>
      </w:pPr>
    </w:p>
    <w:p w14:paraId="67B44E4B"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0B2C6EAA" w14:textId="77777777"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Research Topic: &lt;Insert Research Topic Here&gt;</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429E13F3"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457020DA"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79A92149"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686EE268"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00F09769"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14:paraId="28ED52A4"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33881999"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14:paraId="074AD485"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14:paraId="5CC7AA8C"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72E6B634"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17E8DC48"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5B578581"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47A98D6A" w14:textId="77777777" w:rsidR="00530E16" w:rsidRPr="00CF650B" w:rsidRDefault="004468F8">
          <w:r>
            <w:fldChar w:fldCharType="end"/>
          </w:r>
        </w:p>
      </w:sdtContent>
    </w:sdt>
    <w:p w14:paraId="4EA2F665" w14:textId="77777777" w:rsidR="00530E16" w:rsidRDefault="00530E16">
      <w:pPr>
        <w:rPr>
          <w:rFonts w:ascii="Arial" w:eastAsia="Arial" w:hAnsi="Arial" w:cs="Arial"/>
        </w:rPr>
      </w:pPr>
    </w:p>
    <w:p w14:paraId="5CD36731" w14:textId="77777777" w:rsidR="00530E16" w:rsidRDefault="00530E16">
      <w:pPr>
        <w:rPr>
          <w:rFonts w:ascii="Arial" w:eastAsia="Arial" w:hAnsi="Arial" w:cs="Arial"/>
        </w:rPr>
      </w:pPr>
    </w:p>
    <w:p w14:paraId="352AAF39" w14:textId="77777777" w:rsidR="00530E16" w:rsidRDefault="00530E16">
      <w:pPr>
        <w:rPr>
          <w:rFonts w:ascii="Arial" w:eastAsia="Arial" w:hAnsi="Arial" w:cs="Arial"/>
        </w:rPr>
      </w:pPr>
    </w:p>
    <w:p w14:paraId="4190F12D" w14:textId="77777777" w:rsidR="00530E16" w:rsidRDefault="00530E16">
      <w:pPr>
        <w:rPr>
          <w:rFonts w:ascii="Arial" w:eastAsia="Arial" w:hAnsi="Arial" w:cs="Arial"/>
        </w:rPr>
      </w:pPr>
    </w:p>
    <w:p w14:paraId="70813285" w14:textId="77777777" w:rsidR="00530E16" w:rsidRDefault="00530E16">
      <w:pPr>
        <w:rPr>
          <w:rFonts w:ascii="Arial" w:eastAsia="Arial" w:hAnsi="Arial" w:cs="Arial"/>
        </w:rPr>
      </w:pPr>
    </w:p>
    <w:p w14:paraId="277C1D17" w14:textId="77777777" w:rsidR="00530E16" w:rsidRDefault="00530E16">
      <w:pPr>
        <w:rPr>
          <w:rFonts w:ascii="Arial" w:eastAsia="Arial" w:hAnsi="Arial" w:cs="Arial"/>
        </w:rPr>
      </w:pPr>
    </w:p>
    <w:p w14:paraId="5F74D019" w14:textId="77777777" w:rsidR="00530E16" w:rsidRDefault="00530E16">
      <w:pPr>
        <w:rPr>
          <w:rFonts w:ascii="Arial" w:eastAsia="Arial" w:hAnsi="Arial" w:cs="Arial"/>
        </w:rPr>
      </w:pPr>
    </w:p>
    <w:p w14:paraId="1F6039A2" w14:textId="77777777" w:rsidR="00530E16" w:rsidRDefault="00530E16">
      <w:pPr>
        <w:rPr>
          <w:rFonts w:ascii="Arial" w:eastAsia="Arial" w:hAnsi="Arial" w:cs="Arial"/>
        </w:rPr>
      </w:pPr>
    </w:p>
    <w:p w14:paraId="498FBA91" w14:textId="77777777" w:rsidR="00530E16" w:rsidRDefault="00530E16">
      <w:pPr>
        <w:rPr>
          <w:rFonts w:ascii="Arial" w:eastAsia="Arial" w:hAnsi="Arial" w:cs="Arial"/>
        </w:rPr>
      </w:pPr>
    </w:p>
    <w:p w14:paraId="29F527CA" w14:textId="77777777" w:rsidR="00530E16" w:rsidRDefault="00530E16">
      <w:pPr>
        <w:rPr>
          <w:rFonts w:ascii="Arial" w:eastAsia="Arial" w:hAnsi="Arial" w:cs="Arial"/>
        </w:rPr>
      </w:pPr>
    </w:p>
    <w:p w14:paraId="3D04456D" w14:textId="77777777" w:rsidR="00530E16" w:rsidRDefault="00530E16">
      <w:pPr>
        <w:rPr>
          <w:rFonts w:ascii="Arial" w:eastAsia="Arial" w:hAnsi="Arial" w:cs="Arial"/>
        </w:rPr>
      </w:pPr>
    </w:p>
    <w:p w14:paraId="67E846A7" w14:textId="77777777" w:rsidR="00530E16" w:rsidRDefault="00530E16">
      <w:pPr>
        <w:rPr>
          <w:rFonts w:ascii="Arial" w:eastAsia="Arial" w:hAnsi="Arial" w:cs="Arial"/>
        </w:rPr>
      </w:pPr>
    </w:p>
    <w:p w14:paraId="54EB6FA0" w14:textId="77777777" w:rsidR="00530E16" w:rsidRDefault="00530E16">
      <w:pPr>
        <w:rPr>
          <w:rFonts w:ascii="Arial" w:eastAsia="Arial" w:hAnsi="Arial" w:cs="Arial"/>
        </w:rPr>
      </w:pPr>
    </w:p>
    <w:p w14:paraId="672629BC" w14:textId="77777777" w:rsidR="00530E16" w:rsidRDefault="00530E16">
      <w:pPr>
        <w:rPr>
          <w:rFonts w:ascii="Arial" w:eastAsia="Arial" w:hAnsi="Arial" w:cs="Arial"/>
        </w:rPr>
      </w:pPr>
    </w:p>
    <w:p w14:paraId="3E1BFE9E"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5303CDC3" w14:textId="77777777" w:rsidR="00530E16" w:rsidRDefault="00530E16">
      <w:pPr>
        <w:rPr>
          <w:rFonts w:ascii="Arial" w:eastAsia="Arial" w:hAnsi="Arial" w:cs="Arial"/>
        </w:rPr>
      </w:pPr>
    </w:p>
    <w:p w14:paraId="53F98DED" w14:textId="71D2C6A7" w:rsidR="00530E16" w:rsidRDefault="004468F8">
      <w:pPr>
        <w:pStyle w:val="Heading1"/>
      </w:pPr>
      <w:bookmarkStart w:id="0" w:name="_Toc213674530"/>
      <w:r>
        <w:t xml:space="preserve">Research Topic: </w:t>
      </w:r>
      <w:bookmarkEnd w:id="0"/>
      <w:r w:rsidR="002D32AF">
        <w:t xml:space="preserve">Mental Health </w:t>
      </w:r>
    </w:p>
    <w:p w14:paraId="27C6A001" w14:textId="77777777" w:rsidR="00530E16" w:rsidRPr="004468F8" w:rsidRDefault="00BA0043">
      <w:pPr>
        <w:pStyle w:val="Heading1"/>
        <w:rPr>
          <w:sz w:val="32"/>
          <w:szCs w:val="32"/>
        </w:rPr>
      </w:pPr>
      <w:bookmarkStart w:id="1" w:name="_Toc213674531"/>
      <w:r>
        <w:rPr>
          <w:sz w:val="32"/>
          <w:szCs w:val="32"/>
        </w:rPr>
        <w:t>Introduction</w:t>
      </w:r>
      <w:bookmarkEnd w:id="1"/>
    </w:p>
    <w:p w14:paraId="40599873" w14:textId="50FCFFC0" w:rsidR="004468F8" w:rsidRPr="00EE02AD" w:rsidRDefault="002D32AF" w:rsidP="003C04FD">
      <w:pPr>
        <w:pStyle w:val="Default"/>
        <w:jc w:val="both"/>
        <w:rPr>
          <w:rFonts w:ascii="Arial" w:hAnsi="Arial" w:cs="Arial"/>
          <w:color w:val="auto"/>
          <w:sz w:val="22"/>
          <w:szCs w:val="22"/>
        </w:rPr>
      </w:pPr>
      <w:r>
        <w:rPr>
          <w:rFonts w:ascii="Arial" w:hAnsi="Arial" w:cs="Arial"/>
          <w:color w:val="auto"/>
          <w:sz w:val="22"/>
          <w:szCs w:val="22"/>
        </w:rPr>
        <w:t>Mental health problems are a significant concern within the UK health and social care sector, affecting both service users and staff. Approximately one in four people experience a mental health condition annually, increasing demand on NHS and social care services (NHS England, 202</w:t>
      </w:r>
      <w:r w:rsidR="00597C97">
        <w:rPr>
          <w:rFonts w:ascii="Arial" w:hAnsi="Arial" w:cs="Arial"/>
          <w:color w:val="auto"/>
          <w:sz w:val="22"/>
          <w:szCs w:val="22"/>
        </w:rPr>
        <w:t>2</w:t>
      </w:r>
      <w:r>
        <w:rPr>
          <w:rFonts w:ascii="Arial" w:hAnsi="Arial" w:cs="Arial"/>
          <w:color w:val="auto"/>
          <w:sz w:val="22"/>
          <w:szCs w:val="22"/>
        </w:rPr>
        <w:t>). Staff face high workloads and emotional strain, contributing to stress, burnout, and workforce shortages (NHS England, 202</w:t>
      </w:r>
      <w:r w:rsidR="00597C97">
        <w:rPr>
          <w:rFonts w:ascii="Arial" w:hAnsi="Arial" w:cs="Arial"/>
          <w:color w:val="auto"/>
          <w:sz w:val="22"/>
          <w:szCs w:val="22"/>
        </w:rPr>
        <w:t>2</w:t>
      </w:r>
      <w:r>
        <w:rPr>
          <w:rFonts w:ascii="Arial" w:hAnsi="Arial" w:cs="Arial"/>
          <w:color w:val="auto"/>
          <w:sz w:val="22"/>
          <w:szCs w:val="22"/>
        </w:rPr>
        <w:t>). Vulnerable populations often encounter barriers to accessing care, and systemic funding gaps exacerbate inequalities. Addressing these challenges requires integrated services, early interventions, and support for staff well-being to ensure effective care delivery.</w:t>
      </w:r>
    </w:p>
    <w:p w14:paraId="483A3AA9" w14:textId="77777777" w:rsidR="00530E16" w:rsidRDefault="004468F8" w:rsidP="00DC4B4C">
      <w:pPr>
        <w:pStyle w:val="Heading2"/>
        <w:jc w:val="both"/>
      </w:pPr>
      <w:bookmarkStart w:id="2" w:name="_Toc213674532"/>
      <w:r>
        <w:t>Problem Statement</w:t>
      </w:r>
      <w:bookmarkEnd w:id="2"/>
    </w:p>
    <w:p w14:paraId="7CE938C9" w14:textId="460913C0" w:rsidR="004468F8" w:rsidRDefault="00390898" w:rsidP="00DC4B4C">
      <w:pPr>
        <w:jc w:val="both"/>
        <w:rPr>
          <w:rFonts w:ascii="Arial" w:hAnsi="Arial" w:cs="Arial"/>
          <w:sz w:val="22"/>
          <w:szCs w:val="22"/>
        </w:rPr>
      </w:pPr>
      <w:r>
        <w:rPr>
          <w:rFonts w:ascii="Arial" w:hAnsi="Arial" w:cs="Arial"/>
          <w:sz w:val="22"/>
          <w:szCs w:val="22"/>
        </w:rPr>
        <w:t xml:space="preserve">Mental health has emerged as a major and escalating issue within the UK health and social care sector, affecting individuals across the lifespan and placing significant strain on both services and the workforce. Demand for mental health support continues to grow year on year, with the Care Quality Commission reporting that new referrals to secondary mental health services have increased significantly and people often face long waits before they can access the care they need (CQC, 2025). This surge in demand is coupled with rising complexity of cases, where social determinants such as housing instability and unemployment further compound people’s mental health needs (CQC, 2025). As a result, services are struggling to deliver timely and effective support to those in need, lending to greater risk of deterioration in individual’s conditions. </w:t>
      </w:r>
    </w:p>
    <w:p w14:paraId="5EA9B8F2" w14:textId="442122C2" w:rsidR="004468F8" w:rsidRPr="00EE02AD" w:rsidRDefault="00390898" w:rsidP="00DC4B4C">
      <w:pPr>
        <w:jc w:val="both"/>
        <w:rPr>
          <w:rFonts w:ascii="Arial" w:hAnsi="Arial" w:cs="Arial"/>
          <w:sz w:val="22"/>
          <w:szCs w:val="22"/>
        </w:rPr>
      </w:pPr>
      <w:r>
        <w:rPr>
          <w:rFonts w:ascii="Arial" w:hAnsi="Arial" w:cs="Arial"/>
          <w:sz w:val="22"/>
          <w:szCs w:val="22"/>
        </w:rPr>
        <w:t xml:space="preserve">The issue of mental health affects multiple groups within the health and social care context. Service users </w:t>
      </w:r>
      <w:r w:rsidR="00BF1516">
        <w:rPr>
          <w:rFonts w:ascii="Arial" w:hAnsi="Arial" w:cs="Arial"/>
          <w:sz w:val="22"/>
          <w:szCs w:val="22"/>
        </w:rPr>
        <w:t>include</w:t>
      </w:r>
      <w:r>
        <w:rPr>
          <w:rFonts w:ascii="Arial" w:hAnsi="Arial" w:cs="Arial"/>
          <w:sz w:val="22"/>
          <w:szCs w:val="22"/>
        </w:rPr>
        <w:t xml:space="preserve"> children, </w:t>
      </w:r>
      <w:r w:rsidR="00BF1516">
        <w:rPr>
          <w:rFonts w:ascii="Arial" w:hAnsi="Arial" w:cs="Arial"/>
          <w:sz w:val="22"/>
          <w:szCs w:val="22"/>
        </w:rPr>
        <w:t>adolescents, adults, and older adults experiencing conditions such as anxiety, depression, psychosis and severe mental illness. Waiting times for specialist care have reached crisis levels with individuals in mental health crisis some times waiting days in emergency departments before receiving appropriate care.</w:t>
      </w:r>
    </w:p>
    <w:p w14:paraId="332E67D3" w14:textId="1B04B5AF" w:rsidR="00D62A9C" w:rsidRDefault="004468F8" w:rsidP="00DC4B4C">
      <w:pPr>
        <w:pStyle w:val="Heading2"/>
        <w:jc w:val="both"/>
      </w:pPr>
      <w:bookmarkStart w:id="3" w:name="_Toc213674533"/>
      <w:r>
        <w:t>Justification</w:t>
      </w:r>
      <w:bookmarkEnd w:id="3"/>
    </w:p>
    <w:p w14:paraId="719516A9" w14:textId="05AD788E" w:rsidR="00EE02AD" w:rsidRDefault="00EE02AD" w:rsidP="00DC4B4C">
      <w:pPr>
        <w:jc w:val="both"/>
      </w:pPr>
      <w:r>
        <w:t xml:space="preserve">Justifying the need for research into mental health within the UK health and social care sector is essential for several reasons. First, ongoing and comprehensive research can inform policy and practice to improve access quality, and equity of care. Without robust evidence, resource allocation and workforce planning cannot be effectively targeted to areas of greatest need. For example, data on long waiting times and referral bottle necks can support initiatives to streamline access pathways and integrate services, helping to reduce delays and prevent deterioration in </w:t>
      </w:r>
      <w:r w:rsidR="00953FBE">
        <w:t>individuals’</w:t>
      </w:r>
      <w:r>
        <w:t xml:space="preserve"> conditions.</w:t>
      </w:r>
    </w:p>
    <w:p w14:paraId="1E4B2417" w14:textId="36620BF8" w:rsidR="004468F8" w:rsidRPr="004468F8" w:rsidRDefault="00EE02AD" w:rsidP="00DC4B4C">
      <w:pPr>
        <w:jc w:val="both"/>
      </w:pPr>
      <w:r>
        <w:t>Secondly, research can help identify underlying causes and social determinants of mental health issues, such as socioeconomic ine</w:t>
      </w:r>
      <w:r w:rsidR="00C830B5">
        <w:t xml:space="preserve">quality or housing insecurity – which are crucial for developing holistic care models. Finally, research contributes to the evaluation of interventions and workforce strategies, such as peer support models or </w:t>
      </w:r>
      <w:r w:rsidR="00C830B5">
        <w:lastRenderedPageBreak/>
        <w:t>digitals mental health tools, which may alleviate pressure on traditional services and improve outcomes for both service users and provides.</w:t>
      </w:r>
      <w:r>
        <w:t xml:space="preserve"> </w:t>
      </w:r>
    </w:p>
    <w:p w14:paraId="7637D9BC" w14:textId="2630C5DE" w:rsidR="004468F8" w:rsidRDefault="004468F8" w:rsidP="00C830B5">
      <w:pPr>
        <w:pStyle w:val="Heading2"/>
        <w:jc w:val="both"/>
      </w:pPr>
      <w:bookmarkStart w:id="4" w:name="_Toc213674534"/>
      <w:r>
        <w:t>Information Sources and Justification</w:t>
      </w:r>
      <w:bookmarkEnd w:id="4"/>
    </w:p>
    <w:p w14:paraId="48E5848D" w14:textId="1D65FE49" w:rsidR="00C830B5" w:rsidRDefault="00C830B5" w:rsidP="003C04FD">
      <w:pPr>
        <w:jc w:val="both"/>
      </w:pPr>
      <w:r>
        <w:t>Three important information sources support and justify research in this area. Firstly, the Care Quality Commission’s reports on mental health services provide comprehensive independent assessments of service performances, highlighting systematic issues. Such as inconsistent access, staffing shortfalls, and variability in care quality across regions (CQC, 2025). These reports draw on inspection data and national statistics, offering valuable evidence on where service and failing and where improvements are most needed. Secondly, research and analysis by independent think tanks like The Kings Fund provide insight into workforce trends, staffing challenges and the broader implications of workforces planning in mental health services (Kings Fund, 2024). Their ev</w:t>
      </w:r>
      <w:r w:rsidR="00953FBE">
        <w:t>aluations of workforce skill mix and recruitment barriers contribute to understanding how structural issues impact service delivery, and they inform policy recommendations.</w:t>
      </w:r>
    </w:p>
    <w:p w14:paraId="57A8F98E" w14:textId="251A3675" w:rsidR="00172AD1" w:rsidRDefault="00953FBE" w:rsidP="003C04FD">
      <w:pPr>
        <w:jc w:val="both"/>
      </w:pPr>
      <w:r>
        <w:t>Thirdly, peer reviewed workforce studies and professional surveys, such as those conducted by NHS Charities Together, reveal the lived experiences of health professionals and quantify the impacts of work-related stress of staff wellbeing. This type of primary data is critical for humanising the issue and highlighting the need for staff support interventions.</w:t>
      </w:r>
    </w:p>
    <w:p w14:paraId="087AAAF6" w14:textId="77777777" w:rsidR="004468F8" w:rsidRPr="004468F8" w:rsidRDefault="004468F8" w:rsidP="004468F8">
      <w:pPr>
        <w:pStyle w:val="Heading1"/>
        <w:jc w:val="both"/>
      </w:pPr>
      <w:bookmarkStart w:id="5" w:name="_Toc21367453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62D3777F" w14:textId="15C4AEB6" w:rsidR="00DB181C" w:rsidRDefault="004468F8" w:rsidP="00953FBE">
      <w:pPr>
        <w:pStyle w:val="Heading2"/>
        <w:jc w:val="both"/>
        <w:rPr>
          <w:rFonts w:eastAsia="Aptos" w:cs="Arial"/>
          <w:kern w:val="2"/>
          <w:lang w:eastAsia="en-US"/>
          <w14:ligatures w14:val="standardContextual"/>
        </w:rPr>
      </w:pPr>
      <w:bookmarkStart w:id="6" w:name="_Toc213674536"/>
      <w:r w:rsidRPr="004468F8">
        <w:rPr>
          <w:rFonts w:eastAsia="Aptos" w:cs="Arial"/>
          <w:kern w:val="2"/>
          <w:lang w:eastAsia="en-US"/>
          <w14:ligatures w14:val="standardContextual"/>
        </w:rPr>
        <w:t>Give a brief overview of quantitative and qualitative research.</w:t>
      </w:r>
      <w:bookmarkEnd w:id="6"/>
    </w:p>
    <w:p w14:paraId="04FA91F9" w14:textId="3F703EB7" w:rsidR="00953FBE" w:rsidRDefault="00953FBE" w:rsidP="003C04FD">
      <w:pPr>
        <w:jc w:val="both"/>
        <w:rPr>
          <w:lang w:eastAsia="en-US"/>
        </w:rPr>
      </w:pPr>
      <w:r>
        <w:rPr>
          <w:lang w:eastAsia="en-US"/>
        </w:rPr>
        <w:t xml:space="preserve">Quantitative and qualitative research are the two main research approaches used within the UK health and social care sector to investigate mental health issues. Quantitative research focuses on the collections and analysis of numerical data to identify patterns, relationships, or trends. It commonly uses structured methods, such as surveys, questionnaires, and clinical </w:t>
      </w:r>
      <w:r w:rsidR="005A3445">
        <w:rPr>
          <w:lang w:eastAsia="en-US"/>
        </w:rPr>
        <w:t>outcome measures within mental health services. In the UK, quantitative research is often used to measure prevalence rates of conditions such as depression or anxiety, evaluate treatment effectiveness, and inform policy decisions through statistical evidence (NHS England, 2022).</w:t>
      </w:r>
    </w:p>
    <w:p w14:paraId="58DAF336" w14:textId="03CBF9D8" w:rsidR="004468F8" w:rsidRPr="004468F8" w:rsidRDefault="005A3445" w:rsidP="003C04FD">
      <w:pPr>
        <w:jc w:val="both"/>
        <w:rPr>
          <w:lang w:eastAsia="en-US"/>
        </w:rPr>
      </w:pPr>
      <w:r>
        <w:rPr>
          <w:lang w:eastAsia="en-US"/>
        </w:rPr>
        <w:t>In contrast, qualitative research explores individual’s experiences, perceptions, and meanings in depth. It uses non-numerical data collected through interviews, focus groups, and observations. In mental health research, qualitative methods are particularly valuable for understanding service users lived experiences, stigma, access to care, and the quality of support received within health and social care settings. This approach aligns closely with person centred care, which is a key principle of UK mental health services (NICE, 2021).</w:t>
      </w:r>
    </w:p>
    <w:p w14:paraId="62B13C47" w14:textId="77777777" w:rsidR="004468F8" w:rsidRDefault="004468F8" w:rsidP="004468F8">
      <w:pPr>
        <w:pStyle w:val="Heading2"/>
        <w:rPr>
          <w:rFonts w:eastAsia="Aptos"/>
          <w:lang w:eastAsia="en-US"/>
        </w:rPr>
      </w:pPr>
      <w:bookmarkStart w:id="7" w:name="_Toc213674537"/>
      <w:r w:rsidRPr="00A37C5B">
        <w:rPr>
          <w:rFonts w:eastAsia="Aptos"/>
          <w:lang w:eastAsia="en-US"/>
        </w:rPr>
        <w:lastRenderedPageBreak/>
        <w:t>What type of research methodology will you use for your research and why?</w:t>
      </w:r>
      <w:bookmarkEnd w:id="7"/>
    </w:p>
    <w:p w14:paraId="62EBE38C" w14:textId="433C7855" w:rsidR="004468F8" w:rsidRPr="00261E9C" w:rsidRDefault="00261E9C" w:rsidP="003C04FD">
      <w:pPr>
        <w:jc w:val="both"/>
        <w:rPr>
          <w:lang w:eastAsia="en-US"/>
        </w:rPr>
      </w:pPr>
      <w:r>
        <w:rPr>
          <w:lang w:eastAsia="en-US"/>
        </w:rPr>
        <w:t>The main difference between quantitative and qualitative research lies in their purpose and type of data. Quantitative research aims to produce generalisable findings through statistical analysis, while qualitative research seeks rich, detailed insights into human behaviour and experiences. In practice, UK mental health research often combines both approaches to provide a more comprehensive understanding of complex mental health issues and to support evidence-based practice.</w:t>
      </w:r>
    </w:p>
    <w:p w14:paraId="0E855D16" w14:textId="77777777" w:rsidR="00530E16" w:rsidRDefault="004468F8">
      <w:pPr>
        <w:pStyle w:val="Heading1"/>
        <w:jc w:val="both"/>
      </w:pPr>
      <w:bookmarkStart w:id="8" w:name="_Toc213674538"/>
      <w:r>
        <w:t>Task 3: Data Collection</w:t>
      </w:r>
      <w:bookmarkEnd w:id="8"/>
      <w:r>
        <w:t xml:space="preserve"> </w:t>
      </w:r>
    </w:p>
    <w:p w14:paraId="0EBD1A0E" w14:textId="63897FD6" w:rsidR="004468F8" w:rsidRDefault="00BA0043" w:rsidP="00C7106A">
      <w:pPr>
        <w:pStyle w:val="Heading2"/>
        <w:rPr>
          <w:rFonts w:eastAsia="Aptos"/>
          <w:lang w:eastAsia="en-US"/>
        </w:rPr>
      </w:pPr>
      <w:bookmarkStart w:id="9" w:name="_Toc213674539"/>
      <w:r>
        <w:rPr>
          <w:rFonts w:eastAsia="Aptos"/>
          <w:lang w:eastAsia="en-US"/>
        </w:rPr>
        <w:t>Overview of primary and secondary data collection</w:t>
      </w:r>
      <w:bookmarkEnd w:id="9"/>
    </w:p>
    <w:p w14:paraId="13FF2E69" w14:textId="2BA1B318" w:rsidR="00C7106A" w:rsidRDefault="00C7106A" w:rsidP="004E1384">
      <w:pPr>
        <w:jc w:val="both"/>
        <w:rPr>
          <w:lang w:eastAsia="en-US"/>
        </w:rPr>
      </w:pPr>
      <w:r>
        <w:rPr>
          <w:lang w:eastAsia="en-US"/>
        </w:rPr>
        <w:t>Data collection plays a significant role in mental health research as it ensures that accurate and relevant information is gathered to understand complex mental health issues within the UK health and social care sector. Two main types of data that are commonly used in research is: primary data and secondary data. Primary data is information collected first hand by the researcher for a specific research purpose. In mental health research, this may include interviews, focus groups, or questionnaires with individuals experiencing mental health conditions or with mental health professionals. Primary data is valuable because it provides detailed insights into personal experiences, service accessibility, and the effectiveness of mental health support.</w:t>
      </w:r>
    </w:p>
    <w:p w14:paraId="35B12004" w14:textId="0CC1B82B" w:rsidR="004468F8" w:rsidRPr="004468F8" w:rsidRDefault="00C7106A" w:rsidP="004E1384">
      <w:pPr>
        <w:jc w:val="both"/>
        <w:rPr>
          <w:lang w:eastAsia="en-US"/>
        </w:rPr>
      </w:pPr>
      <w:r>
        <w:rPr>
          <w:lang w:eastAsia="en-US"/>
        </w:rPr>
        <w:t>Secondary data refers to information that has already been collected and published by other organisations. In the UK, this includes NHS mental health statistics, government policy documents, and reports from organisations such as NHS England and the Office for National Statistics. Secondary data is particularly useful for identifying national trends in mental health prevalence, hospital admissions, and service demand. It is cost effective and enables researchers to compare findings across regions and over time (NHS England, 2022).</w:t>
      </w:r>
    </w:p>
    <w:p w14:paraId="37F05640" w14:textId="70ADD4D3" w:rsidR="00DB181C" w:rsidRDefault="004468F8" w:rsidP="00C7106A">
      <w:pPr>
        <w:pStyle w:val="Heading2"/>
        <w:rPr>
          <w:rFonts w:ascii="Arial" w:hAnsi="Arial" w:cs="Arial"/>
          <w:color w:val="FF0000"/>
          <w:sz w:val="22"/>
          <w:szCs w:val="22"/>
        </w:rPr>
      </w:pPr>
      <w:bookmarkStart w:id="10" w:name="_Toc213674540"/>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w:t>
      </w:r>
      <w:bookmarkEnd w:id="10"/>
      <w:r w:rsidR="00C7106A">
        <w:rPr>
          <w:rFonts w:eastAsia="Aptos"/>
          <w:lang w:eastAsia="en-US"/>
        </w:rPr>
        <w:t>y?</w:t>
      </w:r>
    </w:p>
    <w:p w14:paraId="45FAE9AE" w14:textId="448E11B4" w:rsidR="004468F8" w:rsidRDefault="00C7106A" w:rsidP="004E1384">
      <w:pPr>
        <w:jc w:val="both"/>
        <w:rPr>
          <w:lang w:eastAsia="en-US"/>
        </w:rPr>
      </w:pPr>
      <w:r>
        <w:rPr>
          <w:lang w:eastAsia="en-US"/>
        </w:rPr>
        <w:t>To address a research problem related to mental health, a mixed approach using both primary and secondary data would be most appr</w:t>
      </w:r>
      <w:r w:rsidR="005A6929">
        <w:rPr>
          <w:lang w:eastAsia="en-US"/>
        </w:rPr>
        <w:t xml:space="preserve">opriate. Primary qualitative data, such as semi structured interviews, would allow an in-depth exploration of service users live experiences and challenges in accessing mental health care. Secondary quantitative data would provide a broader context and support evidence-based conclusions. </w:t>
      </w:r>
      <w:r w:rsidR="005A6929">
        <w:rPr>
          <w:lang w:eastAsia="en-US"/>
        </w:rPr>
        <w:lastRenderedPageBreak/>
        <w:t>Combining both forms of data enhances the reliability and relevance of mental health research (NICE, 2021).</w:t>
      </w:r>
    </w:p>
    <w:p w14:paraId="45EB33F5" w14:textId="09D2AA82" w:rsidR="004468F8" w:rsidRDefault="004468F8" w:rsidP="005A6929">
      <w:pPr>
        <w:pStyle w:val="Heading1"/>
        <w:jc w:val="both"/>
      </w:pPr>
      <w:bookmarkStart w:id="11" w:name="_Toc213674541"/>
      <w:r>
        <w:t>Conclusion</w:t>
      </w:r>
      <w:bookmarkEnd w:id="11"/>
    </w:p>
    <w:p w14:paraId="4E5714ED" w14:textId="51595341" w:rsidR="005A6929" w:rsidRPr="005A6929" w:rsidRDefault="005A6929" w:rsidP="004E1384">
      <w:pPr>
        <w:jc w:val="both"/>
      </w:pPr>
      <w:r>
        <w:t>In conclusion, mental health issues remain a major concern within the UK health and social care sector, placing increasing pressure on services and professionals. Although national policies aim to improve mental health support, challenges such as long waiting times, limited resources, and unequal access to services continue to affect care quality. This report highlights the importances of evidence-based practices in addressing mental health needs, using both quantitative and qualitative research to inform decision making. By combining statistical data with services used lived experiences, health and social care providers can develop more effective, person-centres approaches to improve mental health outcomes across the UK.</w:t>
      </w:r>
    </w:p>
    <w:p w14:paraId="6B3508C8" w14:textId="77777777" w:rsidR="004468F8" w:rsidRPr="004468F8" w:rsidRDefault="004468F8" w:rsidP="004468F8"/>
    <w:p w14:paraId="6C9EC522" w14:textId="77777777" w:rsidR="00530E16" w:rsidRDefault="004468F8">
      <w:pPr>
        <w:pStyle w:val="Heading1"/>
      </w:pPr>
      <w:bookmarkStart w:id="12" w:name="_Toc213674542"/>
      <w:r>
        <w:t>References</w:t>
      </w:r>
      <w:bookmarkEnd w:id="12"/>
    </w:p>
    <w:p w14:paraId="158279C6" w14:textId="483BD69F" w:rsidR="00A07D28" w:rsidRPr="00A07D28" w:rsidRDefault="00597C97" w:rsidP="00A07D28">
      <w:pPr>
        <w:rPr>
          <w:rFonts w:ascii="Arial" w:eastAsia="Arial" w:hAnsi="Arial" w:cs="Arial"/>
          <w:sz w:val="22"/>
          <w:szCs w:val="22"/>
        </w:rPr>
      </w:pPr>
      <w:r>
        <w:rPr>
          <w:rFonts w:ascii="Arial" w:eastAsia="Arial" w:hAnsi="Arial" w:cs="Arial"/>
          <w:sz w:val="22"/>
          <w:szCs w:val="22"/>
        </w:rPr>
        <w:t>Care Quality Commission</w:t>
      </w:r>
      <w:r w:rsidR="00A07D28">
        <w:rPr>
          <w:rFonts w:ascii="Arial" w:eastAsia="Arial" w:hAnsi="Arial" w:cs="Arial"/>
          <w:sz w:val="22"/>
          <w:szCs w:val="22"/>
        </w:rPr>
        <w:t>. (CQC)</w:t>
      </w:r>
      <w:r w:rsidR="00D5292F">
        <w:rPr>
          <w:rFonts w:ascii="Arial" w:eastAsia="Arial" w:hAnsi="Arial" w:cs="Arial"/>
          <w:sz w:val="22"/>
          <w:szCs w:val="22"/>
        </w:rPr>
        <w:t xml:space="preserve"> (2025)</w:t>
      </w:r>
      <w:r w:rsidR="00A07D28">
        <w:rPr>
          <w:rFonts w:ascii="Arial" w:eastAsia="Arial" w:hAnsi="Arial" w:cs="Arial"/>
          <w:sz w:val="22"/>
          <w:szCs w:val="22"/>
        </w:rPr>
        <w:t>.</w:t>
      </w:r>
      <w:r w:rsidR="00D5292F">
        <w:rPr>
          <w:rFonts w:ascii="Arial" w:eastAsia="Arial" w:hAnsi="Arial" w:cs="Arial"/>
          <w:sz w:val="22"/>
          <w:szCs w:val="22"/>
        </w:rPr>
        <w:t xml:space="preserve"> </w:t>
      </w:r>
      <w:r w:rsidR="00D5292F">
        <w:rPr>
          <w:rFonts w:ascii="Arial" w:eastAsia="Arial" w:hAnsi="Arial" w:cs="Arial"/>
          <w:i/>
          <w:iCs/>
          <w:sz w:val="22"/>
          <w:szCs w:val="22"/>
        </w:rPr>
        <w:t xml:space="preserve">The state of health care and adult social care in England 2024/25 </w:t>
      </w:r>
      <w:r w:rsidR="00D5292F">
        <w:rPr>
          <w:rFonts w:ascii="Arial" w:eastAsia="Arial" w:hAnsi="Arial" w:cs="Arial"/>
          <w:sz w:val="22"/>
          <w:szCs w:val="22"/>
        </w:rPr>
        <w:t>(online) London: Care Quality Commission</w:t>
      </w:r>
      <w:r w:rsidR="0045162C">
        <w:rPr>
          <w:rFonts w:ascii="Arial" w:eastAsia="Arial" w:hAnsi="Arial" w:cs="Arial"/>
          <w:sz w:val="22"/>
          <w:szCs w:val="22"/>
        </w:rPr>
        <w:t xml:space="preserve">. Available at </w:t>
      </w:r>
      <w:hyperlink r:id="rId10" w:history="1">
        <w:r w:rsidR="00961B77" w:rsidRPr="00556C7E">
          <w:rPr>
            <w:rStyle w:val="Hyperlink"/>
            <w:rFonts w:ascii="Arial" w:eastAsia="Arial" w:hAnsi="Arial" w:cs="Arial"/>
            <w:sz w:val="22"/>
            <w:szCs w:val="22"/>
          </w:rPr>
          <w:t>https://www.cqc.org.uk/publications/major-report/state-care/2024-2025</w:t>
        </w:r>
      </w:hyperlink>
      <w:r w:rsidR="00961B77">
        <w:rPr>
          <w:rFonts w:ascii="Arial" w:eastAsia="Arial" w:hAnsi="Arial" w:cs="Arial"/>
          <w:sz w:val="22"/>
          <w:szCs w:val="22"/>
        </w:rPr>
        <w:t xml:space="preserve"> (Accessed </w:t>
      </w:r>
      <w:r w:rsidR="00863BE2">
        <w:rPr>
          <w:rFonts w:ascii="Arial" w:eastAsia="Arial" w:hAnsi="Arial" w:cs="Arial"/>
          <w:sz w:val="22"/>
          <w:szCs w:val="22"/>
        </w:rPr>
        <w:t>14/12/2025)</w:t>
      </w:r>
    </w:p>
    <w:p w14:paraId="25EE74F1" w14:textId="50C5E3BC" w:rsidR="00A07D28" w:rsidRPr="00D5292F" w:rsidRDefault="00A07D28">
      <w:pPr>
        <w:rPr>
          <w:rFonts w:ascii="Arial" w:eastAsia="Arial" w:hAnsi="Arial" w:cs="Arial"/>
          <w:sz w:val="22"/>
          <w:szCs w:val="22"/>
        </w:rPr>
      </w:pPr>
      <w:r w:rsidRPr="00A07D28">
        <w:rPr>
          <w:rFonts w:ascii="Arial" w:eastAsia="Arial" w:hAnsi="Arial" w:cs="Arial"/>
          <w:sz w:val="22"/>
          <w:szCs w:val="22"/>
        </w:rPr>
        <w:t xml:space="preserve">The King’s Fund. (2024). </w:t>
      </w:r>
      <w:r w:rsidRPr="00A07D28">
        <w:rPr>
          <w:rFonts w:ascii="Arial" w:eastAsia="Arial" w:hAnsi="Arial" w:cs="Arial"/>
          <w:i/>
          <w:iCs/>
          <w:sz w:val="22"/>
          <w:szCs w:val="22"/>
        </w:rPr>
        <w:t>2024 Health Policy Year In 12 Char</w:t>
      </w:r>
      <w:r>
        <w:rPr>
          <w:rFonts w:ascii="Arial" w:eastAsia="Arial" w:hAnsi="Arial" w:cs="Arial"/>
          <w:i/>
          <w:iCs/>
          <w:sz w:val="22"/>
          <w:szCs w:val="22"/>
        </w:rPr>
        <w:t>t.</w:t>
      </w:r>
      <w:r w:rsidRPr="00A07D28">
        <w:rPr>
          <w:rFonts w:ascii="Arial" w:eastAsia="Arial" w:hAnsi="Arial" w:cs="Arial"/>
          <w:sz w:val="22"/>
          <w:szCs w:val="22"/>
        </w:rPr>
        <w:t xml:space="preserve"> </w:t>
      </w:r>
      <w:r>
        <w:rPr>
          <w:rFonts w:ascii="Arial" w:eastAsia="Arial" w:hAnsi="Arial" w:cs="Arial"/>
          <w:sz w:val="22"/>
          <w:szCs w:val="22"/>
        </w:rPr>
        <w:t>(</w:t>
      </w:r>
      <w:r w:rsidRPr="00A07D28">
        <w:rPr>
          <w:rFonts w:ascii="Arial" w:eastAsia="Arial" w:hAnsi="Arial" w:cs="Arial"/>
          <w:sz w:val="22"/>
          <w:szCs w:val="22"/>
        </w:rPr>
        <w:t>online</w:t>
      </w:r>
      <w:r>
        <w:rPr>
          <w:rFonts w:ascii="Arial" w:eastAsia="Arial" w:hAnsi="Arial" w:cs="Arial"/>
          <w:sz w:val="22"/>
          <w:szCs w:val="22"/>
        </w:rPr>
        <w:t>)</w:t>
      </w:r>
      <w:r w:rsidR="00452B00">
        <w:rPr>
          <w:rFonts w:ascii="Arial" w:eastAsia="Arial" w:hAnsi="Arial" w:cs="Arial"/>
          <w:sz w:val="22"/>
          <w:szCs w:val="22"/>
        </w:rPr>
        <w:t xml:space="preserve"> Available at </w:t>
      </w:r>
      <w:hyperlink r:id="rId11" w:history="1">
        <w:r w:rsidR="00A45D23" w:rsidRPr="00556C7E">
          <w:rPr>
            <w:rStyle w:val="Hyperlink"/>
            <w:rFonts w:ascii="Arial" w:eastAsia="Arial" w:hAnsi="Arial" w:cs="Arial"/>
            <w:sz w:val="22"/>
            <w:szCs w:val="22"/>
          </w:rPr>
          <w:t>https://www.kingsfund.org.uk/insight-and-analysis/blogs/health-policy-year-twelve-charts-2024</w:t>
        </w:r>
      </w:hyperlink>
      <w:r w:rsidR="00A45D23">
        <w:rPr>
          <w:rFonts w:ascii="Arial" w:eastAsia="Arial" w:hAnsi="Arial" w:cs="Arial"/>
          <w:sz w:val="22"/>
          <w:szCs w:val="22"/>
        </w:rPr>
        <w:t xml:space="preserve"> (Accessed 14/12/2025)</w:t>
      </w:r>
    </w:p>
    <w:p w14:paraId="44F14CF0" w14:textId="0730F2E1" w:rsidR="00A07D28" w:rsidRPr="00A07D28" w:rsidRDefault="00A07D28">
      <w:pPr>
        <w:rPr>
          <w:rFonts w:ascii="Arial" w:eastAsia="Arial" w:hAnsi="Arial" w:cs="Arial"/>
          <w:sz w:val="22"/>
          <w:szCs w:val="22"/>
        </w:rPr>
      </w:pPr>
      <w:r>
        <w:rPr>
          <w:rFonts w:ascii="Arial" w:eastAsia="Arial" w:hAnsi="Arial" w:cs="Arial"/>
          <w:sz w:val="22"/>
          <w:szCs w:val="22"/>
        </w:rPr>
        <w:t xml:space="preserve">National Institute for Health and Care Excellence. (NICE) (2021). </w:t>
      </w:r>
      <w:r>
        <w:rPr>
          <w:rFonts w:ascii="Arial" w:eastAsia="Arial" w:hAnsi="Arial" w:cs="Arial"/>
          <w:i/>
          <w:iCs/>
          <w:sz w:val="22"/>
          <w:szCs w:val="22"/>
        </w:rPr>
        <w:t xml:space="preserve">Service user experience in adult mental health: improving the experience of care for people using adult NHS mental health services. </w:t>
      </w:r>
      <w:r>
        <w:rPr>
          <w:rFonts w:ascii="Arial" w:eastAsia="Arial" w:hAnsi="Arial" w:cs="Arial"/>
          <w:sz w:val="22"/>
          <w:szCs w:val="22"/>
        </w:rPr>
        <w:t>(online) London: NICE</w:t>
      </w:r>
      <w:r w:rsidR="001C594A">
        <w:rPr>
          <w:rFonts w:ascii="Arial" w:eastAsia="Arial" w:hAnsi="Arial" w:cs="Arial"/>
          <w:sz w:val="22"/>
          <w:szCs w:val="22"/>
        </w:rPr>
        <w:t xml:space="preserve">. Available at </w:t>
      </w:r>
      <w:hyperlink r:id="rId12" w:history="1">
        <w:r w:rsidR="001C594A" w:rsidRPr="00556C7E">
          <w:rPr>
            <w:rStyle w:val="Hyperlink"/>
            <w:rFonts w:ascii="Arial" w:eastAsia="Arial" w:hAnsi="Arial" w:cs="Arial"/>
            <w:sz w:val="22"/>
            <w:szCs w:val="22"/>
          </w:rPr>
          <w:t>https://www.nice.org.uk/guidance/cg136/evidence/service-user-experience-in-adult-mental-health-full-guideline-185085613</w:t>
        </w:r>
      </w:hyperlink>
      <w:r w:rsidR="00110325">
        <w:rPr>
          <w:rFonts w:ascii="Arial" w:eastAsia="Arial" w:hAnsi="Arial" w:cs="Arial"/>
          <w:sz w:val="22"/>
          <w:szCs w:val="22"/>
        </w:rPr>
        <w:t xml:space="preserve"> (Accessed 14/12/2025)</w:t>
      </w:r>
    </w:p>
    <w:p w14:paraId="21FD9985" w14:textId="0ECF3E2D" w:rsidR="00530E16" w:rsidRPr="00597C97" w:rsidRDefault="00597C97">
      <w:pPr>
        <w:rPr>
          <w:rFonts w:ascii="Arial" w:eastAsia="Arial" w:hAnsi="Arial" w:cs="Arial"/>
          <w:sz w:val="22"/>
          <w:szCs w:val="22"/>
        </w:rPr>
      </w:pPr>
      <w:r>
        <w:rPr>
          <w:rFonts w:ascii="Arial" w:eastAsia="Arial" w:hAnsi="Arial" w:cs="Arial"/>
          <w:sz w:val="22"/>
          <w:szCs w:val="22"/>
        </w:rPr>
        <w:t>NHS England</w:t>
      </w:r>
      <w:r w:rsidR="00A07D28">
        <w:rPr>
          <w:rFonts w:ascii="Arial" w:eastAsia="Arial" w:hAnsi="Arial" w:cs="Arial"/>
          <w:sz w:val="22"/>
          <w:szCs w:val="22"/>
        </w:rPr>
        <w:t>.</w:t>
      </w:r>
      <w:r>
        <w:rPr>
          <w:rFonts w:ascii="Arial" w:eastAsia="Arial" w:hAnsi="Arial" w:cs="Arial"/>
          <w:sz w:val="22"/>
          <w:szCs w:val="22"/>
        </w:rPr>
        <w:t xml:space="preserve"> (2022)</w:t>
      </w:r>
      <w:r w:rsidR="00A07D28">
        <w:rPr>
          <w:rFonts w:ascii="Arial" w:eastAsia="Arial" w:hAnsi="Arial" w:cs="Arial"/>
          <w:sz w:val="22"/>
          <w:szCs w:val="22"/>
        </w:rPr>
        <w:t>.</w:t>
      </w:r>
      <w:r>
        <w:rPr>
          <w:rFonts w:ascii="Arial" w:eastAsia="Arial" w:hAnsi="Arial" w:cs="Arial"/>
          <w:sz w:val="22"/>
          <w:szCs w:val="22"/>
        </w:rPr>
        <w:t xml:space="preserve"> </w:t>
      </w:r>
      <w:r>
        <w:rPr>
          <w:rFonts w:ascii="Arial" w:eastAsia="Arial" w:hAnsi="Arial" w:cs="Arial"/>
          <w:i/>
          <w:iCs/>
          <w:sz w:val="22"/>
          <w:szCs w:val="22"/>
        </w:rPr>
        <w:t xml:space="preserve">Mental Health Services Monthly Statistics, Performance May 2022. </w:t>
      </w:r>
      <w:r>
        <w:rPr>
          <w:rFonts w:ascii="Arial" w:eastAsia="Arial" w:hAnsi="Arial" w:cs="Arial"/>
          <w:sz w:val="22"/>
          <w:szCs w:val="22"/>
        </w:rPr>
        <w:t>NHS Digital.</w:t>
      </w:r>
      <w:r w:rsidR="002D66E9">
        <w:rPr>
          <w:rFonts w:ascii="Arial" w:eastAsia="Arial" w:hAnsi="Arial" w:cs="Arial"/>
          <w:sz w:val="22"/>
          <w:szCs w:val="22"/>
        </w:rPr>
        <w:t xml:space="preserve"> </w:t>
      </w:r>
      <w:r w:rsidR="001C594A">
        <w:rPr>
          <w:rFonts w:ascii="Arial" w:eastAsia="Arial" w:hAnsi="Arial" w:cs="Arial"/>
          <w:sz w:val="22"/>
          <w:szCs w:val="22"/>
        </w:rPr>
        <w:t xml:space="preserve">Available at </w:t>
      </w:r>
      <w:hyperlink r:id="rId13" w:history="1">
        <w:r w:rsidR="001C594A" w:rsidRPr="00556C7E">
          <w:rPr>
            <w:rStyle w:val="Hyperlink"/>
            <w:rFonts w:ascii="Arial" w:eastAsia="Arial" w:hAnsi="Arial" w:cs="Arial"/>
            <w:sz w:val="22"/>
            <w:szCs w:val="22"/>
          </w:rPr>
          <w:t>https://digital.nhs.uk/data-and-information/publications/statistical/mental-health-services-monthly-statistics</w:t>
        </w:r>
      </w:hyperlink>
      <w:r w:rsidR="001C594A">
        <w:rPr>
          <w:rFonts w:ascii="Arial" w:eastAsia="Arial" w:hAnsi="Arial" w:cs="Arial"/>
          <w:sz w:val="22"/>
          <w:szCs w:val="22"/>
        </w:rPr>
        <w:t xml:space="preserve"> (Accessed 14/12/2025)</w:t>
      </w:r>
    </w:p>
    <w:sectPr w:rsidR="00530E16" w:rsidRPr="00597C97" w:rsidSect="00722EFE">
      <w:footerReference w:type="first" r:id="rId14"/>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744148" w14:textId="77777777" w:rsidR="00DC5C0F" w:rsidRDefault="00DC5C0F" w:rsidP="002A1842">
      <w:pPr>
        <w:spacing w:after="0" w:line="240" w:lineRule="auto"/>
      </w:pPr>
      <w:r>
        <w:separator/>
      </w:r>
    </w:p>
  </w:endnote>
  <w:endnote w:type="continuationSeparator" w:id="0">
    <w:p w14:paraId="28B474F8" w14:textId="77777777" w:rsidR="00DC5C0F" w:rsidRDefault="00DC5C0F"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6E42472E"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7FB1AE69"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7B5007BB"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484580E0"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7076F1" w14:textId="77777777" w:rsidR="00DC5C0F" w:rsidRDefault="00DC5C0F" w:rsidP="002A1842">
      <w:pPr>
        <w:spacing w:after="0" w:line="240" w:lineRule="auto"/>
      </w:pPr>
      <w:r>
        <w:separator/>
      </w:r>
    </w:p>
  </w:footnote>
  <w:footnote w:type="continuationSeparator" w:id="0">
    <w:p w14:paraId="52052C1A" w14:textId="77777777" w:rsidR="00DC5C0F" w:rsidRDefault="00DC5C0F"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398019643">
    <w:abstractNumId w:val="5"/>
  </w:num>
  <w:num w:numId="2" w16cid:durableId="1812597909">
    <w:abstractNumId w:val="3"/>
  </w:num>
  <w:num w:numId="3" w16cid:durableId="103424054">
    <w:abstractNumId w:val="2"/>
  </w:num>
  <w:num w:numId="4" w16cid:durableId="527724212">
    <w:abstractNumId w:val="1"/>
  </w:num>
  <w:num w:numId="5" w16cid:durableId="303507690">
    <w:abstractNumId w:val="4"/>
  </w:num>
  <w:num w:numId="6" w16cid:durableId="1726223705">
    <w:abstractNumId w:val="0"/>
  </w:num>
  <w:num w:numId="7" w16cid:durableId="465122115">
    <w:abstractNumId w:val="7"/>
  </w:num>
  <w:num w:numId="8" w16cid:durableId="66081166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10325"/>
    <w:rsid w:val="00172AD1"/>
    <w:rsid w:val="001813E7"/>
    <w:rsid w:val="001C594A"/>
    <w:rsid w:val="00261E9C"/>
    <w:rsid w:val="00296DD6"/>
    <w:rsid w:val="002A1842"/>
    <w:rsid w:val="002D32AF"/>
    <w:rsid w:val="002D66E9"/>
    <w:rsid w:val="00336F6E"/>
    <w:rsid w:val="00354000"/>
    <w:rsid w:val="00390898"/>
    <w:rsid w:val="003C04FD"/>
    <w:rsid w:val="004468F8"/>
    <w:rsid w:val="0045162C"/>
    <w:rsid w:val="00452B00"/>
    <w:rsid w:val="0047670D"/>
    <w:rsid w:val="004E1384"/>
    <w:rsid w:val="00530E16"/>
    <w:rsid w:val="00597C97"/>
    <w:rsid w:val="005A3445"/>
    <w:rsid w:val="005A6929"/>
    <w:rsid w:val="00722EFE"/>
    <w:rsid w:val="007637E9"/>
    <w:rsid w:val="007D375B"/>
    <w:rsid w:val="00863BE2"/>
    <w:rsid w:val="008B682E"/>
    <w:rsid w:val="008E7834"/>
    <w:rsid w:val="00953FBE"/>
    <w:rsid w:val="00961B77"/>
    <w:rsid w:val="009F60D1"/>
    <w:rsid w:val="00A07D28"/>
    <w:rsid w:val="00A43B47"/>
    <w:rsid w:val="00A45D23"/>
    <w:rsid w:val="00A75B15"/>
    <w:rsid w:val="00AE06EA"/>
    <w:rsid w:val="00B65ED6"/>
    <w:rsid w:val="00BA0043"/>
    <w:rsid w:val="00BC3C19"/>
    <w:rsid w:val="00BC4D76"/>
    <w:rsid w:val="00BF1516"/>
    <w:rsid w:val="00C7106A"/>
    <w:rsid w:val="00C830B5"/>
    <w:rsid w:val="00CB56FD"/>
    <w:rsid w:val="00CF650B"/>
    <w:rsid w:val="00D5292F"/>
    <w:rsid w:val="00D62A9C"/>
    <w:rsid w:val="00DB181C"/>
    <w:rsid w:val="00DC4B4C"/>
    <w:rsid w:val="00DC5C0F"/>
    <w:rsid w:val="00EE02AD"/>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037CF"/>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4516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igital.nhs.uk/data-and-information/publications/statistical/mental-health-services-monthly-statistic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ice.org.uk/guidance/cg136/evidence/service-user-experience-in-adult-mental-health-full-guideline-185085613"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kingsfund.org.uk/insight-and-analysis/blogs/health-policy-year-twelve-charts-2024"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cqc.org.uk/publications/major-report/state-care/2024-2025"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617</TotalTime>
  <Pages>6</Pages>
  <Words>1784</Words>
  <Characters>10169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Saratu Mohammed (2442252)</cp:lastModifiedBy>
  <cp:revision>18</cp:revision>
  <dcterms:created xsi:type="dcterms:W3CDTF">2025-12-16T02:22:00Z</dcterms:created>
  <dcterms:modified xsi:type="dcterms:W3CDTF">2025-12-16T12:38:00Z</dcterms:modified>
</cp:coreProperties>
</file>