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6B1BF" w14:textId="77777777" w:rsidR="00E17466" w:rsidRPr="00AE289E" w:rsidRDefault="00E17466" w:rsidP="00E17466">
      <w:pPr>
        <w:jc w:val="center"/>
        <w:rPr>
          <w:b/>
          <w:bCs/>
        </w:rPr>
      </w:pPr>
      <w:r>
        <w:rPr>
          <w:b/>
          <w:bCs/>
        </w:rPr>
        <w:t>AI Declaration</w:t>
      </w:r>
      <w:r w:rsidRPr="00AE289E">
        <w:rPr>
          <w:b/>
          <w:bCs/>
        </w:rPr>
        <w:t xml:space="preserve"> - </w:t>
      </w:r>
      <w:r>
        <w:rPr>
          <w:rFonts w:ascii="Arial" w:hAnsi="Arial" w:cs="Arial"/>
          <w:b/>
          <w:sz w:val="22"/>
          <w:szCs w:val="22"/>
        </w:rPr>
        <w:t xml:space="preserve">BMOE5006 - </w:t>
      </w:r>
      <w:r w:rsidRPr="00C45E7A">
        <w:rPr>
          <w:rFonts w:ascii="Arial" w:hAnsi="Arial" w:cs="Arial"/>
          <w:b/>
          <w:bCs/>
          <w:sz w:val="22"/>
          <w:szCs w:val="22"/>
        </w:rPr>
        <w:t>Sustainable Journeys</w:t>
      </w:r>
      <w:r>
        <w:rPr>
          <w:rFonts w:ascii="Arial" w:hAnsi="Arial" w:cs="Arial"/>
          <w:b/>
          <w:bCs/>
          <w:sz w:val="22"/>
          <w:szCs w:val="22"/>
        </w:rPr>
        <w:t xml:space="preserve"> Essay</w:t>
      </w:r>
    </w:p>
    <w:p w14:paraId="6C8DB045" w14:textId="77777777" w:rsidR="00E17466" w:rsidRDefault="00E17466" w:rsidP="00E17466">
      <w:pPr>
        <w:rPr>
          <w:b/>
          <w:bCs/>
        </w:rPr>
      </w:pPr>
    </w:p>
    <w:p w14:paraId="12B036A3" w14:textId="77777777" w:rsidR="00E17466" w:rsidRPr="00652E3D" w:rsidRDefault="00E17466" w:rsidP="00E17466">
      <w:pPr>
        <w:rPr>
          <w:b/>
          <w:bCs/>
        </w:rPr>
      </w:pPr>
      <w:r w:rsidRPr="00652E3D">
        <w:rPr>
          <w:b/>
          <w:bCs/>
        </w:rPr>
        <w:t>Assessment Guidelines on AI:</w:t>
      </w:r>
    </w:p>
    <w:p w14:paraId="0D2CD087" w14:textId="77777777" w:rsidR="00E17466" w:rsidRDefault="00E17466" w:rsidP="00E17466">
      <w:r w:rsidRPr="008303A0">
        <w:rPr>
          <w:noProof/>
        </w:rPr>
        <w:drawing>
          <wp:inline distT="0" distB="0" distL="0" distR="0" wp14:anchorId="663C5C5C" wp14:editId="34B02810">
            <wp:extent cx="5943600" cy="4165600"/>
            <wp:effectExtent l="19050" t="19050" r="19050" b="25400"/>
            <wp:docPr id="902785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785969" name=""/>
                    <pic:cNvPicPr/>
                  </pic:nvPicPr>
                  <pic:blipFill>
                    <a:blip r:embed="rId7"/>
                    <a:stretch>
                      <a:fillRect/>
                    </a:stretch>
                  </pic:blipFill>
                  <pic:spPr>
                    <a:xfrm>
                      <a:off x="0" y="0"/>
                      <a:ext cx="5943600" cy="4165600"/>
                    </a:xfrm>
                    <a:prstGeom prst="rect">
                      <a:avLst/>
                    </a:prstGeom>
                    <a:ln>
                      <a:solidFill>
                        <a:schemeClr val="accent1"/>
                      </a:solidFill>
                    </a:ln>
                  </pic:spPr>
                </pic:pic>
              </a:graphicData>
            </a:graphic>
          </wp:inline>
        </w:drawing>
      </w:r>
      <w:r w:rsidRPr="00E9491F">
        <w:rPr>
          <w:noProof/>
        </w:rPr>
        <w:t xml:space="preserve"> </w:t>
      </w:r>
    </w:p>
    <w:p w14:paraId="0B487F32" w14:textId="77777777" w:rsidR="00E17466" w:rsidRDefault="00E17466" w:rsidP="00E17466">
      <w:pPr>
        <w:rPr>
          <w:b/>
          <w:bCs/>
        </w:rPr>
      </w:pPr>
    </w:p>
    <w:p w14:paraId="774464D2" w14:textId="77777777" w:rsidR="00E17466" w:rsidRDefault="00E17466" w:rsidP="00E17466">
      <w:pPr>
        <w:rPr>
          <w:b/>
          <w:bCs/>
        </w:rPr>
      </w:pPr>
      <w:r>
        <w:rPr>
          <w:b/>
          <w:bCs/>
        </w:rPr>
        <w:t>Max Leech</w:t>
      </w:r>
      <w:r w:rsidRPr="00652E3D">
        <w:rPr>
          <w:b/>
          <w:bCs/>
        </w:rPr>
        <w:t xml:space="preserve"> AI</w:t>
      </w:r>
      <w:r>
        <w:rPr>
          <w:b/>
          <w:bCs/>
        </w:rPr>
        <w:t xml:space="preserve"> Declaration:</w:t>
      </w:r>
    </w:p>
    <w:p w14:paraId="15DCCD52" w14:textId="77777777" w:rsidR="00E17466" w:rsidRDefault="00E17466" w:rsidP="00E17466">
      <w:pPr>
        <w:rPr>
          <w:b/>
          <w:bCs/>
        </w:rPr>
      </w:pPr>
    </w:p>
    <w:p w14:paraId="52BD6E2C" w14:textId="77777777" w:rsidR="00E17466" w:rsidRDefault="00E17466" w:rsidP="00E17466">
      <w:r w:rsidRPr="005B61B8">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8386E58" w14:textId="77777777" w:rsidR="00E17466" w:rsidRDefault="00E17466" w:rsidP="00E17466">
      <w:pPr>
        <w:shd w:val="clear" w:color="auto" w:fill="FFFFFF" w:themeFill="background1"/>
        <w:spacing w:after="0" w:line="276" w:lineRule="auto"/>
        <w:rPr>
          <w:rFonts w:ascii="Arial" w:eastAsia="Arial" w:hAnsi="Arial" w:cs="Arial"/>
          <w:color w:val="242424"/>
          <w:sz w:val="22"/>
          <w:szCs w:val="22"/>
        </w:rPr>
      </w:pPr>
    </w:p>
    <w:p w14:paraId="37EDF013" w14:textId="77777777" w:rsidR="00E17466" w:rsidRPr="00C40036" w:rsidRDefault="00E17466" w:rsidP="00E17466">
      <w:pPr>
        <w:shd w:val="clear" w:color="auto" w:fill="FFFFFF" w:themeFill="background1"/>
        <w:spacing w:after="0" w:line="276" w:lineRule="auto"/>
        <w:rPr>
          <w:rFonts w:ascii="Dreaming Outloud Pro" w:eastAsia="Arial" w:hAnsi="Dreaming Outloud Pro" w:cs="Dreaming Outloud Pro"/>
          <w:i/>
          <w:iCs/>
          <w:color w:val="242424"/>
          <w:sz w:val="28"/>
          <w:szCs w:val="28"/>
        </w:rPr>
      </w:pPr>
      <w:r w:rsidRPr="09424CA8">
        <w:rPr>
          <w:rFonts w:ascii="Arial" w:eastAsia="Arial" w:hAnsi="Arial" w:cs="Arial"/>
          <w:b/>
          <w:bCs/>
          <w:color w:val="242424"/>
          <w:sz w:val="22"/>
          <w:szCs w:val="22"/>
        </w:rPr>
        <w:t>Signed:</w:t>
      </w:r>
      <w:r w:rsidRPr="09424CA8">
        <w:rPr>
          <w:rFonts w:ascii="Arial" w:eastAsia="Arial" w:hAnsi="Arial" w:cs="Arial"/>
          <w:color w:val="242424"/>
          <w:sz w:val="22"/>
          <w:szCs w:val="22"/>
        </w:rPr>
        <w:t> </w:t>
      </w:r>
      <w:r>
        <w:rPr>
          <w:rFonts w:ascii="Arial" w:eastAsia="Arial" w:hAnsi="Arial" w:cs="Arial"/>
          <w:color w:val="242424"/>
          <w:sz w:val="22"/>
          <w:szCs w:val="22"/>
        </w:rPr>
        <w:t xml:space="preserve">  </w:t>
      </w:r>
      <w:r w:rsidRPr="00C40036">
        <w:rPr>
          <w:rFonts w:ascii="Dreaming Outloud Pro" w:eastAsia="Arial" w:hAnsi="Dreaming Outloud Pro" w:cs="Dreaming Outloud Pro"/>
          <w:i/>
          <w:iCs/>
          <w:color w:val="242424"/>
          <w:sz w:val="28"/>
          <w:szCs w:val="28"/>
        </w:rPr>
        <w:t>Max J Leech</w:t>
      </w:r>
    </w:p>
    <w:p w14:paraId="3E1FD508" w14:textId="77777777" w:rsidR="00E17466" w:rsidRDefault="00E17466" w:rsidP="00E17466">
      <w:pPr>
        <w:shd w:val="clear" w:color="auto" w:fill="FFFFFF" w:themeFill="background1"/>
        <w:spacing w:after="0"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37F40BD6" w14:textId="77777777" w:rsidR="00E17466" w:rsidRDefault="00E17466" w:rsidP="00285DDB">
      <w:pPr>
        <w:spacing w:after="0" w:line="240" w:lineRule="auto"/>
        <w:jc w:val="both"/>
        <w:rPr>
          <w:b/>
          <w:bCs/>
        </w:rPr>
      </w:pPr>
    </w:p>
    <w:p w14:paraId="1E90AF9A" w14:textId="77777777" w:rsidR="00E17466" w:rsidRDefault="00E17466" w:rsidP="00285DDB">
      <w:pPr>
        <w:spacing w:after="0" w:line="240" w:lineRule="auto"/>
        <w:jc w:val="both"/>
        <w:rPr>
          <w:b/>
          <w:bCs/>
        </w:rPr>
      </w:pPr>
    </w:p>
    <w:p w14:paraId="385CB6B1" w14:textId="29A8488D" w:rsidR="003D60CC" w:rsidRPr="005F7004" w:rsidRDefault="009F4F63" w:rsidP="00285DDB">
      <w:pPr>
        <w:spacing w:after="0" w:line="240" w:lineRule="auto"/>
        <w:jc w:val="both"/>
        <w:rPr>
          <w:b/>
          <w:bCs/>
        </w:rPr>
      </w:pPr>
      <w:r w:rsidRPr="009F4F63">
        <w:rPr>
          <w:b/>
          <w:bCs/>
        </w:rPr>
        <w:lastRenderedPageBreak/>
        <w:t>BMOE5006</w:t>
      </w:r>
      <w:r>
        <w:rPr>
          <w:b/>
          <w:bCs/>
        </w:rPr>
        <w:t xml:space="preserve"> : </w:t>
      </w:r>
      <w:r w:rsidR="003D60CC" w:rsidRPr="005F7004">
        <w:rPr>
          <w:b/>
          <w:bCs/>
        </w:rPr>
        <w:t>Sustainable Journeys</w:t>
      </w:r>
      <w:r w:rsidR="00DC28A1">
        <w:rPr>
          <w:b/>
          <w:bCs/>
        </w:rPr>
        <w:t xml:space="preserve"> – Max Leech</w:t>
      </w:r>
    </w:p>
    <w:p w14:paraId="694E3825" w14:textId="77777777" w:rsidR="000F3FAC" w:rsidRPr="005F7004" w:rsidRDefault="000F3FAC" w:rsidP="00285DDB">
      <w:pPr>
        <w:spacing w:after="0" w:line="240" w:lineRule="auto"/>
        <w:jc w:val="both"/>
      </w:pPr>
    </w:p>
    <w:p w14:paraId="44537A26" w14:textId="7FD38B55" w:rsidR="0062515D" w:rsidRPr="005F7004" w:rsidRDefault="0062515D" w:rsidP="00285DDB">
      <w:pPr>
        <w:spacing w:after="0" w:line="240" w:lineRule="auto"/>
        <w:jc w:val="both"/>
        <w:rPr>
          <w:b/>
          <w:bCs/>
        </w:rPr>
      </w:pPr>
      <w:r w:rsidRPr="005F7004">
        <w:rPr>
          <w:b/>
          <w:bCs/>
        </w:rPr>
        <w:t xml:space="preserve">With reference to the article by Mackenzie and Goodnow (2020; available on Moodle), critically discuss the following statement: </w:t>
      </w:r>
      <w:r w:rsidR="00EC5737" w:rsidRPr="005F7004">
        <w:rPr>
          <w:b/>
          <w:bCs/>
        </w:rPr>
        <w:t>Microadventures</w:t>
      </w:r>
      <w:r w:rsidRPr="005F7004">
        <w:rPr>
          <w:b/>
          <w:bCs/>
        </w:rPr>
        <w:t xml:space="preserve"> are “an enticing alternative for both current and post-pandemic conditions” (Mackenzie and Goodnow, 2020, p1).</w:t>
      </w:r>
      <w:r w:rsidR="006417F9">
        <w:rPr>
          <w:b/>
          <w:bCs/>
        </w:rPr>
        <w:t xml:space="preserve">  </w:t>
      </w:r>
    </w:p>
    <w:p w14:paraId="5181E1C4" w14:textId="77777777" w:rsidR="0062515D" w:rsidRPr="005F7004" w:rsidRDefault="0062515D" w:rsidP="00285DDB">
      <w:pPr>
        <w:spacing w:after="0" w:line="240" w:lineRule="auto"/>
        <w:jc w:val="both"/>
      </w:pPr>
    </w:p>
    <w:p w14:paraId="7EBF0480" w14:textId="77B80FA8" w:rsidR="0062515D" w:rsidRPr="005F7004" w:rsidRDefault="0062515D" w:rsidP="00285DDB">
      <w:pPr>
        <w:spacing w:after="0" w:line="240" w:lineRule="auto"/>
        <w:jc w:val="both"/>
      </w:pPr>
      <w:r w:rsidRPr="005F7004">
        <w:t xml:space="preserve">According to the reading of Mackenzie and Goodnow, the adventures to far away exotic countries seem to clash with the idea of ethical sustainability. As they describe in their thesis, there are ecological, </w:t>
      </w:r>
      <w:r w:rsidR="00B94983" w:rsidRPr="005F7004">
        <w:t>economic</w:t>
      </w:r>
      <w:r w:rsidRPr="005F7004">
        <w:t xml:space="preserve"> and also societal issues attached to it. Although adventure trave</w:t>
      </w:r>
      <w:r w:rsidR="00A7372D">
        <w:t>l</w:t>
      </w:r>
      <w:r w:rsidRPr="005F7004">
        <w:t xml:space="preserve">ling sounds exciting, the </w:t>
      </w:r>
      <w:r w:rsidR="00462F0B" w:rsidRPr="005F7004">
        <w:t>large</w:t>
      </w:r>
      <w:r w:rsidRPr="005F7004">
        <w:t xml:space="preserve"> </w:t>
      </w:r>
      <w:r w:rsidR="00D373D7" w:rsidRPr="005F7004">
        <w:t>number</w:t>
      </w:r>
      <w:r w:rsidRPr="005F7004">
        <w:t xml:space="preserve"> of </w:t>
      </w:r>
      <w:r w:rsidR="00D373D7" w:rsidRPr="005F7004">
        <w:t>trave</w:t>
      </w:r>
      <w:r w:rsidR="00A7372D">
        <w:t>l</w:t>
      </w:r>
      <w:r w:rsidR="00D373D7" w:rsidRPr="005F7004">
        <w:t>lers</w:t>
      </w:r>
      <w:r w:rsidRPr="005F7004">
        <w:t xml:space="preserve"> and their actions carried often carelessly far away from their own homes causes irreversible damage or </w:t>
      </w:r>
      <w:r w:rsidR="00D373D7" w:rsidRPr="005F7004">
        <w:t>heavy</w:t>
      </w:r>
      <w:r w:rsidRPr="005F7004">
        <w:t xml:space="preserve"> aftermath for local communities and environmental preservation. So, even if remote adventures encouraged by </w:t>
      </w:r>
      <w:r w:rsidR="0087351B" w:rsidRPr="005F7004">
        <w:t>globalization</w:t>
      </w:r>
      <w:r w:rsidRPr="005F7004">
        <w:t xml:space="preserve"> and the commercialization of </w:t>
      </w:r>
      <w:r w:rsidR="00462F0B" w:rsidRPr="005F7004">
        <w:t>travelling</w:t>
      </w:r>
      <w:r w:rsidRPr="005F7004">
        <w:t xml:space="preserve"> </w:t>
      </w:r>
      <w:r w:rsidR="00A744F1" w:rsidRPr="005F7004">
        <w:t>seem</w:t>
      </w:r>
      <w:r w:rsidRPr="005F7004">
        <w:t xml:space="preserve"> enticing, the </w:t>
      </w:r>
      <w:r w:rsidR="0087351B" w:rsidRPr="005F7004">
        <w:t>microadventures</w:t>
      </w:r>
      <w:r w:rsidRPr="005F7004">
        <w:t xml:space="preserve"> according to Mackenzie and Goodnow ‘may result in more consistent and enduring psychological benefits’ (Mackenzie, S.H. and Goodnow, J. (2020), p 6). </w:t>
      </w:r>
    </w:p>
    <w:p w14:paraId="011C9CB6" w14:textId="77777777" w:rsidR="0062515D" w:rsidRPr="005F7004" w:rsidRDefault="0062515D" w:rsidP="00285DDB">
      <w:pPr>
        <w:spacing w:after="0" w:line="240" w:lineRule="auto"/>
        <w:jc w:val="both"/>
      </w:pPr>
    </w:p>
    <w:p w14:paraId="41B4AF7C" w14:textId="05F9090D" w:rsidR="0062515D" w:rsidRPr="005F7004" w:rsidRDefault="0062515D" w:rsidP="00285DDB">
      <w:pPr>
        <w:spacing w:after="0" w:line="240" w:lineRule="auto"/>
        <w:jc w:val="both"/>
      </w:pPr>
      <w:r w:rsidRPr="005F7004">
        <w:t xml:space="preserve">This essay will critically discuss Mackenzie and Goodnow's thesis with their argument strongly shifting towards the idea and concept of </w:t>
      </w:r>
      <w:r w:rsidR="00936690" w:rsidRPr="005F7004">
        <w:t>micro travelling</w:t>
      </w:r>
      <w:r w:rsidRPr="005F7004">
        <w:t xml:space="preserve">, </w:t>
      </w:r>
      <w:r w:rsidR="00C17166" w:rsidRPr="005F7004">
        <w:t xml:space="preserve">coinciding </w:t>
      </w:r>
      <w:r w:rsidRPr="005F7004">
        <w:t xml:space="preserve">with the questions of sustainability when applied to the wider scope of global and local travelling adventures. Yet, the question remains </w:t>
      </w:r>
      <w:r w:rsidR="00581733" w:rsidRPr="005F7004">
        <w:t>are</w:t>
      </w:r>
      <w:r w:rsidRPr="005F7004">
        <w:t xml:space="preserve"> microadventures here to stay or are they only a temporary resolution in a world that is economically and politically unstable, more often than ever discouraging </w:t>
      </w:r>
      <w:r w:rsidR="00C36A8D" w:rsidRPr="005F7004">
        <w:t xml:space="preserve">people </w:t>
      </w:r>
      <w:r w:rsidRPr="005F7004">
        <w:t xml:space="preserve">from far way adventures, focusing on the domestic and local outdoor travelling instead, </w:t>
      </w:r>
      <w:r w:rsidR="00351846" w:rsidRPr="005F7004">
        <w:t>ca</w:t>
      </w:r>
      <w:r w:rsidR="007D137F" w:rsidRPr="005F7004">
        <w:t>n</w:t>
      </w:r>
      <w:r w:rsidRPr="005F7004">
        <w:t xml:space="preserve"> </w:t>
      </w:r>
      <w:r w:rsidR="00C36A8D" w:rsidRPr="005F7004">
        <w:t>favorably</w:t>
      </w:r>
      <w:r w:rsidRPr="005F7004">
        <w:t xml:space="preserve"> </w:t>
      </w:r>
      <w:r w:rsidR="007D137F" w:rsidRPr="005F7004">
        <w:t>support</w:t>
      </w:r>
      <w:r w:rsidRPr="005F7004">
        <w:t xml:space="preserve"> the eco system. </w:t>
      </w:r>
    </w:p>
    <w:p w14:paraId="4BBCF8D2" w14:textId="77777777" w:rsidR="0062515D" w:rsidRPr="005F7004" w:rsidRDefault="0062515D" w:rsidP="00285DDB">
      <w:pPr>
        <w:spacing w:after="0" w:line="240" w:lineRule="auto"/>
        <w:jc w:val="both"/>
      </w:pPr>
    </w:p>
    <w:p w14:paraId="071DACB3" w14:textId="60C7E7B7" w:rsidR="0073216B" w:rsidRPr="005F7004" w:rsidRDefault="0073216B" w:rsidP="0073216B">
      <w:pPr>
        <w:spacing w:after="0" w:line="240" w:lineRule="auto"/>
        <w:jc w:val="both"/>
      </w:pPr>
      <w:r w:rsidRPr="005F7004">
        <w:t xml:space="preserve">Though </w:t>
      </w:r>
      <w:r w:rsidR="00284637" w:rsidRPr="005F7004">
        <w:t>microadventures</w:t>
      </w:r>
      <w:r w:rsidRPr="005F7004">
        <w:t xml:space="preserve"> were already practiced and trending from 2016 mainly in Europe and North America (Humphreys, 2014 p.14) with the 195% increase between 2010 and 2014,(Mackenzie, S.H. and Goodnow, J. (2020), p 1),  it cannot be said they were fully accepted and followed globally. They might have had a large following, but many individuals still preferred to travel to far away countries and seek pleasure in exploring unknown territories. However, due to Covid19 and bans on travelling no further than one's own area of habitat, citizens had two choices; either stay at home or explore what’s near to their homes. They seemed to choose the latter and since then the local but also national nature-based explorations have become highly regarded, often leading to re-discovering new aspects around one's own area, perhaps previously disregarded or unnoticed. Mackenzie and Goodnow argue; ‘Locavism and microadventures present opportunities for enhanced community connections in local places by going “deeper” not further (Mackenzie, S.H. and Goodnow, J. (2020), p 5). Hence, citizens turned to one another exploring what might have been previously overlooked, newly appreciating the nature and adventure around them. Also, according to the National Library of Medicine in the US, the lack of ability to travel had a positive impact on the urban eco-system with people visiting the nearby parks to either walk, relax or exercise. ‘In a study of a park in the Boston suburbs, (Primack and Terry (2021)) found that in the first two months of the pandemic, new social trails increased the network of trails by 36%, approximately the same length of new trails that had been created in the </w:t>
      </w:r>
      <w:r w:rsidRPr="005F7004">
        <w:lastRenderedPageBreak/>
        <w:t>previous 48 years’ (The conservation and ecological impacts of the COVID-19 pandemic - PMC).</w:t>
      </w:r>
    </w:p>
    <w:p w14:paraId="116C5E8D" w14:textId="77777777" w:rsidR="0062515D" w:rsidRPr="005F7004" w:rsidRDefault="0062515D" w:rsidP="00285DDB">
      <w:pPr>
        <w:spacing w:after="0" w:line="240" w:lineRule="auto"/>
        <w:jc w:val="both"/>
      </w:pPr>
    </w:p>
    <w:p w14:paraId="0573FDC6" w14:textId="57CF1EA9" w:rsidR="0062515D" w:rsidRPr="005F7004" w:rsidRDefault="0062515D" w:rsidP="00285DDB">
      <w:pPr>
        <w:spacing w:after="0" w:line="240" w:lineRule="auto"/>
        <w:jc w:val="both"/>
      </w:pPr>
      <w:r w:rsidRPr="005F7004">
        <w:t xml:space="preserve">Although Covid19 tragically impacted many families, when it comes to sustainability, there was a positive shift </w:t>
      </w:r>
      <w:r w:rsidR="00743F0C" w:rsidRPr="005F7004">
        <w:t>in regard to</w:t>
      </w:r>
      <w:r w:rsidRPr="005F7004">
        <w:t xml:space="preserve"> environmental and social sustainability, shifting towards a globally cleaner and better earth. This was strongly linked to the lack of movement (travelling), having a profound impact on the planet’s eco system, this way showcasing that there is a way of recovery that without Covid19 might not be that obvious. Study in China et al. (2021) confirms that: in </w:t>
      </w:r>
      <w:r w:rsidR="0003701C" w:rsidRPr="005F7004">
        <w:t xml:space="preserve">the </w:t>
      </w:r>
      <w:r w:rsidR="00342783" w:rsidRPr="005F7004">
        <w:t xml:space="preserve">Gulf of Aqaba </w:t>
      </w:r>
      <w:r w:rsidRPr="005F7004">
        <w:t xml:space="preserve">‘species richness of fish was greater during the lockdown’ as compared with the post-pandemic period. Soto et al. (2021) observed that during lockdown and with the beaches being not used by </w:t>
      </w:r>
      <w:r w:rsidR="00A93BCF" w:rsidRPr="005F7004">
        <w:t>trave</w:t>
      </w:r>
      <w:r w:rsidR="009F3282">
        <w:t>l</w:t>
      </w:r>
      <w:r w:rsidR="00A93BCF" w:rsidRPr="005F7004">
        <w:t>lers</w:t>
      </w:r>
      <w:r w:rsidRPr="005F7004">
        <w:t xml:space="preserve"> (research of 29 beaches in Latin America, that would be potentially one of the targets when </w:t>
      </w:r>
      <w:r w:rsidR="00A93BCF" w:rsidRPr="005F7004">
        <w:t xml:space="preserve">it </w:t>
      </w:r>
      <w:r w:rsidRPr="005F7004">
        <w:t xml:space="preserve">comes to adventure travelling), ‘discovered that in the absence of people, the beach vegetation began to recover, and local animals such as ghost crabs increased </w:t>
      </w:r>
      <w:r w:rsidR="004E2FCB" w:rsidRPr="005F7004">
        <w:t>significantly</w:t>
      </w:r>
      <w:r w:rsidRPr="005F7004">
        <w:t>. There was also notably less litter and noise’ (The conservation and ecological impacts of the COVID-19 pandemic - PMC).</w:t>
      </w:r>
    </w:p>
    <w:p w14:paraId="00E87A20" w14:textId="77777777" w:rsidR="00766D23" w:rsidRPr="005F7004" w:rsidRDefault="00766D23" w:rsidP="00285DDB">
      <w:pPr>
        <w:spacing w:after="0" w:line="240" w:lineRule="auto"/>
        <w:jc w:val="both"/>
      </w:pPr>
    </w:p>
    <w:p w14:paraId="4DDB5165" w14:textId="3F1C2876" w:rsidR="0062515D" w:rsidRPr="005F7004" w:rsidRDefault="0062515D" w:rsidP="00285DDB">
      <w:pPr>
        <w:spacing w:after="0" w:line="240" w:lineRule="auto"/>
        <w:jc w:val="both"/>
      </w:pPr>
      <w:r w:rsidRPr="005F7004">
        <w:t xml:space="preserve">Looking at </w:t>
      </w:r>
      <w:r w:rsidR="00482461" w:rsidRPr="005F7004">
        <w:t xml:space="preserve">individual </w:t>
      </w:r>
      <w:r w:rsidRPr="005F7004">
        <w:t xml:space="preserve">testimonies about the experience of Covid19, relating to the idea of movement and restrictions, there are </w:t>
      </w:r>
      <w:r w:rsidR="00482461" w:rsidRPr="005F7004">
        <w:t>many</w:t>
      </w:r>
      <w:r w:rsidRPr="005F7004">
        <w:t xml:space="preserve"> view</w:t>
      </w:r>
      <w:r w:rsidR="00C6312C" w:rsidRPr="005F7004">
        <w:t>s</w:t>
      </w:r>
      <w:r w:rsidRPr="005F7004">
        <w:t xml:space="preserve"> </w:t>
      </w:r>
      <w:r w:rsidR="00482461" w:rsidRPr="005F7004">
        <w:t>to</w:t>
      </w:r>
      <w:r w:rsidRPr="005F7004">
        <w:t xml:space="preserve"> consider (Quay, J 2020). Not everyone was lucky enough to have green spaces around them. Also, we need to think about the social and </w:t>
      </w:r>
      <w:r w:rsidR="00C6312C" w:rsidRPr="005F7004">
        <w:t>economic</w:t>
      </w:r>
      <w:r w:rsidRPr="005F7004">
        <w:t xml:space="preserve"> situation of some families who suffered massively because of Covid19 restrictions, being locked into  ‘four walls’</w:t>
      </w:r>
      <w:r w:rsidR="002A3598" w:rsidRPr="005F7004">
        <w:t>.</w:t>
      </w:r>
      <w:r w:rsidRPr="005F7004">
        <w:t xml:space="preserve"> However, if we consider adventure travelling and the idea of </w:t>
      </w:r>
      <w:r w:rsidR="002A3598" w:rsidRPr="005F7004">
        <w:t>microadventures</w:t>
      </w:r>
      <w:r w:rsidRPr="005F7004">
        <w:t xml:space="preserve"> there are some positive and reinforcing remarks showing the ongoing shift towards locavism and liminality especially when it comes to redefining the meaning of ‘adventure’. One of the testimonies from New Zealand confirms these findings</w:t>
      </w:r>
      <w:r w:rsidR="002A3598" w:rsidRPr="005F7004">
        <w:t>,</w:t>
      </w:r>
      <w:r w:rsidRPr="005F7004">
        <w:t xml:space="preserve"> as Marg Cosgriff argues: ‘One thing that has struck me over the past two months in my own neighborhood is the case of wellbeing, sustenance, and enjoyment that I and others have drawn from simply being able to be out and about. Little to no cost or “footprint”’ (Quay, J 2020, p 92). This pro</w:t>
      </w:r>
      <w:r w:rsidR="002E0078" w:rsidRPr="005F7004">
        <w:t>ve</w:t>
      </w:r>
      <w:r w:rsidRPr="005F7004">
        <w:t>s that critical analysis of adventure trave</w:t>
      </w:r>
      <w:r w:rsidR="009F3282">
        <w:t>l</w:t>
      </w:r>
      <w:r w:rsidRPr="005F7004">
        <w:t xml:space="preserve">ling from Mackenzie and Goodnow include valid points about the Covid19 ideas of local travelling when mentioning the new prospects of building communities and how the external forces like the council or community clubs help in making </w:t>
      </w:r>
      <w:r w:rsidR="002E0078" w:rsidRPr="005F7004">
        <w:t>microadventures</w:t>
      </w:r>
      <w:r w:rsidRPr="005F7004">
        <w:t xml:space="preserve"> fun, exciting but also educational; ’Sierra Club encourages people to explore their backyard, not the back country. Local councils promote ‘isolation adventure’ via webpages with adventure opportunities in nearby nature and urban guidebooks revealing secret pathways connecting </w:t>
      </w:r>
      <w:r w:rsidR="00C941DC" w:rsidRPr="005F7004">
        <w:t>neighborhood’s</w:t>
      </w:r>
      <w:r w:rsidRPr="005F7004">
        <w:t xml:space="preserve"> to green spaces (e.g.,Jaramillo, 2012) (Mackenzie, S.H. and Goodnow, J. (2020), p 4) </w:t>
      </w:r>
    </w:p>
    <w:p w14:paraId="71CE7FEE" w14:textId="77777777" w:rsidR="0062515D" w:rsidRPr="005F7004" w:rsidRDefault="0062515D" w:rsidP="00285DDB">
      <w:pPr>
        <w:spacing w:after="0" w:line="240" w:lineRule="auto"/>
        <w:jc w:val="both"/>
      </w:pPr>
    </w:p>
    <w:p w14:paraId="1A0ED16A" w14:textId="74DEA99A" w:rsidR="0062515D" w:rsidRPr="005F7004" w:rsidRDefault="0062515D" w:rsidP="00285DDB">
      <w:pPr>
        <w:spacing w:after="0" w:line="240" w:lineRule="auto"/>
        <w:jc w:val="both"/>
      </w:pPr>
      <w:r w:rsidRPr="005F7004">
        <w:t xml:space="preserve">Having said that, moving on to the post-pandemic period of time, Mackenzie and Goodnow suggest not treating the newly sustained development of </w:t>
      </w:r>
      <w:r w:rsidR="00D7150A" w:rsidRPr="005F7004">
        <w:t>micro trave</w:t>
      </w:r>
      <w:r w:rsidR="009F3282">
        <w:t>l</w:t>
      </w:r>
      <w:r w:rsidR="00D7150A" w:rsidRPr="005F7004">
        <w:t>ling</w:t>
      </w:r>
      <w:r w:rsidRPr="005F7004">
        <w:t xml:space="preserve"> as a ‘stop-gap novelty’</w:t>
      </w:r>
      <w:r w:rsidR="00D7150A" w:rsidRPr="005F7004">
        <w:t xml:space="preserve"> </w:t>
      </w:r>
      <w:r w:rsidRPr="005F7004">
        <w:t>(Mackenzie, S.H. and Goodnow, J. (2020) p 4). Here, we can see that they might worry that individuals will come back to their previous way of living after the pandemic, throwing away the newly learned curiosity and enthusiasm for local adventures. However, one can observe that Mackenzie and Goodnow stay hopeful for the future of travel</w:t>
      </w:r>
      <w:r w:rsidR="009F3282">
        <w:t>l</w:t>
      </w:r>
      <w:r w:rsidRPr="005F7004">
        <w:t xml:space="preserve">ing, seeing the positive gains and newly won ideas from micro adventures that we as </w:t>
      </w:r>
      <w:r w:rsidR="00170E8D" w:rsidRPr="005F7004">
        <w:t>citizens</w:t>
      </w:r>
      <w:r w:rsidRPr="005F7004">
        <w:t xml:space="preserve"> should </w:t>
      </w:r>
      <w:r w:rsidRPr="005F7004">
        <w:lastRenderedPageBreak/>
        <w:t xml:space="preserve">develop further in the future; for </w:t>
      </w:r>
      <w:r w:rsidR="004A6047" w:rsidRPr="005F7004">
        <w:t>example,</w:t>
      </w:r>
      <w:r w:rsidRPr="005F7004">
        <w:t xml:space="preserve"> with extending and building even more green spaces, especially in urban surroundings, where </w:t>
      </w:r>
      <w:r w:rsidR="006F14D2" w:rsidRPr="005F7004">
        <w:t xml:space="preserve">adults </w:t>
      </w:r>
      <w:r w:rsidRPr="005F7004">
        <w:t xml:space="preserve">and children could thrive and benefit from. Additionally, microadventures </w:t>
      </w:r>
      <w:r w:rsidR="006F14D2" w:rsidRPr="005F7004">
        <w:t>ask</w:t>
      </w:r>
      <w:r w:rsidRPr="005F7004">
        <w:t xml:space="preserve"> us to slow down and look around instead of rushing to yet another foreign destination over</w:t>
      </w:r>
      <w:r w:rsidR="006F14D2" w:rsidRPr="005F7004">
        <w:t xml:space="preserve"> glamorized</w:t>
      </w:r>
      <w:r w:rsidRPr="005F7004">
        <w:t xml:space="preserve"> by social media and advertised by large travel companies, seeking profits instead of taking into consideration the value and ethics of other lands and people.</w:t>
      </w:r>
    </w:p>
    <w:p w14:paraId="45847E0A" w14:textId="77777777" w:rsidR="0062515D" w:rsidRPr="005F7004" w:rsidRDefault="0062515D" w:rsidP="00285DDB">
      <w:pPr>
        <w:spacing w:after="0" w:line="240" w:lineRule="auto"/>
        <w:jc w:val="both"/>
      </w:pPr>
    </w:p>
    <w:p w14:paraId="071723D5" w14:textId="704A9865" w:rsidR="00674983" w:rsidRPr="005F7004" w:rsidRDefault="0062515D" w:rsidP="00285DDB">
      <w:pPr>
        <w:spacing w:after="0" w:line="240" w:lineRule="auto"/>
        <w:jc w:val="both"/>
      </w:pPr>
      <w:r w:rsidRPr="005F7004">
        <w:t xml:space="preserve">Nonetheless, Mackenzie and Goodnow’s arguments were constructed in 2020 without knowing how realistically the post-pandemic world will develop further, convincing with their argument how much better the locavism proves to be for our planet and future generations to come. The prediction about people being scared to travel to far away countries because they would worry about their health might not be fully accurate with current understanding of Covid19 and vaccinations in place. However, they might be right with the prediction about </w:t>
      </w:r>
      <w:r w:rsidR="00EE0D85" w:rsidRPr="005F7004">
        <w:t>economics,</w:t>
      </w:r>
      <w:r w:rsidRPr="005F7004">
        <w:t xml:space="preserve"> many individuals </w:t>
      </w:r>
      <w:r w:rsidR="00E32815" w:rsidRPr="005F7004">
        <w:t>are unable</w:t>
      </w:r>
      <w:r w:rsidRPr="005F7004">
        <w:t xml:space="preserve"> to afford </w:t>
      </w:r>
      <w:r w:rsidR="00F4655A" w:rsidRPr="005F7004">
        <w:t>faraway</w:t>
      </w:r>
      <w:r w:rsidRPr="005F7004">
        <w:t xml:space="preserve"> </w:t>
      </w:r>
      <w:r w:rsidR="00E32815" w:rsidRPr="005F7004">
        <w:t>trips</w:t>
      </w:r>
      <w:r w:rsidRPr="005F7004">
        <w:t>. Even locally thing</w:t>
      </w:r>
      <w:r w:rsidR="00E32815" w:rsidRPr="005F7004">
        <w:t>s</w:t>
      </w:r>
      <w:r w:rsidR="00CD39EE" w:rsidRPr="005F7004">
        <w:t xml:space="preserve"> are </w:t>
      </w:r>
      <w:r w:rsidRPr="005F7004">
        <w:t xml:space="preserve">more </w:t>
      </w:r>
      <w:r w:rsidR="00271B64" w:rsidRPr="005F7004">
        <w:t>expensive,</w:t>
      </w:r>
      <w:r w:rsidRPr="005F7004">
        <w:t xml:space="preserve"> so </w:t>
      </w:r>
      <w:r w:rsidR="001651A5" w:rsidRPr="005F7004">
        <w:t>micro trave</w:t>
      </w:r>
      <w:r w:rsidR="00A606C6">
        <w:t>l</w:t>
      </w:r>
      <w:r w:rsidR="001651A5" w:rsidRPr="005F7004">
        <w:t>ling</w:t>
      </w:r>
      <w:r w:rsidRPr="005F7004">
        <w:t xml:space="preserve"> looks even more realistic right now. Also, the unstable political situation around the world does not encourage far distance exotic travelling like it did prior to Covid19. According to the latest data released by ATTA (Adventure Travels Trade Association) taking into consideration insights about </w:t>
      </w:r>
      <w:r w:rsidR="00747E2A" w:rsidRPr="005F7004">
        <w:t>trave</w:t>
      </w:r>
      <w:r w:rsidR="00E74390">
        <w:t>l</w:t>
      </w:r>
      <w:r w:rsidR="00747E2A" w:rsidRPr="005F7004">
        <w:t>lers</w:t>
      </w:r>
      <w:r w:rsidRPr="005F7004">
        <w:t xml:space="preserve"> behaviour and sustainability efforts: 2023 saw the return of adventure travelling to nearly 2019 level</w:t>
      </w:r>
      <w:r w:rsidR="001651A5" w:rsidRPr="005F7004">
        <w:t>s</w:t>
      </w:r>
      <w:r w:rsidRPr="005F7004">
        <w:t xml:space="preserve">. However, 2024 saw a 37% decline compared to 2023 with prediction of the numbers rising again in 2025. The most favourable locations </w:t>
      </w:r>
      <w:r w:rsidR="00762D8E" w:rsidRPr="005F7004">
        <w:t>being</w:t>
      </w:r>
      <w:r w:rsidRPr="005F7004">
        <w:t xml:space="preserve"> U.S., Brazil, Italy, and Japan ranking among the most commonly cited host markets.’ Perhaps learning </w:t>
      </w:r>
      <w:r w:rsidR="00674983" w:rsidRPr="005F7004">
        <w:t>from the past about the ecosystem, this time around there seems to be some improvements in place: ‘On the climate front, the industry is taking tangible action: 50% educate travel</w:t>
      </w:r>
      <w:r w:rsidR="00863351">
        <w:t>l</w:t>
      </w:r>
      <w:r w:rsidR="00674983" w:rsidRPr="005F7004">
        <w:t>ers about climate-conscious travel, 49% are shifting suppliers to more sustainable options, 47% are conserving water, and 40% are restructuring itineraries to reduce fossil fuel use. Wildlife protection, community livelihoods, and climate change are respondents' top sustainability concerns as they relate to tourism.’ (ATTA Releases 2025 Annual Adventure Travel Trends &amp; Insights Report)</w:t>
      </w:r>
      <w:r w:rsidR="008F55B1" w:rsidRPr="005F7004">
        <w:t>.</w:t>
      </w:r>
    </w:p>
    <w:p w14:paraId="4E5274E3" w14:textId="77777777" w:rsidR="009C7A4E" w:rsidRPr="005F7004" w:rsidRDefault="009C7A4E" w:rsidP="00285DDB">
      <w:pPr>
        <w:spacing w:after="0" w:line="240" w:lineRule="auto"/>
        <w:jc w:val="both"/>
      </w:pPr>
    </w:p>
    <w:p w14:paraId="777023F2" w14:textId="1864B2C0" w:rsidR="0062515D" w:rsidRPr="005F7004" w:rsidRDefault="00674983" w:rsidP="00285DDB">
      <w:pPr>
        <w:spacing w:after="0" w:line="240" w:lineRule="auto"/>
        <w:jc w:val="both"/>
      </w:pPr>
      <w:r w:rsidRPr="005F7004">
        <w:t xml:space="preserve">Yet, a new unsettling global  political situation might again decrease these rising numbers. ‘Geopolitical tensions, rising gas and jet fuel prices and regional unrest are introducing uncertainty for many international </w:t>
      </w:r>
      <w:r w:rsidR="00320E07" w:rsidRPr="005F7004">
        <w:t>trave</w:t>
      </w:r>
      <w:r w:rsidR="00BE6071">
        <w:t>l</w:t>
      </w:r>
      <w:r w:rsidR="00320E07" w:rsidRPr="005F7004">
        <w:t>lers</w:t>
      </w:r>
      <w:r w:rsidRPr="005F7004">
        <w:t xml:space="preserve"> in 2026’ (Dimanche, F, 2026). Hence, there is no way to find out exactly how adventure travelling will evolve in the future. However, what we know and can take away from the Mackenzie and Goodnow</w:t>
      </w:r>
      <w:r w:rsidR="002D419D" w:rsidRPr="005F7004">
        <w:t xml:space="preserve"> reading is the absolute advantages of microadventures and the sense of peace and balance they are offering, cherishing and encouraging </w:t>
      </w:r>
      <w:r w:rsidR="005D5399" w:rsidRPr="005F7004">
        <w:t>as</w:t>
      </w:r>
      <w:r w:rsidR="002D419D" w:rsidRPr="005F7004">
        <w:t xml:space="preserve"> action</w:t>
      </w:r>
      <w:r w:rsidR="005D5399" w:rsidRPr="005F7004">
        <w:t>s</w:t>
      </w:r>
      <w:r w:rsidR="002D419D" w:rsidRPr="005F7004">
        <w:t xml:space="preserve"> in building a more sustainable future even if taking small steps towards it. As they argue: ‘The pandemic has done what communities the world could not: stop economic momentum and unlock the time and space to redesign adventure destination’ (Mackenzie, S.H. and Goodnow, J. (2020), p 6)</w:t>
      </w:r>
      <w:r w:rsidR="005D5399" w:rsidRPr="005F7004">
        <w:t>.</w:t>
      </w:r>
    </w:p>
    <w:p w14:paraId="023E04A2" w14:textId="77777777" w:rsidR="000F43AE" w:rsidRDefault="000F43AE" w:rsidP="00EC5737">
      <w:pPr>
        <w:spacing w:after="0" w:line="240" w:lineRule="auto"/>
      </w:pPr>
    </w:p>
    <w:p w14:paraId="241FFD24" w14:textId="2EB5745E" w:rsidR="0062515D" w:rsidRDefault="0062515D" w:rsidP="00EC5737">
      <w:pPr>
        <w:spacing w:after="0" w:line="240" w:lineRule="auto"/>
      </w:pPr>
      <w:r w:rsidRPr="0062515D">
        <w:br/>
      </w:r>
      <w:r w:rsidRPr="0062515D">
        <w:br/>
      </w:r>
    </w:p>
    <w:p w14:paraId="3576979A" w14:textId="77777777" w:rsidR="00285DDB" w:rsidRDefault="00285DDB" w:rsidP="00EC5737">
      <w:pPr>
        <w:spacing w:after="0" w:line="240" w:lineRule="auto"/>
      </w:pPr>
    </w:p>
    <w:p w14:paraId="7DA7310F" w14:textId="77777777" w:rsidR="00285DDB" w:rsidRPr="0062515D" w:rsidRDefault="00285DDB" w:rsidP="00EC5737">
      <w:pPr>
        <w:spacing w:after="0" w:line="240" w:lineRule="auto"/>
      </w:pPr>
    </w:p>
    <w:p w14:paraId="7A3F1C3A" w14:textId="77777777" w:rsidR="0062515D" w:rsidRDefault="0062515D" w:rsidP="00EC5737">
      <w:pPr>
        <w:spacing w:after="0" w:line="240" w:lineRule="auto"/>
        <w:rPr>
          <w:b/>
          <w:bCs/>
        </w:rPr>
      </w:pPr>
      <w:r w:rsidRPr="0062515D">
        <w:rPr>
          <w:b/>
          <w:bCs/>
        </w:rPr>
        <w:t>Reference list</w:t>
      </w:r>
    </w:p>
    <w:p w14:paraId="79B43BEE" w14:textId="77777777" w:rsidR="000F43AE" w:rsidRPr="0062515D" w:rsidRDefault="000F43AE" w:rsidP="00EC5737">
      <w:pPr>
        <w:spacing w:after="0" w:line="240" w:lineRule="auto"/>
      </w:pPr>
    </w:p>
    <w:p w14:paraId="622AC837" w14:textId="24602904" w:rsidR="0062515D" w:rsidRDefault="0062515D" w:rsidP="00285DDB">
      <w:pPr>
        <w:pStyle w:val="ListParagraph"/>
        <w:numPr>
          <w:ilvl w:val="0"/>
          <w:numId w:val="1"/>
        </w:numPr>
        <w:spacing w:after="0" w:line="240" w:lineRule="auto"/>
      </w:pPr>
      <w:r w:rsidRPr="0062515D">
        <w:t xml:space="preserve">Alastair (2010). </w:t>
      </w:r>
      <w:r w:rsidRPr="00285DDB">
        <w:rPr>
          <w:i/>
          <w:iCs/>
        </w:rPr>
        <w:t>Microadventures</w:t>
      </w:r>
      <w:r w:rsidRPr="0062515D">
        <w:t xml:space="preserve">. [online] Alastair Humphreys. Available at: </w:t>
      </w:r>
      <w:hyperlink r:id="rId8" w:history="1">
        <w:r w:rsidR="00285DDB" w:rsidRPr="00E27CA8">
          <w:rPr>
            <w:rStyle w:val="Hyperlink"/>
          </w:rPr>
          <w:t>https://alastairhumphreys.com/blog/microadventures-3/</w:t>
        </w:r>
      </w:hyperlink>
      <w:r w:rsidRPr="0062515D">
        <w:t>.</w:t>
      </w:r>
      <w:r w:rsidR="00285DDB">
        <w:t xml:space="preserve"> </w:t>
      </w:r>
      <w:r w:rsidR="00685057" w:rsidRPr="0062515D">
        <w:t>[Accessed 24 Mar. 2026].</w:t>
      </w:r>
    </w:p>
    <w:p w14:paraId="213F06B3" w14:textId="77777777" w:rsidR="00812C56" w:rsidRPr="0062515D" w:rsidRDefault="00812C56" w:rsidP="00812C56">
      <w:pPr>
        <w:pStyle w:val="ListParagraph"/>
        <w:spacing w:after="0" w:line="240" w:lineRule="auto"/>
        <w:ind w:left="360"/>
      </w:pPr>
    </w:p>
    <w:p w14:paraId="7C00EDC3" w14:textId="7BDDD67F" w:rsidR="00812C56" w:rsidRDefault="0062515D" w:rsidP="00285DDB">
      <w:pPr>
        <w:pStyle w:val="ListParagraph"/>
        <w:numPr>
          <w:ilvl w:val="0"/>
          <w:numId w:val="1"/>
        </w:numPr>
        <w:spacing w:after="0" w:line="240" w:lineRule="auto"/>
      </w:pPr>
      <w:r w:rsidRPr="0062515D">
        <w:t>Dimanche, F. and McClinchey, K. (2026). Planning a trip? Here’s what you should know before taking off. [online]</w:t>
      </w:r>
      <w:r w:rsidR="00261501">
        <w:t xml:space="preserve">  </w:t>
      </w:r>
      <w:hyperlink r:id="rId9" w:history="1">
        <w:r w:rsidR="00261501" w:rsidRPr="00261501">
          <w:rPr>
            <w:rStyle w:val="Hyperlink"/>
          </w:rPr>
          <w:t>Planning a trip? Here’s what you should know before taking off</w:t>
        </w:r>
      </w:hyperlink>
      <w:r w:rsidR="00812C56">
        <w:t xml:space="preserve"> </w:t>
      </w:r>
      <w:r w:rsidR="000A7E49" w:rsidRPr="0062515D">
        <w:t>[Accessed 24 Mar. 2026].</w:t>
      </w:r>
    </w:p>
    <w:p w14:paraId="4AAE4C03" w14:textId="77777777" w:rsidR="00812C56" w:rsidRDefault="00812C56" w:rsidP="00812C56">
      <w:pPr>
        <w:pStyle w:val="ListParagraph"/>
      </w:pPr>
    </w:p>
    <w:p w14:paraId="78CE7B4C" w14:textId="5C24FBD1" w:rsidR="0062515D" w:rsidRDefault="00812C56" w:rsidP="00285DDB">
      <w:pPr>
        <w:pStyle w:val="ListParagraph"/>
        <w:numPr>
          <w:ilvl w:val="0"/>
          <w:numId w:val="1"/>
        </w:numPr>
        <w:spacing w:after="0" w:line="240" w:lineRule="auto"/>
      </w:pPr>
      <w:r w:rsidRPr="0062515D">
        <w:t>Hollenhorst</w:t>
      </w:r>
      <w:r w:rsidR="0062515D" w:rsidRPr="0062515D">
        <w:t xml:space="preserve">, steve (2021). </w:t>
      </w:r>
      <w:r w:rsidR="0062515D" w:rsidRPr="00285DDB">
        <w:rPr>
          <w:i/>
          <w:iCs/>
        </w:rPr>
        <w:t>The Climate Costs of Tourism: we are all locavists now — let’s stay that way!</w:t>
      </w:r>
      <w:r w:rsidR="0062515D" w:rsidRPr="0062515D">
        <w:t xml:space="preserve"> [online] Medium. Available at: </w:t>
      </w:r>
      <w:hyperlink r:id="rId10" w:history="1">
        <w:r w:rsidR="00C54E1D" w:rsidRPr="00E27CA8">
          <w:rPr>
            <w:rStyle w:val="Hyperlink"/>
          </w:rPr>
          <w:t>https://steve-hollenhorst.medium.com/the-climate-costs-of-tourism-we-are-all-locavists-now-lets-stay-that-way-by-steve-hollenhorst-95a95e29172c</w:t>
        </w:r>
      </w:hyperlink>
      <w:r w:rsidR="00C54E1D">
        <w:t xml:space="preserve"> </w:t>
      </w:r>
      <w:r w:rsidR="0062515D" w:rsidRPr="0062515D">
        <w:t xml:space="preserve"> [Accessed 24 Mar. 2026].</w:t>
      </w:r>
      <w:r w:rsidR="00C54E1D">
        <w:t xml:space="preserve"> </w:t>
      </w:r>
    </w:p>
    <w:p w14:paraId="02A7903C" w14:textId="77777777" w:rsidR="00C54E1D" w:rsidRDefault="00C54E1D" w:rsidP="00C54E1D">
      <w:pPr>
        <w:pStyle w:val="ListParagraph"/>
      </w:pPr>
    </w:p>
    <w:p w14:paraId="245D08C6" w14:textId="542CE33E" w:rsidR="0062515D" w:rsidRDefault="0062515D" w:rsidP="00563C27">
      <w:pPr>
        <w:pStyle w:val="ListParagraph"/>
        <w:numPr>
          <w:ilvl w:val="0"/>
          <w:numId w:val="1"/>
        </w:numPr>
        <w:spacing w:after="0" w:line="240" w:lineRule="auto"/>
      </w:pPr>
      <w:r w:rsidRPr="0062515D">
        <w:t xml:space="preserve">Mackenzie, S.H. and Goodnow, J. (2020). Adventure in the Age of COVID-19: Embracing Microadventures and Locavism in a Post-Pandemic World. </w:t>
      </w:r>
      <w:r w:rsidRPr="00285DDB">
        <w:rPr>
          <w:i/>
          <w:iCs/>
        </w:rPr>
        <w:t>Leisure Sciences</w:t>
      </w:r>
      <w:r w:rsidRPr="0062515D">
        <w:t xml:space="preserve">, 43(1-2), pp.1–8. </w:t>
      </w:r>
      <w:hyperlink r:id="rId11" w:history="1">
        <w:r w:rsidR="00563C27" w:rsidRPr="00E27CA8">
          <w:rPr>
            <w:rStyle w:val="Hyperlink"/>
          </w:rPr>
          <w:t>https://doi.org/10.1080/01490400.2020.1773984</w:t>
        </w:r>
      </w:hyperlink>
      <w:r w:rsidR="00563C27">
        <w:t xml:space="preserve"> </w:t>
      </w:r>
      <w:r w:rsidR="00962F2E">
        <w:t xml:space="preserve"> </w:t>
      </w:r>
    </w:p>
    <w:p w14:paraId="51EF2F29" w14:textId="77777777" w:rsidR="00EA714A" w:rsidRDefault="00EA714A" w:rsidP="00EA714A">
      <w:pPr>
        <w:pStyle w:val="ListParagraph"/>
      </w:pPr>
    </w:p>
    <w:p w14:paraId="202658A4" w14:textId="3C18802F" w:rsidR="0062515D" w:rsidRDefault="0062515D" w:rsidP="00285DDB">
      <w:pPr>
        <w:pStyle w:val="ListParagraph"/>
        <w:numPr>
          <w:ilvl w:val="0"/>
          <w:numId w:val="1"/>
        </w:numPr>
        <w:spacing w:after="0" w:line="240" w:lineRule="auto"/>
      </w:pPr>
      <w:r w:rsidRPr="0062515D">
        <w:t xml:space="preserve">Primack, R.B., Bates, A. and Duarte, C.M. (2021). The conservation and ecological impacts of the COVID-19 pandemic. </w:t>
      </w:r>
      <w:r w:rsidRPr="00285DDB">
        <w:rPr>
          <w:i/>
          <w:iCs/>
        </w:rPr>
        <w:t>Biological Conservation</w:t>
      </w:r>
      <w:r w:rsidRPr="0062515D">
        <w:t>, 260, p.109204. doi:</w:t>
      </w:r>
      <w:r w:rsidR="00EA714A">
        <w:t xml:space="preserve"> </w:t>
      </w:r>
      <w:hyperlink r:id="rId12" w:history="1">
        <w:r w:rsidR="00EA714A" w:rsidRPr="00E27CA8">
          <w:rPr>
            <w:rStyle w:val="Hyperlink"/>
          </w:rPr>
          <w:t>https://doi.org/10.1016/j.biocon.2021.109204</w:t>
        </w:r>
      </w:hyperlink>
      <w:r w:rsidRPr="0062515D">
        <w:t>.</w:t>
      </w:r>
      <w:r w:rsidR="00EA714A">
        <w:t xml:space="preserve">  </w:t>
      </w:r>
      <w:r w:rsidR="006165A8" w:rsidRPr="0062515D">
        <w:t>[Accessed 24 Mar. 2026].</w:t>
      </w:r>
    </w:p>
    <w:p w14:paraId="75EAC14E" w14:textId="77777777" w:rsidR="00EA714A" w:rsidRDefault="00EA714A" w:rsidP="00EA714A">
      <w:pPr>
        <w:pStyle w:val="ListParagraph"/>
      </w:pPr>
    </w:p>
    <w:p w14:paraId="7A2354B4" w14:textId="5FEA1017" w:rsidR="0062515D" w:rsidRDefault="0062515D" w:rsidP="00962F2E">
      <w:pPr>
        <w:pStyle w:val="ListParagraph"/>
        <w:numPr>
          <w:ilvl w:val="0"/>
          <w:numId w:val="1"/>
        </w:numPr>
        <w:spacing w:after="0" w:line="240" w:lineRule="auto"/>
      </w:pPr>
      <w:r w:rsidRPr="0062515D">
        <w:t xml:space="preserve">Quay, J., Gray, T., Thomas, G., Allen-Craig, S., Asfeldt, M., Andkjaer, S., Beames, S., Cosgriff, M., Dyment, J., Higgins, P., Ho, S., Leather, M., Mitten, D., Morse, M., Neill, J., North, C., Passy, R., Pedersen-Gurholt, K., Polley, S. and Stewart, A. (2020). What future/s for outdoor and environmental education in a world that has contended with COVID-19? </w:t>
      </w:r>
      <w:r w:rsidRPr="00285DDB">
        <w:rPr>
          <w:i/>
          <w:iCs/>
        </w:rPr>
        <w:t>Journal of Outdoor and Environmental Education</w:t>
      </w:r>
      <w:r w:rsidRPr="0062515D">
        <w:t xml:space="preserve">, 23(2), pp.93–117. </w:t>
      </w:r>
      <w:hyperlink r:id="rId13" w:history="1">
        <w:r w:rsidR="00EA714A" w:rsidRPr="00E27CA8">
          <w:rPr>
            <w:rStyle w:val="Hyperlink"/>
          </w:rPr>
          <w:t>https://doi.org/10.1007/s42322-020-00059-2</w:t>
        </w:r>
      </w:hyperlink>
      <w:r w:rsidRPr="0062515D">
        <w:t>.</w:t>
      </w:r>
      <w:r w:rsidR="00EA714A">
        <w:t xml:space="preserve"> </w:t>
      </w:r>
      <w:r w:rsidR="00962F2E" w:rsidRPr="0062515D">
        <w:t>[Accessed 2</w:t>
      </w:r>
      <w:r w:rsidR="00962F2E">
        <w:t>3</w:t>
      </w:r>
      <w:r w:rsidR="00962F2E" w:rsidRPr="0062515D">
        <w:t xml:space="preserve"> Mar. 2026].</w:t>
      </w:r>
    </w:p>
    <w:p w14:paraId="42B467E9" w14:textId="77777777" w:rsidR="00EA714A" w:rsidRDefault="00EA714A" w:rsidP="00EA714A">
      <w:pPr>
        <w:pStyle w:val="ListParagraph"/>
      </w:pPr>
    </w:p>
    <w:p w14:paraId="206E9988" w14:textId="06729283" w:rsidR="00E41E05" w:rsidRDefault="0062515D" w:rsidP="00E41E05">
      <w:pPr>
        <w:pStyle w:val="ListParagraph"/>
        <w:numPr>
          <w:ilvl w:val="0"/>
          <w:numId w:val="1"/>
        </w:numPr>
        <w:spacing w:after="0" w:line="240" w:lineRule="auto"/>
      </w:pPr>
      <w:r w:rsidRPr="0062515D">
        <w:t xml:space="preserve">tourismanalytics.com. (2025). </w:t>
      </w:r>
      <w:r w:rsidRPr="00285DDB">
        <w:rPr>
          <w:i/>
          <w:iCs/>
        </w:rPr>
        <w:t>ATTA Releases 2025 Annual Adventure Travel Trends &amp; Insights Report</w:t>
      </w:r>
      <w:r w:rsidRPr="0062515D">
        <w:t xml:space="preserve">. [online] Available at: </w:t>
      </w:r>
      <w:hyperlink r:id="rId14" w:history="1">
        <w:r w:rsidR="00EA714A" w:rsidRPr="00E27CA8">
          <w:rPr>
            <w:rStyle w:val="Hyperlink"/>
          </w:rPr>
          <w:t>https://tourismanalytics.com/expertinsights/atta-releases-2025-annual-adventure-travel-trends-insights-report</w:t>
        </w:r>
      </w:hyperlink>
      <w:r w:rsidR="00EA714A">
        <w:t xml:space="preserve"> </w:t>
      </w:r>
      <w:r w:rsidR="00BD4E71" w:rsidRPr="0062515D">
        <w:t>[Accessed 2</w:t>
      </w:r>
      <w:r w:rsidR="00962F2E">
        <w:t>3</w:t>
      </w:r>
      <w:r w:rsidR="00BD4E71" w:rsidRPr="0062515D">
        <w:t xml:space="preserve"> Mar. 2026].</w:t>
      </w:r>
    </w:p>
    <w:p w14:paraId="19CB8D67" w14:textId="77777777" w:rsidR="00541F95" w:rsidRDefault="00541F95" w:rsidP="00E41E05">
      <w:pPr>
        <w:spacing w:after="0" w:line="240" w:lineRule="auto"/>
      </w:pPr>
    </w:p>
    <w:sectPr w:rsidR="00541F95">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926268" w14:textId="77777777" w:rsidR="001F58E9" w:rsidRDefault="001F58E9" w:rsidP="00116ADE">
      <w:pPr>
        <w:spacing w:after="0" w:line="240" w:lineRule="auto"/>
      </w:pPr>
      <w:r>
        <w:separator/>
      </w:r>
    </w:p>
  </w:endnote>
  <w:endnote w:type="continuationSeparator" w:id="0">
    <w:p w14:paraId="223D1B01" w14:textId="77777777" w:rsidR="001F58E9" w:rsidRDefault="001F58E9" w:rsidP="00116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reaming Outloud Pro">
    <w:charset w:val="00"/>
    <w:family w:val="script"/>
    <w:pitch w:val="variable"/>
    <w:sig w:usb0="800000EF" w:usb1="0000000A" w:usb2="00000008"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F3430" w14:textId="77777777" w:rsidR="001F58E9" w:rsidRDefault="001F58E9" w:rsidP="00116ADE">
      <w:pPr>
        <w:spacing w:after="0" w:line="240" w:lineRule="auto"/>
      </w:pPr>
      <w:r>
        <w:separator/>
      </w:r>
    </w:p>
  </w:footnote>
  <w:footnote w:type="continuationSeparator" w:id="0">
    <w:p w14:paraId="0F64B122" w14:textId="77777777" w:rsidR="001F58E9" w:rsidRDefault="001F58E9" w:rsidP="00116A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637544"/>
      <w:docPartObj>
        <w:docPartGallery w:val="Page Numbers (Top of Page)"/>
        <w:docPartUnique/>
      </w:docPartObj>
    </w:sdtPr>
    <w:sdtEndPr>
      <w:rPr>
        <w:noProof/>
      </w:rPr>
    </w:sdtEndPr>
    <w:sdtContent>
      <w:p w14:paraId="6CA1B192" w14:textId="5C224534" w:rsidR="00116ADE" w:rsidRDefault="00116AD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9D08204" w14:textId="77777777" w:rsidR="00116ADE" w:rsidRDefault="00116A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B33DB2"/>
    <w:multiLevelType w:val="hybridMultilevel"/>
    <w:tmpl w:val="242274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3031263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15D"/>
    <w:rsid w:val="00003494"/>
    <w:rsid w:val="0003701C"/>
    <w:rsid w:val="00070F44"/>
    <w:rsid w:val="000A1F73"/>
    <w:rsid w:val="000A7E49"/>
    <w:rsid w:val="000F3FAC"/>
    <w:rsid w:val="000F43AE"/>
    <w:rsid w:val="00116ADE"/>
    <w:rsid w:val="00126238"/>
    <w:rsid w:val="00153E3B"/>
    <w:rsid w:val="001544A9"/>
    <w:rsid w:val="0016347D"/>
    <w:rsid w:val="001651A5"/>
    <w:rsid w:val="00170E8D"/>
    <w:rsid w:val="00183606"/>
    <w:rsid w:val="001F58E9"/>
    <w:rsid w:val="00261501"/>
    <w:rsid w:val="00271B64"/>
    <w:rsid w:val="00284637"/>
    <w:rsid w:val="00285DDB"/>
    <w:rsid w:val="002A3598"/>
    <w:rsid w:val="002C6843"/>
    <w:rsid w:val="002D419D"/>
    <w:rsid w:val="002E0078"/>
    <w:rsid w:val="00307155"/>
    <w:rsid w:val="00320E07"/>
    <w:rsid w:val="00333024"/>
    <w:rsid w:val="00342783"/>
    <w:rsid w:val="00351846"/>
    <w:rsid w:val="003D60CC"/>
    <w:rsid w:val="00402C54"/>
    <w:rsid w:val="00406C31"/>
    <w:rsid w:val="00416EE4"/>
    <w:rsid w:val="00454F96"/>
    <w:rsid w:val="00462F0B"/>
    <w:rsid w:val="00473F6A"/>
    <w:rsid w:val="00482461"/>
    <w:rsid w:val="004A6047"/>
    <w:rsid w:val="004E2FCB"/>
    <w:rsid w:val="00501866"/>
    <w:rsid w:val="00541F95"/>
    <w:rsid w:val="00563C27"/>
    <w:rsid w:val="00581733"/>
    <w:rsid w:val="005A6BC2"/>
    <w:rsid w:val="005D5399"/>
    <w:rsid w:val="005F7004"/>
    <w:rsid w:val="006165A8"/>
    <w:rsid w:val="0062515D"/>
    <w:rsid w:val="006417F9"/>
    <w:rsid w:val="00645333"/>
    <w:rsid w:val="00650158"/>
    <w:rsid w:val="00674983"/>
    <w:rsid w:val="00685057"/>
    <w:rsid w:val="0069509B"/>
    <w:rsid w:val="006A5AC3"/>
    <w:rsid w:val="006F14D2"/>
    <w:rsid w:val="0073216B"/>
    <w:rsid w:val="00743F0C"/>
    <w:rsid w:val="00747E2A"/>
    <w:rsid w:val="00762D8E"/>
    <w:rsid w:val="00766D23"/>
    <w:rsid w:val="00792D7E"/>
    <w:rsid w:val="007D137F"/>
    <w:rsid w:val="007F2089"/>
    <w:rsid w:val="00812C56"/>
    <w:rsid w:val="0082646B"/>
    <w:rsid w:val="00830F0D"/>
    <w:rsid w:val="00863351"/>
    <w:rsid w:val="0087351B"/>
    <w:rsid w:val="008A5314"/>
    <w:rsid w:val="008C05C7"/>
    <w:rsid w:val="008C64BB"/>
    <w:rsid w:val="008F33D7"/>
    <w:rsid w:val="008F55B1"/>
    <w:rsid w:val="00936690"/>
    <w:rsid w:val="00943E08"/>
    <w:rsid w:val="00962F2E"/>
    <w:rsid w:val="00974924"/>
    <w:rsid w:val="009C7A4E"/>
    <w:rsid w:val="009F0464"/>
    <w:rsid w:val="009F3282"/>
    <w:rsid w:val="009F4F63"/>
    <w:rsid w:val="00A1632E"/>
    <w:rsid w:val="00A606C6"/>
    <w:rsid w:val="00A7372D"/>
    <w:rsid w:val="00A744F1"/>
    <w:rsid w:val="00A93BCF"/>
    <w:rsid w:val="00B05AD4"/>
    <w:rsid w:val="00B567B4"/>
    <w:rsid w:val="00B568DD"/>
    <w:rsid w:val="00B64AFE"/>
    <w:rsid w:val="00B66A44"/>
    <w:rsid w:val="00B94983"/>
    <w:rsid w:val="00BD4E71"/>
    <w:rsid w:val="00BE6071"/>
    <w:rsid w:val="00C047D0"/>
    <w:rsid w:val="00C17166"/>
    <w:rsid w:val="00C36A8D"/>
    <w:rsid w:val="00C419CC"/>
    <w:rsid w:val="00C54E1D"/>
    <w:rsid w:val="00C6312C"/>
    <w:rsid w:val="00C832B1"/>
    <w:rsid w:val="00C941DC"/>
    <w:rsid w:val="00CB2FBE"/>
    <w:rsid w:val="00CD39EE"/>
    <w:rsid w:val="00D11560"/>
    <w:rsid w:val="00D373D7"/>
    <w:rsid w:val="00D453D4"/>
    <w:rsid w:val="00D7150A"/>
    <w:rsid w:val="00DC28A1"/>
    <w:rsid w:val="00E17466"/>
    <w:rsid w:val="00E32815"/>
    <w:rsid w:val="00E41E05"/>
    <w:rsid w:val="00E439CD"/>
    <w:rsid w:val="00E70FEB"/>
    <w:rsid w:val="00E74390"/>
    <w:rsid w:val="00E77E93"/>
    <w:rsid w:val="00EA714A"/>
    <w:rsid w:val="00EC5737"/>
    <w:rsid w:val="00EE0D85"/>
    <w:rsid w:val="00F01576"/>
    <w:rsid w:val="00F06303"/>
    <w:rsid w:val="00F4655A"/>
    <w:rsid w:val="00F52142"/>
    <w:rsid w:val="00F60241"/>
    <w:rsid w:val="00F725AA"/>
    <w:rsid w:val="00FF5C7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E51A0"/>
  <w15:chartTrackingRefBased/>
  <w15:docId w15:val="{738F328D-E988-4FBB-9B37-BAD5E949D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1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251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251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251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251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251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51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51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51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1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251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251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251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51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51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51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51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515D"/>
    <w:rPr>
      <w:rFonts w:eastAsiaTheme="majorEastAsia" w:cstheme="majorBidi"/>
      <w:color w:val="272727" w:themeColor="text1" w:themeTint="D8"/>
    </w:rPr>
  </w:style>
  <w:style w:type="paragraph" w:styleId="Title">
    <w:name w:val="Title"/>
    <w:basedOn w:val="Normal"/>
    <w:next w:val="Normal"/>
    <w:link w:val="TitleChar"/>
    <w:uiPriority w:val="10"/>
    <w:qFormat/>
    <w:rsid w:val="006251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51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51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51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515D"/>
    <w:pPr>
      <w:spacing w:before="160"/>
      <w:jc w:val="center"/>
    </w:pPr>
    <w:rPr>
      <w:i/>
      <w:iCs/>
      <w:color w:val="404040" w:themeColor="text1" w:themeTint="BF"/>
    </w:rPr>
  </w:style>
  <w:style w:type="character" w:customStyle="1" w:styleId="QuoteChar">
    <w:name w:val="Quote Char"/>
    <w:basedOn w:val="DefaultParagraphFont"/>
    <w:link w:val="Quote"/>
    <w:uiPriority w:val="29"/>
    <w:rsid w:val="0062515D"/>
    <w:rPr>
      <w:i/>
      <w:iCs/>
      <w:color w:val="404040" w:themeColor="text1" w:themeTint="BF"/>
    </w:rPr>
  </w:style>
  <w:style w:type="paragraph" w:styleId="ListParagraph">
    <w:name w:val="List Paragraph"/>
    <w:basedOn w:val="Normal"/>
    <w:uiPriority w:val="34"/>
    <w:qFormat/>
    <w:rsid w:val="0062515D"/>
    <w:pPr>
      <w:ind w:left="720"/>
      <w:contextualSpacing/>
    </w:pPr>
  </w:style>
  <w:style w:type="character" w:styleId="IntenseEmphasis">
    <w:name w:val="Intense Emphasis"/>
    <w:basedOn w:val="DefaultParagraphFont"/>
    <w:uiPriority w:val="21"/>
    <w:qFormat/>
    <w:rsid w:val="0062515D"/>
    <w:rPr>
      <w:i/>
      <w:iCs/>
      <w:color w:val="0F4761" w:themeColor="accent1" w:themeShade="BF"/>
    </w:rPr>
  </w:style>
  <w:style w:type="paragraph" w:styleId="IntenseQuote">
    <w:name w:val="Intense Quote"/>
    <w:basedOn w:val="Normal"/>
    <w:next w:val="Normal"/>
    <w:link w:val="IntenseQuoteChar"/>
    <w:uiPriority w:val="30"/>
    <w:qFormat/>
    <w:rsid w:val="006251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515D"/>
    <w:rPr>
      <w:i/>
      <w:iCs/>
      <w:color w:val="0F4761" w:themeColor="accent1" w:themeShade="BF"/>
    </w:rPr>
  </w:style>
  <w:style w:type="character" w:styleId="IntenseReference">
    <w:name w:val="Intense Reference"/>
    <w:basedOn w:val="DefaultParagraphFont"/>
    <w:uiPriority w:val="32"/>
    <w:qFormat/>
    <w:rsid w:val="0062515D"/>
    <w:rPr>
      <w:b/>
      <w:bCs/>
      <w:smallCaps/>
      <w:color w:val="0F4761" w:themeColor="accent1" w:themeShade="BF"/>
      <w:spacing w:val="5"/>
    </w:rPr>
  </w:style>
  <w:style w:type="paragraph" w:styleId="Header">
    <w:name w:val="header"/>
    <w:basedOn w:val="Normal"/>
    <w:link w:val="HeaderChar"/>
    <w:uiPriority w:val="99"/>
    <w:unhideWhenUsed/>
    <w:rsid w:val="00116A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6ADE"/>
  </w:style>
  <w:style w:type="paragraph" w:styleId="Footer">
    <w:name w:val="footer"/>
    <w:basedOn w:val="Normal"/>
    <w:link w:val="FooterChar"/>
    <w:uiPriority w:val="99"/>
    <w:unhideWhenUsed/>
    <w:rsid w:val="00116A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6ADE"/>
  </w:style>
  <w:style w:type="character" w:styleId="Hyperlink">
    <w:name w:val="Hyperlink"/>
    <w:basedOn w:val="DefaultParagraphFont"/>
    <w:uiPriority w:val="99"/>
    <w:unhideWhenUsed/>
    <w:rsid w:val="00285DDB"/>
    <w:rPr>
      <w:color w:val="467886" w:themeColor="hyperlink"/>
      <w:u w:val="single"/>
    </w:rPr>
  </w:style>
  <w:style w:type="character" w:styleId="UnresolvedMention">
    <w:name w:val="Unresolved Mention"/>
    <w:basedOn w:val="DefaultParagraphFont"/>
    <w:uiPriority w:val="99"/>
    <w:semiHidden/>
    <w:unhideWhenUsed/>
    <w:rsid w:val="00285DDB"/>
    <w:rPr>
      <w:color w:val="605E5C"/>
      <w:shd w:val="clear" w:color="auto" w:fill="E1DFDD"/>
    </w:rPr>
  </w:style>
  <w:style w:type="character" w:styleId="FollowedHyperlink">
    <w:name w:val="FollowedHyperlink"/>
    <w:basedOn w:val="DefaultParagraphFont"/>
    <w:uiPriority w:val="99"/>
    <w:semiHidden/>
    <w:unhideWhenUsed/>
    <w:rsid w:val="000A7E4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astairhumphreys.com/blog/microadventures-3/" TargetMode="External"/><Relationship Id="rId13" Type="http://schemas.openxmlformats.org/officeDocument/2006/relationships/hyperlink" Target="https://doi.org/10.1007/s42322-020-00059-2"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16/j.biocon.2021.109204"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1490400.2020.1773984"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steve-hollenhorst.medium.com/the-climate-costs-of-tourism-we-are-all-locavists-now-lets-stay-that-way-by-steve-hollenhorst-95a95e29172c" TargetMode="External"/><Relationship Id="rId4" Type="http://schemas.openxmlformats.org/officeDocument/2006/relationships/webSettings" Target="webSettings.xml"/><Relationship Id="rId9" Type="http://schemas.openxmlformats.org/officeDocument/2006/relationships/hyperlink" Target="https://theconversation.com/planning-a-trip-heres-what-you-should-know-before-taking-off-277823" TargetMode="External"/><Relationship Id="rId14" Type="http://schemas.openxmlformats.org/officeDocument/2006/relationships/hyperlink" Target="https://tourismanalytics.com/expertinsights/atta-releases-2025-annual-adventure-travel-trends-insights-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1962</Words>
  <Characters>11189</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Leech</dc:creator>
  <cp:keywords/>
  <dc:description/>
  <cp:lastModifiedBy>Max Leech</cp:lastModifiedBy>
  <cp:revision>2</cp:revision>
  <dcterms:created xsi:type="dcterms:W3CDTF">2026-04-08T15:55:00Z</dcterms:created>
  <dcterms:modified xsi:type="dcterms:W3CDTF">2026-04-08T15:55:00Z</dcterms:modified>
</cp:coreProperties>
</file>