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F75CE6F" wp14:paraId="638BDC03" wp14:textId="3F421755">
      <w:pPr>
        <w:pStyle w:val="NoSpacing"/>
        <w:spacing w:line="360" w:lineRule="auto"/>
        <w:jc w:val="center"/>
        <w:rPr>
          <w:rFonts w:ascii="Arial" w:hAnsi="Arial" w:eastAsia="Arial" w:cs="Arial"/>
          <w:b w:val="1"/>
          <w:bCs w:val="1"/>
          <w:noProof w:val="0"/>
          <w:color w:val="000000" w:themeColor="text1" w:themeTint="FF" w:themeShade="FF"/>
          <w:sz w:val="22"/>
          <w:szCs w:val="22"/>
          <w:u w:val="single"/>
          <w:lang w:val="en-US"/>
        </w:rPr>
      </w:pPr>
      <w:r w:rsidRPr="4F75CE6F" w:rsidR="77DD6DD5">
        <w:rPr>
          <w:rFonts w:ascii="Arial" w:hAnsi="Arial" w:eastAsia="Arial" w:cs="Arial"/>
          <w:b w:val="1"/>
          <w:bCs w:val="1"/>
          <w:noProof w:val="0"/>
          <w:sz w:val="22"/>
          <w:szCs w:val="22"/>
          <w:u w:val="single"/>
          <w:lang w:val="en-US"/>
        </w:rPr>
        <w:t>Access Barriers to Mental Health Services Among UK Young Adults</w:t>
      </w:r>
    </w:p>
    <w:p xmlns:wp14="http://schemas.microsoft.com/office/word/2010/wordml" w:rsidP="4F75CE6F" wp14:paraId="40B26627" wp14:textId="11EC4DD1">
      <w:pPr>
        <w:pStyle w:val="NoSpacing"/>
        <w:spacing w:line="360" w:lineRule="auto"/>
        <w:jc w:val="both"/>
        <w:rPr>
          <w:rFonts w:ascii="Arial" w:hAnsi="Arial" w:eastAsia="Arial" w:cs="Arial"/>
          <w:b w:val="1"/>
          <w:bCs w:val="1"/>
          <w:noProof w:val="0"/>
          <w:color w:val="000000" w:themeColor="text1" w:themeTint="FF" w:themeShade="FF"/>
          <w:sz w:val="22"/>
          <w:szCs w:val="22"/>
          <w:lang w:val="en-GB"/>
        </w:rPr>
      </w:pPr>
      <w:r w:rsidRPr="4F75CE6F" w:rsidR="1A5C8EF5">
        <w:rPr>
          <w:rFonts w:ascii="Arial" w:hAnsi="Arial" w:eastAsia="Arial" w:cs="Arial"/>
          <w:b w:val="1"/>
          <w:bCs w:val="1"/>
          <w:noProof w:val="0"/>
          <w:sz w:val="22"/>
          <w:szCs w:val="22"/>
          <w:lang w:val="en-GB"/>
        </w:rPr>
        <w:t>Prevalence of the Problem</w:t>
      </w:r>
    </w:p>
    <w:p xmlns:wp14="http://schemas.microsoft.com/office/word/2010/wordml" w:rsidP="4F75CE6F" wp14:paraId="3E01D6DE" wp14:textId="0735B94D">
      <w:pPr>
        <w:pStyle w:val="Normal"/>
        <w:spacing w:line="360" w:lineRule="auto"/>
        <w:jc w:val="both"/>
        <w:rPr>
          <w:rFonts w:ascii="Arial" w:hAnsi="Arial" w:eastAsia="Arial" w:cs="Arial"/>
          <w:noProof w:val="0"/>
          <w:sz w:val="22"/>
          <w:szCs w:val="22"/>
          <w:lang w:val="en-GB"/>
        </w:rPr>
      </w:pPr>
      <w:r w:rsidRPr="4F75CE6F" w:rsidR="1A5C8EF5">
        <w:rPr>
          <w:rFonts w:ascii="Arial" w:hAnsi="Arial" w:eastAsia="Arial" w:cs="Arial"/>
          <w:noProof w:val="0"/>
          <w:sz w:val="22"/>
          <w:szCs w:val="22"/>
          <w:lang w:val="en-GB"/>
        </w:rPr>
        <w:t xml:space="preserve">Mental health conditions are a significant and growing public health concern among young adults in the United Kingdom. Data from the </w:t>
      </w:r>
      <w:r w:rsidRPr="4F75CE6F" w:rsidR="1A5C8EF5">
        <w:rPr>
          <w:rFonts w:ascii="Arial" w:hAnsi="Arial" w:eastAsia="Arial" w:cs="Arial"/>
          <w:noProof w:val="0"/>
          <w:sz w:val="22"/>
          <w:szCs w:val="22"/>
          <w:lang w:val="en-GB"/>
        </w:rPr>
        <w:t>Adult Psychiatric Morbidity Survey</w:t>
      </w:r>
      <w:r w:rsidRPr="4F75CE6F" w:rsidR="1A5C8EF5">
        <w:rPr>
          <w:rFonts w:ascii="Arial" w:hAnsi="Arial" w:eastAsia="Arial" w:cs="Arial"/>
          <w:noProof w:val="0"/>
          <w:sz w:val="22"/>
          <w:szCs w:val="22"/>
          <w:lang w:val="en-GB"/>
        </w:rPr>
        <w:t xml:space="preserve"> (APMS)</w:t>
      </w:r>
      <w:r w:rsidRPr="4F75CE6F" w:rsidR="1A5C8EF5">
        <w:rPr>
          <w:rFonts w:ascii="Arial" w:hAnsi="Arial" w:eastAsia="Arial" w:cs="Arial"/>
          <w:noProof w:val="0"/>
          <w:sz w:val="22"/>
          <w:szCs w:val="22"/>
          <w:lang w:val="en-GB"/>
        </w:rPr>
        <w:t xml:space="preserve"> </w:t>
      </w:r>
      <w:r w:rsidRPr="4F75CE6F" w:rsidR="1A5C8EF5">
        <w:rPr>
          <w:rFonts w:ascii="Arial" w:hAnsi="Arial" w:eastAsia="Arial" w:cs="Arial"/>
          <w:noProof w:val="0"/>
          <w:sz w:val="22"/>
          <w:szCs w:val="22"/>
          <w:lang w:val="en-GB"/>
        </w:rPr>
        <w:t>indicate</w:t>
      </w:r>
      <w:r w:rsidRPr="4F75CE6F" w:rsidR="1A5C8EF5">
        <w:rPr>
          <w:rFonts w:ascii="Arial" w:hAnsi="Arial" w:eastAsia="Arial" w:cs="Arial"/>
          <w:noProof w:val="0"/>
          <w:sz w:val="22"/>
          <w:szCs w:val="22"/>
          <w:lang w:val="en-GB"/>
        </w:rPr>
        <w:t xml:space="preserve"> that in 2023/24 approximately 25.8% of individuals aged 16</w:t>
      </w:r>
      <w:r w:rsidRPr="4F75CE6F" w:rsidR="76F40E42">
        <w:rPr>
          <w:rFonts w:ascii="Arial" w:hAnsi="Arial" w:eastAsia="Arial" w:cs="Arial"/>
          <w:noProof w:val="0"/>
          <w:sz w:val="22"/>
          <w:szCs w:val="22"/>
          <w:lang w:val="en-GB"/>
        </w:rPr>
        <w:t>-</w:t>
      </w:r>
      <w:r w:rsidRPr="4F75CE6F" w:rsidR="1A5C8EF5">
        <w:rPr>
          <w:rFonts w:ascii="Arial" w:hAnsi="Arial" w:eastAsia="Arial" w:cs="Arial"/>
          <w:noProof w:val="0"/>
          <w:sz w:val="22"/>
          <w:szCs w:val="22"/>
          <w:lang w:val="en-GB"/>
        </w:rPr>
        <w:t xml:space="preserve">24 reported a common mental health condition, including anxiety disorders and depressive symptoms, </w:t>
      </w:r>
      <w:r w:rsidRPr="4F75CE6F" w:rsidR="1A5C8EF5">
        <w:rPr>
          <w:rFonts w:ascii="Arial" w:hAnsi="Arial" w:eastAsia="Arial" w:cs="Arial"/>
          <w:noProof w:val="0"/>
          <w:sz w:val="22"/>
          <w:szCs w:val="22"/>
          <w:lang w:val="en-GB"/>
        </w:rPr>
        <w:t>representing</w:t>
      </w:r>
      <w:r w:rsidRPr="4F75CE6F" w:rsidR="1A5C8EF5">
        <w:rPr>
          <w:rFonts w:ascii="Arial" w:hAnsi="Arial" w:eastAsia="Arial" w:cs="Arial"/>
          <w:noProof w:val="0"/>
          <w:sz w:val="22"/>
          <w:szCs w:val="22"/>
          <w:lang w:val="en-GB"/>
        </w:rPr>
        <w:t xml:space="preserve"> one of the highest prevalence rates across all age groups (NHS Digital, 2025). This figure marks an increase compared to earlier national surveys, suggesting a persistent upward trend in mental health difficulties among young people over recent years.</w:t>
      </w:r>
    </w:p>
    <w:p xmlns:wp14="http://schemas.microsoft.com/office/word/2010/wordml" w:rsidP="4F75CE6F" wp14:paraId="44941A62" wp14:textId="71E69B24">
      <w:pPr>
        <w:pStyle w:val="Normal"/>
        <w:spacing w:line="360" w:lineRule="auto"/>
        <w:jc w:val="both"/>
        <w:rPr>
          <w:rFonts w:ascii="Arial" w:hAnsi="Arial" w:eastAsia="Arial" w:cs="Arial"/>
          <w:b w:val="0"/>
          <w:bCs w:val="0"/>
          <w:i w:val="0"/>
          <w:iCs w:val="0"/>
          <w:noProof w:val="0"/>
          <w:sz w:val="22"/>
          <w:szCs w:val="22"/>
          <w:lang w:val="en-GB"/>
        </w:rPr>
      </w:pPr>
      <w:r w:rsidRPr="4F75CE6F" w:rsidR="1A5C8EF5">
        <w:rPr>
          <w:rFonts w:ascii="Arial" w:hAnsi="Arial" w:eastAsia="Arial" w:cs="Arial"/>
          <w:noProof w:val="0"/>
          <w:sz w:val="22"/>
          <w:szCs w:val="22"/>
          <w:lang w:val="en-GB"/>
        </w:rPr>
        <w:t>Complementary evidence from the Mental Health of Children and Young People in England 2023 report shows that 21.7% of young adults aged 20</w:t>
      </w:r>
      <w:r w:rsidRPr="4F75CE6F" w:rsidR="52D6F6A8">
        <w:rPr>
          <w:rFonts w:ascii="Arial" w:hAnsi="Arial" w:eastAsia="Arial" w:cs="Arial"/>
          <w:noProof w:val="0"/>
          <w:sz w:val="22"/>
          <w:szCs w:val="22"/>
          <w:lang w:val="en-GB"/>
        </w:rPr>
        <w:t>-</w:t>
      </w:r>
      <w:r w:rsidRPr="4F75CE6F" w:rsidR="1A5C8EF5">
        <w:rPr>
          <w:rFonts w:ascii="Arial" w:hAnsi="Arial" w:eastAsia="Arial" w:cs="Arial"/>
          <w:noProof w:val="0"/>
          <w:sz w:val="22"/>
          <w:szCs w:val="22"/>
          <w:lang w:val="en-GB"/>
        </w:rPr>
        <w:t xml:space="preserve">25 had a probable mental disorder, reinforcing the finding that a substantial proportion of this age group experiences clinically relevant mental health issues (NHS England, 2023). These statistics reflect not only the widespread nature of mental health problems among young adults but also the vulnerability of this developmental stage to psychological </w:t>
      </w:r>
      <w:r w:rsidRPr="4F75CE6F" w:rsidR="38908F1F">
        <w:rPr>
          <w:rFonts w:ascii="Arial" w:hAnsi="Arial" w:eastAsia="Arial" w:cs="Arial"/>
          <w:noProof w:val="0"/>
          <w:sz w:val="22"/>
          <w:szCs w:val="22"/>
          <w:lang w:val="en-GB"/>
        </w:rPr>
        <w:t>distress. Despite</w:t>
      </w:r>
      <w:r w:rsidRPr="4F75CE6F" w:rsidR="1A5C8EF5">
        <w:rPr>
          <w:rFonts w:ascii="Arial" w:hAnsi="Arial" w:eastAsia="Arial" w:cs="Arial"/>
          <w:noProof w:val="0"/>
          <w:sz w:val="22"/>
          <w:szCs w:val="22"/>
          <w:lang w:val="en-GB"/>
        </w:rPr>
        <w:t xml:space="preserve"> the high prevalence, engagement with formal mental health services </w:t>
      </w:r>
      <w:r w:rsidRPr="4F75CE6F" w:rsidR="1A5C8EF5">
        <w:rPr>
          <w:rFonts w:ascii="Arial" w:hAnsi="Arial" w:eastAsia="Arial" w:cs="Arial"/>
          <w:noProof w:val="0"/>
          <w:sz w:val="22"/>
          <w:szCs w:val="22"/>
          <w:lang w:val="en-GB"/>
        </w:rPr>
        <w:t>remains</w:t>
      </w:r>
      <w:r w:rsidRPr="4F75CE6F" w:rsidR="1A5C8EF5">
        <w:rPr>
          <w:rFonts w:ascii="Arial" w:hAnsi="Arial" w:eastAsia="Arial" w:cs="Arial"/>
          <w:noProof w:val="0"/>
          <w:sz w:val="22"/>
          <w:szCs w:val="22"/>
          <w:lang w:val="en-GB"/>
        </w:rPr>
        <w:t xml:space="preserve"> uneven. Although overall treatment rates have increased over the last decade, more than half of individuals with a common mental health condition do not receive any formal support, </w:t>
      </w:r>
      <w:r w:rsidRPr="4F75CE6F" w:rsidR="1A5C8EF5">
        <w:rPr>
          <w:rFonts w:ascii="Arial" w:hAnsi="Arial" w:eastAsia="Arial" w:cs="Arial"/>
          <w:noProof w:val="0"/>
          <w:sz w:val="22"/>
          <w:szCs w:val="22"/>
          <w:lang w:val="en-GB"/>
        </w:rPr>
        <w:t>indicating</w:t>
      </w:r>
      <w:r w:rsidRPr="4F75CE6F" w:rsidR="1A5C8EF5">
        <w:rPr>
          <w:rFonts w:ascii="Arial" w:hAnsi="Arial" w:eastAsia="Arial" w:cs="Arial"/>
          <w:noProof w:val="0"/>
          <w:sz w:val="22"/>
          <w:szCs w:val="22"/>
          <w:lang w:val="en-GB"/>
        </w:rPr>
        <w:t xml:space="preserve"> a substantial unmet need within the population (NHS Digital, 2025). This disparity between prevalence and service utilisation highlights a critical gap in mental health care delivery and underpins the importance of investigating the barriers that impede access to services for young adults in the UK.</w:t>
      </w:r>
    </w:p>
    <w:p xmlns:wp14="http://schemas.microsoft.com/office/word/2010/wordml" w:rsidP="4F75CE6F" wp14:paraId="5AD366A1" wp14:textId="66521395">
      <w:pPr>
        <w:pStyle w:val="Normal"/>
        <w:spacing w:line="360" w:lineRule="auto"/>
        <w:jc w:val="both"/>
        <w:rPr>
          <w:rFonts w:ascii="Arial" w:hAnsi="Arial" w:eastAsia="Arial" w:cs="Arial"/>
          <w:b w:val="1"/>
          <w:bCs w:val="1"/>
          <w:noProof w:val="0"/>
          <w:color w:val="000000" w:themeColor="text1" w:themeTint="FF" w:themeShade="FF"/>
          <w:sz w:val="22"/>
          <w:szCs w:val="22"/>
          <w:lang w:val="en-GB"/>
        </w:rPr>
      </w:pPr>
      <w:r w:rsidRPr="4F75CE6F" w:rsidR="68BF1E33">
        <w:rPr>
          <w:rFonts w:ascii="Arial" w:hAnsi="Arial" w:eastAsia="Arial" w:cs="Arial"/>
          <w:b w:val="1"/>
          <w:bCs w:val="1"/>
          <w:noProof w:val="0"/>
          <w:sz w:val="22"/>
          <w:szCs w:val="22"/>
          <w:lang w:val="en-GB"/>
        </w:rPr>
        <w:t>Introduction + literature-based background</w:t>
      </w:r>
    </w:p>
    <w:p xmlns:wp14="http://schemas.microsoft.com/office/word/2010/wordml" w:rsidP="4F75CE6F" wp14:paraId="467504E4" wp14:textId="7FEA2EA7">
      <w:pPr>
        <w:pStyle w:val="Normal"/>
        <w:spacing w:line="360" w:lineRule="auto"/>
        <w:jc w:val="both"/>
        <w:rPr>
          <w:rFonts w:ascii="Arial" w:hAnsi="Arial" w:eastAsia="Arial" w:cs="Arial"/>
          <w:b w:val="0"/>
          <w:bCs w:val="0"/>
          <w:noProof w:val="0"/>
          <w:color w:val="000000" w:themeColor="text1" w:themeTint="FF" w:themeShade="FF"/>
          <w:sz w:val="22"/>
          <w:szCs w:val="22"/>
          <w:lang w:val="en-GB"/>
        </w:rPr>
      </w:pPr>
      <w:r w:rsidRPr="4F75CE6F" w:rsidR="3F3D5CDA">
        <w:rPr>
          <w:rFonts w:ascii="Arial" w:hAnsi="Arial" w:eastAsia="Arial" w:cs="Arial"/>
          <w:noProof w:val="0"/>
          <w:sz w:val="22"/>
          <w:szCs w:val="22"/>
          <w:lang w:val="en-GB"/>
        </w:rPr>
        <w:t xml:space="preserve">Mental health among young adults is a critical public health issue in the United Kingdom, not only because of the high prevalence of conditions but also due to the developmental transitions experienced in early adulthood, such as entering higher </w:t>
      </w:r>
      <w:r w:rsidRPr="4F75CE6F" w:rsidR="20D03372">
        <w:rPr>
          <w:rFonts w:ascii="Arial" w:hAnsi="Arial" w:eastAsia="Arial" w:cs="Arial"/>
          <w:noProof w:val="0"/>
          <w:sz w:val="22"/>
          <w:szCs w:val="22"/>
          <w:lang w:val="en-GB"/>
        </w:rPr>
        <w:t>education, beginning</w:t>
      </w:r>
      <w:r w:rsidRPr="4F75CE6F" w:rsidR="3F3D5CDA">
        <w:rPr>
          <w:rFonts w:ascii="Arial" w:hAnsi="Arial" w:eastAsia="Arial" w:cs="Arial"/>
          <w:noProof w:val="0"/>
          <w:sz w:val="22"/>
          <w:szCs w:val="22"/>
          <w:lang w:val="en-GB"/>
        </w:rPr>
        <w:t xml:space="preserve"> employment, and establishing independence (Kessler et al., 2005; NHS England, 2023). These transitions can </w:t>
      </w:r>
      <w:r w:rsidRPr="4F75CE6F" w:rsidR="3F3D5CDA">
        <w:rPr>
          <w:rFonts w:ascii="Arial" w:hAnsi="Arial" w:eastAsia="Arial" w:cs="Arial"/>
          <w:noProof w:val="0"/>
          <w:sz w:val="22"/>
          <w:szCs w:val="22"/>
          <w:lang w:val="en-GB"/>
        </w:rPr>
        <w:t>exacerbate</w:t>
      </w:r>
      <w:r w:rsidRPr="4F75CE6F" w:rsidR="3F3D5CDA">
        <w:rPr>
          <w:rFonts w:ascii="Arial" w:hAnsi="Arial" w:eastAsia="Arial" w:cs="Arial"/>
          <w:noProof w:val="0"/>
          <w:sz w:val="22"/>
          <w:szCs w:val="22"/>
          <w:lang w:val="en-GB"/>
        </w:rPr>
        <w:t xml:space="preserve"> stress, anxiety, and depressive symptoms, which are among the most reported mental health disorders in the 18</w:t>
      </w:r>
      <w:r w:rsidRPr="4F75CE6F" w:rsidR="0522436C">
        <w:rPr>
          <w:rFonts w:ascii="Arial" w:hAnsi="Arial" w:eastAsia="Arial" w:cs="Arial"/>
          <w:noProof w:val="0"/>
          <w:sz w:val="22"/>
          <w:szCs w:val="22"/>
          <w:lang w:val="en-GB"/>
        </w:rPr>
        <w:t>-</w:t>
      </w:r>
      <w:r w:rsidRPr="4F75CE6F" w:rsidR="3F3D5CDA">
        <w:rPr>
          <w:rFonts w:ascii="Arial" w:hAnsi="Arial" w:eastAsia="Arial" w:cs="Arial"/>
          <w:noProof w:val="0"/>
          <w:sz w:val="22"/>
          <w:szCs w:val="22"/>
          <w:lang w:val="en-GB"/>
        </w:rPr>
        <w:t>25 age group (NHS Digital, 2025). The combination of high prevalence and developmental vulnerability underscores the importance of understanding barriers to mental health service access in this population.</w:t>
      </w:r>
    </w:p>
    <w:p xmlns:wp14="http://schemas.microsoft.com/office/word/2010/wordml" w:rsidP="4F75CE6F" wp14:paraId="490060AD" wp14:textId="789AD691">
      <w:pPr>
        <w:pStyle w:val="Normal"/>
        <w:spacing w:line="360" w:lineRule="auto"/>
        <w:jc w:val="both"/>
        <w:rPr>
          <w:rFonts w:ascii="Arial" w:hAnsi="Arial" w:eastAsia="Arial" w:cs="Arial"/>
          <w:b w:val="0"/>
          <w:bCs w:val="0"/>
          <w:noProof w:val="0"/>
          <w:color w:val="000000" w:themeColor="text1" w:themeTint="FF" w:themeShade="FF"/>
          <w:sz w:val="22"/>
          <w:szCs w:val="22"/>
          <w:lang w:val="en-GB"/>
        </w:rPr>
      </w:pPr>
      <w:r w:rsidRPr="4F75CE6F" w:rsidR="3F3D5CDA">
        <w:rPr>
          <w:rFonts w:ascii="Arial" w:hAnsi="Arial" w:eastAsia="Arial" w:cs="Arial"/>
          <w:noProof w:val="0"/>
          <w:sz w:val="22"/>
          <w:szCs w:val="22"/>
          <w:lang w:val="en-GB"/>
        </w:rPr>
        <w:t>R</w:t>
      </w:r>
      <w:r w:rsidRPr="4F75CE6F" w:rsidR="3F3D5CDA">
        <w:rPr>
          <w:rFonts w:ascii="Arial" w:hAnsi="Arial" w:eastAsia="Arial" w:cs="Arial"/>
          <w:noProof w:val="0"/>
          <w:sz w:val="22"/>
          <w:szCs w:val="22"/>
          <w:lang w:val="en-GB"/>
        </w:rPr>
        <w:t xml:space="preserve">esearch </w:t>
      </w:r>
      <w:r w:rsidRPr="4F75CE6F" w:rsidR="3F3D5CDA">
        <w:rPr>
          <w:rFonts w:ascii="Arial" w:hAnsi="Arial" w:eastAsia="Arial" w:cs="Arial"/>
          <w:noProof w:val="0"/>
          <w:sz w:val="22"/>
          <w:szCs w:val="22"/>
          <w:lang w:val="en-GB"/>
        </w:rPr>
        <w:t>identifies</w:t>
      </w:r>
      <w:r w:rsidRPr="4F75CE6F" w:rsidR="3F3D5CDA">
        <w:rPr>
          <w:rFonts w:ascii="Arial" w:hAnsi="Arial" w:eastAsia="Arial" w:cs="Arial"/>
          <w:noProof w:val="0"/>
          <w:sz w:val="22"/>
          <w:szCs w:val="22"/>
          <w:lang w:val="en-GB"/>
        </w:rPr>
        <w:t xml:space="preserve"> a range of factors that impede young adults from accessing mental health care, which can be broadly categorised as structural and psychological. Structural barriers include long waiting times, complex referral systems, limited-service capacity, and geographic inequalities in service provision (Mowbray et al., 2021; Youth Access, 2021). Psychological barriers include stigma, low mental health literacy, reluctance to seek help, and strong self-reliance attitudes (Gulliver et al., 2010; Sharp &amp; Theiler, 2018). Evidence suggests that these barriers often interact, with structural obstacles reinforcing psychological reluctance, resulting in delayed help-seeking and suboptimal mental health outcomes.</w:t>
      </w:r>
    </w:p>
    <w:p xmlns:wp14="http://schemas.microsoft.com/office/word/2010/wordml" w:rsidP="4F75CE6F" wp14:paraId="61EF5470" wp14:textId="49166465">
      <w:pPr>
        <w:pStyle w:val="Normal"/>
        <w:spacing w:line="360" w:lineRule="auto"/>
        <w:jc w:val="both"/>
        <w:rPr>
          <w:rFonts w:ascii="Arial" w:hAnsi="Arial" w:eastAsia="Arial" w:cs="Arial"/>
          <w:noProof w:val="0"/>
          <w:sz w:val="22"/>
          <w:szCs w:val="22"/>
          <w:lang w:val="en-GB"/>
        </w:rPr>
      </w:pPr>
      <w:r w:rsidRPr="4F75CE6F" w:rsidR="3F3D5CDA">
        <w:rPr>
          <w:rFonts w:ascii="Arial" w:hAnsi="Arial" w:eastAsia="Arial" w:cs="Arial"/>
          <w:noProof w:val="0"/>
          <w:sz w:val="22"/>
          <w:szCs w:val="22"/>
          <w:lang w:val="en-GB"/>
        </w:rPr>
        <w:t xml:space="preserve">While existing studies provide insights into these barriers, much of the research focuses either on clinical populations or university students, which may not reflect the broader experiences of young adults across diverse socio-economic and geographic contexts (Patel et al., 2022). Moreover, research often examines structural and psychological barriers in isolation rather than exploring their interaction and cumulative impact. This </w:t>
      </w:r>
      <w:r w:rsidRPr="4F75CE6F" w:rsidR="3F3D5CDA">
        <w:rPr>
          <w:rFonts w:ascii="Arial" w:hAnsi="Arial" w:eastAsia="Arial" w:cs="Arial"/>
          <w:noProof w:val="0"/>
          <w:sz w:val="22"/>
          <w:szCs w:val="22"/>
          <w:lang w:val="en-GB"/>
        </w:rPr>
        <w:t>indicates</w:t>
      </w:r>
      <w:r w:rsidRPr="4F75CE6F" w:rsidR="3F3D5CDA">
        <w:rPr>
          <w:rFonts w:ascii="Arial" w:hAnsi="Arial" w:eastAsia="Arial" w:cs="Arial"/>
          <w:noProof w:val="0"/>
          <w:sz w:val="22"/>
          <w:szCs w:val="22"/>
          <w:lang w:val="en-GB"/>
        </w:rPr>
        <w:t xml:space="preserve"> a need for qualitative research that engages directly with young adults lived experiences, capturing the nuanced ways in which multiple barriers influence access to NHS mental health </w:t>
      </w:r>
      <w:r w:rsidRPr="4F75CE6F" w:rsidR="0E5F5266">
        <w:rPr>
          <w:rFonts w:ascii="Arial" w:hAnsi="Arial" w:eastAsia="Arial" w:cs="Arial"/>
          <w:noProof w:val="0"/>
          <w:sz w:val="22"/>
          <w:szCs w:val="22"/>
          <w:lang w:val="en-GB"/>
        </w:rPr>
        <w:t>services. Understanding</w:t>
      </w:r>
      <w:r w:rsidRPr="4F75CE6F" w:rsidR="3F3D5CDA">
        <w:rPr>
          <w:rFonts w:ascii="Arial" w:hAnsi="Arial" w:eastAsia="Arial" w:cs="Arial"/>
          <w:noProof w:val="0"/>
          <w:sz w:val="22"/>
          <w:szCs w:val="22"/>
          <w:lang w:val="en-GB"/>
        </w:rPr>
        <w:t xml:space="preserve"> these barriers is essential for informing public health policy and improving service delivery. Research that </w:t>
      </w:r>
      <w:r w:rsidRPr="4F75CE6F" w:rsidR="3F3D5CDA">
        <w:rPr>
          <w:rFonts w:ascii="Arial" w:hAnsi="Arial" w:eastAsia="Arial" w:cs="Arial"/>
          <w:noProof w:val="0"/>
          <w:sz w:val="22"/>
          <w:szCs w:val="22"/>
          <w:lang w:val="en-GB"/>
        </w:rPr>
        <w:t>identifies</w:t>
      </w:r>
      <w:r w:rsidRPr="4F75CE6F" w:rsidR="3F3D5CDA">
        <w:rPr>
          <w:rFonts w:ascii="Arial" w:hAnsi="Arial" w:eastAsia="Arial" w:cs="Arial"/>
          <w:noProof w:val="0"/>
          <w:sz w:val="22"/>
          <w:szCs w:val="22"/>
          <w:lang w:val="en-GB"/>
        </w:rPr>
        <w:t xml:space="preserve"> and analyses the experiences of young adults can inform interventions to reduce inequities, enhance accessibility, and promote mental health and well-being among this population.</w:t>
      </w:r>
    </w:p>
    <w:p xmlns:wp14="http://schemas.microsoft.com/office/word/2010/wordml" w:rsidP="4F75CE6F" wp14:paraId="6D26D76A" wp14:textId="2062E71A">
      <w:pPr>
        <w:pStyle w:val="NoSpacing"/>
        <w:spacing w:line="360" w:lineRule="auto"/>
        <w:jc w:val="both"/>
        <w:rPr>
          <w:rFonts w:ascii="Arial" w:hAnsi="Arial" w:eastAsia="Arial" w:cs="Arial"/>
          <w:b w:val="1"/>
          <w:bCs w:val="1"/>
          <w:noProof w:val="0"/>
          <w:sz w:val="22"/>
          <w:szCs w:val="22"/>
          <w:lang w:val="en-GB"/>
        </w:rPr>
      </w:pPr>
      <w:r w:rsidRPr="4F75CE6F" w:rsidR="68BF1E33">
        <w:rPr>
          <w:rFonts w:ascii="Arial" w:hAnsi="Arial" w:eastAsia="Arial" w:cs="Arial"/>
          <w:b w:val="1"/>
          <w:bCs w:val="1"/>
          <w:noProof w:val="0"/>
          <w:sz w:val="22"/>
          <w:szCs w:val="22"/>
          <w:lang w:val="en-GB"/>
        </w:rPr>
        <w:t>Rationale &amp; research question / aims / hypothesis</w:t>
      </w:r>
    </w:p>
    <w:p xmlns:wp14="http://schemas.microsoft.com/office/word/2010/wordml" w:rsidP="4F75CE6F" wp14:paraId="2B3C2F5D" wp14:textId="73854274">
      <w:pPr>
        <w:pStyle w:val="NoSpacing"/>
        <w:spacing w:line="360" w:lineRule="auto"/>
        <w:jc w:val="both"/>
        <w:rPr>
          <w:rFonts w:ascii="Arial" w:hAnsi="Arial" w:eastAsia="Arial" w:cs="Arial"/>
          <w:noProof w:val="0"/>
          <w:sz w:val="22"/>
          <w:szCs w:val="22"/>
          <w:lang w:val="en-GB"/>
        </w:rPr>
      </w:pPr>
      <w:r w:rsidRPr="4F75CE6F" w:rsidR="55861F61">
        <w:rPr>
          <w:rFonts w:ascii="Arial" w:hAnsi="Arial" w:eastAsia="Arial" w:cs="Arial"/>
          <w:noProof w:val="0"/>
          <w:sz w:val="22"/>
          <w:szCs w:val="22"/>
          <w:lang w:val="en-GB"/>
        </w:rPr>
        <w:t xml:space="preserve">This study will adopt a qualitative research </w:t>
      </w:r>
      <w:r w:rsidRPr="4F75CE6F" w:rsidR="55861F61">
        <w:rPr>
          <w:rFonts w:ascii="Arial" w:hAnsi="Arial" w:eastAsia="Arial" w:cs="Arial"/>
          <w:noProof w:val="0"/>
          <w:sz w:val="22"/>
          <w:szCs w:val="22"/>
          <w:lang w:val="en-GB"/>
        </w:rPr>
        <w:t>methodology</w:t>
      </w:r>
      <w:r w:rsidRPr="4F75CE6F" w:rsidR="55861F61">
        <w:rPr>
          <w:rFonts w:ascii="Arial" w:hAnsi="Arial" w:eastAsia="Arial" w:cs="Arial"/>
          <w:noProof w:val="0"/>
          <w:sz w:val="22"/>
          <w:szCs w:val="22"/>
          <w:lang w:val="en-GB"/>
        </w:rPr>
        <w:t xml:space="preserve"> to explore the barriers UK young adults face when accessing mental health services. Qualitative methods are </w:t>
      </w:r>
      <w:r w:rsidRPr="4F75CE6F" w:rsidR="55861F61">
        <w:rPr>
          <w:rFonts w:ascii="Arial" w:hAnsi="Arial" w:eastAsia="Arial" w:cs="Arial"/>
          <w:noProof w:val="0"/>
          <w:sz w:val="22"/>
          <w:szCs w:val="22"/>
          <w:lang w:val="en-GB"/>
        </w:rPr>
        <w:t>appropriate because</w:t>
      </w:r>
      <w:r w:rsidRPr="4F75CE6F" w:rsidR="55861F61">
        <w:rPr>
          <w:rFonts w:ascii="Arial" w:hAnsi="Arial" w:eastAsia="Arial" w:cs="Arial"/>
          <w:noProof w:val="0"/>
          <w:sz w:val="22"/>
          <w:szCs w:val="22"/>
          <w:lang w:val="en-GB"/>
        </w:rPr>
        <w:t xml:space="preserve"> they allow for in-depth understanding of participants’ experiences, </w:t>
      </w:r>
      <w:r w:rsidRPr="4F75CE6F" w:rsidR="55861F61">
        <w:rPr>
          <w:rFonts w:ascii="Arial" w:hAnsi="Arial" w:eastAsia="Arial" w:cs="Arial"/>
          <w:noProof w:val="0"/>
          <w:sz w:val="22"/>
          <w:szCs w:val="22"/>
          <w:lang w:val="en-GB"/>
        </w:rPr>
        <w:t>perceptions</w:t>
      </w:r>
      <w:r w:rsidRPr="4F75CE6F" w:rsidR="55861F61">
        <w:rPr>
          <w:rFonts w:ascii="Arial" w:hAnsi="Arial" w:eastAsia="Arial" w:cs="Arial"/>
          <w:noProof w:val="0"/>
          <w:sz w:val="22"/>
          <w:szCs w:val="22"/>
          <w:lang w:val="en-GB"/>
        </w:rPr>
        <w:t xml:space="preserve">, and contextual factors, which cannot be captured through purely quantitative approaches (Creswell &amp; </w:t>
      </w:r>
      <w:r w:rsidRPr="4F75CE6F" w:rsidR="55861F61">
        <w:rPr>
          <w:rFonts w:ascii="Arial" w:hAnsi="Arial" w:eastAsia="Arial" w:cs="Arial"/>
          <w:noProof w:val="0"/>
          <w:sz w:val="22"/>
          <w:szCs w:val="22"/>
          <w:lang w:val="en-GB"/>
        </w:rPr>
        <w:t>Poth</w:t>
      </w:r>
      <w:r w:rsidRPr="4F75CE6F" w:rsidR="55861F61">
        <w:rPr>
          <w:rFonts w:ascii="Arial" w:hAnsi="Arial" w:eastAsia="Arial" w:cs="Arial"/>
          <w:noProof w:val="0"/>
          <w:sz w:val="22"/>
          <w:szCs w:val="22"/>
          <w:lang w:val="en-GB"/>
        </w:rPr>
        <w:t xml:space="preserve">, 2018).This aligns with the exploratory nature of the research, which </w:t>
      </w:r>
      <w:r w:rsidRPr="4F75CE6F" w:rsidR="55861F61">
        <w:rPr>
          <w:rFonts w:ascii="Arial" w:hAnsi="Arial" w:eastAsia="Arial" w:cs="Arial"/>
          <w:noProof w:val="0"/>
          <w:sz w:val="22"/>
          <w:szCs w:val="22"/>
          <w:lang w:val="en-GB"/>
        </w:rPr>
        <w:t>seeks</w:t>
      </w:r>
      <w:r w:rsidRPr="4F75CE6F" w:rsidR="55861F61">
        <w:rPr>
          <w:rFonts w:ascii="Arial" w:hAnsi="Arial" w:eastAsia="Arial" w:cs="Arial"/>
          <w:noProof w:val="0"/>
          <w:sz w:val="22"/>
          <w:szCs w:val="22"/>
          <w:lang w:val="en-GB"/>
        </w:rPr>
        <w:t xml:space="preserve"> to understand both structural and psychological barriers to help-seeking in a nuanced </w:t>
      </w:r>
      <w:r w:rsidRPr="4F75CE6F" w:rsidR="55861F61">
        <w:rPr>
          <w:rFonts w:ascii="Arial" w:hAnsi="Arial" w:eastAsia="Arial" w:cs="Arial"/>
          <w:noProof w:val="0"/>
          <w:sz w:val="22"/>
          <w:szCs w:val="22"/>
          <w:lang w:val="en-GB"/>
        </w:rPr>
        <w:t>manner.</w:t>
      </w:r>
      <w:r w:rsidRPr="4F75CE6F" w:rsidR="55861F61">
        <w:rPr>
          <w:rFonts w:ascii="Arial" w:hAnsi="Arial" w:eastAsia="Arial" w:cs="Arial"/>
          <w:noProof w:val="0"/>
          <w:sz w:val="22"/>
          <w:szCs w:val="22"/>
          <w:lang w:val="en-GB"/>
        </w:rPr>
        <w:t>A</w:t>
      </w:r>
      <w:r w:rsidRPr="4F75CE6F" w:rsidR="55861F61">
        <w:rPr>
          <w:rFonts w:ascii="Arial" w:hAnsi="Arial" w:eastAsia="Arial" w:cs="Arial"/>
          <w:noProof w:val="0"/>
          <w:sz w:val="22"/>
          <w:szCs w:val="22"/>
          <w:lang w:val="en-GB"/>
        </w:rPr>
        <w:t xml:space="preserve"> phenomenological approach will be used to investigate </w:t>
      </w:r>
      <w:r w:rsidRPr="4F75CE6F" w:rsidR="7435F329">
        <w:rPr>
          <w:rFonts w:ascii="Arial" w:hAnsi="Arial" w:eastAsia="Arial" w:cs="Arial"/>
          <w:noProof w:val="0"/>
          <w:sz w:val="22"/>
          <w:szCs w:val="22"/>
          <w:lang w:val="en-GB"/>
        </w:rPr>
        <w:t>participants</w:t>
      </w:r>
      <w:r w:rsidRPr="4F75CE6F" w:rsidR="55861F61">
        <w:rPr>
          <w:rFonts w:ascii="Arial" w:hAnsi="Arial" w:eastAsia="Arial" w:cs="Arial"/>
          <w:noProof w:val="0"/>
          <w:sz w:val="22"/>
          <w:szCs w:val="22"/>
          <w:lang w:val="en-GB"/>
        </w:rPr>
        <w:t xml:space="preserve"> lived experiences, as this</w:t>
      </w:r>
      <w:r w:rsidRPr="4F75CE6F" w:rsidR="6299F30C">
        <w:rPr>
          <w:rFonts w:ascii="Arial" w:hAnsi="Arial" w:eastAsia="Arial" w:cs="Arial"/>
          <w:noProof w:val="0"/>
          <w:sz w:val="22"/>
          <w:szCs w:val="22"/>
          <w:lang w:val="en-GB"/>
        </w:rPr>
        <w:t xml:space="preserve"> </w:t>
      </w:r>
      <w:r w:rsidRPr="4F75CE6F" w:rsidR="55861F61">
        <w:rPr>
          <w:rFonts w:ascii="Arial" w:hAnsi="Arial" w:eastAsia="Arial" w:cs="Arial"/>
          <w:noProof w:val="0"/>
          <w:sz w:val="22"/>
          <w:szCs w:val="22"/>
          <w:lang w:val="en-GB"/>
        </w:rPr>
        <w:t>approach focuses on understanding phenomena from the perspective of those experiencing it (Smith &amp; Osborn, 2015). By capturing first-hand accounts, the study will illuminate the interplay between structural constraints (e.g., waiting times, referral pathways) and psychological factors (e.g., stigma, self-reliance) in shaping access to mental health services.</w:t>
      </w:r>
    </w:p>
    <w:p xmlns:wp14="http://schemas.microsoft.com/office/word/2010/wordml" w:rsidP="4F75CE6F" wp14:paraId="50AFF262" wp14:textId="502B1798">
      <w:pPr>
        <w:pStyle w:val="NoSpacing"/>
        <w:spacing w:line="360" w:lineRule="auto"/>
        <w:jc w:val="both"/>
        <w:rPr>
          <w:rFonts w:ascii="Arial" w:hAnsi="Arial" w:eastAsia="Arial" w:cs="Arial"/>
          <w:noProof w:val="0"/>
          <w:sz w:val="22"/>
          <w:szCs w:val="22"/>
          <w:lang w:val="en-GB"/>
        </w:rPr>
      </w:pPr>
      <w:bookmarkStart w:name="_Toc1866427657" w:id="327595590"/>
      <w:r w:rsidRPr="4F75CE6F" w:rsidR="55861F61">
        <w:rPr>
          <w:rFonts w:ascii="Arial" w:hAnsi="Arial" w:eastAsia="Arial" w:cs="Arial"/>
          <w:noProof w:val="0"/>
          <w:sz w:val="22"/>
          <w:szCs w:val="22"/>
          <w:lang w:val="en-GB"/>
        </w:rPr>
        <w:t>Research Design</w:t>
      </w:r>
      <w:bookmarkEnd w:id="327595590"/>
    </w:p>
    <w:p xmlns:wp14="http://schemas.microsoft.com/office/word/2010/wordml" w:rsidP="4F75CE6F" wp14:paraId="61FAB6EA" wp14:textId="1777C0D4">
      <w:pPr>
        <w:pStyle w:val="NoSpacing"/>
        <w:spacing w:line="360" w:lineRule="auto"/>
        <w:jc w:val="both"/>
        <w:rPr>
          <w:rFonts w:ascii="Arial" w:hAnsi="Arial" w:eastAsia="Arial" w:cs="Arial"/>
          <w:noProof w:val="0"/>
          <w:sz w:val="22"/>
          <w:szCs w:val="22"/>
          <w:lang w:val="en-GB"/>
        </w:rPr>
      </w:pPr>
      <w:r w:rsidRPr="4F75CE6F" w:rsidR="55861F61">
        <w:rPr>
          <w:rFonts w:ascii="Arial" w:hAnsi="Arial" w:eastAsia="Arial" w:cs="Arial"/>
          <w:noProof w:val="0"/>
          <w:sz w:val="22"/>
          <w:szCs w:val="22"/>
          <w:lang w:val="en-GB"/>
        </w:rPr>
        <w:t xml:space="preserve">The study will use a cross-sectional qualitative design, incorporating semi-structured interviews to collect rich, detailed data. Semi-structured interviews provide flexibility for participants to discuss issues most relevant to their experiences while allowing the researcher to </w:t>
      </w:r>
      <w:r w:rsidRPr="4F75CE6F" w:rsidR="55861F61">
        <w:rPr>
          <w:rFonts w:ascii="Arial" w:hAnsi="Arial" w:eastAsia="Arial" w:cs="Arial"/>
          <w:noProof w:val="0"/>
          <w:sz w:val="22"/>
          <w:szCs w:val="22"/>
          <w:lang w:val="en-GB"/>
        </w:rPr>
        <w:t>maintain</w:t>
      </w:r>
      <w:r w:rsidRPr="4F75CE6F" w:rsidR="55861F61">
        <w:rPr>
          <w:rFonts w:ascii="Arial" w:hAnsi="Arial" w:eastAsia="Arial" w:cs="Arial"/>
          <w:noProof w:val="0"/>
          <w:sz w:val="22"/>
          <w:szCs w:val="22"/>
          <w:lang w:val="en-GB"/>
        </w:rPr>
        <w:t xml:space="preserve"> focus on the research questions (Gill et al., 2008). This design is </w:t>
      </w:r>
      <w:r w:rsidRPr="4F75CE6F" w:rsidR="55861F61">
        <w:rPr>
          <w:rFonts w:ascii="Arial" w:hAnsi="Arial" w:eastAsia="Arial" w:cs="Arial"/>
          <w:noProof w:val="0"/>
          <w:sz w:val="22"/>
          <w:szCs w:val="22"/>
          <w:lang w:val="en-GB"/>
        </w:rPr>
        <w:t>appropriate for</w:t>
      </w:r>
      <w:r w:rsidRPr="4F75CE6F" w:rsidR="55861F61">
        <w:rPr>
          <w:rFonts w:ascii="Arial" w:hAnsi="Arial" w:eastAsia="Arial" w:cs="Arial"/>
          <w:noProof w:val="0"/>
          <w:sz w:val="22"/>
          <w:szCs w:val="22"/>
          <w:lang w:val="en-GB"/>
        </w:rPr>
        <w:t xml:space="preserve"> exploring complex and context-dependent barriers and aligns with public health research practices in mental health service </w:t>
      </w:r>
      <w:r w:rsidRPr="4F75CE6F" w:rsidR="4629F5BE">
        <w:rPr>
          <w:rFonts w:ascii="Arial" w:hAnsi="Arial" w:eastAsia="Arial" w:cs="Arial"/>
          <w:noProof w:val="0"/>
          <w:sz w:val="22"/>
          <w:szCs w:val="22"/>
          <w:lang w:val="en-GB"/>
        </w:rPr>
        <w:t>evaluation. Data</w:t>
      </w:r>
      <w:r w:rsidRPr="4F75CE6F" w:rsidR="55861F61">
        <w:rPr>
          <w:rFonts w:ascii="Arial" w:hAnsi="Arial" w:eastAsia="Arial" w:cs="Arial"/>
          <w:noProof w:val="0"/>
          <w:sz w:val="22"/>
          <w:szCs w:val="22"/>
          <w:lang w:val="en-GB"/>
        </w:rPr>
        <w:t xml:space="preserve"> collection will continue until data saturation is achieved the point at which no new themes </w:t>
      </w:r>
      <w:r w:rsidRPr="4F75CE6F" w:rsidR="55861F61">
        <w:rPr>
          <w:rFonts w:ascii="Arial" w:hAnsi="Arial" w:eastAsia="Arial" w:cs="Arial"/>
          <w:noProof w:val="0"/>
          <w:sz w:val="22"/>
          <w:szCs w:val="22"/>
          <w:lang w:val="en-GB"/>
        </w:rPr>
        <w:t>emerge</w:t>
      </w:r>
      <w:r w:rsidRPr="4F75CE6F" w:rsidR="55861F61">
        <w:rPr>
          <w:rFonts w:ascii="Arial" w:hAnsi="Arial" w:eastAsia="Arial" w:cs="Arial"/>
          <w:noProof w:val="0"/>
          <w:sz w:val="22"/>
          <w:szCs w:val="22"/>
          <w:lang w:val="en-GB"/>
        </w:rPr>
        <w:t xml:space="preserve"> from </w:t>
      </w:r>
      <w:r w:rsidRPr="4F75CE6F" w:rsidR="55861F61">
        <w:rPr>
          <w:rFonts w:ascii="Arial" w:hAnsi="Arial" w:eastAsia="Arial" w:cs="Arial"/>
          <w:noProof w:val="0"/>
          <w:sz w:val="22"/>
          <w:szCs w:val="22"/>
          <w:lang w:val="en-GB"/>
        </w:rPr>
        <w:t>additional</w:t>
      </w:r>
      <w:r w:rsidRPr="4F75CE6F" w:rsidR="55861F61">
        <w:rPr>
          <w:rFonts w:ascii="Arial" w:hAnsi="Arial" w:eastAsia="Arial" w:cs="Arial"/>
          <w:noProof w:val="0"/>
          <w:sz w:val="22"/>
          <w:szCs w:val="22"/>
          <w:lang w:val="en-GB"/>
        </w:rPr>
        <w:t xml:space="preserve"> interviews (Guest, Bunce &amp; Johnson, 2006). This ensures the findings are robust and reflective of the target population’s experiences.</w:t>
      </w:r>
    </w:p>
    <w:p xmlns:wp14="http://schemas.microsoft.com/office/word/2010/wordml" w:rsidP="4F75CE6F" wp14:paraId="682AFBA4" wp14:textId="7F3E2D7B">
      <w:pPr>
        <w:pStyle w:val="Heading2"/>
        <w:spacing w:line="360" w:lineRule="auto"/>
        <w:jc w:val="both"/>
        <w:rPr>
          <w:rFonts w:ascii="Arial" w:hAnsi="Arial" w:eastAsia="Arial" w:cs="Arial"/>
          <w:b w:val="0"/>
          <w:bCs w:val="0"/>
          <w:noProof w:val="0"/>
          <w:sz w:val="22"/>
          <w:szCs w:val="22"/>
          <w:lang w:val="en-GB"/>
        </w:rPr>
      </w:pPr>
      <w:r w:rsidRPr="4F75CE6F" w:rsidR="68BF1E33">
        <w:rPr>
          <w:rFonts w:ascii="Arial" w:hAnsi="Arial" w:eastAsia="Arial" w:cs="Arial"/>
          <w:b w:val="1"/>
          <w:bCs w:val="1"/>
          <w:noProof w:val="0"/>
          <w:color w:val="000000" w:themeColor="text1" w:themeTint="FF" w:themeShade="FF"/>
          <w:sz w:val="22"/>
          <w:szCs w:val="22"/>
          <w:lang w:val="en-GB"/>
        </w:rPr>
        <w:t>Recruitment, sampling &amp; participants</w:t>
      </w:r>
    </w:p>
    <w:p xmlns:wp14="http://schemas.microsoft.com/office/word/2010/wordml" w:rsidP="4F75CE6F" wp14:paraId="64D74E6C" wp14:textId="2BD6E7E9">
      <w:pPr>
        <w:pStyle w:val="Normal"/>
        <w:jc w:val="both"/>
        <w:rPr>
          <w:rFonts w:ascii="Arial" w:hAnsi="Arial" w:eastAsia="Arial" w:cs="Arial"/>
          <w:b w:val="0"/>
          <w:bCs w:val="0"/>
          <w:noProof w:val="0"/>
          <w:sz w:val="22"/>
          <w:szCs w:val="22"/>
          <w:lang w:val="en-GB"/>
        </w:rPr>
      </w:pPr>
      <w:r w:rsidRPr="4F75CE6F" w:rsidR="662BFC81">
        <w:rPr>
          <w:rFonts w:ascii="Arial" w:hAnsi="Arial" w:eastAsia="Arial" w:cs="Arial"/>
          <w:noProof w:val="0"/>
          <w:sz w:val="22"/>
          <w:szCs w:val="22"/>
          <w:lang w:val="en-GB"/>
        </w:rPr>
        <w:t>The study will target UK young adults aged 18</w:t>
      </w:r>
      <w:r w:rsidRPr="4F75CE6F" w:rsidR="388E44CE">
        <w:rPr>
          <w:rFonts w:ascii="Arial" w:hAnsi="Arial" w:eastAsia="Arial" w:cs="Arial"/>
          <w:noProof w:val="0"/>
          <w:sz w:val="22"/>
          <w:szCs w:val="22"/>
          <w:lang w:val="en-GB"/>
        </w:rPr>
        <w:t>-</w:t>
      </w:r>
      <w:r w:rsidRPr="4F75CE6F" w:rsidR="662BFC81">
        <w:rPr>
          <w:rFonts w:ascii="Arial" w:hAnsi="Arial" w:eastAsia="Arial" w:cs="Arial"/>
          <w:noProof w:val="0"/>
          <w:sz w:val="22"/>
          <w:szCs w:val="22"/>
          <w:lang w:val="en-GB"/>
        </w:rPr>
        <w:t>25 who have experienced mental health challenges but may or may not have accessed NHS services. This age range aligns with national data on mental health prevalence and is consistent with the study’s focus on early adulthood transitions (Barry et al., 2019).</w:t>
      </w:r>
      <w:r w:rsidRPr="4F75CE6F" w:rsidR="662BFC81">
        <w:rPr>
          <w:rFonts w:ascii="Arial" w:hAnsi="Arial" w:eastAsia="Arial" w:cs="Arial"/>
          <w:noProof w:val="0"/>
          <w:sz w:val="22"/>
          <w:szCs w:val="22"/>
          <w:lang w:val="en-GB"/>
        </w:rPr>
        <w:t>A purposive sampling strategy will be used to recruit participants who can provide rich, relevant data on barriers to accessing mental health services (Palinkas et al., 2015). Purposive sampling allows the researcher to select individuals based on specific inclusion criteria, including age, experience with mental health challenges, and willingness to discuss help-seeking behaviours. This ensures that participants can offer meaningful insights into the research questions.</w:t>
      </w:r>
    </w:p>
    <w:p xmlns:wp14="http://schemas.microsoft.com/office/word/2010/wordml" w:rsidP="4F75CE6F" wp14:paraId="618F48F7" wp14:textId="7A5F11C3">
      <w:pPr>
        <w:pStyle w:val="Normal"/>
        <w:jc w:val="both"/>
        <w:rPr>
          <w:rFonts w:ascii="Arial" w:hAnsi="Arial" w:eastAsia="Arial" w:cs="Arial"/>
          <w:b w:val="1"/>
          <w:bCs w:val="1"/>
          <w:noProof w:val="0"/>
          <w:color w:val="000000" w:themeColor="text1" w:themeTint="FF" w:themeShade="FF"/>
          <w:sz w:val="22"/>
          <w:szCs w:val="22"/>
          <w:lang w:val="en-GB"/>
        </w:rPr>
      </w:pPr>
      <w:r w:rsidRPr="4F75CE6F" w:rsidR="662BFC81">
        <w:rPr>
          <w:rFonts w:ascii="Arial" w:hAnsi="Arial" w:eastAsia="Arial" w:cs="Arial"/>
          <w:noProof w:val="0"/>
          <w:sz w:val="22"/>
          <w:szCs w:val="22"/>
          <w:lang w:val="en-GB"/>
        </w:rPr>
        <w:t xml:space="preserve">Recruitment will occur through multiple channels to ensure diversity </w:t>
      </w:r>
      <w:r w:rsidRPr="4F75CE6F" w:rsidR="4B15B50D">
        <w:rPr>
          <w:rFonts w:ascii="Arial" w:hAnsi="Arial" w:eastAsia="Arial" w:cs="Arial"/>
          <w:noProof w:val="0"/>
          <w:sz w:val="22"/>
          <w:szCs w:val="22"/>
          <w:lang w:val="en-GB"/>
        </w:rPr>
        <w:t>and representativeness</w:t>
      </w:r>
    </w:p>
    <w:p xmlns:wp14="http://schemas.microsoft.com/office/word/2010/wordml" w:rsidP="4F75CE6F" wp14:paraId="5E0411A0" wp14:textId="027F425C">
      <w:pPr>
        <w:pStyle w:val="ListParagraph"/>
        <w:numPr>
          <w:ilvl w:val="0"/>
          <w:numId w:val="2"/>
        </w:numPr>
        <w:spacing w:before="240" w:beforeAutospacing="off" w:after="240" w:afterAutospacing="off" w:line="360" w:lineRule="auto"/>
        <w:jc w:val="both"/>
        <w:rPr>
          <w:rFonts w:ascii="Arial" w:hAnsi="Arial" w:eastAsia="Arial" w:cs="Arial"/>
          <w:b w:val="0"/>
          <w:bCs w:val="0"/>
          <w:noProof w:val="0"/>
          <w:sz w:val="22"/>
          <w:szCs w:val="22"/>
          <w:lang w:val="en-GB"/>
        </w:rPr>
      </w:pPr>
      <w:r w:rsidRPr="4F75CE6F" w:rsidR="662BFC81">
        <w:rPr>
          <w:rFonts w:ascii="Arial" w:hAnsi="Arial" w:eastAsia="Arial" w:cs="Arial"/>
          <w:b w:val="0"/>
          <w:bCs w:val="0"/>
          <w:noProof w:val="0"/>
          <w:sz w:val="22"/>
          <w:szCs w:val="22"/>
          <w:lang w:val="en-GB"/>
        </w:rPr>
        <w:t>Social media platforms targeting young adults (e.g., Instagram, TikTok).</w:t>
      </w:r>
    </w:p>
    <w:p xmlns:wp14="http://schemas.microsoft.com/office/word/2010/wordml" w:rsidP="4F75CE6F" wp14:paraId="3227F004" wp14:textId="15FB7FCE">
      <w:pPr>
        <w:pStyle w:val="ListParagraph"/>
        <w:numPr>
          <w:ilvl w:val="0"/>
          <w:numId w:val="2"/>
        </w:numPr>
        <w:spacing w:before="240" w:beforeAutospacing="off" w:after="240" w:afterAutospacing="off" w:line="360" w:lineRule="auto"/>
        <w:jc w:val="both"/>
        <w:rPr>
          <w:rFonts w:ascii="Arial" w:hAnsi="Arial" w:eastAsia="Arial" w:cs="Arial"/>
          <w:b w:val="0"/>
          <w:bCs w:val="0"/>
          <w:noProof w:val="0"/>
          <w:sz w:val="22"/>
          <w:szCs w:val="22"/>
          <w:lang w:val="en-GB"/>
        </w:rPr>
      </w:pPr>
      <w:r w:rsidRPr="4F75CE6F" w:rsidR="662BFC81">
        <w:rPr>
          <w:rFonts w:ascii="Arial" w:hAnsi="Arial" w:eastAsia="Arial" w:cs="Arial"/>
          <w:b w:val="0"/>
          <w:bCs w:val="0"/>
          <w:noProof w:val="0"/>
          <w:sz w:val="22"/>
          <w:szCs w:val="22"/>
          <w:lang w:val="en-GB"/>
        </w:rPr>
        <w:t>University and college noticeboards and mailing lists.</w:t>
      </w:r>
    </w:p>
    <w:p xmlns:wp14="http://schemas.microsoft.com/office/word/2010/wordml" w:rsidP="4F75CE6F" wp14:paraId="65B1A6DE" wp14:textId="22C93588">
      <w:pPr>
        <w:pStyle w:val="ListParagraph"/>
        <w:numPr>
          <w:ilvl w:val="0"/>
          <w:numId w:val="2"/>
        </w:numPr>
        <w:spacing w:before="240" w:beforeAutospacing="off" w:after="240" w:afterAutospacing="off" w:line="360" w:lineRule="auto"/>
        <w:jc w:val="both"/>
        <w:rPr>
          <w:rFonts w:ascii="Arial" w:hAnsi="Arial" w:eastAsia="Arial" w:cs="Arial"/>
          <w:b w:val="0"/>
          <w:bCs w:val="0"/>
          <w:noProof w:val="0"/>
          <w:sz w:val="22"/>
          <w:szCs w:val="22"/>
          <w:lang w:val="en-GB"/>
        </w:rPr>
      </w:pPr>
      <w:r w:rsidRPr="4F75CE6F" w:rsidR="662BFC81">
        <w:rPr>
          <w:rFonts w:ascii="Arial" w:hAnsi="Arial" w:eastAsia="Arial" w:cs="Arial"/>
          <w:b w:val="0"/>
          <w:bCs w:val="0"/>
          <w:noProof w:val="0"/>
          <w:sz w:val="22"/>
          <w:szCs w:val="22"/>
          <w:lang w:val="en-GB"/>
        </w:rPr>
        <w:t>Collaborations with community mental health organisations and youth charities.</w:t>
      </w:r>
    </w:p>
    <w:p xmlns:wp14="http://schemas.microsoft.com/office/word/2010/wordml" w:rsidP="4F75CE6F" wp14:paraId="4D9DE408" wp14:textId="0933481F">
      <w:pPr>
        <w:spacing w:before="240" w:beforeAutospacing="off" w:after="240" w:afterAutospacing="off" w:line="360" w:lineRule="auto"/>
        <w:jc w:val="both"/>
        <w:rPr>
          <w:rFonts w:ascii="Arial" w:hAnsi="Arial" w:eastAsia="Arial" w:cs="Arial"/>
          <w:b w:val="0"/>
          <w:bCs w:val="0"/>
          <w:noProof w:val="0"/>
          <w:sz w:val="22"/>
          <w:szCs w:val="22"/>
          <w:lang w:val="en-GB"/>
        </w:rPr>
      </w:pPr>
      <w:r w:rsidRPr="4F75CE6F" w:rsidR="662BFC81">
        <w:rPr>
          <w:rFonts w:ascii="Arial" w:hAnsi="Arial" w:eastAsia="Arial" w:cs="Arial"/>
          <w:b w:val="0"/>
          <w:bCs w:val="0"/>
          <w:noProof w:val="0"/>
          <w:sz w:val="22"/>
          <w:szCs w:val="22"/>
          <w:lang w:val="en-GB"/>
        </w:rPr>
        <w:t>The study aims to recruit 15</w:t>
      </w:r>
      <w:r w:rsidRPr="4F75CE6F" w:rsidR="0D10C068">
        <w:rPr>
          <w:rFonts w:ascii="Arial" w:hAnsi="Arial" w:eastAsia="Arial" w:cs="Arial"/>
          <w:b w:val="0"/>
          <w:bCs w:val="0"/>
          <w:noProof w:val="0"/>
          <w:sz w:val="22"/>
          <w:szCs w:val="22"/>
          <w:lang w:val="en-GB"/>
        </w:rPr>
        <w:t>-</w:t>
      </w:r>
      <w:r w:rsidRPr="4F75CE6F" w:rsidR="662BFC81">
        <w:rPr>
          <w:rFonts w:ascii="Arial" w:hAnsi="Arial" w:eastAsia="Arial" w:cs="Arial"/>
          <w:b w:val="0"/>
          <w:bCs w:val="0"/>
          <w:noProof w:val="0"/>
          <w:sz w:val="22"/>
          <w:szCs w:val="22"/>
          <w:lang w:val="en-GB"/>
        </w:rPr>
        <w:t xml:space="preserve">20 participants, a sample size sufficient for data saturation in qualitative phenomenological research (Guest, Bunce &amp; Johnson, 2006; </w:t>
      </w:r>
      <w:r w:rsidRPr="4F75CE6F" w:rsidR="662BFC81">
        <w:rPr>
          <w:rFonts w:ascii="Arial" w:hAnsi="Arial" w:eastAsia="Arial" w:cs="Arial"/>
          <w:b w:val="0"/>
          <w:bCs w:val="0"/>
          <w:noProof w:val="0"/>
          <w:sz w:val="22"/>
          <w:szCs w:val="22"/>
          <w:lang w:val="en-GB"/>
        </w:rPr>
        <w:t>Hennink</w:t>
      </w:r>
      <w:r w:rsidRPr="4F75CE6F" w:rsidR="662BFC81">
        <w:rPr>
          <w:rFonts w:ascii="Arial" w:hAnsi="Arial" w:eastAsia="Arial" w:cs="Arial"/>
          <w:b w:val="0"/>
          <w:bCs w:val="0"/>
          <w:noProof w:val="0"/>
          <w:sz w:val="22"/>
          <w:szCs w:val="22"/>
          <w:lang w:val="en-GB"/>
        </w:rPr>
        <w:t xml:space="preserve">, Kaiser &amp; Marconi, 2017). Participants will receive detailed information about the study and provide informed consent prior to data </w:t>
      </w:r>
      <w:r w:rsidRPr="4F75CE6F" w:rsidR="73BACE92">
        <w:rPr>
          <w:rFonts w:ascii="Arial" w:hAnsi="Arial" w:eastAsia="Arial" w:cs="Arial"/>
          <w:b w:val="0"/>
          <w:bCs w:val="0"/>
          <w:noProof w:val="0"/>
          <w:sz w:val="22"/>
          <w:szCs w:val="22"/>
          <w:lang w:val="en-GB"/>
        </w:rPr>
        <w:t>collection. Demographic</w:t>
      </w:r>
      <w:r w:rsidRPr="4F75CE6F" w:rsidR="662BFC81">
        <w:rPr>
          <w:rFonts w:ascii="Arial" w:hAnsi="Arial" w:eastAsia="Arial" w:cs="Arial"/>
          <w:b w:val="0"/>
          <w:bCs w:val="0"/>
          <w:noProof w:val="0"/>
          <w:sz w:val="22"/>
          <w:szCs w:val="22"/>
          <w:lang w:val="en-GB"/>
        </w:rPr>
        <w:t xml:space="preserve"> data, including age, gender, ethnicity, education level, and prior mental health service usage, will be collected to contextualise findings and allow for analysis of potential variations in barriers across different subgroups.</w:t>
      </w:r>
    </w:p>
    <w:p xmlns:wp14="http://schemas.microsoft.com/office/word/2010/wordml" w:rsidP="4F75CE6F" wp14:paraId="0F69DAD5" wp14:textId="79300D07">
      <w:pPr>
        <w:pStyle w:val="Heading2"/>
        <w:spacing w:before="240" w:beforeAutospacing="off" w:after="240" w:afterAutospacing="off" w:line="360" w:lineRule="auto"/>
        <w:ind w:left="0"/>
        <w:jc w:val="both"/>
        <w:rPr>
          <w:rFonts w:ascii="Arial" w:hAnsi="Arial" w:eastAsia="Arial" w:cs="Arial"/>
          <w:b w:val="1"/>
          <w:bCs w:val="1"/>
          <w:noProof w:val="0"/>
          <w:color w:val="000000" w:themeColor="text1" w:themeTint="FF" w:themeShade="FF"/>
          <w:sz w:val="22"/>
          <w:szCs w:val="22"/>
          <w:lang w:val="en-GB"/>
        </w:rPr>
      </w:pPr>
      <w:bookmarkStart w:name="_Toc1599762297" w:id="1781835840"/>
      <w:r w:rsidRPr="4F75CE6F" w:rsidR="0E590C44">
        <w:rPr>
          <w:rFonts w:ascii="Arial" w:hAnsi="Arial" w:eastAsia="Arial" w:cs="Arial"/>
          <w:b w:val="1"/>
          <w:bCs w:val="1"/>
          <w:noProof w:val="0"/>
          <w:color w:val="000000" w:themeColor="text1" w:themeTint="FF" w:themeShade="FF"/>
          <w:sz w:val="22"/>
          <w:szCs w:val="22"/>
          <w:lang w:val="en-GB"/>
        </w:rPr>
        <w:t>Materials &amp; Data Collection Methods</w:t>
      </w:r>
      <w:bookmarkEnd w:id="1781835840"/>
    </w:p>
    <w:p xmlns:wp14="http://schemas.microsoft.com/office/word/2010/wordml" w:rsidP="4F75CE6F" wp14:paraId="23CB5B7F" wp14:textId="2318EAC0">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36622703" w:id="883158482"/>
      <w:r w:rsidRPr="4F75CE6F" w:rsidR="0E590C44">
        <w:rPr>
          <w:rFonts w:ascii="Arial" w:hAnsi="Arial" w:eastAsia="Arial" w:cs="Arial"/>
          <w:b w:val="1"/>
          <w:bCs w:val="1"/>
          <w:noProof w:val="0"/>
          <w:color w:val="000000" w:themeColor="text1" w:themeTint="FF" w:themeShade="FF"/>
          <w:sz w:val="22"/>
          <w:szCs w:val="22"/>
          <w:lang w:val="en-GB"/>
        </w:rPr>
        <w:t>Materials</w:t>
      </w:r>
      <w:bookmarkEnd w:id="883158482"/>
    </w:p>
    <w:p xmlns:wp14="http://schemas.microsoft.com/office/word/2010/wordml" w:rsidP="4F75CE6F" wp14:paraId="63B7804F" wp14:textId="7AA6EB75">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4F75CE6F" w:rsidR="0E590C44">
        <w:rPr>
          <w:rFonts w:ascii="Arial" w:hAnsi="Arial" w:eastAsia="Arial" w:cs="Arial"/>
          <w:b w:val="0"/>
          <w:bCs w:val="0"/>
          <w:noProof w:val="0"/>
          <w:color w:val="000000" w:themeColor="text1" w:themeTint="FF" w:themeShade="FF"/>
          <w:sz w:val="22"/>
          <w:szCs w:val="22"/>
          <w:lang w:val="en-GB"/>
        </w:rPr>
        <w:t xml:space="preserve">The primary material for this study will be a </w:t>
      </w:r>
      <w:r w:rsidRPr="4F75CE6F" w:rsidR="0E590C44">
        <w:rPr>
          <w:rFonts w:ascii="Arial" w:hAnsi="Arial" w:eastAsia="Arial" w:cs="Arial"/>
          <w:b w:val="0"/>
          <w:bCs w:val="0"/>
          <w:noProof w:val="0"/>
          <w:color w:val="000000" w:themeColor="text1" w:themeTint="FF" w:themeShade="FF"/>
          <w:sz w:val="22"/>
          <w:szCs w:val="22"/>
          <w:lang w:val="en-GB"/>
        </w:rPr>
        <w:t>semi-structured interview guide</w:t>
      </w:r>
      <w:r w:rsidRPr="4F75CE6F" w:rsidR="0E590C44">
        <w:rPr>
          <w:rFonts w:ascii="Arial" w:hAnsi="Arial" w:eastAsia="Arial" w:cs="Arial"/>
          <w:b w:val="0"/>
          <w:bCs w:val="0"/>
          <w:noProof w:val="0"/>
          <w:color w:val="000000" w:themeColor="text1" w:themeTint="FF" w:themeShade="FF"/>
          <w:sz w:val="22"/>
          <w:szCs w:val="22"/>
          <w:lang w:val="en-GB"/>
        </w:rPr>
        <w:t>, designed to explore young adults’ experiences with accessing mental health services. The interview guide will include open-ended questions to allow participants to share their perspectives in depth, while still covering key topics aligned with the research questions (Bryman, 2016). Topics will include:</w:t>
      </w:r>
    </w:p>
    <w:p xmlns:wp14="http://schemas.microsoft.com/office/word/2010/wordml" w:rsidP="4F75CE6F" wp14:paraId="53BCD571" wp14:textId="2AC6DC7E">
      <w:pPr>
        <w:pStyle w:val="ListParagraph"/>
        <w:numPr>
          <w:ilvl w:val="0"/>
          <w:numId w:val="3"/>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4F75CE6F" w:rsidR="0E590C44">
        <w:rPr>
          <w:rFonts w:ascii="Arial" w:hAnsi="Arial" w:eastAsia="Arial" w:cs="Arial"/>
          <w:b w:val="0"/>
          <w:bCs w:val="0"/>
          <w:noProof w:val="0"/>
          <w:color w:val="000000" w:themeColor="text1" w:themeTint="FF" w:themeShade="FF"/>
          <w:sz w:val="22"/>
          <w:szCs w:val="22"/>
          <w:lang w:val="en-GB"/>
        </w:rPr>
        <w:t>Experiences with seeking mental health support</w:t>
      </w:r>
    </w:p>
    <w:p xmlns:wp14="http://schemas.microsoft.com/office/word/2010/wordml" w:rsidP="4F75CE6F" wp14:paraId="19997293" wp14:textId="2D339F5E">
      <w:pPr>
        <w:pStyle w:val="ListParagraph"/>
        <w:numPr>
          <w:ilvl w:val="0"/>
          <w:numId w:val="3"/>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4F75CE6F" w:rsidR="0E590C44">
        <w:rPr>
          <w:rFonts w:ascii="Arial" w:hAnsi="Arial" w:eastAsia="Arial" w:cs="Arial"/>
          <w:b w:val="0"/>
          <w:bCs w:val="0"/>
          <w:noProof w:val="0"/>
          <w:color w:val="000000" w:themeColor="text1" w:themeTint="FF" w:themeShade="FF"/>
          <w:sz w:val="22"/>
          <w:szCs w:val="22"/>
          <w:lang w:val="en-GB"/>
        </w:rPr>
        <w:t>Awareness of available NHS services</w:t>
      </w:r>
    </w:p>
    <w:p xmlns:wp14="http://schemas.microsoft.com/office/word/2010/wordml" w:rsidP="4F75CE6F" wp14:paraId="6B598E5C" wp14:textId="5F19D409">
      <w:pPr>
        <w:pStyle w:val="ListParagraph"/>
        <w:numPr>
          <w:ilvl w:val="0"/>
          <w:numId w:val="3"/>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4F75CE6F" w:rsidR="0E590C44">
        <w:rPr>
          <w:rFonts w:ascii="Arial" w:hAnsi="Arial" w:eastAsia="Arial" w:cs="Arial"/>
          <w:b w:val="0"/>
          <w:bCs w:val="0"/>
          <w:noProof w:val="0"/>
          <w:color w:val="000000" w:themeColor="text1" w:themeTint="FF" w:themeShade="FF"/>
          <w:sz w:val="22"/>
          <w:szCs w:val="22"/>
          <w:lang w:val="en-GB"/>
        </w:rPr>
        <w:t>Perceived structural barriers (e.g., waiting times, referral complexity)</w:t>
      </w:r>
    </w:p>
    <w:p xmlns:wp14="http://schemas.microsoft.com/office/word/2010/wordml" w:rsidP="4F75CE6F" wp14:paraId="6FB8374F" wp14:textId="254662C4">
      <w:pPr>
        <w:pStyle w:val="ListParagraph"/>
        <w:numPr>
          <w:ilvl w:val="0"/>
          <w:numId w:val="3"/>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4F75CE6F" w:rsidR="0E590C44">
        <w:rPr>
          <w:rFonts w:ascii="Arial" w:hAnsi="Arial" w:eastAsia="Arial" w:cs="Arial"/>
          <w:b w:val="0"/>
          <w:bCs w:val="0"/>
          <w:noProof w:val="0"/>
          <w:color w:val="000000" w:themeColor="text1" w:themeTint="FF" w:themeShade="FF"/>
          <w:sz w:val="22"/>
          <w:szCs w:val="22"/>
          <w:lang w:val="en-GB"/>
        </w:rPr>
        <w:t>Psychological barriers (e.g., stigma, self-reliance, fear of judgment)</w:t>
      </w:r>
    </w:p>
    <w:p xmlns:wp14="http://schemas.microsoft.com/office/word/2010/wordml" w:rsidP="4F75CE6F" wp14:paraId="0CB651D2" wp14:textId="417482D9">
      <w:pPr>
        <w:pStyle w:val="ListParagraph"/>
        <w:numPr>
          <w:ilvl w:val="0"/>
          <w:numId w:val="3"/>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4F75CE6F" w:rsidR="0E590C44">
        <w:rPr>
          <w:rFonts w:ascii="Arial" w:hAnsi="Arial" w:eastAsia="Arial" w:cs="Arial"/>
          <w:b w:val="0"/>
          <w:bCs w:val="0"/>
          <w:noProof w:val="0"/>
          <w:color w:val="000000" w:themeColor="text1" w:themeTint="FF" w:themeShade="FF"/>
          <w:sz w:val="22"/>
          <w:szCs w:val="22"/>
          <w:lang w:val="en-GB"/>
        </w:rPr>
        <w:t>Suggestions for improving service access</w:t>
      </w:r>
    </w:p>
    <w:p xmlns:wp14="http://schemas.microsoft.com/office/word/2010/wordml" w:rsidP="4F75CE6F" wp14:paraId="00434FBA" wp14:textId="5C463B3E">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4F75CE6F" w:rsidR="0E590C44">
        <w:rPr>
          <w:rFonts w:ascii="Arial" w:hAnsi="Arial" w:eastAsia="Arial" w:cs="Arial"/>
          <w:b w:val="0"/>
          <w:bCs w:val="0"/>
          <w:noProof w:val="0"/>
          <w:color w:val="000000" w:themeColor="text1" w:themeTint="FF" w:themeShade="FF"/>
          <w:sz w:val="22"/>
          <w:szCs w:val="22"/>
          <w:lang w:val="en-GB"/>
        </w:rPr>
        <w:t xml:space="preserve">All interviews will be </w:t>
      </w:r>
      <w:r w:rsidRPr="4F75CE6F" w:rsidR="0E590C44">
        <w:rPr>
          <w:rFonts w:ascii="Arial" w:hAnsi="Arial" w:eastAsia="Arial" w:cs="Arial"/>
          <w:b w:val="0"/>
          <w:bCs w:val="0"/>
          <w:noProof w:val="0"/>
          <w:color w:val="000000" w:themeColor="text1" w:themeTint="FF" w:themeShade="FF"/>
          <w:sz w:val="22"/>
          <w:szCs w:val="22"/>
          <w:lang w:val="en-GB"/>
        </w:rPr>
        <w:t>audio-recorded</w:t>
      </w:r>
      <w:r w:rsidRPr="4F75CE6F" w:rsidR="0E590C44">
        <w:rPr>
          <w:rFonts w:ascii="Arial" w:hAnsi="Arial" w:eastAsia="Arial" w:cs="Arial"/>
          <w:b w:val="0"/>
          <w:bCs w:val="0"/>
          <w:noProof w:val="0"/>
          <w:color w:val="000000" w:themeColor="text1" w:themeTint="FF" w:themeShade="FF"/>
          <w:sz w:val="22"/>
          <w:szCs w:val="22"/>
          <w:lang w:val="en-GB"/>
        </w:rPr>
        <w:t xml:space="preserve"> with participants’ consent and transcribed verbatim for analysis. Additionally, </w:t>
      </w:r>
      <w:r w:rsidRPr="4F75CE6F" w:rsidR="0E590C44">
        <w:rPr>
          <w:rFonts w:ascii="Arial" w:hAnsi="Arial" w:eastAsia="Arial" w:cs="Arial"/>
          <w:b w:val="0"/>
          <w:bCs w:val="0"/>
          <w:noProof w:val="0"/>
          <w:color w:val="000000" w:themeColor="text1" w:themeTint="FF" w:themeShade="FF"/>
          <w:sz w:val="22"/>
          <w:szCs w:val="22"/>
          <w:lang w:val="en-GB"/>
        </w:rPr>
        <w:t>field notes</w:t>
      </w:r>
      <w:r w:rsidRPr="4F75CE6F" w:rsidR="0E590C44">
        <w:rPr>
          <w:rFonts w:ascii="Arial" w:hAnsi="Arial" w:eastAsia="Arial" w:cs="Arial"/>
          <w:b w:val="0"/>
          <w:bCs w:val="0"/>
          <w:noProof w:val="0"/>
          <w:color w:val="000000" w:themeColor="text1" w:themeTint="FF" w:themeShade="FF"/>
          <w:sz w:val="22"/>
          <w:szCs w:val="22"/>
          <w:lang w:val="en-GB"/>
        </w:rPr>
        <w:t xml:space="preserve"> will be taken to capture non-verbal cues and contextual observations that enhance interpretation of the data (Polkinghorne, 2005).</w:t>
      </w:r>
    </w:p>
    <w:p xmlns:wp14="http://schemas.microsoft.com/office/word/2010/wordml" w:rsidP="4F75CE6F" wp14:paraId="2F2461D1" wp14:textId="77EEEAA4">
      <w:pPr>
        <w:pStyle w:val="Heading3"/>
        <w:spacing w:line="360" w:lineRule="auto"/>
        <w:jc w:val="both"/>
        <w:rPr>
          <w:rFonts w:ascii="Arial" w:hAnsi="Arial" w:eastAsia="Arial" w:cs="Arial"/>
          <w:b w:val="1"/>
          <w:bCs w:val="1"/>
          <w:noProof w:val="0"/>
          <w:color w:val="000000" w:themeColor="text1" w:themeTint="FF" w:themeShade="FF"/>
          <w:sz w:val="22"/>
          <w:szCs w:val="22"/>
          <w:lang w:val="en-GB"/>
        </w:rPr>
      </w:pPr>
      <w:bookmarkStart w:name="_Toc1278074195" w:id="528410640"/>
      <w:r w:rsidRPr="4F75CE6F" w:rsidR="0E590C44">
        <w:rPr>
          <w:rFonts w:ascii="Arial" w:hAnsi="Arial" w:eastAsia="Arial" w:cs="Arial"/>
          <w:b w:val="1"/>
          <w:bCs w:val="1"/>
          <w:noProof w:val="0"/>
          <w:color w:val="000000" w:themeColor="text1" w:themeTint="FF" w:themeShade="FF"/>
          <w:sz w:val="22"/>
          <w:szCs w:val="22"/>
          <w:lang w:val="en-GB"/>
        </w:rPr>
        <w:t>What Questions?</w:t>
      </w:r>
      <w:bookmarkEnd w:id="528410640"/>
    </w:p>
    <w:p xmlns:wp14="http://schemas.microsoft.com/office/word/2010/wordml" w:rsidP="4F75CE6F" wp14:paraId="10671915" wp14:textId="7EBE2CC7">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4F75CE6F" w:rsidR="0E590C44">
        <w:rPr>
          <w:rFonts w:ascii="Arial" w:hAnsi="Arial" w:eastAsia="Arial" w:cs="Arial"/>
          <w:b w:val="0"/>
          <w:bCs w:val="0"/>
          <w:noProof w:val="0"/>
          <w:color w:val="000000" w:themeColor="text1" w:themeTint="FF" w:themeShade="FF"/>
          <w:sz w:val="22"/>
          <w:szCs w:val="22"/>
          <w:lang w:val="en-GB"/>
        </w:rPr>
        <w:t>The semi-structured interviews will include questions such as:</w:t>
      </w:r>
    </w:p>
    <w:p xmlns:wp14="http://schemas.microsoft.com/office/word/2010/wordml" w:rsidP="4F75CE6F" wp14:paraId="67DD2F57" wp14:textId="3E40E55C">
      <w:pPr>
        <w:pStyle w:val="ListParagraph"/>
        <w:numPr>
          <w:ilvl w:val="0"/>
          <w:numId w:val="4"/>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4F75CE6F" w:rsidR="0E590C44">
        <w:rPr>
          <w:rFonts w:ascii="Arial" w:hAnsi="Arial" w:eastAsia="Arial" w:cs="Arial"/>
          <w:b w:val="0"/>
          <w:bCs w:val="0"/>
          <w:noProof w:val="0"/>
          <w:color w:val="000000" w:themeColor="text1" w:themeTint="FF" w:themeShade="FF"/>
          <w:sz w:val="22"/>
          <w:szCs w:val="22"/>
          <w:lang w:val="en-GB"/>
        </w:rPr>
        <w:t>Can you describe your experiences with accessing mental health services in the UK?</w:t>
      </w:r>
    </w:p>
    <w:p xmlns:wp14="http://schemas.microsoft.com/office/word/2010/wordml" w:rsidP="4F75CE6F" wp14:paraId="0954CDA6" wp14:textId="473F1964">
      <w:pPr>
        <w:pStyle w:val="ListParagraph"/>
        <w:numPr>
          <w:ilvl w:val="0"/>
          <w:numId w:val="4"/>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4F75CE6F" w:rsidR="0E590C44">
        <w:rPr>
          <w:rFonts w:ascii="Arial" w:hAnsi="Arial" w:eastAsia="Arial" w:cs="Arial"/>
          <w:b w:val="0"/>
          <w:bCs w:val="0"/>
          <w:noProof w:val="0"/>
          <w:color w:val="000000" w:themeColor="text1" w:themeTint="FF" w:themeShade="FF"/>
          <w:sz w:val="22"/>
          <w:szCs w:val="22"/>
          <w:lang w:val="en-GB"/>
        </w:rPr>
        <w:t>What challenges or barriers did you face when trying to get help?</w:t>
      </w:r>
    </w:p>
    <w:p xmlns:wp14="http://schemas.microsoft.com/office/word/2010/wordml" w:rsidP="4F75CE6F" wp14:paraId="0BF1BD5F" wp14:textId="011CA689">
      <w:pPr>
        <w:pStyle w:val="ListParagraph"/>
        <w:numPr>
          <w:ilvl w:val="0"/>
          <w:numId w:val="4"/>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4F75CE6F" w:rsidR="0E590C44">
        <w:rPr>
          <w:rFonts w:ascii="Arial" w:hAnsi="Arial" w:eastAsia="Arial" w:cs="Arial"/>
          <w:b w:val="0"/>
          <w:bCs w:val="0"/>
          <w:noProof w:val="0"/>
          <w:color w:val="000000" w:themeColor="text1" w:themeTint="FF" w:themeShade="FF"/>
          <w:sz w:val="22"/>
          <w:szCs w:val="22"/>
          <w:lang w:val="en-GB"/>
        </w:rPr>
        <w:t>How did personal attitudes, beliefs, or stigma affect your decision to seek help?</w:t>
      </w:r>
    </w:p>
    <w:p xmlns:wp14="http://schemas.microsoft.com/office/word/2010/wordml" w:rsidP="4F75CE6F" wp14:paraId="07469B1B" wp14:textId="317ED303">
      <w:pPr>
        <w:pStyle w:val="ListParagraph"/>
        <w:numPr>
          <w:ilvl w:val="0"/>
          <w:numId w:val="4"/>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4F75CE6F" w:rsidR="0E590C44">
        <w:rPr>
          <w:rFonts w:ascii="Arial" w:hAnsi="Arial" w:eastAsia="Arial" w:cs="Arial"/>
          <w:b w:val="0"/>
          <w:bCs w:val="0"/>
          <w:noProof w:val="0"/>
          <w:color w:val="000000" w:themeColor="text1" w:themeTint="FF" w:themeShade="FF"/>
          <w:sz w:val="22"/>
          <w:szCs w:val="22"/>
          <w:lang w:val="en-GB"/>
        </w:rPr>
        <w:t xml:space="preserve">Did structural factors, such as service availability or referral processes, </w:t>
      </w:r>
      <w:r w:rsidRPr="4F75CE6F" w:rsidR="0E590C44">
        <w:rPr>
          <w:rFonts w:ascii="Arial" w:hAnsi="Arial" w:eastAsia="Arial" w:cs="Arial"/>
          <w:b w:val="0"/>
          <w:bCs w:val="0"/>
          <w:noProof w:val="0"/>
          <w:color w:val="000000" w:themeColor="text1" w:themeTint="FF" w:themeShade="FF"/>
          <w:sz w:val="22"/>
          <w:szCs w:val="22"/>
          <w:lang w:val="en-GB"/>
        </w:rPr>
        <w:t>impact</w:t>
      </w:r>
      <w:r w:rsidRPr="4F75CE6F" w:rsidR="0E590C44">
        <w:rPr>
          <w:rFonts w:ascii="Arial" w:hAnsi="Arial" w:eastAsia="Arial" w:cs="Arial"/>
          <w:b w:val="0"/>
          <w:bCs w:val="0"/>
          <w:noProof w:val="0"/>
          <w:color w:val="000000" w:themeColor="text1" w:themeTint="FF" w:themeShade="FF"/>
          <w:sz w:val="22"/>
          <w:szCs w:val="22"/>
          <w:lang w:val="en-GB"/>
        </w:rPr>
        <w:t xml:space="preserve"> your ability to access support?</w:t>
      </w:r>
    </w:p>
    <w:p xmlns:wp14="http://schemas.microsoft.com/office/word/2010/wordml" w:rsidP="4F75CE6F" wp14:paraId="37EFE81F" wp14:textId="3BC767FE">
      <w:pPr>
        <w:pStyle w:val="ListParagraph"/>
        <w:numPr>
          <w:ilvl w:val="0"/>
          <w:numId w:val="4"/>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4F75CE6F" w:rsidR="0E590C44">
        <w:rPr>
          <w:rFonts w:ascii="Arial" w:hAnsi="Arial" w:eastAsia="Arial" w:cs="Arial"/>
          <w:b w:val="0"/>
          <w:bCs w:val="0"/>
          <w:noProof w:val="0"/>
          <w:color w:val="000000" w:themeColor="text1" w:themeTint="FF" w:themeShade="FF"/>
          <w:sz w:val="22"/>
          <w:szCs w:val="22"/>
          <w:lang w:val="en-GB"/>
        </w:rPr>
        <w:t>What changes would make mental health services more accessible for you and other young adults?</w:t>
      </w:r>
    </w:p>
    <w:p xmlns:wp14="http://schemas.microsoft.com/office/word/2010/wordml" w:rsidP="4F75CE6F" wp14:paraId="7FB6DB28" wp14:textId="6BE94671">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4F75CE6F" w:rsidR="0E590C44">
        <w:rPr>
          <w:rFonts w:ascii="Arial" w:hAnsi="Arial" w:eastAsia="Arial" w:cs="Arial"/>
          <w:b w:val="0"/>
          <w:bCs w:val="0"/>
          <w:noProof w:val="0"/>
          <w:color w:val="000000" w:themeColor="text1" w:themeTint="FF" w:themeShade="FF"/>
          <w:sz w:val="22"/>
          <w:szCs w:val="22"/>
          <w:lang w:val="en-GB"/>
        </w:rPr>
        <w:t xml:space="preserve">These questions are </w:t>
      </w:r>
      <w:r w:rsidRPr="4F75CE6F" w:rsidR="0E590C44">
        <w:rPr>
          <w:rFonts w:ascii="Arial" w:hAnsi="Arial" w:eastAsia="Arial" w:cs="Arial"/>
          <w:b w:val="0"/>
          <w:bCs w:val="0"/>
          <w:noProof w:val="0"/>
          <w:color w:val="000000" w:themeColor="text1" w:themeTint="FF" w:themeShade="FF"/>
          <w:sz w:val="22"/>
          <w:szCs w:val="22"/>
          <w:lang w:val="en-GB"/>
        </w:rPr>
        <w:t>flexible</w:t>
      </w:r>
      <w:r w:rsidRPr="4F75CE6F" w:rsidR="0E590C44">
        <w:rPr>
          <w:rFonts w:ascii="Arial" w:hAnsi="Arial" w:eastAsia="Arial" w:cs="Arial"/>
          <w:b w:val="0"/>
          <w:bCs w:val="0"/>
          <w:noProof w:val="0"/>
          <w:color w:val="000000" w:themeColor="text1" w:themeTint="FF" w:themeShade="FF"/>
          <w:sz w:val="22"/>
          <w:szCs w:val="22"/>
          <w:lang w:val="en-GB"/>
        </w:rPr>
        <w:t xml:space="preserve">, allowing participants to elaborate and introduce issues not </w:t>
      </w:r>
      <w:r w:rsidRPr="4F75CE6F" w:rsidR="0E590C44">
        <w:rPr>
          <w:rFonts w:ascii="Arial" w:hAnsi="Arial" w:eastAsia="Arial" w:cs="Arial"/>
          <w:b w:val="0"/>
          <w:bCs w:val="0"/>
          <w:noProof w:val="0"/>
          <w:color w:val="000000" w:themeColor="text1" w:themeTint="FF" w:themeShade="FF"/>
          <w:sz w:val="22"/>
          <w:szCs w:val="22"/>
          <w:lang w:val="en-GB"/>
        </w:rPr>
        <w:t>anticipated</w:t>
      </w:r>
      <w:r w:rsidRPr="4F75CE6F" w:rsidR="0E590C44">
        <w:rPr>
          <w:rFonts w:ascii="Arial" w:hAnsi="Arial" w:eastAsia="Arial" w:cs="Arial"/>
          <w:b w:val="0"/>
          <w:bCs w:val="0"/>
          <w:noProof w:val="0"/>
          <w:color w:val="000000" w:themeColor="text1" w:themeTint="FF" w:themeShade="FF"/>
          <w:sz w:val="22"/>
          <w:szCs w:val="22"/>
          <w:lang w:val="en-GB"/>
        </w:rPr>
        <w:t xml:space="preserve"> by the researcher, consistent with phenomenological qualitative research (Smith &amp; Osborn, 2015).</w:t>
      </w:r>
    </w:p>
    <w:p xmlns:wp14="http://schemas.microsoft.com/office/word/2010/wordml" w:rsidP="4F75CE6F" wp14:paraId="289B1FAA" wp14:textId="16B24015">
      <w:pPr>
        <w:pStyle w:val="Heading3"/>
        <w:spacing w:line="360" w:lineRule="auto"/>
        <w:jc w:val="both"/>
        <w:rPr>
          <w:rFonts w:ascii="Arial" w:hAnsi="Arial" w:eastAsia="Arial" w:cs="Arial"/>
          <w:b w:val="1"/>
          <w:bCs w:val="1"/>
          <w:noProof w:val="0"/>
          <w:color w:val="000000" w:themeColor="text1" w:themeTint="FF" w:themeShade="FF"/>
          <w:sz w:val="22"/>
          <w:szCs w:val="22"/>
          <w:lang w:val="en-GB"/>
        </w:rPr>
      </w:pPr>
      <w:bookmarkStart w:name="_Toc2034593084" w:id="772015767"/>
      <w:r w:rsidRPr="4F75CE6F" w:rsidR="0E590C44">
        <w:rPr>
          <w:rFonts w:ascii="Arial" w:hAnsi="Arial" w:eastAsia="Arial" w:cs="Arial"/>
          <w:b w:val="1"/>
          <w:bCs w:val="1"/>
          <w:noProof w:val="0"/>
          <w:color w:val="000000" w:themeColor="text1" w:themeTint="FF" w:themeShade="FF"/>
          <w:sz w:val="22"/>
          <w:szCs w:val="22"/>
          <w:lang w:val="en-GB"/>
        </w:rPr>
        <w:t>Who Will You Ask?</w:t>
      </w:r>
      <w:bookmarkEnd w:id="772015767"/>
    </w:p>
    <w:p xmlns:wp14="http://schemas.microsoft.com/office/word/2010/wordml" w:rsidP="4F75CE6F" wp14:paraId="31374C29" wp14:textId="10C31DF4">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4F75CE6F" w:rsidR="0E590C44">
        <w:rPr>
          <w:rFonts w:ascii="Arial" w:hAnsi="Arial" w:eastAsia="Arial" w:cs="Arial"/>
          <w:b w:val="0"/>
          <w:bCs w:val="0"/>
          <w:noProof w:val="0"/>
          <w:color w:val="000000" w:themeColor="text1" w:themeTint="FF" w:themeShade="FF"/>
          <w:sz w:val="22"/>
          <w:szCs w:val="22"/>
          <w:lang w:val="en-GB"/>
        </w:rPr>
        <w:t xml:space="preserve">Participants will include UK young adults aged 18–25 who have experienced mental health challenges, </w:t>
      </w:r>
      <w:r w:rsidRPr="4F75CE6F" w:rsidR="1977EAC4">
        <w:rPr>
          <w:rFonts w:ascii="Arial" w:hAnsi="Arial" w:eastAsia="Arial" w:cs="Arial"/>
          <w:b w:val="0"/>
          <w:bCs w:val="0"/>
          <w:noProof w:val="0"/>
          <w:color w:val="000000" w:themeColor="text1" w:themeTint="FF" w:themeShade="FF"/>
          <w:sz w:val="22"/>
          <w:szCs w:val="22"/>
          <w:lang w:val="en-GB"/>
        </w:rPr>
        <w:t>whether</w:t>
      </w:r>
      <w:r w:rsidRPr="4F75CE6F" w:rsidR="0E590C44">
        <w:rPr>
          <w:rFonts w:ascii="Arial" w:hAnsi="Arial" w:eastAsia="Arial" w:cs="Arial"/>
          <w:b w:val="0"/>
          <w:bCs w:val="0"/>
          <w:noProof w:val="0"/>
          <w:color w:val="000000" w:themeColor="text1" w:themeTint="FF" w:themeShade="FF"/>
          <w:sz w:val="22"/>
          <w:szCs w:val="22"/>
          <w:lang w:val="en-GB"/>
        </w:rPr>
        <w:t xml:space="preserve"> they have accessed formal NHS services. Recruitment will focus on obtaining a diverse sample in terms of gender, ethnicity, socio-economic background, and educational status to ensure a wide range of perspectives.</w:t>
      </w:r>
    </w:p>
    <w:p xmlns:wp14="http://schemas.microsoft.com/office/word/2010/wordml" w:rsidP="4F75CE6F" wp14:paraId="12110585" wp14:textId="6BC51836">
      <w:pPr>
        <w:pStyle w:val="Heading3"/>
        <w:spacing w:line="360" w:lineRule="auto"/>
        <w:jc w:val="both"/>
        <w:rPr>
          <w:rFonts w:ascii="Arial" w:hAnsi="Arial" w:eastAsia="Arial" w:cs="Arial"/>
          <w:b w:val="1"/>
          <w:bCs w:val="1"/>
          <w:noProof w:val="0"/>
          <w:color w:val="000000" w:themeColor="text1" w:themeTint="FF" w:themeShade="FF"/>
          <w:sz w:val="22"/>
          <w:szCs w:val="22"/>
          <w:lang w:val="en-GB"/>
        </w:rPr>
      </w:pPr>
      <w:bookmarkStart w:name="_Toc1932356219" w:id="1602429197"/>
      <w:r w:rsidRPr="4F75CE6F" w:rsidR="0E590C44">
        <w:rPr>
          <w:rFonts w:ascii="Arial" w:hAnsi="Arial" w:eastAsia="Arial" w:cs="Arial"/>
          <w:b w:val="1"/>
          <w:bCs w:val="1"/>
          <w:noProof w:val="0"/>
          <w:color w:val="000000" w:themeColor="text1" w:themeTint="FF" w:themeShade="FF"/>
          <w:sz w:val="22"/>
          <w:szCs w:val="22"/>
          <w:lang w:val="en-GB"/>
        </w:rPr>
        <w:t>How Will You Collect Data?</w:t>
      </w:r>
      <w:bookmarkEnd w:id="1602429197"/>
    </w:p>
    <w:p xmlns:wp14="http://schemas.microsoft.com/office/word/2010/wordml" w:rsidP="4F75CE6F" wp14:paraId="1A38D147" wp14:textId="09A2E32F">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4F75CE6F" w:rsidR="0E590C44">
        <w:rPr>
          <w:rFonts w:ascii="Arial" w:hAnsi="Arial" w:eastAsia="Arial" w:cs="Arial"/>
          <w:b w:val="0"/>
          <w:bCs w:val="0"/>
          <w:noProof w:val="0"/>
          <w:color w:val="000000" w:themeColor="text1" w:themeTint="FF" w:themeShade="FF"/>
          <w:sz w:val="22"/>
          <w:szCs w:val="22"/>
          <w:lang w:val="en-GB"/>
        </w:rPr>
        <w:t>Data will be collected using individual semi-structured interviews, conducted online via secure video conferencing platforms (e.g., Zoom) or in-person depending on participant preference and safety considerations. Online interviews increase accessibility and convenience for young adults while maintaining ethical standards and data security (Archibald et al., 2019</w:t>
      </w:r>
      <w:r w:rsidRPr="4F75CE6F" w:rsidR="62638089">
        <w:rPr>
          <w:rFonts w:ascii="Arial" w:hAnsi="Arial" w:eastAsia="Arial" w:cs="Arial"/>
          <w:b w:val="0"/>
          <w:bCs w:val="0"/>
          <w:noProof w:val="0"/>
          <w:color w:val="000000" w:themeColor="text1" w:themeTint="FF" w:themeShade="FF"/>
          <w:sz w:val="22"/>
          <w:szCs w:val="22"/>
          <w:lang w:val="en-GB"/>
        </w:rPr>
        <w:t>). Interviews</w:t>
      </w:r>
      <w:r w:rsidRPr="4F75CE6F" w:rsidR="0E590C44">
        <w:rPr>
          <w:rFonts w:ascii="Arial" w:hAnsi="Arial" w:eastAsia="Arial" w:cs="Arial"/>
          <w:b w:val="0"/>
          <w:bCs w:val="0"/>
          <w:noProof w:val="0"/>
          <w:color w:val="000000" w:themeColor="text1" w:themeTint="FF" w:themeShade="FF"/>
          <w:sz w:val="22"/>
          <w:szCs w:val="22"/>
          <w:lang w:val="en-GB"/>
        </w:rPr>
        <w:t xml:space="preserve"> are expected to last 45</w:t>
      </w:r>
      <w:r w:rsidRPr="4F75CE6F" w:rsidR="36FC3DAA">
        <w:rPr>
          <w:rFonts w:ascii="Arial" w:hAnsi="Arial" w:eastAsia="Arial" w:cs="Arial"/>
          <w:b w:val="0"/>
          <w:bCs w:val="0"/>
          <w:noProof w:val="0"/>
          <w:color w:val="000000" w:themeColor="text1" w:themeTint="FF" w:themeShade="FF"/>
          <w:sz w:val="22"/>
          <w:szCs w:val="22"/>
          <w:lang w:val="en-GB"/>
        </w:rPr>
        <w:t>-</w:t>
      </w:r>
      <w:r w:rsidRPr="4F75CE6F" w:rsidR="0E590C44">
        <w:rPr>
          <w:rFonts w:ascii="Arial" w:hAnsi="Arial" w:eastAsia="Arial" w:cs="Arial"/>
          <w:b w:val="0"/>
          <w:bCs w:val="0"/>
          <w:noProof w:val="0"/>
          <w:color w:val="000000" w:themeColor="text1" w:themeTint="FF" w:themeShade="FF"/>
          <w:sz w:val="22"/>
          <w:szCs w:val="22"/>
          <w:lang w:val="en-GB"/>
        </w:rPr>
        <w:t>60 minutes each. Audio recordings will be securely stored on encrypted drives, with transcripts anonymized to protect participant confidentiality. Field notes will supplement the recordings, capturing participants’ emotional expressions and contextual information to enhance data richness.</w:t>
      </w:r>
    </w:p>
    <w:p xmlns:wp14="http://schemas.microsoft.com/office/word/2010/wordml" w:rsidP="4F75CE6F" wp14:paraId="69BDFCAD" wp14:textId="156E4913">
      <w:pPr>
        <w:pStyle w:val="Heading3"/>
        <w:spacing w:line="360" w:lineRule="auto"/>
        <w:jc w:val="both"/>
        <w:rPr>
          <w:rFonts w:ascii="Arial" w:hAnsi="Arial" w:eastAsia="Arial" w:cs="Arial"/>
          <w:b w:val="1"/>
          <w:bCs w:val="1"/>
          <w:noProof w:val="0"/>
          <w:color w:val="000000" w:themeColor="text1" w:themeTint="FF" w:themeShade="FF"/>
          <w:sz w:val="22"/>
          <w:szCs w:val="22"/>
          <w:lang w:val="en-GB"/>
        </w:rPr>
      </w:pPr>
      <w:r w:rsidRPr="4F75CE6F" w:rsidR="68BF1E33">
        <w:rPr>
          <w:rFonts w:ascii="Arial" w:hAnsi="Arial" w:eastAsia="Arial" w:cs="Arial"/>
          <w:b w:val="1"/>
          <w:bCs w:val="1"/>
          <w:noProof w:val="0"/>
          <w:color w:val="000000" w:themeColor="text1" w:themeTint="FF" w:themeShade="FF"/>
          <w:sz w:val="22"/>
          <w:szCs w:val="22"/>
          <w:lang w:val="en-GB"/>
        </w:rPr>
        <w:t>Proposed data analysis technique</w:t>
      </w:r>
    </w:p>
    <w:p xmlns:wp14="http://schemas.microsoft.com/office/word/2010/wordml" w:rsidP="4F75CE6F" wp14:paraId="49570D2C" wp14:textId="56E7EEAE">
      <w:pPr>
        <w:spacing w:before="240" w:beforeAutospacing="off" w:after="240" w:afterAutospacing="off" w:line="360" w:lineRule="auto"/>
        <w:jc w:val="both"/>
        <w:rPr>
          <w:rFonts w:ascii="Arial" w:hAnsi="Arial" w:eastAsia="Arial" w:cs="Arial"/>
          <w:noProof w:val="0"/>
          <w:sz w:val="22"/>
          <w:szCs w:val="22"/>
          <w:lang w:val="en-GB"/>
        </w:rPr>
      </w:pPr>
      <w:r w:rsidRPr="4F75CE6F" w:rsidR="35E54546">
        <w:rPr>
          <w:rFonts w:ascii="Arial" w:hAnsi="Arial" w:eastAsia="Arial" w:cs="Arial"/>
          <w:noProof w:val="0"/>
          <w:sz w:val="22"/>
          <w:szCs w:val="22"/>
          <w:lang w:val="en-GB"/>
        </w:rPr>
        <w:t xml:space="preserve">The data collected through semi-structured interviews will be analysed using </w:t>
      </w:r>
      <w:r w:rsidRPr="4F75CE6F" w:rsidR="35E54546">
        <w:rPr>
          <w:rFonts w:ascii="Arial" w:hAnsi="Arial" w:eastAsia="Arial" w:cs="Arial"/>
          <w:b w:val="0"/>
          <w:bCs w:val="0"/>
          <w:noProof w:val="0"/>
          <w:sz w:val="22"/>
          <w:szCs w:val="22"/>
          <w:lang w:val="en-GB"/>
        </w:rPr>
        <w:t>Thematic Analysis (TA)</w:t>
      </w:r>
      <w:r w:rsidRPr="4F75CE6F" w:rsidR="35E54546">
        <w:rPr>
          <w:rFonts w:ascii="Arial" w:hAnsi="Arial" w:eastAsia="Arial" w:cs="Arial"/>
          <w:b w:val="0"/>
          <w:bCs w:val="0"/>
          <w:noProof w:val="0"/>
          <w:sz w:val="22"/>
          <w:szCs w:val="22"/>
          <w:lang w:val="en-GB"/>
        </w:rPr>
        <w:t xml:space="preserve">, a widely accepted method for </w:t>
      </w:r>
      <w:r w:rsidRPr="4F75CE6F" w:rsidR="35E54546">
        <w:rPr>
          <w:rFonts w:ascii="Arial" w:hAnsi="Arial" w:eastAsia="Arial" w:cs="Arial"/>
          <w:b w:val="0"/>
          <w:bCs w:val="0"/>
          <w:noProof w:val="0"/>
          <w:sz w:val="22"/>
          <w:szCs w:val="22"/>
          <w:lang w:val="en-GB"/>
        </w:rPr>
        <w:t>identifying</w:t>
      </w:r>
      <w:r w:rsidRPr="4F75CE6F" w:rsidR="35E54546">
        <w:rPr>
          <w:rFonts w:ascii="Arial" w:hAnsi="Arial" w:eastAsia="Arial" w:cs="Arial"/>
          <w:b w:val="0"/>
          <w:bCs w:val="0"/>
          <w:noProof w:val="0"/>
          <w:sz w:val="22"/>
          <w:szCs w:val="22"/>
          <w:lang w:val="en-GB"/>
        </w:rPr>
        <w:t xml:space="preserve">, analysing, and reporting patterns (themes) within qualitative data (Braun &amp; Clarke, 2006). Thematic Analysis is particularly suited to phenomenological research, as it allows the researcher to interpret the </w:t>
      </w:r>
      <w:r w:rsidRPr="4F75CE6F" w:rsidR="35E54546">
        <w:rPr>
          <w:rFonts w:ascii="Arial" w:hAnsi="Arial" w:eastAsia="Arial" w:cs="Arial"/>
          <w:b w:val="0"/>
          <w:bCs w:val="0"/>
          <w:noProof w:val="0"/>
          <w:sz w:val="22"/>
          <w:szCs w:val="22"/>
          <w:lang w:val="en-GB"/>
        </w:rPr>
        <w:t>lived experiences</w:t>
      </w:r>
      <w:r w:rsidRPr="4F75CE6F" w:rsidR="35E54546">
        <w:rPr>
          <w:rFonts w:ascii="Arial" w:hAnsi="Arial" w:eastAsia="Arial" w:cs="Arial"/>
          <w:b w:val="0"/>
          <w:bCs w:val="0"/>
          <w:noProof w:val="0"/>
          <w:sz w:val="22"/>
          <w:szCs w:val="22"/>
          <w:lang w:val="en-GB"/>
        </w:rPr>
        <w:t xml:space="preserve"> of participants while maintaining flexibility and rigor in coding and theme develop</w:t>
      </w:r>
      <w:r w:rsidRPr="4F75CE6F" w:rsidR="35E54546">
        <w:rPr>
          <w:rFonts w:ascii="Arial" w:hAnsi="Arial" w:eastAsia="Arial" w:cs="Arial"/>
          <w:noProof w:val="0"/>
          <w:sz w:val="22"/>
          <w:szCs w:val="22"/>
          <w:lang w:val="en-GB"/>
        </w:rPr>
        <w:t>ment (Castleberry &amp; Nolen, 2018).</w:t>
      </w:r>
    </w:p>
    <w:p xmlns:wp14="http://schemas.microsoft.com/office/word/2010/wordml" w:rsidP="4F75CE6F" wp14:paraId="0706229C" wp14:textId="039F7DED">
      <w:pPr>
        <w:spacing w:before="240" w:beforeAutospacing="off" w:after="240" w:afterAutospacing="off" w:line="360" w:lineRule="auto"/>
        <w:jc w:val="both"/>
        <w:rPr>
          <w:rFonts w:ascii="Arial" w:hAnsi="Arial" w:eastAsia="Arial" w:cs="Arial"/>
          <w:b w:val="0"/>
          <w:bCs w:val="0"/>
          <w:noProof w:val="0"/>
          <w:sz w:val="22"/>
          <w:szCs w:val="22"/>
          <w:lang w:val="en-GB"/>
        </w:rPr>
      </w:pPr>
      <w:r w:rsidRPr="4F75CE6F" w:rsidR="35E54546">
        <w:rPr>
          <w:rFonts w:ascii="Arial" w:hAnsi="Arial" w:eastAsia="Arial" w:cs="Arial"/>
          <w:b w:val="0"/>
          <w:bCs w:val="0"/>
          <w:noProof w:val="0"/>
          <w:sz w:val="22"/>
          <w:szCs w:val="22"/>
          <w:lang w:val="en-GB"/>
        </w:rPr>
        <w:t xml:space="preserve">The analysis will follow the </w:t>
      </w:r>
      <w:r w:rsidRPr="4F75CE6F" w:rsidR="35E54546">
        <w:rPr>
          <w:rFonts w:ascii="Arial" w:hAnsi="Arial" w:eastAsia="Arial" w:cs="Arial"/>
          <w:b w:val="0"/>
          <w:bCs w:val="0"/>
          <w:noProof w:val="0"/>
          <w:sz w:val="22"/>
          <w:szCs w:val="22"/>
          <w:lang w:val="en-GB"/>
        </w:rPr>
        <w:t>six-phase approach</w:t>
      </w:r>
      <w:r w:rsidRPr="4F75CE6F" w:rsidR="35E54546">
        <w:rPr>
          <w:rFonts w:ascii="Arial" w:hAnsi="Arial" w:eastAsia="Arial" w:cs="Arial"/>
          <w:b w:val="0"/>
          <w:bCs w:val="0"/>
          <w:noProof w:val="0"/>
          <w:sz w:val="22"/>
          <w:szCs w:val="22"/>
          <w:lang w:val="en-GB"/>
        </w:rPr>
        <w:t xml:space="preserve"> outlined by Braun and Clarke (2006):</w:t>
      </w:r>
    </w:p>
    <w:p xmlns:wp14="http://schemas.microsoft.com/office/word/2010/wordml" w:rsidP="4F75CE6F" wp14:paraId="678077D6" wp14:textId="4E5FD0C4">
      <w:pPr>
        <w:pStyle w:val="ListParagraph"/>
        <w:numPr>
          <w:ilvl w:val="0"/>
          <w:numId w:val="5"/>
        </w:numPr>
        <w:spacing w:before="240" w:beforeAutospacing="off" w:after="240" w:afterAutospacing="off" w:line="360" w:lineRule="auto"/>
        <w:jc w:val="both"/>
        <w:rPr>
          <w:rFonts w:ascii="Arial" w:hAnsi="Arial" w:eastAsia="Arial" w:cs="Arial"/>
          <w:b w:val="0"/>
          <w:bCs w:val="0"/>
          <w:noProof w:val="0"/>
          <w:sz w:val="22"/>
          <w:szCs w:val="22"/>
          <w:lang w:val="en-GB"/>
        </w:rPr>
      </w:pPr>
      <w:r w:rsidRPr="4F75CE6F" w:rsidR="35E54546">
        <w:rPr>
          <w:rFonts w:ascii="Arial" w:hAnsi="Arial" w:eastAsia="Arial" w:cs="Arial"/>
          <w:b w:val="0"/>
          <w:bCs w:val="0"/>
          <w:noProof w:val="0"/>
          <w:sz w:val="22"/>
          <w:szCs w:val="22"/>
          <w:lang w:val="en-GB"/>
        </w:rPr>
        <w:t>Familiarisation</w:t>
      </w:r>
      <w:r w:rsidRPr="4F75CE6F" w:rsidR="35E54546">
        <w:rPr>
          <w:rFonts w:ascii="Arial" w:hAnsi="Arial" w:eastAsia="Arial" w:cs="Arial"/>
          <w:b w:val="0"/>
          <w:bCs w:val="0"/>
          <w:noProof w:val="0"/>
          <w:sz w:val="22"/>
          <w:szCs w:val="22"/>
          <w:lang w:val="en-GB"/>
        </w:rPr>
        <w:t>: Reading and re-reading transcripts to gain an in-depth understanding of the data.</w:t>
      </w:r>
    </w:p>
    <w:p xmlns:wp14="http://schemas.microsoft.com/office/word/2010/wordml" w:rsidP="4F75CE6F" wp14:paraId="004ADCE7" wp14:textId="5E399328">
      <w:pPr>
        <w:pStyle w:val="ListParagraph"/>
        <w:numPr>
          <w:ilvl w:val="0"/>
          <w:numId w:val="5"/>
        </w:numPr>
        <w:spacing w:before="240" w:beforeAutospacing="off" w:after="240" w:afterAutospacing="off" w:line="360" w:lineRule="auto"/>
        <w:jc w:val="both"/>
        <w:rPr>
          <w:rFonts w:ascii="Arial" w:hAnsi="Arial" w:eastAsia="Arial" w:cs="Arial"/>
          <w:b w:val="0"/>
          <w:bCs w:val="0"/>
          <w:noProof w:val="0"/>
          <w:sz w:val="22"/>
          <w:szCs w:val="22"/>
          <w:lang w:val="en-GB"/>
        </w:rPr>
      </w:pPr>
      <w:r w:rsidRPr="4F75CE6F" w:rsidR="35E54546">
        <w:rPr>
          <w:rFonts w:ascii="Arial" w:hAnsi="Arial" w:eastAsia="Arial" w:cs="Arial"/>
          <w:b w:val="0"/>
          <w:bCs w:val="0"/>
          <w:noProof w:val="0"/>
          <w:sz w:val="22"/>
          <w:szCs w:val="22"/>
          <w:lang w:val="en-GB"/>
        </w:rPr>
        <w:t>Generating initial codes</w:t>
      </w:r>
      <w:r w:rsidRPr="4F75CE6F" w:rsidR="35E54546">
        <w:rPr>
          <w:rFonts w:ascii="Arial" w:hAnsi="Arial" w:eastAsia="Arial" w:cs="Arial"/>
          <w:b w:val="0"/>
          <w:bCs w:val="0"/>
          <w:noProof w:val="0"/>
          <w:sz w:val="22"/>
          <w:szCs w:val="22"/>
          <w:lang w:val="en-GB"/>
        </w:rPr>
        <w:t>: Systematically coding relevant features of the data across the dataset.</w:t>
      </w:r>
    </w:p>
    <w:p xmlns:wp14="http://schemas.microsoft.com/office/word/2010/wordml" w:rsidP="4F75CE6F" wp14:paraId="3BE004BE" wp14:textId="4A192C7E">
      <w:pPr>
        <w:pStyle w:val="ListParagraph"/>
        <w:numPr>
          <w:ilvl w:val="0"/>
          <w:numId w:val="5"/>
        </w:numPr>
        <w:spacing w:before="240" w:beforeAutospacing="off" w:after="240" w:afterAutospacing="off" w:line="360" w:lineRule="auto"/>
        <w:jc w:val="both"/>
        <w:rPr>
          <w:rFonts w:ascii="Arial" w:hAnsi="Arial" w:eastAsia="Arial" w:cs="Arial"/>
          <w:b w:val="0"/>
          <w:bCs w:val="0"/>
          <w:noProof w:val="0"/>
          <w:sz w:val="22"/>
          <w:szCs w:val="22"/>
          <w:lang w:val="en-GB"/>
        </w:rPr>
      </w:pPr>
      <w:r w:rsidRPr="4F75CE6F" w:rsidR="35E54546">
        <w:rPr>
          <w:rFonts w:ascii="Arial" w:hAnsi="Arial" w:eastAsia="Arial" w:cs="Arial"/>
          <w:b w:val="0"/>
          <w:bCs w:val="0"/>
          <w:noProof w:val="0"/>
          <w:sz w:val="22"/>
          <w:szCs w:val="22"/>
          <w:lang w:val="en-GB"/>
        </w:rPr>
        <w:t>Searching for themes</w:t>
      </w:r>
      <w:r w:rsidRPr="4F75CE6F" w:rsidR="35E54546">
        <w:rPr>
          <w:rFonts w:ascii="Arial" w:hAnsi="Arial" w:eastAsia="Arial" w:cs="Arial"/>
          <w:b w:val="0"/>
          <w:bCs w:val="0"/>
          <w:noProof w:val="0"/>
          <w:sz w:val="22"/>
          <w:szCs w:val="22"/>
          <w:lang w:val="en-GB"/>
        </w:rPr>
        <w:t>: Collating codes into potential themes that reflect patterns in experiences.</w:t>
      </w:r>
    </w:p>
    <w:p xmlns:wp14="http://schemas.microsoft.com/office/word/2010/wordml" w:rsidP="4F75CE6F" wp14:paraId="44A4A66A" wp14:textId="4E85FFEB">
      <w:pPr>
        <w:pStyle w:val="ListParagraph"/>
        <w:numPr>
          <w:ilvl w:val="0"/>
          <w:numId w:val="5"/>
        </w:numPr>
        <w:spacing w:before="240" w:beforeAutospacing="off" w:after="240" w:afterAutospacing="off" w:line="360" w:lineRule="auto"/>
        <w:jc w:val="both"/>
        <w:rPr>
          <w:rFonts w:ascii="Arial" w:hAnsi="Arial" w:eastAsia="Arial" w:cs="Arial"/>
          <w:b w:val="0"/>
          <w:bCs w:val="0"/>
          <w:noProof w:val="0"/>
          <w:sz w:val="22"/>
          <w:szCs w:val="22"/>
          <w:lang w:val="en-GB"/>
        </w:rPr>
      </w:pPr>
      <w:r w:rsidRPr="4F75CE6F" w:rsidR="35E54546">
        <w:rPr>
          <w:rFonts w:ascii="Arial" w:hAnsi="Arial" w:eastAsia="Arial" w:cs="Arial"/>
          <w:b w:val="0"/>
          <w:bCs w:val="0"/>
          <w:noProof w:val="0"/>
          <w:sz w:val="22"/>
          <w:szCs w:val="22"/>
          <w:lang w:val="en-GB"/>
        </w:rPr>
        <w:t>Reviewing themes</w:t>
      </w:r>
      <w:r w:rsidRPr="4F75CE6F" w:rsidR="35E54546">
        <w:rPr>
          <w:rFonts w:ascii="Arial" w:hAnsi="Arial" w:eastAsia="Arial" w:cs="Arial"/>
          <w:b w:val="0"/>
          <w:bCs w:val="0"/>
          <w:noProof w:val="0"/>
          <w:sz w:val="22"/>
          <w:szCs w:val="22"/>
          <w:lang w:val="en-GB"/>
        </w:rPr>
        <w:t xml:space="preserve">: Checking themes against the dataset to ensure they accurately </w:t>
      </w:r>
      <w:r w:rsidRPr="4F75CE6F" w:rsidR="35E54546">
        <w:rPr>
          <w:rFonts w:ascii="Arial" w:hAnsi="Arial" w:eastAsia="Arial" w:cs="Arial"/>
          <w:b w:val="0"/>
          <w:bCs w:val="0"/>
          <w:noProof w:val="0"/>
          <w:sz w:val="22"/>
          <w:szCs w:val="22"/>
          <w:lang w:val="en-GB"/>
        </w:rPr>
        <w:t>represent</w:t>
      </w:r>
      <w:r w:rsidRPr="4F75CE6F" w:rsidR="35E54546">
        <w:rPr>
          <w:rFonts w:ascii="Arial" w:hAnsi="Arial" w:eastAsia="Arial" w:cs="Arial"/>
          <w:b w:val="0"/>
          <w:bCs w:val="0"/>
          <w:noProof w:val="0"/>
          <w:sz w:val="22"/>
          <w:szCs w:val="22"/>
          <w:lang w:val="en-GB"/>
        </w:rPr>
        <w:t xml:space="preserve"> the data.</w:t>
      </w:r>
    </w:p>
    <w:p xmlns:wp14="http://schemas.microsoft.com/office/word/2010/wordml" w:rsidP="4F75CE6F" wp14:paraId="0E459F56" wp14:textId="139E2B30">
      <w:pPr>
        <w:pStyle w:val="ListParagraph"/>
        <w:numPr>
          <w:ilvl w:val="0"/>
          <w:numId w:val="5"/>
        </w:numPr>
        <w:spacing w:before="240" w:beforeAutospacing="off" w:after="240" w:afterAutospacing="off" w:line="360" w:lineRule="auto"/>
        <w:jc w:val="both"/>
        <w:rPr>
          <w:rFonts w:ascii="Arial" w:hAnsi="Arial" w:eastAsia="Arial" w:cs="Arial"/>
          <w:b w:val="0"/>
          <w:bCs w:val="0"/>
          <w:noProof w:val="0"/>
          <w:sz w:val="22"/>
          <w:szCs w:val="22"/>
          <w:lang w:val="en-GB"/>
        </w:rPr>
      </w:pPr>
      <w:r w:rsidRPr="4F75CE6F" w:rsidR="35E54546">
        <w:rPr>
          <w:rFonts w:ascii="Arial" w:hAnsi="Arial" w:eastAsia="Arial" w:cs="Arial"/>
          <w:b w:val="0"/>
          <w:bCs w:val="0"/>
          <w:noProof w:val="0"/>
          <w:sz w:val="22"/>
          <w:szCs w:val="22"/>
          <w:lang w:val="en-GB"/>
        </w:rPr>
        <w:t>Defining and naming themes</w:t>
      </w:r>
      <w:r w:rsidRPr="4F75CE6F" w:rsidR="35E54546">
        <w:rPr>
          <w:rFonts w:ascii="Arial" w:hAnsi="Arial" w:eastAsia="Arial" w:cs="Arial"/>
          <w:b w:val="0"/>
          <w:bCs w:val="0"/>
          <w:noProof w:val="0"/>
          <w:sz w:val="22"/>
          <w:szCs w:val="22"/>
          <w:lang w:val="en-GB"/>
        </w:rPr>
        <w:t>: Refining each theme and generating clear definitions and names.</w:t>
      </w:r>
    </w:p>
    <w:p xmlns:wp14="http://schemas.microsoft.com/office/word/2010/wordml" w:rsidP="4F75CE6F" wp14:paraId="2F4DCC0A" wp14:textId="6D82787A">
      <w:pPr>
        <w:pStyle w:val="ListParagraph"/>
        <w:numPr>
          <w:ilvl w:val="0"/>
          <w:numId w:val="5"/>
        </w:numPr>
        <w:spacing w:before="240" w:beforeAutospacing="off" w:after="240" w:afterAutospacing="off" w:line="360" w:lineRule="auto"/>
        <w:jc w:val="both"/>
        <w:rPr>
          <w:rFonts w:ascii="Arial" w:hAnsi="Arial" w:eastAsia="Arial" w:cs="Arial"/>
          <w:b w:val="0"/>
          <w:bCs w:val="0"/>
          <w:noProof w:val="0"/>
          <w:sz w:val="22"/>
          <w:szCs w:val="22"/>
          <w:lang w:val="en-GB"/>
        </w:rPr>
      </w:pPr>
      <w:r w:rsidRPr="4F75CE6F" w:rsidR="35E54546">
        <w:rPr>
          <w:rFonts w:ascii="Arial" w:hAnsi="Arial" w:eastAsia="Arial" w:cs="Arial"/>
          <w:b w:val="0"/>
          <w:bCs w:val="0"/>
          <w:noProof w:val="0"/>
          <w:sz w:val="22"/>
          <w:szCs w:val="22"/>
          <w:lang w:val="en-GB"/>
        </w:rPr>
        <w:t>Producing the report</w:t>
      </w:r>
      <w:r w:rsidRPr="4F75CE6F" w:rsidR="35E54546">
        <w:rPr>
          <w:rFonts w:ascii="Arial" w:hAnsi="Arial" w:eastAsia="Arial" w:cs="Arial"/>
          <w:b w:val="0"/>
          <w:bCs w:val="0"/>
          <w:noProof w:val="0"/>
          <w:sz w:val="22"/>
          <w:szCs w:val="22"/>
          <w:lang w:val="en-GB"/>
        </w:rPr>
        <w:t xml:space="preserve">: Writing up the findings with illustrative quotes to </w:t>
      </w:r>
      <w:r w:rsidRPr="4F75CE6F" w:rsidR="35E54546">
        <w:rPr>
          <w:rFonts w:ascii="Arial" w:hAnsi="Arial" w:eastAsia="Arial" w:cs="Arial"/>
          <w:b w:val="0"/>
          <w:bCs w:val="0"/>
          <w:noProof w:val="0"/>
          <w:sz w:val="22"/>
          <w:szCs w:val="22"/>
          <w:lang w:val="en-GB"/>
        </w:rPr>
        <w:t>demonstrate</w:t>
      </w:r>
      <w:r w:rsidRPr="4F75CE6F" w:rsidR="35E54546">
        <w:rPr>
          <w:rFonts w:ascii="Arial" w:hAnsi="Arial" w:eastAsia="Arial" w:cs="Arial"/>
          <w:b w:val="0"/>
          <w:bCs w:val="0"/>
          <w:noProof w:val="0"/>
          <w:sz w:val="22"/>
          <w:szCs w:val="22"/>
          <w:lang w:val="en-GB"/>
        </w:rPr>
        <w:t xml:space="preserve"> participants’ perspectives.</w:t>
      </w:r>
    </w:p>
    <w:p xmlns:wp14="http://schemas.microsoft.com/office/word/2010/wordml" w:rsidP="4F75CE6F" wp14:paraId="043521CD" wp14:textId="19E9972E">
      <w:pPr>
        <w:spacing w:before="240" w:beforeAutospacing="off" w:after="240" w:afterAutospacing="off" w:line="360" w:lineRule="auto"/>
        <w:jc w:val="both"/>
        <w:rPr>
          <w:rFonts w:ascii="Arial" w:hAnsi="Arial" w:eastAsia="Arial" w:cs="Arial"/>
          <w:b w:val="0"/>
          <w:bCs w:val="0"/>
          <w:noProof w:val="0"/>
          <w:sz w:val="22"/>
          <w:szCs w:val="22"/>
          <w:lang w:val="en-GB"/>
        </w:rPr>
      </w:pPr>
      <w:r w:rsidRPr="4F75CE6F" w:rsidR="35E54546">
        <w:rPr>
          <w:rFonts w:ascii="Arial" w:hAnsi="Arial" w:eastAsia="Arial" w:cs="Arial"/>
          <w:b w:val="0"/>
          <w:bCs w:val="0"/>
          <w:noProof w:val="0"/>
          <w:sz w:val="22"/>
          <w:szCs w:val="22"/>
          <w:lang w:val="en-GB"/>
        </w:rPr>
        <w:t>To enhance credibility and dependability, a peer debriefing process will be used, where another researcher reviews a subset of transcripts and coding decisions (Nowell et al., 2017). NVivo software will assist in organising and coding the data efficiently, allowing systematic management of large volumes of qualitative material (Bazeley &amp; Jackson, 2013).</w:t>
      </w:r>
      <w:r w:rsidRPr="4F75CE6F" w:rsidR="35E54546">
        <w:rPr>
          <w:rFonts w:ascii="Arial" w:hAnsi="Arial" w:eastAsia="Arial" w:cs="Arial"/>
          <w:b w:val="0"/>
          <w:bCs w:val="0"/>
          <w:noProof w:val="0"/>
          <w:sz w:val="22"/>
          <w:szCs w:val="22"/>
          <w:lang w:val="en-GB"/>
        </w:rPr>
        <w:t xml:space="preserve">This approach will enable the identification of </w:t>
      </w:r>
      <w:r w:rsidRPr="4F75CE6F" w:rsidR="35E54546">
        <w:rPr>
          <w:rFonts w:ascii="Arial" w:hAnsi="Arial" w:eastAsia="Arial" w:cs="Arial"/>
          <w:b w:val="0"/>
          <w:bCs w:val="0"/>
          <w:noProof w:val="0"/>
          <w:sz w:val="22"/>
          <w:szCs w:val="22"/>
          <w:lang w:val="en-GB"/>
        </w:rPr>
        <w:t>both structural and psychological barriers</w:t>
      </w:r>
      <w:r w:rsidRPr="4F75CE6F" w:rsidR="35E54546">
        <w:rPr>
          <w:rFonts w:ascii="Arial" w:hAnsi="Arial" w:eastAsia="Arial" w:cs="Arial"/>
          <w:b w:val="0"/>
          <w:bCs w:val="0"/>
          <w:noProof w:val="0"/>
          <w:sz w:val="22"/>
          <w:szCs w:val="22"/>
          <w:lang w:val="en-GB"/>
        </w:rPr>
        <w:t>, as well as their interactions, providing nuanced insights into how young adults experience challenges in accessing mental health services.</w:t>
      </w:r>
    </w:p>
    <w:p xmlns:wp14="http://schemas.microsoft.com/office/word/2010/wordml" w:rsidP="4F75CE6F" wp14:paraId="733E2C6E" wp14:textId="6448EDF7">
      <w:pPr>
        <w:pStyle w:val="Heading2"/>
        <w:spacing w:line="360" w:lineRule="auto"/>
        <w:jc w:val="both"/>
        <w:rPr>
          <w:rFonts w:ascii="Arial" w:hAnsi="Arial" w:eastAsia="Arial" w:cs="Arial"/>
          <w:b w:val="1"/>
          <w:bCs w:val="1"/>
          <w:noProof w:val="0"/>
          <w:color w:val="000000" w:themeColor="text1" w:themeTint="FF" w:themeShade="FF"/>
          <w:sz w:val="22"/>
          <w:szCs w:val="22"/>
          <w:lang w:val="en-GB"/>
        </w:rPr>
      </w:pPr>
      <w:r w:rsidRPr="4F75CE6F" w:rsidR="68BF1E33">
        <w:rPr>
          <w:rFonts w:ascii="Arial" w:hAnsi="Arial" w:eastAsia="Arial" w:cs="Arial"/>
          <w:b w:val="1"/>
          <w:bCs w:val="1"/>
          <w:noProof w:val="0"/>
          <w:color w:val="000000" w:themeColor="text1" w:themeTint="FF" w:themeShade="FF"/>
          <w:sz w:val="22"/>
          <w:szCs w:val="22"/>
          <w:lang w:val="en-GB"/>
        </w:rPr>
        <w:t>Ethical considerations</w:t>
      </w:r>
    </w:p>
    <w:p xmlns:wp14="http://schemas.microsoft.com/office/word/2010/wordml" w:rsidP="4F75CE6F" wp14:paraId="2CF6B814" wp14:textId="74AD4A54">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4F75CE6F" w:rsidR="0B412EE9">
        <w:rPr>
          <w:rFonts w:ascii="Arial" w:hAnsi="Arial" w:eastAsia="Arial" w:cs="Arial"/>
          <w:b w:val="0"/>
          <w:bCs w:val="0"/>
          <w:noProof w:val="0"/>
          <w:color w:val="000000" w:themeColor="text1" w:themeTint="FF" w:themeShade="FF"/>
          <w:sz w:val="22"/>
          <w:szCs w:val="22"/>
          <w:lang w:val="en-GB"/>
        </w:rPr>
        <w:t xml:space="preserve">Ethical approval will be sought from the university’s ethics committee prior to data collection, </w:t>
      </w:r>
      <w:r w:rsidRPr="4F75CE6F" w:rsidR="0B412EE9">
        <w:rPr>
          <w:rFonts w:ascii="Arial" w:hAnsi="Arial" w:eastAsia="Arial" w:cs="Arial"/>
          <w:b w:val="0"/>
          <w:bCs w:val="0"/>
          <w:noProof w:val="0"/>
          <w:color w:val="000000" w:themeColor="text1" w:themeTint="FF" w:themeShade="FF"/>
          <w:sz w:val="22"/>
          <w:szCs w:val="22"/>
          <w:lang w:val="en-GB"/>
        </w:rPr>
        <w:t>in accordance with</w:t>
      </w:r>
      <w:r w:rsidRPr="4F75CE6F" w:rsidR="0B412EE9">
        <w:rPr>
          <w:rFonts w:ascii="Arial" w:hAnsi="Arial" w:eastAsia="Arial" w:cs="Arial"/>
          <w:b w:val="0"/>
          <w:bCs w:val="0"/>
          <w:noProof w:val="0"/>
          <w:color w:val="000000" w:themeColor="text1" w:themeTint="FF" w:themeShade="FF"/>
          <w:sz w:val="22"/>
          <w:szCs w:val="22"/>
          <w:lang w:val="en-GB"/>
        </w:rPr>
        <w:t xml:space="preserve"> institutional guidelines and the principles outlined in the </w:t>
      </w:r>
      <w:r w:rsidRPr="4F75CE6F" w:rsidR="0B412EE9">
        <w:rPr>
          <w:rFonts w:ascii="Arial" w:hAnsi="Arial" w:eastAsia="Arial" w:cs="Arial"/>
          <w:b w:val="0"/>
          <w:bCs w:val="0"/>
          <w:noProof w:val="0"/>
          <w:color w:val="000000" w:themeColor="text1" w:themeTint="FF" w:themeShade="FF"/>
          <w:sz w:val="22"/>
          <w:szCs w:val="22"/>
          <w:lang w:val="en-GB"/>
        </w:rPr>
        <w:t>UK Policy Framework for Health and Social Care Research</w:t>
      </w:r>
      <w:r w:rsidRPr="4F75CE6F" w:rsidR="0B412EE9">
        <w:rPr>
          <w:rFonts w:ascii="Arial" w:hAnsi="Arial" w:eastAsia="Arial" w:cs="Arial"/>
          <w:b w:val="0"/>
          <w:bCs w:val="0"/>
          <w:noProof w:val="0"/>
          <w:color w:val="000000" w:themeColor="text1" w:themeTint="FF" w:themeShade="FF"/>
          <w:sz w:val="22"/>
          <w:szCs w:val="22"/>
          <w:lang w:val="en-GB"/>
        </w:rPr>
        <w:t xml:space="preserve"> (Health Research Authority, 2023). This study involves human participants discussing potentially sensitive mental health experiences, therefore careful consideration will be given to protecting participants’ rights, wellbeing, and dignity throughout the research process.</w:t>
      </w:r>
    </w:p>
    <w:p xmlns:wp14="http://schemas.microsoft.com/office/word/2010/wordml" w:rsidP="4F75CE6F" wp14:paraId="3D0F27FD" wp14:textId="1558AF6F">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281140794" w:id="1516451439"/>
      <w:r w:rsidRPr="4F75CE6F" w:rsidR="0B412EE9">
        <w:rPr>
          <w:rFonts w:ascii="Arial" w:hAnsi="Arial" w:eastAsia="Arial" w:cs="Arial"/>
          <w:b w:val="1"/>
          <w:bCs w:val="1"/>
          <w:noProof w:val="0"/>
          <w:color w:val="000000" w:themeColor="text1" w:themeTint="FF" w:themeShade="FF"/>
          <w:sz w:val="22"/>
          <w:szCs w:val="22"/>
          <w:lang w:val="en-GB"/>
        </w:rPr>
        <w:t>Informed Consent</w:t>
      </w:r>
      <w:bookmarkEnd w:id="1516451439"/>
    </w:p>
    <w:p xmlns:wp14="http://schemas.microsoft.com/office/word/2010/wordml" w:rsidP="4F75CE6F" wp14:paraId="39C3733F" wp14:textId="6A2505F3">
      <w:pPr>
        <w:pStyle w:val="Heading3"/>
        <w:spacing w:before="281" w:beforeAutospacing="off" w:after="281" w:afterAutospacing="off" w:line="360" w:lineRule="auto"/>
        <w:jc w:val="both"/>
        <w:rPr>
          <w:rFonts w:ascii="Arial" w:hAnsi="Arial" w:eastAsia="Arial" w:cs="Arial"/>
          <w:b w:val="0"/>
          <w:bCs w:val="0"/>
          <w:noProof w:val="0"/>
          <w:color w:val="000000" w:themeColor="text1" w:themeTint="FF" w:themeShade="FF"/>
          <w:sz w:val="22"/>
          <w:szCs w:val="22"/>
          <w:lang w:val="en-GB"/>
        </w:rPr>
      </w:pPr>
      <w:r w:rsidRPr="4F75CE6F" w:rsidR="0B412EE9">
        <w:rPr>
          <w:rFonts w:ascii="Arial" w:hAnsi="Arial" w:eastAsia="Arial" w:cs="Arial"/>
          <w:b w:val="0"/>
          <w:bCs w:val="0"/>
          <w:noProof w:val="0"/>
          <w:color w:val="000000" w:themeColor="text1" w:themeTint="FF" w:themeShade="FF"/>
          <w:sz w:val="22"/>
          <w:szCs w:val="22"/>
          <w:lang w:val="en-GB"/>
        </w:rPr>
        <w:t>All participants will be provided with a detailed participant information sheet outlining the study’s purpose, procedures, potential risks, and benefits. Written informed consent will be obtained prior to participation, ensuring that involvement is entirely voluntary and that participants understand their right to withdraw at any stage without providing a reason or experiencing any negative consequences (Beauchamp and Childress, 2019).</w:t>
      </w:r>
    </w:p>
    <w:p xmlns:wp14="http://schemas.microsoft.com/office/word/2010/wordml" w:rsidP="4F75CE6F" wp14:paraId="147E7166" wp14:textId="667E9A92">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1603132524" w:id="1118416517"/>
      <w:r w:rsidRPr="4F75CE6F" w:rsidR="0B412EE9">
        <w:rPr>
          <w:rFonts w:ascii="Arial" w:hAnsi="Arial" w:eastAsia="Arial" w:cs="Arial"/>
          <w:b w:val="1"/>
          <w:bCs w:val="1"/>
          <w:noProof w:val="0"/>
          <w:color w:val="000000" w:themeColor="text1" w:themeTint="FF" w:themeShade="FF"/>
          <w:sz w:val="22"/>
          <w:szCs w:val="22"/>
          <w:lang w:val="en-GB"/>
        </w:rPr>
        <w:t>Confidentiality and Anonymity</w:t>
      </w:r>
      <w:bookmarkEnd w:id="1118416517"/>
    </w:p>
    <w:p xmlns:wp14="http://schemas.microsoft.com/office/word/2010/wordml" w:rsidP="4F75CE6F" wp14:paraId="6DD3072C" wp14:textId="7201B8B3">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4F75CE6F" w:rsidR="0B412EE9">
        <w:rPr>
          <w:rFonts w:ascii="Arial" w:hAnsi="Arial" w:eastAsia="Arial" w:cs="Arial"/>
          <w:b w:val="0"/>
          <w:bCs w:val="0"/>
          <w:noProof w:val="0"/>
          <w:color w:val="000000" w:themeColor="text1" w:themeTint="FF" w:themeShade="FF"/>
          <w:sz w:val="22"/>
          <w:szCs w:val="22"/>
          <w:lang w:val="en-GB"/>
        </w:rPr>
        <w:t xml:space="preserve">Participant confidentiality will be strictly </w:t>
      </w:r>
      <w:r w:rsidRPr="4F75CE6F" w:rsidR="0B412EE9">
        <w:rPr>
          <w:rFonts w:ascii="Arial" w:hAnsi="Arial" w:eastAsia="Arial" w:cs="Arial"/>
          <w:b w:val="0"/>
          <w:bCs w:val="0"/>
          <w:noProof w:val="0"/>
          <w:color w:val="000000" w:themeColor="text1" w:themeTint="FF" w:themeShade="FF"/>
          <w:sz w:val="22"/>
          <w:szCs w:val="22"/>
          <w:lang w:val="en-GB"/>
        </w:rPr>
        <w:t>maintained</w:t>
      </w:r>
      <w:r w:rsidRPr="4F75CE6F" w:rsidR="0B412EE9">
        <w:rPr>
          <w:rFonts w:ascii="Arial" w:hAnsi="Arial" w:eastAsia="Arial" w:cs="Arial"/>
          <w:b w:val="0"/>
          <w:bCs w:val="0"/>
          <w:noProof w:val="0"/>
          <w:color w:val="000000" w:themeColor="text1" w:themeTint="FF" w:themeShade="FF"/>
          <w:sz w:val="22"/>
          <w:szCs w:val="22"/>
          <w:lang w:val="en-GB"/>
        </w:rPr>
        <w:t xml:space="preserve">. All personal identifiers will be removed from transcripts, and participants will be assigned pseudonyms to ensure anonymity. Audio recordings and transcripts will be stored securely on password-protected, encrypted devices, in compliance with the </w:t>
      </w:r>
      <w:r w:rsidRPr="4F75CE6F" w:rsidR="0B412EE9">
        <w:rPr>
          <w:rFonts w:ascii="Arial" w:hAnsi="Arial" w:eastAsia="Arial" w:cs="Arial"/>
          <w:b w:val="0"/>
          <w:bCs w:val="0"/>
          <w:noProof w:val="0"/>
          <w:color w:val="000000" w:themeColor="text1" w:themeTint="FF" w:themeShade="FF"/>
          <w:sz w:val="22"/>
          <w:szCs w:val="22"/>
          <w:lang w:val="en-GB"/>
        </w:rPr>
        <w:t>UK General Data Protection Regulation (UK GDPR)</w:t>
      </w:r>
      <w:r w:rsidRPr="4F75CE6F" w:rsidR="0B412EE9">
        <w:rPr>
          <w:rFonts w:ascii="Arial" w:hAnsi="Arial" w:eastAsia="Arial" w:cs="Arial"/>
          <w:b w:val="0"/>
          <w:bCs w:val="0"/>
          <w:noProof w:val="0"/>
          <w:color w:val="000000" w:themeColor="text1" w:themeTint="FF" w:themeShade="FF"/>
          <w:sz w:val="22"/>
          <w:szCs w:val="22"/>
          <w:lang w:val="en-GB"/>
        </w:rPr>
        <w:t xml:space="preserve"> and the Data Protection Act 2018 (Information Commissioner’s Office, 2023). Data will be </w:t>
      </w:r>
      <w:r w:rsidRPr="4F75CE6F" w:rsidR="0B412EE9">
        <w:rPr>
          <w:rFonts w:ascii="Arial" w:hAnsi="Arial" w:eastAsia="Arial" w:cs="Arial"/>
          <w:b w:val="0"/>
          <w:bCs w:val="0"/>
          <w:noProof w:val="0"/>
          <w:color w:val="000000" w:themeColor="text1" w:themeTint="FF" w:themeShade="FF"/>
          <w:sz w:val="22"/>
          <w:szCs w:val="22"/>
          <w:lang w:val="en-GB"/>
        </w:rPr>
        <w:t>retained</w:t>
      </w:r>
      <w:r w:rsidRPr="4F75CE6F" w:rsidR="0B412EE9">
        <w:rPr>
          <w:rFonts w:ascii="Arial" w:hAnsi="Arial" w:eastAsia="Arial" w:cs="Arial"/>
          <w:b w:val="0"/>
          <w:bCs w:val="0"/>
          <w:noProof w:val="0"/>
          <w:color w:val="000000" w:themeColor="text1" w:themeTint="FF" w:themeShade="FF"/>
          <w:sz w:val="22"/>
          <w:szCs w:val="22"/>
          <w:lang w:val="en-GB"/>
        </w:rPr>
        <w:t xml:space="preserve"> only for the duration specified by the university’s data management policy and then securely destroyed.</w:t>
      </w:r>
    </w:p>
    <w:p xmlns:wp14="http://schemas.microsoft.com/office/word/2010/wordml" w:rsidP="4F75CE6F" wp14:paraId="2C457BF0" wp14:textId="021C7D9E">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750292324" w:id="1112737714"/>
      <w:r w:rsidRPr="4F75CE6F" w:rsidR="0B412EE9">
        <w:rPr>
          <w:rFonts w:ascii="Arial" w:hAnsi="Arial" w:eastAsia="Arial" w:cs="Arial"/>
          <w:b w:val="1"/>
          <w:bCs w:val="1"/>
          <w:noProof w:val="0"/>
          <w:color w:val="000000" w:themeColor="text1" w:themeTint="FF" w:themeShade="FF"/>
          <w:sz w:val="22"/>
          <w:szCs w:val="22"/>
          <w:lang w:val="en-GB"/>
        </w:rPr>
        <w:t>Psychological Wellbeing and Risk Management</w:t>
      </w:r>
      <w:bookmarkEnd w:id="1112737714"/>
    </w:p>
    <w:p xmlns:wp14="http://schemas.microsoft.com/office/word/2010/wordml" w:rsidP="4F75CE6F" wp14:paraId="3DDCCF93" wp14:textId="50E6FB18">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4F75CE6F" w:rsidR="0B412EE9">
        <w:rPr>
          <w:rFonts w:ascii="Arial" w:hAnsi="Arial" w:eastAsia="Arial" w:cs="Arial"/>
          <w:b w:val="0"/>
          <w:bCs w:val="0"/>
          <w:noProof w:val="0"/>
          <w:color w:val="000000" w:themeColor="text1" w:themeTint="FF" w:themeShade="FF"/>
          <w:sz w:val="22"/>
          <w:szCs w:val="22"/>
          <w:lang w:val="en-GB"/>
        </w:rPr>
        <w:t xml:space="preserve">Given the sensitive nature of mental health discussions, there is a potential risk of emotional distress. To mitigate this, participants will be informed in advance that they may decline to answer any question or pause the interview at any time. A list of mental health support services, including NHS and third-sector organisations, will be provided to participants following the interview (Wiles et al., 2008). If a participant becomes visibly distressed, the interview will be stopped, and </w:t>
      </w:r>
      <w:r w:rsidRPr="4F75CE6F" w:rsidR="0B412EE9">
        <w:rPr>
          <w:rFonts w:ascii="Arial" w:hAnsi="Arial" w:eastAsia="Arial" w:cs="Arial"/>
          <w:b w:val="0"/>
          <w:bCs w:val="0"/>
          <w:noProof w:val="0"/>
          <w:color w:val="000000" w:themeColor="text1" w:themeTint="FF" w:themeShade="FF"/>
          <w:sz w:val="22"/>
          <w:szCs w:val="22"/>
          <w:lang w:val="en-GB"/>
        </w:rPr>
        <w:t>appropriate support</w:t>
      </w:r>
      <w:r w:rsidRPr="4F75CE6F" w:rsidR="0B412EE9">
        <w:rPr>
          <w:rFonts w:ascii="Arial" w:hAnsi="Arial" w:eastAsia="Arial" w:cs="Arial"/>
          <w:b w:val="0"/>
          <w:bCs w:val="0"/>
          <w:noProof w:val="0"/>
          <w:color w:val="000000" w:themeColor="text1" w:themeTint="FF" w:themeShade="FF"/>
          <w:sz w:val="22"/>
          <w:szCs w:val="22"/>
          <w:lang w:val="en-GB"/>
        </w:rPr>
        <w:t xml:space="preserve"> signposting will be offered.</w:t>
      </w:r>
    </w:p>
    <w:p xmlns:wp14="http://schemas.microsoft.com/office/word/2010/wordml" w:rsidP="4F75CE6F" wp14:paraId="25FF1E94" wp14:textId="074DFF6F">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1791828074" w:id="831722197"/>
      <w:r w:rsidRPr="4F75CE6F" w:rsidR="0B412EE9">
        <w:rPr>
          <w:rFonts w:ascii="Arial" w:hAnsi="Arial" w:eastAsia="Arial" w:cs="Arial"/>
          <w:b w:val="1"/>
          <w:bCs w:val="1"/>
          <w:noProof w:val="0"/>
          <w:color w:val="000000" w:themeColor="text1" w:themeTint="FF" w:themeShade="FF"/>
          <w:sz w:val="22"/>
          <w:szCs w:val="22"/>
          <w:lang w:val="en-GB"/>
        </w:rPr>
        <w:t>Researcher Responsibility and Reflexivity</w:t>
      </w:r>
      <w:bookmarkEnd w:id="831722197"/>
    </w:p>
    <w:p xmlns:wp14="http://schemas.microsoft.com/office/word/2010/wordml" w:rsidP="4F75CE6F" wp14:paraId="3703C6CA" wp14:textId="5C162155">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4F75CE6F" w:rsidR="0B412EE9">
        <w:rPr>
          <w:rFonts w:ascii="Arial" w:hAnsi="Arial" w:eastAsia="Arial" w:cs="Arial"/>
          <w:b w:val="0"/>
          <w:bCs w:val="0"/>
          <w:noProof w:val="0"/>
          <w:color w:val="000000" w:themeColor="text1" w:themeTint="FF" w:themeShade="FF"/>
          <w:sz w:val="22"/>
          <w:szCs w:val="22"/>
          <w:lang w:val="en-GB"/>
        </w:rPr>
        <w:t xml:space="preserve">The researcher will engage in </w:t>
      </w:r>
      <w:r w:rsidRPr="4F75CE6F" w:rsidR="0B412EE9">
        <w:rPr>
          <w:rFonts w:ascii="Arial" w:hAnsi="Arial" w:eastAsia="Arial" w:cs="Arial"/>
          <w:b w:val="0"/>
          <w:bCs w:val="0"/>
          <w:noProof w:val="0"/>
          <w:color w:val="000000" w:themeColor="text1" w:themeTint="FF" w:themeShade="FF"/>
          <w:sz w:val="22"/>
          <w:szCs w:val="22"/>
          <w:lang w:val="en-GB"/>
        </w:rPr>
        <w:t>reflexive practice</w:t>
      </w:r>
      <w:r w:rsidRPr="4F75CE6F" w:rsidR="0B412EE9">
        <w:rPr>
          <w:rFonts w:ascii="Arial" w:hAnsi="Arial" w:eastAsia="Arial" w:cs="Arial"/>
          <w:b w:val="0"/>
          <w:bCs w:val="0"/>
          <w:noProof w:val="0"/>
          <w:color w:val="000000" w:themeColor="text1" w:themeTint="FF" w:themeShade="FF"/>
          <w:sz w:val="22"/>
          <w:szCs w:val="22"/>
          <w:lang w:val="en-GB"/>
        </w:rPr>
        <w:t xml:space="preserve"> to acknowledge and manage personal assumptions and biases that may influence data collection and interpretation. Reflexive journaling will be used to enhance transparency and ethical rigor, particularly when interpreting participants’ narratives (Finlay, 2002). This approach supports ethical integrity and strengthens the trustworthiness of the research.</w:t>
      </w:r>
    </w:p>
    <w:p xmlns:wp14="http://schemas.microsoft.com/office/word/2010/wordml" w:rsidP="4F75CE6F" wp14:paraId="4E0C558F" wp14:textId="4EECB361">
      <w:pPr>
        <w:pStyle w:val="Heading2"/>
        <w:spacing w:before="240" w:beforeAutospacing="off" w:after="240" w:afterAutospacing="off" w:line="360" w:lineRule="auto"/>
        <w:ind w:left="0"/>
        <w:jc w:val="both"/>
        <w:rPr>
          <w:rFonts w:ascii="Arial" w:hAnsi="Arial" w:eastAsia="Arial" w:cs="Arial"/>
          <w:b w:val="1"/>
          <w:bCs w:val="1"/>
          <w:noProof w:val="0"/>
          <w:color w:val="000000" w:themeColor="text1" w:themeTint="FF" w:themeShade="FF"/>
          <w:sz w:val="22"/>
          <w:szCs w:val="22"/>
          <w:lang w:val="en-GB"/>
        </w:rPr>
      </w:pPr>
      <w:bookmarkStart w:name="_Toc500590986" w:id="401106217"/>
      <w:r w:rsidRPr="4F75CE6F" w:rsidR="218E9827">
        <w:rPr>
          <w:rFonts w:ascii="Arial" w:hAnsi="Arial" w:eastAsia="Arial" w:cs="Arial"/>
          <w:b w:val="1"/>
          <w:bCs w:val="1"/>
          <w:noProof w:val="0"/>
          <w:color w:val="000000" w:themeColor="text1" w:themeTint="FF" w:themeShade="FF"/>
          <w:sz w:val="22"/>
          <w:szCs w:val="22"/>
          <w:lang w:val="en-GB"/>
        </w:rPr>
        <w:t>Implications of the Research</w:t>
      </w:r>
      <w:bookmarkEnd w:id="401106217"/>
    </w:p>
    <w:p xmlns:wp14="http://schemas.microsoft.com/office/word/2010/wordml" w:rsidP="4F75CE6F" wp14:paraId="114FEB09" wp14:textId="46DD6770">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4F75CE6F" w:rsidR="218E9827">
        <w:rPr>
          <w:rFonts w:ascii="Arial" w:hAnsi="Arial" w:eastAsia="Arial" w:cs="Arial"/>
          <w:b w:val="0"/>
          <w:bCs w:val="0"/>
          <w:noProof w:val="0"/>
          <w:color w:val="000000" w:themeColor="text1" w:themeTint="FF" w:themeShade="FF"/>
          <w:sz w:val="22"/>
          <w:szCs w:val="22"/>
          <w:lang w:val="en-GB"/>
        </w:rPr>
        <w:t xml:space="preserve">The findings of this study have the potential to generate meaningful implications for public health policy, mental health service provision, and professional practice within the UK. By </w:t>
      </w:r>
      <w:r w:rsidRPr="4F75CE6F" w:rsidR="218E9827">
        <w:rPr>
          <w:rFonts w:ascii="Arial" w:hAnsi="Arial" w:eastAsia="Arial" w:cs="Arial"/>
          <w:b w:val="0"/>
          <w:bCs w:val="0"/>
          <w:noProof w:val="0"/>
          <w:color w:val="000000" w:themeColor="text1" w:themeTint="FF" w:themeShade="FF"/>
          <w:sz w:val="22"/>
          <w:szCs w:val="22"/>
          <w:lang w:val="en-GB"/>
        </w:rPr>
        <w:t>identifying</w:t>
      </w:r>
      <w:r w:rsidRPr="4F75CE6F" w:rsidR="218E9827">
        <w:rPr>
          <w:rFonts w:ascii="Arial" w:hAnsi="Arial" w:eastAsia="Arial" w:cs="Arial"/>
          <w:b w:val="0"/>
          <w:bCs w:val="0"/>
          <w:noProof w:val="0"/>
          <w:color w:val="000000" w:themeColor="text1" w:themeTint="FF" w:themeShade="FF"/>
          <w:sz w:val="22"/>
          <w:szCs w:val="22"/>
          <w:lang w:val="en-GB"/>
        </w:rPr>
        <w:t xml:space="preserve"> and exploring the barriers young adults face when </w:t>
      </w:r>
      <w:r w:rsidRPr="4F75CE6F" w:rsidR="218E9827">
        <w:rPr>
          <w:rFonts w:ascii="Arial" w:hAnsi="Arial" w:eastAsia="Arial" w:cs="Arial"/>
          <w:b w:val="0"/>
          <w:bCs w:val="0"/>
          <w:noProof w:val="0"/>
          <w:color w:val="000000" w:themeColor="text1" w:themeTint="FF" w:themeShade="FF"/>
          <w:sz w:val="22"/>
          <w:szCs w:val="22"/>
          <w:lang w:val="en-GB"/>
        </w:rPr>
        <w:t>attempting</w:t>
      </w:r>
      <w:r w:rsidRPr="4F75CE6F" w:rsidR="218E9827">
        <w:rPr>
          <w:rFonts w:ascii="Arial" w:hAnsi="Arial" w:eastAsia="Arial" w:cs="Arial"/>
          <w:b w:val="0"/>
          <w:bCs w:val="0"/>
          <w:noProof w:val="0"/>
          <w:color w:val="000000" w:themeColor="text1" w:themeTint="FF" w:themeShade="FF"/>
          <w:sz w:val="22"/>
          <w:szCs w:val="22"/>
          <w:lang w:val="en-GB"/>
        </w:rPr>
        <w:t xml:space="preserve"> to access mental health services, the research can contribute evidence to inform service redesign and targeted interventions aimed at improving accessibility and </w:t>
      </w:r>
      <w:r w:rsidRPr="4F75CE6F" w:rsidR="1789992A">
        <w:rPr>
          <w:rFonts w:ascii="Arial" w:hAnsi="Arial" w:eastAsia="Arial" w:cs="Arial"/>
          <w:b w:val="0"/>
          <w:bCs w:val="0"/>
          <w:noProof w:val="0"/>
          <w:color w:val="000000" w:themeColor="text1" w:themeTint="FF" w:themeShade="FF"/>
          <w:sz w:val="22"/>
          <w:szCs w:val="22"/>
          <w:lang w:val="en-GB"/>
        </w:rPr>
        <w:t>equity. At</w:t>
      </w:r>
      <w:r w:rsidRPr="4F75CE6F" w:rsidR="218E9827">
        <w:rPr>
          <w:rFonts w:ascii="Arial" w:hAnsi="Arial" w:eastAsia="Arial" w:cs="Arial"/>
          <w:b w:val="0"/>
          <w:bCs w:val="0"/>
          <w:noProof w:val="0"/>
          <w:color w:val="000000" w:themeColor="text1" w:themeTint="FF" w:themeShade="FF"/>
          <w:sz w:val="22"/>
          <w:szCs w:val="22"/>
          <w:lang w:val="en-GB"/>
        </w:rPr>
        <w:t xml:space="preserve"> a policy level, the findings may support the development of youth-focused mental health strategies by highlighting gaps between policy intentions and lived experiences. Evidence from this study could inform national frameworks aimed at improving early intervention, reducing waiting times, and simplifying referral pathways for young adults (Department of Health and Social Care, 2022). Understanding barriers from the user perspective can help policymakers ensure that services are responsive to the needs of young adults rather than relying solely on service-level performance indicators.</w:t>
      </w:r>
    </w:p>
    <w:p xmlns:wp14="http://schemas.microsoft.com/office/word/2010/wordml" w:rsidP="4F75CE6F" wp14:paraId="34B668B4" wp14:textId="45724B2E">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4F75CE6F" w:rsidR="218E9827">
        <w:rPr>
          <w:rFonts w:ascii="Arial" w:hAnsi="Arial" w:eastAsia="Arial" w:cs="Arial"/>
          <w:b w:val="0"/>
          <w:bCs w:val="0"/>
          <w:noProof w:val="0"/>
          <w:color w:val="000000" w:themeColor="text1" w:themeTint="FF" w:themeShade="FF"/>
          <w:sz w:val="22"/>
          <w:szCs w:val="22"/>
          <w:lang w:val="en-GB"/>
        </w:rPr>
        <w:t xml:space="preserve">In terms of service provision, this research may inform NHS mental health services and third-sector organisations about structural inefficiencies and psychological barriers that deter engagement. Findings could be used to support the implementation of more accessible service models, such as self-referral pathways, digital mental health interventions, and youth-friendly communication strategies (Rickwood et al., 2019). Addressing these barriers may improve service uptake and continuity of </w:t>
      </w:r>
      <w:r w:rsidRPr="4F75CE6F" w:rsidR="7D1E996F">
        <w:rPr>
          <w:rFonts w:ascii="Arial" w:hAnsi="Arial" w:eastAsia="Arial" w:cs="Arial"/>
          <w:b w:val="0"/>
          <w:bCs w:val="0"/>
          <w:noProof w:val="0"/>
          <w:color w:val="000000" w:themeColor="text1" w:themeTint="FF" w:themeShade="FF"/>
          <w:sz w:val="22"/>
          <w:szCs w:val="22"/>
          <w:lang w:val="en-GB"/>
        </w:rPr>
        <w:t>care. From</w:t>
      </w:r>
      <w:r w:rsidRPr="4F75CE6F" w:rsidR="218E9827">
        <w:rPr>
          <w:rFonts w:ascii="Arial" w:hAnsi="Arial" w:eastAsia="Arial" w:cs="Arial"/>
          <w:b w:val="0"/>
          <w:bCs w:val="0"/>
          <w:noProof w:val="0"/>
          <w:color w:val="000000" w:themeColor="text1" w:themeTint="FF" w:themeShade="FF"/>
          <w:sz w:val="22"/>
          <w:szCs w:val="22"/>
          <w:lang w:val="en-GB"/>
        </w:rPr>
        <w:t xml:space="preserve"> a professional practice perspective, the study may enhance awareness among health and social care professionals </w:t>
      </w:r>
      <w:r w:rsidRPr="4F75CE6F" w:rsidR="218E9827">
        <w:rPr>
          <w:rFonts w:ascii="Arial" w:hAnsi="Arial" w:eastAsia="Arial" w:cs="Arial"/>
          <w:b w:val="0"/>
          <w:bCs w:val="0"/>
          <w:noProof w:val="0"/>
          <w:color w:val="000000" w:themeColor="text1" w:themeTint="FF" w:themeShade="FF"/>
          <w:sz w:val="22"/>
          <w:szCs w:val="22"/>
          <w:lang w:val="en-GB"/>
        </w:rPr>
        <w:t>regarding</w:t>
      </w:r>
      <w:r w:rsidRPr="4F75CE6F" w:rsidR="218E9827">
        <w:rPr>
          <w:rFonts w:ascii="Arial" w:hAnsi="Arial" w:eastAsia="Arial" w:cs="Arial"/>
          <w:b w:val="0"/>
          <w:bCs w:val="0"/>
          <w:noProof w:val="0"/>
          <w:color w:val="000000" w:themeColor="text1" w:themeTint="FF" w:themeShade="FF"/>
          <w:sz w:val="22"/>
          <w:szCs w:val="22"/>
          <w:lang w:val="en-GB"/>
        </w:rPr>
        <w:t xml:space="preserve"> how stigma, fear of judgement, and lack of mental health literacy affect help-seeking behaviours. Improved understanding of these factors can support more empathetic, person-centred approaches to care and encourage professionals to adopt proactive engagement strategies (Biddle et al., 2012).</w:t>
      </w:r>
    </w:p>
    <w:p xmlns:wp14="http://schemas.microsoft.com/office/word/2010/wordml" w:rsidP="4F75CE6F" wp14:paraId="4BD0CFEF" wp14:textId="2E3C2055">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4F75CE6F" w:rsidR="218E9827">
        <w:rPr>
          <w:rFonts w:ascii="Arial" w:hAnsi="Arial" w:eastAsia="Arial" w:cs="Arial"/>
          <w:b w:val="0"/>
          <w:bCs w:val="0"/>
          <w:noProof w:val="0"/>
          <w:color w:val="000000" w:themeColor="text1" w:themeTint="FF" w:themeShade="FF"/>
          <w:sz w:val="22"/>
          <w:szCs w:val="22"/>
          <w:lang w:val="en-GB"/>
        </w:rPr>
        <w:t xml:space="preserve">Finally, the research contributes to the </w:t>
      </w:r>
      <w:r w:rsidRPr="4F75CE6F" w:rsidR="218E9827">
        <w:rPr>
          <w:rFonts w:ascii="Arial" w:hAnsi="Arial" w:eastAsia="Arial" w:cs="Arial"/>
          <w:b w:val="0"/>
          <w:bCs w:val="0"/>
          <w:noProof w:val="0"/>
          <w:color w:val="000000" w:themeColor="text1" w:themeTint="FF" w:themeShade="FF"/>
          <w:sz w:val="22"/>
          <w:szCs w:val="22"/>
          <w:lang w:val="en-GB"/>
        </w:rPr>
        <w:t>academic evidence base</w:t>
      </w:r>
      <w:r w:rsidRPr="4F75CE6F" w:rsidR="218E9827">
        <w:rPr>
          <w:rFonts w:ascii="Arial" w:hAnsi="Arial" w:eastAsia="Arial" w:cs="Arial"/>
          <w:b w:val="0"/>
          <w:bCs w:val="0"/>
          <w:noProof w:val="0"/>
          <w:color w:val="000000" w:themeColor="text1" w:themeTint="FF" w:themeShade="FF"/>
          <w:sz w:val="22"/>
          <w:szCs w:val="22"/>
          <w:lang w:val="en-GB"/>
        </w:rPr>
        <w:t xml:space="preserve"> by addressing a gap in qualitative research focused on UK young adults outside clinical or university-specific settings. The findings may inform future research, including intervention development and mixed-methods studies examining the effectiveness of strategies to reduce access barriers.</w:t>
      </w:r>
    </w:p>
    <w:p xmlns:wp14="http://schemas.microsoft.com/office/word/2010/wordml" w:rsidP="4F75CE6F" wp14:paraId="3C06503F" wp14:textId="68D2C285">
      <w:pPr>
        <w:pStyle w:val="Heading2"/>
        <w:spacing w:line="360" w:lineRule="auto"/>
        <w:jc w:val="both"/>
        <w:rPr>
          <w:rFonts w:ascii="Arial" w:hAnsi="Arial" w:eastAsia="Arial" w:cs="Arial"/>
          <w:b w:val="1"/>
          <w:bCs w:val="1"/>
          <w:noProof w:val="0"/>
          <w:color w:val="000000" w:themeColor="text1" w:themeTint="FF" w:themeShade="FF"/>
          <w:sz w:val="22"/>
          <w:szCs w:val="22"/>
          <w:lang w:val="en-GB"/>
        </w:rPr>
      </w:pPr>
      <w:r w:rsidRPr="4F75CE6F" w:rsidR="68BF1E33">
        <w:rPr>
          <w:rFonts w:ascii="Arial" w:hAnsi="Arial" w:eastAsia="Arial" w:cs="Arial"/>
          <w:b w:val="1"/>
          <w:bCs w:val="1"/>
          <w:noProof w:val="0"/>
          <w:color w:val="000000" w:themeColor="text1" w:themeTint="FF" w:themeShade="FF"/>
          <w:sz w:val="22"/>
          <w:szCs w:val="22"/>
          <w:lang w:val="en-GB"/>
        </w:rPr>
        <w:t>Plan of work &amp; time schedule (Gantt chart)</w:t>
      </w:r>
    </w:p>
    <w:p xmlns:wp14="http://schemas.microsoft.com/office/word/2010/wordml" w:rsidP="4F75CE6F" wp14:paraId="6157BD38" wp14:textId="0623F230">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GB"/>
        </w:rPr>
      </w:pPr>
      <w:r w:rsidRPr="4F75CE6F" w:rsidR="1383D562">
        <w:rPr>
          <w:rFonts w:ascii="Arial" w:hAnsi="Arial" w:eastAsia="Arial" w:cs="Arial"/>
          <w:b w:val="0"/>
          <w:bCs w:val="0"/>
          <w:noProof w:val="0"/>
          <w:color w:val="000000" w:themeColor="text1" w:themeTint="FF" w:themeShade="FF"/>
          <w:sz w:val="22"/>
          <w:szCs w:val="22"/>
          <w:lang w:val="en-GB"/>
        </w:rPr>
        <w:t xml:space="preserve">The proposed research will be conducted over a </w:t>
      </w:r>
      <w:r w:rsidRPr="4F75CE6F" w:rsidR="1383D562">
        <w:rPr>
          <w:rFonts w:ascii="Arial" w:hAnsi="Arial" w:eastAsia="Arial" w:cs="Arial"/>
          <w:b w:val="0"/>
          <w:bCs w:val="0"/>
          <w:noProof w:val="0"/>
          <w:color w:val="000000" w:themeColor="text1" w:themeTint="FF" w:themeShade="FF"/>
          <w:sz w:val="22"/>
          <w:szCs w:val="22"/>
          <w:lang w:val="en-GB"/>
        </w:rPr>
        <w:t>12-week period</w:t>
      </w:r>
      <w:r w:rsidRPr="4F75CE6F" w:rsidR="1383D562">
        <w:rPr>
          <w:rFonts w:ascii="Arial" w:hAnsi="Arial" w:eastAsia="Arial" w:cs="Arial"/>
          <w:b w:val="0"/>
          <w:bCs w:val="0"/>
          <w:noProof w:val="0"/>
          <w:color w:val="000000" w:themeColor="text1" w:themeTint="FF" w:themeShade="FF"/>
          <w:sz w:val="22"/>
          <w:szCs w:val="22"/>
          <w:lang w:val="en-GB"/>
        </w:rPr>
        <w:t>, aligned with the dissertation timeline and ethical approval requirements. The plan ensures sufficient time for ethical approval, data collection, analysis, and reporting, while allowing flexibility for unforeseen delays.</w:t>
      </w:r>
    </w:p>
    <w:p xmlns:wp14="http://schemas.microsoft.com/office/word/2010/wordml" w:rsidP="4F75CE6F" wp14:paraId="3DCF2CCB" wp14:textId="5F5E506C">
      <w:pPr>
        <w:pStyle w:val="Heading3"/>
        <w:spacing w:before="281" w:beforeAutospacing="off" w:after="281"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1387257518" w:id="2139607143"/>
      <w:r w:rsidRPr="4F75CE6F" w:rsidR="1383D562">
        <w:rPr>
          <w:rFonts w:ascii="Arial" w:hAnsi="Arial" w:eastAsia="Arial" w:cs="Arial"/>
          <w:b w:val="1"/>
          <w:bCs w:val="1"/>
          <w:noProof w:val="0"/>
          <w:color w:val="000000" w:themeColor="text1" w:themeTint="FF" w:themeShade="FF"/>
          <w:sz w:val="22"/>
          <w:szCs w:val="22"/>
          <w:lang w:val="en-GB"/>
        </w:rPr>
        <w:t>Proposed Timeline</w:t>
      </w:r>
      <w:bookmarkEnd w:id="2139607143"/>
    </w:p>
    <w:tbl>
      <w:tblPr>
        <w:tblStyle w:val="TableNormal"/>
        <w:bidiVisual w:val="0"/>
        <w:tblW w:w="0" w:type="auto"/>
        <w:tblLook w:val="06A0" w:firstRow="1" w:lastRow="0" w:firstColumn="1" w:lastColumn="0" w:noHBand="1" w:noVBand="1"/>
      </w:tblPr>
      <w:tblGrid>
        <w:gridCol w:w="3150"/>
        <w:gridCol w:w="1080"/>
        <w:gridCol w:w="1080"/>
        <w:gridCol w:w="1080"/>
        <w:gridCol w:w="1080"/>
        <w:gridCol w:w="1200"/>
        <w:gridCol w:w="1310"/>
      </w:tblGrid>
      <w:tr w:rsidR="4F75CE6F" w:rsidTr="4F75CE6F" w14:paraId="26E10BC2">
        <w:trPr>
          <w:trHeight w:val="300"/>
        </w:trPr>
        <w:tc>
          <w:tcPr>
            <w:tcW w:w="3150" w:type="dxa"/>
            <w:tcBorders>
              <w:bottom w:val="single" w:color="000000" w:themeColor="text1" w:sz="12"/>
            </w:tcBorders>
            <w:tcMar/>
            <w:vAlign w:val="center"/>
          </w:tcPr>
          <w:p w:rsidR="4F75CE6F" w:rsidP="4F75CE6F" w:rsidRDefault="4F75CE6F" w14:paraId="716AA977" w14:textId="0656D4D0">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Activity</w:t>
            </w:r>
          </w:p>
        </w:tc>
        <w:tc>
          <w:tcPr>
            <w:tcW w:w="1080" w:type="dxa"/>
            <w:tcBorders>
              <w:bottom w:val="single" w:color="000000" w:themeColor="text1" w:sz="12"/>
            </w:tcBorders>
            <w:tcMar/>
            <w:vAlign w:val="center"/>
          </w:tcPr>
          <w:p w:rsidR="4F75CE6F" w:rsidP="4F75CE6F" w:rsidRDefault="4F75CE6F" w14:paraId="3C4A2383" w14:textId="4F5BC47B">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Weeks 1–2</w:t>
            </w:r>
          </w:p>
        </w:tc>
        <w:tc>
          <w:tcPr>
            <w:tcW w:w="1080" w:type="dxa"/>
            <w:tcBorders>
              <w:bottom w:val="single" w:color="000000" w:themeColor="text1" w:sz="12"/>
            </w:tcBorders>
            <w:tcMar/>
            <w:vAlign w:val="center"/>
          </w:tcPr>
          <w:p w:rsidR="4F75CE6F" w:rsidP="4F75CE6F" w:rsidRDefault="4F75CE6F" w14:paraId="622F65ED" w14:textId="4455B8E5">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Weeks 3–4</w:t>
            </w:r>
          </w:p>
        </w:tc>
        <w:tc>
          <w:tcPr>
            <w:tcW w:w="1080" w:type="dxa"/>
            <w:tcBorders>
              <w:bottom w:val="single" w:color="000000" w:themeColor="text1" w:sz="12"/>
            </w:tcBorders>
            <w:tcMar/>
            <w:vAlign w:val="center"/>
          </w:tcPr>
          <w:p w:rsidR="4F75CE6F" w:rsidP="4F75CE6F" w:rsidRDefault="4F75CE6F" w14:paraId="639D1D4A" w14:textId="7CD4857B">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Weeks 5–6</w:t>
            </w:r>
          </w:p>
        </w:tc>
        <w:tc>
          <w:tcPr>
            <w:tcW w:w="1080" w:type="dxa"/>
            <w:tcBorders>
              <w:bottom w:val="single" w:color="000000" w:themeColor="text1" w:sz="12"/>
            </w:tcBorders>
            <w:tcMar/>
            <w:vAlign w:val="center"/>
          </w:tcPr>
          <w:p w:rsidR="4F75CE6F" w:rsidP="4F75CE6F" w:rsidRDefault="4F75CE6F" w14:paraId="4BFC4BDD" w14:textId="7DE72A7C">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Weeks 7–8</w:t>
            </w:r>
          </w:p>
        </w:tc>
        <w:tc>
          <w:tcPr>
            <w:tcW w:w="1200" w:type="dxa"/>
            <w:tcBorders>
              <w:bottom w:val="single" w:color="000000" w:themeColor="text1" w:sz="12"/>
            </w:tcBorders>
            <w:tcMar/>
            <w:vAlign w:val="center"/>
          </w:tcPr>
          <w:p w:rsidR="4F75CE6F" w:rsidP="4F75CE6F" w:rsidRDefault="4F75CE6F" w14:paraId="5ADE5114" w14:textId="05FFDEE5">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Weeks 9–10</w:t>
            </w:r>
          </w:p>
        </w:tc>
        <w:tc>
          <w:tcPr>
            <w:tcW w:w="1310" w:type="dxa"/>
            <w:tcBorders>
              <w:bottom w:val="single" w:color="000000" w:themeColor="text1" w:sz="12"/>
            </w:tcBorders>
            <w:tcMar/>
            <w:vAlign w:val="center"/>
          </w:tcPr>
          <w:p w:rsidR="4F75CE6F" w:rsidP="4F75CE6F" w:rsidRDefault="4F75CE6F" w14:paraId="3CC02D3C" w14:textId="1AE60105">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Weeks 11–12</w:t>
            </w:r>
          </w:p>
        </w:tc>
      </w:tr>
      <w:tr w:rsidR="4F75CE6F" w:rsidTr="4F75CE6F" w14:paraId="5C465319">
        <w:trPr>
          <w:trHeight w:val="300"/>
        </w:trPr>
        <w:tc>
          <w:tcPr>
            <w:tcW w:w="315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0B4CFD62" w14:textId="08E5885E">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Finalise research proposal</w:t>
            </w: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47D9F98C" w14:textId="522A7D5E">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w:t>
            </w: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4B62DE07" w14:textId="25141399">
            <w:pPr>
              <w:spacing w:line="360" w:lineRule="auto"/>
              <w:jc w:val="both"/>
              <w:rPr>
                <w:rFonts w:ascii="Arial" w:hAnsi="Arial" w:eastAsia="Arial" w:cs="Arial"/>
                <w:b w:val="0"/>
                <w:bCs w:val="0"/>
                <w:color w:val="000000" w:themeColor="text1" w:themeTint="FF" w:themeShade="FF"/>
                <w:sz w:val="22"/>
                <w:szCs w:val="22"/>
              </w:rPr>
            </w:pP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6B842F62" w14:textId="6A6AD679">
            <w:pPr>
              <w:spacing w:line="360" w:lineRule="auto"/>
              <w:jc w:val="both"/>
              <w:rPr>
                <w:rFonts w:ascii="Arial" w:hAnsi="Arial" w:eastAsia="Arial" w:cs="Arial"/>
                <w:b w:val="0"/>
                <w:bCs w:val="0"/>
                <w:color w:val="000000" w:themeColor="text1" w:themeTint="FF" w:themeShade="FF"/>
                <w:sz w:val="22"/>
                <w:szCs w:val="22"/>
              </w:rPr>
            </w:pP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6EE942CB" w14:textId="379209E7">
            <w:pPr>
              <w:spacing w:line="360" w:lineRule="auto"/>
              <w:jc w:val="both"/>
              <w:rPr>
                <w:rFonts w:ascii="Arial" w:hAnsi="Arial" w:eastAsia="Arial" w:cs="Arial"/>
                <w:b w:val="0"/>
                <w:bCs w:val="0"/>
                <w:color w:val="000000" w:themeColor="text1" w:themeTint="FF" w:themeShade="FF"/>
                <w:sz w:val="22"/>
                <w:szCs w:val="22"/>
              </w:rPr>
            </w:pPr>
          </w:p>
        </w:tc>
        <w:tc>
          <w:tcPr>
            <w:tcW w:w="120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139419D8" w14:textId="0F6CCD47">
            <w:pPr>
              <w:spacing w:line="360" w:lineRule="auto"/>
              <w:jc w:val="both"/>
              <w:rPr>
                <w:rFonts w:ascii="Arial" w:hAnsi="Arial" w:eastAsia="Arial" w:cs="Arial"/>
                <w:b w:val="0"/>
                <w:bCs w:val="0"/>
                <w:color w:val="000000" w:themeColor="text1" w:themeTint="FF" w:themeShade="FF"/>
                <w:sz w:val="22"/>
                <w:szCs w:val="22"/>
              </w:rPr>
            </w:pPr>
          </w:p>
        </w:tc>
        <w:tc>
          <w:tcPr>
            <w:tcW w:w="131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2A096370" w14:textId="7885CC80">
            <w:pPr>
              <w:spacing w:line="360" w:lineRule="auto"/>
              <w:jc w:val="both"/>
              <w:rPr>
                <w:rFonts w:ascii="Arial" w:hAnsi="Arial" w:eastAsia="Arial" w:cs="Arial"/>
                <w:b w:val="0"/>
                <w:bCs w:val="0"/>
                <w:color w:val="000000" w:themeColor="text1" w:themeTint="FF" w:themeShade="FF"/>
                <w:sz w:val="22"/>
                <w:szCs w:val="22"/>
              </w:rPr>
            </w:pPr>
          </w:p>
        </w:tc>
      </w:tr>
      <w:tr w:rsidR="4F75CE6F" w:rsidTr="4F75CE6F" w14:paraId="4131AD59">
        <w:trPr>
          <w:trHeight w:val="300"/>
        </w:trPr>
        <w:tc>
          <w:tcPr>
            <w:tcW w:w="315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13D6F193" w14:textId="74ED5CC9">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Ethics application &amp; approval</w:t>
            </w: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4A1CE3C7" w14:textId="11AC6327">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w:t>
            </w: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6D941AEA" w14:textId="5188810A">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w:t>
            </w: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64B5176A" w14:textId="311FB334">
            <w:pPr>
              <w:spacing w:line="360" w:lineRule="auto"/>
              <w:jc w:val="both"/>
              <w:rPr>
                <w:rFonts w:ascii="Arial" w:hAnsi="Arial" w:eastAsia="Arial" w:cs="Arial"/>
                <w:b w:val="0"/>
                <w:bCs w:val="0"/>
                <w:color w:val="000000" w:themeColor="text1" w:themeTint="FF" w:themeShade="FF"/>
                <w:sz w:val="22"/>
                <w:szCs w:val="22"/>
              </w:rPr>
            </w:pP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58C7A82B" w14:textId="00375B90">
            <w:pPr>
              <w:spacing w:line="360" w:lineRule="auto"/>
              <w:jc w:val="both"/>
              <w:rPr>
                <w:rFonts w:ascii="Arial" w:hAnsi="Arial" w:eastAsia="Arial" w:cs="Arial"/>
                <w:b w:val="0"/>
                <w:bCs w:val="0"/>
                <w:color w:val="000000" w:themeColor="text1" w:themeTint="FF" w:themeShade="FF"/>
                <w:sz w:val="22"/>
                <w:szCs w:val="22"/>
              </w:rPr>
            </w:pPr>
          </w:p>
        </w:tc>
        <w:tc>
          <w:tcPr>
            <w:tcW w:w="120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0B480F68" w14:textId="63A21910">
            <w:pPr>
              <w:spacing w:line="360" w:lineRule="auto"/>
              <w:jc w:val="both"/>
              <w:rPr>
                <w:rFonts w:ascii="Arial" w:hAnsi="Arial" w:eastAsia="Arial" w:cs="Arial"/>
                <w:b w:val="0"/>
                <w:bCs w:val="0"/>
                <w:color w:val="000000" w:themeColor="text1" w:themeTint="FF" w:themeShade="FF"/>
                <w:sz w:val="22"/>
                <w:szCs w:val="22"/>
              </w:rPr>
            </w:pPr>
          </w:p>
        </w:tc>
        <w:tc>
          <w:tcPr>
            <w:tcW w:w="131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7667A654" w14:textId="7677C878">
            <w:pPr>
              <w:spacing w:line="360" w:lineRule="auto"/>
              <w:jc w:val="both"/>
              <w:rPr>
                <w:rFonts w:ascii="Arial" w:hAnsi="Arial" w:eastAsia="Arial" w:cs="Arial"/>
                <w:b w:val="0"/>
                <w:bCs w:val="0"/>
                <w:color w:val="000000" w:themeColor="text1" w:themeTint="FF" w:themeShade="FF"/>
                <w:sz w:val="22"/>
                <w:szCs w:val="22"/>
              </w:rPr>
            </w:pPr>
          </w:p>
        </w:tc>
      </w:tr>
      <w:tr w:rsidR="4F75CE6F" w:rsidTr="4F75CE6F" w14:paraId="721B40E2">
        <w:trPr>
          <w:trHeight w:val="300"/>
        </w:trPr>
        <w:tc>
          <w:tcPr>
            <w:tcW w:w="315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3B5342E4" w14:textId="51096D96">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Development of interview guide</w:t>
            </w: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1A3B99D3" w14:textId="112394E5">
            <w:pPr>
              <w:spacing w:line="360" w:lineRule="auto"/>
              <w:jc w:val="both"/>
              <w:rPr>
                <w:rFonts w:ascii="Arial" w:hAnsi="Arial" w:eastAsia="Arial" w:cs="Arial"/>
                <w:b w:val="0"/>
                <w:bCs w:val="0"/>
                <w:color w:val="000000" w:themeColor="text1" w:themeTint="FF" w:themeShade="FF"/>
                <w:sz w:val="22"/>
                <w:szCs w:val="22"/>
              </w:rPr>
            </w:pP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5AC37E2E" w14:textId="654BD1F6">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w:t>
            </w: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0B9262EF" w14:textId="2014B4E8">
            <w:pPr>
              <w:spacing w:line="360" w:lineRule="auto"/>
              <w:jc w:val="both"/>
              <w:rPr>
                <w:rFonts w:ascii="Arial" w:hAnsi="Arial" w:eastAsia="Arial" w:cs="Arial"/>
                <w:b w:val="0"/>
                <w:bCs w:val="0"/>
                <w:color w:val="000000" w:themeColor="text1" w:themeTint="FF" w:themeShade="FF"/>
                <w:sz w:val="22"/>
                <w:szCs w:val="22"/>
              </w:rPr>
            </w:pP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675C4C31" w14:textId="581CDC21">
            <w:pPr>
              <w:spacing w:line="360" w:lineRule="auto"/>
              <w:jc w:val="both"/>
              <w:rPr>
                <w:rFonts w:ascii="Arial" w:hAnsi="Arial" w:eastAsia="Arial" w:cs="Arial"/>
                <w:b w:val="0"/>
                <w:bCs w:val="0"/>
                <w:color w:val="000000" w:themeColor="text1" w:themeTint="FF" w:themeShade="FF"/>
                <w:sz w:val="22"/>
                <w:szCs w:val="22"/>
              </w:rPr>
            </w:pPr>
          </w:p>
        </w:tc>
        <w:tc>
          <w:tcPr>
            <w:tcW w:w="120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4E70A23C" w14:textId="1FEB7ECD">
            <w:pPr>
              <w:spacing w:line="360" w:lineRule="auto"/>
              <w:jc w:val="both"/>
              <w:rPr>
                <w:rFonts w:ascii="Arial" w:hAnsi="Arial" w:eastAsia="Arial" w:cs="Arial"/>
                <w:b w:val="0"/>
                <w:bCs w:val="0"/>
                <w:color w:val="000000" w:themeColor="text1" w:themeTint="FF" w:themeShade="FF"/>
                <w:sz w:val="22"/>
                <w:szCs w:val="22"/>
              </w:rPr>
            </w:pPr>
          </w:p>
        </w:tc>
        <w:tc>
          <w:tcPr>
            <w:tcW w:w="131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1D7709B3" w14:textId="454331FC">
            <w:pPr>
              <w:spacing w:line="360" w:lineRule="auto"/>
              <w:jc w:val="both"/>
              <w:rPr>
                <w:rFonts w:ascii="Arial" w:hAnsi="Arial" w:eastAsia="Arial" w:cs="Arial"/>
                <w:b w:val="0"/>
                <w:bCs w:val="0"/>
                <w:color w:val="000000" w:themeColor="text1" w:themeTint="FF" w:themeShade="FF"/>
                <w:sz w:val="22"/>
                <w:szCs w:val="22"/>
              </w:rPr>
            </w:pPr>
          </w:p>
        </w:tc>
      </w:tr>
      <w:tr w:rsidR="4F75CE6F" w:rsidTr="4F75CE6F" w14:paraId="4209F61E">
        <w:trPr>
          <w:trHeight w:val="300"/>
        </w:trPr>
        <w:tc>
          <w:tcPr>
            <w:tcW w:w="315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28EB750E" w14:textId="289455DA">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Participant recruitment</w:t>
            </w: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698DE477" w14:textId="2539EC5F">
            <w:pPr>
              <w:spacing w:line="360" w:lineRule="auto"/>
              <w:jc w:val="both"/>
              <w:rPr>
                <w:rFonts w:ascii="Arial" w:hAnsi="Arial" w:eastAsia="Arial" w:cs="Arial"/>
                <w:b w:val="0"/>
                <w:bCs w:val="0"/>
                <w:color w:val="000000" w:themeColor="text1" w:themeTint="FF" w:themeShade="FF"/>
                <w:sz w:val="22"/>
                <w:szCs w:val="22"/>
              </w:rPr>
            </w:pP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2AD4688C" w14:textId="666405D5">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w:t>
            </w: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7246D2FA" w14:textId="3BA1CB94">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w:t>
            </w: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7E04C4EF" w14:textId="1174663A">
            <w:pPr>
              <w:spacing w:line="360" w:lineRule="auto"/>
              <w:jc w:val="both"/>
              <w:rPr>
                <w:rFonts w:ascii="Arial" w:hAnsi="Arial" w:eastAsia="Arial" w:cs="Arial"/>
                <w:b w:val="0"/>
                <w:bCs w:val="0"/>
                <w:color w:val="000000" w:themeColor="text1" w:themeTint="FF" w:themeShade="FF"/>
                <w:sz w:val="22"/>
                <w:szCs w:val="22"/>
              </w:rPr>
            </w:pPr>
          </w:p>
        </w:tc>
        <w:tc>
          <w:tcPr>
            <w:tcW w:w="120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028AE60B" w14:textId="603F3F29">
            <w:pPr>
              <w:spacing w:line="360" w:lineRule="auto"/>
              <w:jc w:val="both"/>
              <w:rPr>
                <w:rFonts w:ascii="Arial" w:hAnsi="Arial" w:eastAsia="Arial" w:cs="Arial"/>
                <w:b w:val="0"/>
                <w:bCs w:val="0"/>
                <w:color w:val="000000" w:themeColor="text1" w:themeTint="FF" w:themeShade="FF"/>
                <w:sz w:val="22"/>
                <w:szCs w:val="22"/>
              </w:rPr>
            </w:pPr>
          </w:p>
        </w:tc>
        <w:tc>
          <w:tcPr>
            <w:tcW w:w="131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0B653248" w14:textId="26F06657">
            <w:pPr>
              <w:spacing w:line="360" w:lineRule="auto"/>
              <w:jc w:val="both"/>
              <w:rPr>
                <w:rFonts w:ascii="Arial" w:hAnsi="Arial" w:eastAsia="Arial" w:cs="Arial"/>
                <w:b w:val="0"/>
                <w:bCs w:val="0"/>
                <w:color w:val="000000" w:themeColor="text1" w:themeTint="FF" w:themeShade="FF"/>
                <w:sz w:val="22"/>
                <w:szCs w:val="22"/>
              </w:rPr>
            </w:pPr>
          </w:p>
        </w:tc>
      </w:tr>
      <w:tr w:rsidR="4F75CE6F" w:rsidTr="4F75CE6F" w14:paraId="5EDE37EA">
        <w:trPr>
          <w:trHeight w:val="300"/>
        </w:trPr>
        <w:tc>
          <w:tcPr>
            <w:tcW w:w="315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69E6A874" w14:textId="36AFC1A8">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Data collection (interviews)</w:t>
            </w: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56383A73" w14:textId="24544FD2">
            <w:pPr>
              <w:spacing w:line="360" w:lineRule="auto"/>
              <w:jc w:val="both"/>
              <w:rPr>
                <w:rFonts w:ascii="Arial" w:hAnsi="Arial" w:eastAsia="Arial" w:cs="Arial"/>
                <w:b w:val="0"/>
                <w:bCs w:val="0"/>
                <w:color w:val="000000" w:themeColor="text1" w:themeTint="FF" w:themeShade="FF"/>
                <w:sz w:val="22"/>
                <w:szCs w:val="22"/>
              </w:rPr>
            </w:pP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0F371ACA" w14:textId="617E4C6F">
            <w:pPr>
              <w:spacing w:line="360" w:lineRule="auto"/>
              <w:jc w:val="both"/>
              <w:rPr>
                <w:rFonts w:ascii="Arial" w:hAnsi="Arial" w:eastAsia="Arial" w:cs="Arial"/>
                <w:b w:val="0"/>
                <w:bCs w:val="0"/>
                <w:color w:val="000000" w:themeColor="text1" w:themeTint="FF" w:themeShade="FF"/>
                <w:sz w:val="22"/>
                <w:szCs w:val="22"/>
              </w:rPr>
            </w:pP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0457C61E" w14:textId="52254448">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w:t>
            </w: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60491337" w14:textId="16187A8B">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w:t>
            </w:r>
          </w:p>
        </w:tc>
        <w:tc>
          <w:tcPr>
            <w:tcW w:w="120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4DFD9CBE" w14:textId="004CB3B2">
            <w:pPr>
              <w:spacing w:line="360" w:lineRule="auto"/>
              <w:jc w:val="both"/>
              <w:rPr>
                <w:rFonts w:ascii="Arial" w:hAnsi="Arial" w:eastAsia="Arial" w:cs="Arial"/>
                <w:b w:val="0"/>
                <w:bCs w:val="0"/>
                <w:color w:val="000000" w:themeColor="text1" w:themeTint="FF" w:themeShade="FF"/>
                <w:sz w:val="22"/>
                <w:szCs w:val="22"/>
              </w:rPr>
            </w:pPr>
          </w:p>
        </w:tc>
        <w:tc>
          <w:tcPr>
            <w:tcW w:w="131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1A431916" w14:textId="5F332955">
            <w:pPr>
              <w:spacing w:line="360" w:lineRule="auto"/>
              <w:jc w:val="both"/>
              <w:rPr>
                <w:rFonts w:ascii="Arial" w:hAnsi="Arial" w:eastAsia="Arial" w:cs="Arial"/>
                <w:b w:val="0"/>
                <w:bCs w:val="0"/>
                <w:color w:val="000000" w:themeColor="text1" w:themeTint="FF" w:themeShade="FF"/>
                <w:sz w:val="22"/>
                <w:szCs w:val="22"/>
              </w:rPr>
            </w:pPr>
          </w:p>
        </w:tc>
      </w:tr>
      <w:tr w:rsidR="4F75CE6F" w:rsidTr="4F75CE6F" w14:paraId="743367CC">
        <w:trPr>
          <w:trHeight w:val="300"/>
        </w:trPr>
        <w:tc>
          <w:tcPr>
            <w:tcW w:w="315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202C143F" w14:textId="6C2FFAA0">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Transcription of interviews</w:t>
            </w: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18607A39" w14:textId="05C1BD9E">
            <w:pPr>
              <w:spacing w:line="360" w:lineRule="auto"/>
              <w:jc w:val="both"/>
              <w:rPr>
                <w:rFonts w:ascii="Arial" w:hAnsi="Arial" w:eastAsia="Arial" w:cs="Arial"/>
                <w:b w:val="0"/>
                <w:bCs w:val="0"/>
                <w:color w:val="000000" w:themeColor="text1" w:themeTint="FF" w:themeShade="FF"/>
                <w:sz w:val="22"/>
                <w:szCs w:val="22"/>
              </w:rPr>
            </w:pP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6521707F" w14:textId="4D636A2C">
            <w:pPr>
              <w:spacing w:line="360" w:lineRule="auto"/>
              <w:jc w:val="both"/>
              <w:rPr>
                <w:rFonts w:ascii="Arial" w:hAnsi="Arial" w:eastAsia="Arial" w:cs="Arial"/>
                <w:b w:val="0"/>
                <w:bCs w:val="0"/>
                <w:color w:val="000000" w:themeColor="text1" w:themeTint="FF" w:themeShade="FF"/>
                <w:sz w:val="22"/>
                <w:szCs w:val="22"/>
              </w:rPr>
            </w:pP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2209A30A" w14:textId="6F928901">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w:t>
            </w: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3EB23D6C" w14:textId="797943F3">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w:t>
            </w:r>
          </w:p>
        </w:tc>
        <w:tc>
          <w:tcPr>
            <w:tcW w:w="120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395AC708" w14:textId="513DCE57">
            <w:pPr>
              <w:spacing w:line="360" w:lineRule="auto"/>
              <w:jc w:val="both"/>
              <w:rPr>
                <w:rFonts w:ascii="Arial" w:hAnsi="Arial" w:eastAsia="Arial" w:cs="Arial"/>
                <w:b w:val="0"/>
                <w:bCs w:val="0"/>
                <w:color w:val="000000" w:themeColor="text1" w:themeTint="FF" w:themeShade="FF"/>
                <w:sz w:val="22"/>
                <w:szCs w:val="22"/>
              </w:rPr>
            </w:pPr>
          </w:p>
        </w:tc>
        <w:tc>
          <w:tcPr>
            <w:tcW w:w="131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5002C589" w14:textId="2F8533C7">
            <w:pPr>
              <w:spacing w:line="360" w:lineRule="auto"/>
              <w:jc w:val="both"/>
              <w:rPr>
                <w:rFonts w:ascii="Arial" w:hAnsi="Arial" w:eastAsia="Arial" w:cs="Arial"/>
                <w:b w:val="0"/>
                <w:bCs w:val="0"/>
                <w:color w:val="000000" w:themeColor="text1" w:themeTint="FF" w:themeShade="FF"/>
                <w:sz w:val="22"/>
                <w:szCs w:val="22"/>
              </w:rPr>
            </w:pPr>
          </w:p>
        </w:tc>
      </w:tr>
      <w:tr w:rsidR="4F75CE6F" w:rsidTr="4F75CE6F" w14:paraId="1C0C2202">
        <w:trPr>
          <w:trHeight w:val="300"/>
        </w:trPr>
        <w:tc>
          <w:tcPr>
            <w:tcW w:w="315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4AAB5B94" w14:textId="733C42F7">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Data analysis (thematic analysis)</w:t>
            </w: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7BAE838A" w14:textId="49997713">
            <w:pPr>
              <w:spacing w:line="360" w:lineRule="auto"/>
              <w:jc w:val="both"/>
              <w:rPr>
                <w:rFonts w:ascii="Arial" w:hAnsi="Arial" w:eastAsia="Arial" w:cs="Arial"/>
                <w:b w:val="0"/>
                <w:bCs w:val="0"/>
                <w:color w:val="000000" w:themeColor="text1" w:themeTint="FF" w:themeShade="FF"/>
                <w:sz w:val="22"/>
                <w:szCs w:val="22"/>
              </w:rPr>
            </w:pP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4A2C4011" w14:textId="1E098B6F">
            <w:pPr>
              <w:spacing w:line="360" w:lineRule="auto"/>
              <w:jc w:val="both"/>
              <w:rPr>
                <w:rFonts w:ascii="Arial" w:hAnsi="Arial" w:eastAsia="Arial" w:cs="Arial"/>
                <w:b w:val="0"/>
                <w:bCs w:val="0"/>
                <w:color w:val="000000" w:themeColor="text1" w:themeTint="FF" w:themeShade="FF"/>
                <w:sz w:val="22"/>
                <w:szCs w:val="22"/>
              </w:rPr>
            </w:pP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43764A51" w14:textId="16D76958">
            <w:pPr>
              <w:spacing w:line="360" w:lineRule="auto"/>
              <w:jc w:val="both"/>
              <w:rPr>
                <w:rFonts w:ascii="Arial" w:hAnsi="Arial" w:eastAsia="Arial" w:cs="Arial"/>
                <w:b w:val="0"/>
                <w:bCs w:val="0"/>
                <w:color w:val="000000" w:themeColor="text1" w:themeTint="FF" w:themeShade="FF"/>
                <w:sz w:val="22"/>
                <w:szCs w:val="22"/>
              </w:rPr>
            </w:pP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67178C92" w14:textId="419F7EF6">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w:t>
            </w:r>
          </w:p>
        </w:tc>
        <w:tc>
          <w:tcPr>
            <w:tcW w:w="120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03FAE1F3" w14:textId="5CB6C0F1">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w:t>
            </w:r>
          </w:p>
        </w:tc>
        <w:tc>
          <w:tcPr>
            <w:tcW w:w="131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6A3EE335" w14:textId="25BCED70">
            <w:pPr>
              <w:spacing w:line="360" w:lineRule="auto"/>
              <w:jc w:val="both"/>
              <w:rPr>
                <w:rFonts w:ascii="Arial" w:hAnsi="Arial" w:eastAsia="Arial" w:cs="Arial"/>
                <w:b w:val="0"/>
                <w:bCs w:val="0"/>
                <w:color w:val="000000" w:themeColor="text1" w:themeTint="FF" w:themeShade="FF"/>
                <w:sz w:val="22"/>
                <w:szCs w:val="22"/>
              </w:rPr>
            </w:pPr>
          </w:p>
        </w:tc>
      </w:tr>
      <w:tr w:rsidR="4F75CE6F" w:rsidTr="4F75CE6F" w14:paraId="2E9FC563">
        <w:trPr>
          <w:trHeight w:val="300"/>
        </w:trPr>
        <w:tc>
          <w:tcPr>
            <w:tcW w:w="315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44D841A0" w14:textId="12603FEB">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Writing up findings</w:t>
            </w: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48D2997C" w14:textId="7DB1B849">
            <w:pPr>
              <w:spacing w:line="360" w:lineRule="auto"/>
              <w:jc w:val="both"/>
              <w:rPr>
                <w:rFonts w:ascii="Arial" w:hAnsi="Arial" w:eastAsia="Arial" w:cs="Arial"/>
                <w:b w:val="0"/>
                <w:bCs w:val="0"/>
                <w:color w:val="000000" w:themeColor="text1" w:themeTint="FF" w:themeShade="FF"/>
                <w:sz w:val="22"/>
                <w:szCs w:val="22"/>
              </w:rPr>
            </w:pP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3265F767" w14:textId="0B79E793">
            <w:pPr>
              <w:spacing w:line="360" w:lineRule="auto"/>
              <w:jc w:val="both"/>
              <w:rPr>
                <w:rFonts w:ascii="Arial" w:hAnsi="Arial" w:eastAsia="Arial" w:cs="Arial"/>
                <w:b w:val="0"/>
                <w:bCs w:val="0"/>
                <w:color w:val="000000" w:themeColor="text1" w:themeTint="FF" w:themeShade="FF"/>
                <w:sz w:val="22"/>
                <w:szCs w:val="22"/>
              </w:rPr>
            </w:pP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449D22F9" w14:textId="41E07081">
            <w:pPr>
              <w:spacing w:line="360" w:lineRule="auto"/>
              <w:jc w:val="both"/>
              <w:rPr>
                <w:rFonts w:ascii="Arial" w:hAnsi="Arial" w:eastAsia="Arial" w:cs="Arial"/>
                <w:b w:val="0"/>
                <w:bCs w:val="0"/>
                <w:color w:val="000000" w:themeColor="text1" w:themeTint="FF" w:themeShade="FF"/>
                <w:sz w:val="22"/>
                <w:szCs w:val="22"/>
              </w:rPr>
            </w:pP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322A8EF0" w14:textId="4CED7FC5">
            <w:pPr>
              <w:spacing w:line="360" w:lineRule="auto"/>
              <w:jc w:val="both"/>
              <w:rPr>
                <w:rFonts w:ascii="Arial" w:hAnsi="Arial" w:eastAsia="Arial" w:cs="Arial"/>
                <w:b w:val="0"/>
                <w:bCs w:val="0"/>
                <w:color w:val="000000" w:themeColor="text1" w:themeTint="FF" w:themeShade="FF"/>
                <w:sz w:val="22"/>
                <w:szCs w:val="22"/>
              </w:rPr>
            </w:pPr>
          </w:p>
        </w:tc>
        <w:tc>
          <w:tcPr>
            <w:tcW w:w="120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6B8FE4C2" w14:textId="7940F0E3">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w:t>
            </w:r>
          </w:p>
        </w:tc>
        <w:tc>
          <w:tcPr>
            <w:tcW w:w="131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1386DA4E" w14:textId="018C817A">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w:t>
            </w:r>
          </w:p>
        </w:tc>
      </w:tr>
      <w:tr w:rsidR="4F75CE6F" w:rsidTr="4F75CE6F" w14:paraId="108044FC">
        <w:trPr>
          <w:trHeight w:val="300"/>
        </w:trPr>
        <w:tc>
          <w:tcPr>
            <w:tcW w:w="315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145FF792" w14:textId="060B4768">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Final review &amp; submission</w:t>
            </w: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0088B4FE" w14:textId="5C365E31">
            <w:pPr>
              <w:spacing w:line="360" w:lineRule="auto"/>
              <w:jc w:val="both"/>
              <w:rPr>
                <w:rFonts w:ascii="Arial" w:hAnsi="Arial" w:eastAsia="Arial" w:cs="Arial"/>
                <w:b w:val="0"/>
                <w:bCs w:val="0"/>
                <w:color w:val="000000" w:themeColor="text1" w:themeTint="FF" w:themeShade="FF"/>
                <w:sz w:val="22"/>
                <w:szCs w:val="22"/>
              </w:rPr>
            </w:pP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64F32894" w14:textId="423922E2">
            <w:pPr>
              <w:spacing w:line="360" w:lineRule="auto"/>
              <w:jc w:val="both"/>
              <w:rPr>
                <w:rFonts w:ascii="Arial" w:hAnsi="Arial" w:eastAsia="Arial" w:cs="Arial"/>
                <w:b w:val="0"/>
                <w:bCs w:val="0"/>
                <w:color w:val="000000" w:themeColor="text1" w:themeTint="FF" w:themeShade="FF"/>
                <w:sz w:val="22"/>
                <w:szCs w:val="22"/>
              </w:rPr>
            </w:pP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122CB7DE" w14:textId="11AC75FA">
            <w:pPr>
              <w:spacing w:line="360" w:lineRule="auto"/>
              <w:jc w:val="both"/>
              <w:rPr>
                <w:rFonts w:ascii="Arial" w:hAnsi="Arial" w:eastAsia="Arial" w:cs="Arial"/>
                <w:b w:val="0"/>
                <w:bCs w:val="0"/>
                <w:color w:val="000000" w:themeColor="text1" w:themeTint="FF" w:themeShade="FF"/>
                <w:sz w:val="22"/>
                <w:szCs w:val="22"/>
              </w:rPr>
            </w:pPr>
          </w:p>
        </w:tc>
        <w:tc>
          <w:tcPr>
            <w:tcW w:w="108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618439BB" w14:textId="6E0FEA86">
            <w:pPr>
              <w:spacing w:line="360" w:lineRule="auto"/>
              <w:jc w:val="both"/>
              <w:rPr>
                <w:rFonts w:ascii="Arial" w:hAnsi="Arial" w:eastAsia="Arial" w:cs="Arial"/>
                <w:b w:val="0"/>
                <w:bCs w:val="0"/>
                <w:color w:val="000000" w:themeColor="text1" w:themeTint="FF" w:themeShade="FF"/>
                <w:sz w:val="22"/>
                <w:szCs w:val="22"/>
              </w:rPr>
            </w:pPr>
          </w:p>
        </w:tc>
        <w:tc>
          <w:tcPr>
            <w:tcW w:w="120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21802D9F" w14:textId="41FE6557">
            <w:pPr>
              <w:spacing w:line="360" w:lineRule="auto"/>
              <w:jc w:val="both"/>
              <w:rPr>
                <w:rFonts w:ascii="Arial" w:hAnsi="Arial" w:eastAsia="Arial" w:cs="Arial"/>
                <w:b w:val="0"/>
                <w:bCs w:val="0"/>
                <w:color w:val="000000" w:themeColor="text1" w:themeTint="FF" w:themeShade="FF"/>
                <w:sz w:val="22"/>
                <w:szCs w:val="22"/>
              </w:rPr>
            </w:pPr>
          </w:p>
        </w:tc>
        <w:tc>
          <w:tcPr>
            <w:tcW w:w="1310" w:type="dxa"/>
            <w:tcBorders>
              <w:top w:val="single" w:color="000000" w:themeColor="text1" w:sz="12"/>
              <w:left w:val="single" w:color="000000" w:themeColor="text1" w:sz="12"/>
              <w:bottom w:val="single" w:color="000000" w:themeColor="text1" w:sz="12"/>
              <w:right w:val="single" w:color="000000" w:themeColor="text1" w:sz="12"/>
            </w:tcBorders>
            <w:tcMar/>
            <w:vAlign w:val="center"/>
          </w:tcPr>
          <w:p w:rsidR="4F75CE6F" w:rsidP="4F75CE6F" w:rsidRDefault="4F75CE6F" w14:paraId="2ABC9236" w14:textId="02D381BB">
            <w:pPr>
              <w:spacing w:before="0" w:beforeAutospacing="off" w:after="0" w:afterAutospacing="off" w:line="360" w:lineRule="auto"/>
              <w:jc w:val="both"/>
              <w:rPr>
                <w:rFonts w:ascii="Arial" w:hAnsi="Arial" w:eastAsia="Arial" w:cs="Arial"/>
                <w:b w:val="0"/>
                <w:bCs w:val="0"/>
                <w:color w:val="000000" w:themeColor="text1" w:themeTint="FF" w:themeShade="FF"/>
                <w:sz w:val="22"/>
                <w:szCs w:val="22"/>
              </w:rPr>
            </w:pPr>
            <w:r w:rsidRPr="4F75CE6F" w:rsidR="4F75CE6F">
              <w:rPr>
                <w:rFonts w:ascii="Arial" w:hAnsi="Arial" w:eastAsia="Arial" w:cs="Arial"/>
                <w:b w:val="0"/>
                <w:bCs w:val="0"/>
                <w:color w:val="000000" w:themeColor="text1" w:themeTint="FF" w:themeShade="FF"/>
                <w:sz w:val="22"/>
                <w:szCs w:val="22"/>
              </w:rPr>
              <w:t>✔</w:t>
            </w:r>
          </w:p>
        </w:tc>
      </w:tr>
    </w:tbl>
    <w:p xmlns:wp14="http://schemas.microsoft.com/office/word/2010/wordml" w:rsidP="4F75CE6F" wp14:paraId="27A59B2E" wp14:textId="2C2CB5F6">
      <w:pPr>
        <w:bidi w:val="0"/>
        <w:spacing w:before="240" w:beforeAutospacing="off" w:after="240" w:afterAutospacing="off" w:line="360" w:lineRule="auto"/>
        <w:jc w:val="both"/>
        <w:rPr>
          <w:rFonts w:ascii="Arial" w:hAnsi="Arial" w:eastAsia="Arial" w:cs="Arial"/>
          <w:b w:val="1"/>
          <w:bCs w:val="1"/>
          <w:noProof w:val="0"/>
          <w:color w:val="000000" w:themeColor="text1" w:themeTint="FF" w:themeShade="FF"/>
          <w:sz w:val="22"/>
          <w:szCs w:val="22"/>
          <w:lang w:val="en-GB"/>
        </w:rPr>
      </w:pPr>
      <w:r w:rsidRPr="4F75CE6F" w:rsidR="1383D562">
        <w:rPr>
          <w:rFonts w:ascii="Arial" w:hAnsi="Arial" w:eastAsia="Arial" w:cs="Arial"/>
          <w:noProof w:val="0"/>
          <w:sz w:val="22"/>
          <w:szCs w:val="22"/>
          <w:lang w:val="en-GB"/>
        </w:rPr>
        <w:t xml:space="preserve">Effective planning and time management are essential for qualitative research, particularly when working with human participants and ethical constraints (Saunders, </w:t>
      </w:r>
      <w:r w:rsidRPr="4F75CE6F" w:rsidR="1383D562">
        <w:rPr>
          <w:rFonts w:ascii="Arial" w:hAnsi="Arial" w:eastAsia="Arial" w:cs="Arial"/>
          <w:noProof w:val="0"/>
          <w:sz w:val="22"/>
          <w:szCs w:val="22"/>
          <w:lang w:val="en-GB"/>
        </w:rPr>
        <w:t>Lewis</w:t>
      </w:r>
      <w:r w:rsidRPr="4F75CE6F" w:rsidR="1383D562">
        <w:rPr>
          <w:rFonts w:ascii="Arial" w:hAnsi="Arial" w:eastAsia="Arial" w:cs="Arial"/>
          <w:noProof w:val="0"/>
          <w:sz w:val="22"/>
          <w:szCs w:val="22"/>
          <w:lang w:val="en-GB"/>
        </w:rPr>
        <w:t xml:space="preserve"> and Thornhill, 2019). This structured plan supports methodological rigor and ensures the research can be completed within the </w:t>
      </w:r>
      <w:r w:rsidRPr="4F75CE6F" w:rsidR="1383D562">
        <w:rPr>
          <w:rFonts w:ascii="Arial" w:hAnsi="Arial" w:eastAsia="Arial" w:cs="Arial"/>
          <w:noProof w:val="0"/>
          <w:sz w:val="22"/>
          <w:szCs w:val="22"/>
          <w:lang w:val="en-GB"/>
        </w:rPr>
        <w:t>allocated</w:t>
      </w:r>
      <w:r w:rsidRPr="4F75CE6F" w:rsidR="1383D562">
        <w:rPr>
          <w:rFonts w:ascii="Arial" w:hAnsi="Arial" w:eastAsia="Arial" w:cs="Arial"/>
          <w:noProof w:val="0"/>
          <w:sz w:val="22"/>
          <w:szCs w:val="22"/>
          <w:lang w:val="en-GB"/>
        </w:rPr>
        <w:t xml:space="preserve"> </w:t>
      </w:r>
      <w:r w:rsidRPr="4F75CE6F" w:rsidR="1383D562">
        <w:rPr>
          <w:rFonts w:ascii="Arial" w:hAnsi="Arial" w:eastAsia="Arial" w:cs="Arial"/>
          <w:noProof w:val="0"/>
          <w:sz w:val="22"/>
          <w:szCs w:val="22"/>
          <w:lang w:val="en-GB"/>
        </w:rPr>
        <w:t>timeframe</w:t>
      </w:r>
      <w:r w:rsidRPr="4F75CE6F" w:rsidR="1383D562">
        <w:rPr>
          <w:rFonts w:ascii="Arial" w:hAnsi="Arial" w:eastAsia="Arial" w:cs="Arial"/>
          <w:noProof w:val="0"/>
          <w:sz w:val="22"/>
          <w:szCs w:val="22"/>
          <w:lang w:val="en-GB"/>
        </w:rPr>
        <w:t>.</w:t>
      </w:r>
    </w:p>
    <w:p xmlns:wp14="http://schemas.microsoft.com/office/word/2010/wordml" w:rsidP="4F75CE6F" wp14:paraId="33710A1B" wp14:textId="61CD60B4">
      <w:pPr>
        <w:pStyle w:val="Normal"/>
        <w:bidi w:val="0"/>
        <w:spacing w:before="240" w:beforeAutospacing="off" w:after="240" w:afterAutospacing="off" w:line="360" w:lineRule="auto"/>
        <w:jc w:val="both"/>
        <w:rPr>
          <w:rFonts w:ascii="Arial" w:hAnsi="Arial" w:eastAsia="Arial" w:cs="Arial"/>
          <w:b w:val="1"/>
          <w:bCs w:val="1"/>
          <w:noProof w:val="0"/>
          <w:color w:val="000000" w:themeColor="text1" w:themeTint="FF" w:themeShade="FF"/>
          <w:sz w:val="22"/>
          <w:szCs w:val="22"/>
          <w:lang w:val="en-GB"/>
        </w:rPr>
      </w:pPr>
      <w:bookmarkStart w:name="_Toc1174466252" w:id="1118492664"/>
      <w:r w:rsidRPr="4F75CE6F" w:rsidR="10CE76DA">
        <w:rPr>
          <w:rFonts w:ascii="Arial" w:hAnsi="Arial" w:eastAsia="Arial" w:cs="Arial"/>
          <w:b w:val="1"/>
          <w:bCs w:val="1"/>
          <w:noProof w:val="0"/>
          <w:color w:val="000000" w:themeColor="text1" w:themeTint="FF" w:themeShade="FF"/>
          <w:sz w:val="22"/>
          <w:szCs w:val="22"/>
          <w:lang w:val="en-GB"/>
        </w:rPr>
        <w:t xml:space="preserve">Reference List </w:t>
      </w:r>
      <w:bookmarkEnd w:id="1118492664"/>
    </w:p>
    <w:p xmlns:wp14="http://schemas.microsoft.com/office/word/2010/wordml" w:rsidP="4F75CE6F" wp14:paraId="23676D23" wp14:textId="3B591346">
      <w:pPr>
        <w:bidi w:val="0"/>
        <w:spacing w:before="240" w:beforeAutospacing="off" w:after="240" w:afterAutospacing="off"/>
        <w:jc w:val="both"/>
      </w:pPr>
      <w:r w:rsidRPr="4F75CE6F" w:rsidR="6C1EF9A4">
        <w:rPr>
          <w:rFonts w:ascii="Arial" w:hAnsi="Arial" w:eastAsia="Arial" w:cs="Arial"/>
          <w:b w:val="1"/>
          <w:bCs w:val="1"/>
          <w:noProof w:val="0"/>
          <w:sz w:val="22"/>
          <w:szCs w:val="22"/>
          <w:lang w:val="en-GB"/>
        </w:rPr>
        <w:t>Reference List (Harvard Style, Alphabetical Order)</w:t>
      </w:r>
    </w:p>
    <w:p xmlns:wp14="http://schemas.microsoft.com/office/word/2010/wordml" w:rsidP="4F75CE6F" wp14:paraId="5992D64F" wp14:textId="0BAF9F48">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Archibald, M.M., </w:t>
      </w:r>
      <w:r w:rsidRPr="4F75CE6F" w:rsidR="6C1EF9A4">
        <w:rPr>
          <w:rFonts w:ascii="Arial" w:hAnsi="Arial" w:eastAsia="Arial" w:cs="Arial"/>
          <w:noProof w:val="0"/>
          <w:sz w:val="22"/>
          <w:szCs w:val="22"/>
          <w:lang w:val="en-GB"/>
        </w:rPr>
        <w:t>Ambagtsheer</w:t>
      </w:r>
      <w:r w:rsidRPr="4F75CE6F" w:rsidR="6C1EF9A4">
        <w:rPr>
          <w:rFonts w:ascii="Arial" w:hAnsi="Arial" w:eastAsia="Arial" w:cs="Arial"/>
          <w:noProof w:val="0"/>
          <w:sz w:val="22"/>
          <w:szCs w:val="22"/>
          <w:lang w:val="en-GB"/>
        </w:rPr>
        <w:t xml:space="preserve">, R.C., Casey, M.G. and Lawless, M. (2019) ‘Using Zoom videoconferencing for qualitative data collection: </w:t>
      </w:r>
      <w:r w:rsidRPr="4F75CE6F" w:rsidR="6C1EF9A4">
        <w:rPr>
          <w:rFonts w:ascii="Arial" w:hAnsi="Arial" w:eastAsia="Arial" w:cs="Arial"/>
          <w:noProof w:val="0"/>
          <w:sz w:val="22"/>
          <w:szCs w:val="22"/>
          <w:lang w:val="en-GB"/>
        </w:rPr>
        <w:t>perceptions</w:t>
      </w:r>
      <w:r w:rsidRPr="4F75CE6F" w:rsidR="6C1EF9A4">
        <w:rPr>
          <w:rFonts w:ascii="Arial" w:hAnsi="Arial" w:eastAsia="Arial" w:cs="Arial"/>
          <w:noProof w:val="0"/>
          <w:sz w:val="22"/>
          <w:szCs w:val="22"/>
          <w:lang w:val="en-GB"/>
        </w:rPr>
        <w:t xml:space="preserve"> and experiences of researchers and participants’, </w:t>
      </w:r>
      <w:r w:rsidRPr="4F75CE6F" w:rsidR="6C1EF9A4">
        <w:rPr>
          <w:rFonts w:ascii="Arial" w:hAnsi="Arial" w:eastAsia="Arial" w:cs="Arial"/>
          <w:i w:val="1"/>
          <w:iCs w:val="1"/>
          <w:noProof w:val="0"/>
          <w:sz w:val="22"/>
          <w:szCs w:val="22"/>
          <w:lang w:val="en-GB"/>
        </w:rPr>
        <w:t>International Journal of Qualitative Methods</w:t>
      </w:r>
      <w:r w:rsidRPr="4F75CE6F" w:rsidR="6C1EF9A4">
        <w:rPr>
          <w:rFonts w:ascii="Arial" w:hAnsi="Arial" w:eastAsia="Arial" w:cs="Arial"/>
          <w:noProof w:val="0"/>
          <w:sz w:val="22"/>
          <w:szCs w:val="22"/>
          <w:lang w:val="en-GB"/>
        </w:rPr>
        <w:t>, 18, pp. 1–8.</w:t>
      </w:r>
    </w:p>
    <w:p xmlns:wp14="http://schemas.microsoft.com/office/word/2010/wordml" w:rsidP="4F75CE6F" wp14:paraId="398C74F2" wp14:textId="4BE9AAE6">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Barry, M.M., Clarke, A.M. and Jenkins, R. (2019) ‘Implementing mental health promotion’, </w:t>
      </w:r>
      <w:r w:rsidRPr="4F75CE6F" w:rsidR="6C1EF9A4">
        <w:rPr>
          <w:rFonts w:ascii="Arial" w:hAnsi="Arial" w:eastAsia="Arial" w:cs="Arial"/>
          <w:i w:val="1"/>
          <w:iCs w:val="1"/>
          <w:noProof w:val="0"/>
          <w:sz w:val="22"/>
          <w:szCs w:val="22"/>
          <w:lang w:val="en-GB"/>
        </w:rPr>
        <w:t>World Psychiatry</w:t>
      </w:r>
      <w:r w:rsidRPr="4F75CE6F" w:rsidR="6C1EF9A4">
        <w:rPr>
          <w:rFonts w:ascii="Arial" w:hAnsi="Arial" w:eastAsia="Arial" w:cs="Arial"/>
          <w:noProof w:val="0"/>
          <w:sz w:val="22"/>
          <w:szCs w:val="22"/>
          <w:lang w:val="en-GB"/>
        </w:rPr>
        <w:t>, 18(2), pp. 131–141.</w:t>
      </w:r>
    </w:p>
    <w:p xmlns:wp14="http://schemas.microsoft.com/office/word/2010/wordml" w:rsidP="4F75CE6F" wp14:paraId="3626BADF" wp14:textId="3124F186">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Bazeley, P. and Jackson, K. (2013) </w:t>
      </w:r>
      <w:r w:rsidRPr="4F75CE6F" w:rsidR="6C1EF9A4">
        <w:rPr>
          <w:rFonts w:ascii="Arial" w:hAnsi="Arial" w:eastAsia="Arial" w:cs="Arial"/>
          <w:i w:val="1"/>
          <w:iCs w:val="1"/>
          <w:noProof w:val="0"/>
          <w:sz w:val="22"/>
          <w:szCs w:val="22"/>
          <w:lang w:val="en-GB"/>
        </w:rPr>
        <w:t>Qualitative Data Analysis with NVivo</w:t>
      </w:r>
      <w:r w:rsidRPr="4F75CE6F" w:rsidR="6C1EF9A4">
        <w:rPr>
          <w:rFonts w:ascii="Arial" w:hAnsi="Arial" w:eastAsia="Arial" w:cs="Arial"/>
          <w:noProof w:val="0"/>
          <w:sz w:val="22"/>
          <w:szCs w:val="22"/>
          <w:lang w:val="en-GB"/>
        </w:rPr>
        <w:t>. 2nd edn. London: SAGE Publications.</w:t>
      </w:r>
    </w:p>
    <w:p xmlns:wp14="http://schemas.microsoft.com/office/word/2010/wordml" w:rsidP="4F75CE6F" wp14:paraId="298F1416" wp14:textId="7D757C43">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Beauchamp, T.L. and Childress, J.F. (2019) </w:t>
      </w:r>
      <w:r w:rsidRPr="4F75CE6F" w:rsidR="6C1EF9A4">
        <w:rPr>
          <w:rFonts w:ascii="Arial" w:hAnsi="Arial" w:eastAsia="Arial" w:cs="Arial"/>
          <w:i w:val="1"/>
          <w:iCs w:val="1"/>
          <w:noProof w:val="0"/>
          <w:sz w:val="22"/>
          <w:szCs w:val="22"/>
          <w:lang w:val="en-GB"/>
        </w:rPr>
        <w:t>Principles of Biomedical Ethics</w:t>
      </w:r>
      <w:r w:rsidRPr="4F75CE6F" w:rsidR="6C1EF9A4">
        <w:rPr>
          <w:rFonts w:ascii="Arial" w:hAnsi="Arial" w:eastAsia="Arial" w:cs="Arial"/>
          <w:noProof w:val="0"/>
          <w:sz w:val="22"/>
          <w:szCs w:val="22"/>
          <w:lang w:val="en-GB"/>
        </w:rPr>
        <w:t>. 8th edn. Oxford: Oxford University Press.</w:t>
      </w:r>
    </w:p>
    <w:p xmlns:wp14="http://schemas.microsoft.com/office/word/2010/wordml" w:rsidP="4F75CE6F" wp14:paraId="1D86A43C" wp14:textId="0682818D">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Biddle, L., Donovan, J., Sharp, D. and Gunnell, D. (2012) ‘Explaining non-help-seeking amongst young adults with mental distress: a dynamic interpretive model of illness behaviour’, </w:t>
      </w:r>
      <w:r w:rsidRPr="4F75CE6F" w:rsidR="6C1EF9A4">
        <w:rPr>
          <w:rFonts w:ascii="Arial" w:hAnsi="Arial" w:eastAsia="Arial" w:cs="Arial"/>
          <w:i w:val="1"/>
          <w:iCs w:val="1"/>
          <w:noProof w:val="0"/>
          <w:sz w:val="22"/>
          <w:szCs w:val="22"/>
          <w:lang w:val="en-GB"/>
        </w:rPr>
        <w:t>Sociology of Health &amp; Illness</w:t>
      </w:r>
      <w:r w:rsidRPr="4F75CE6F" w:rsidR="6C1EF9A4">
        <w:rPr>
          <w:rFonts w:ascii="Arial" w:hAnsi="Arial" w:eastAsia="Arial" w:cs="Arial"/>
          <w:noProof w:val="0"/>
          <w:sz w:val="22"/>
          <w:szCs w:val="22"/>
          <w:lang w:val="en-GB"/>
        </w:rPr>
        <w:t>, 34(7), pp. 983–1002.</w:t>
      </w:r>
    </w:p>
    <w:p xmlns:wp14="http://schemas.microsoft.com/office/word/2010/wordml" w:rsidP="4F75CE6F" wp14:paraId="5362D6FB" wp14:textId="1F1556C5">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Braun, V. and Clarke, V. (2006) ‘Using thematic analysis in psychology’, </w:t>
      </w:r>
      <w:r w:rsidRPr="4F75CE6F" w:rsidR="6C1EF9A4">
        <w:rPr>
          <w:rFonts w:ascii="Arial" w:hAnsi="Arial" w:eastAsia="Arial" w:cs="Arial"/>
          <w:i w:val="1"/>
          <w:iCs w:val="1"/>
          <w:noProof w:val="0"/>
          <w:sz w:val="22"/>
          <w:szCs w:val="22"/>
          <w:lang w:val="en-GB"/>
        </w:rPr>
        <w:t>Qualitative Research in Psychology</w:t>
      </w:r>
      <w:r w:rsidRPr="4F75CE6F" w:rsidR="6C1EF9A4">
        <w:rPr>
          <w:rFonts w:ascii="Arial" w:hAnsi="Arial" w:eastAsia="Arial" w:cs="Arial"/>
          <w:noProof w:val="0"/>
          <w:sz w:val="22"/>
          <w:szCs w:val="22"/>
          <w:lang w:val="en-GB"/>
        </w:rPr>
        <w:t>, 3(2), pp. 77–101.</w:t>
      </w:r>
    </w:p>
    <w:p xmlns:wp14="http://schemas.microsoft.com/office/word/2010/wordml" w:rsidP="4F75CE6F" wp14:paraId="1E7D54BD" wp14:textId="72E5F840">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Bryman, A. (2016) </w:t>
      </w:r>
      <w:r w:rsidRPr="4F75CE6F" w:rsidR="6C1EF9A4">
        <w:rPr>
          <w:rFonts w:ascii="Arial" w:hAnsi="Arial" w:eastAsia="Arial" w:cs="Arial"/>
          <w:i w:val="1"/>
          <w:iCs w:val="1"/>
          <w:noProof w:val="0"/>
          <w:sz w:val="22"/>
          <w:szCs w:val="22"/>
          <w:lang w:val="en-GB"/>
        </w:rPr>
        <w:t>Social Research Methods</w:t>
      </w:r>
      <w:r w:rsidRPr="4F75CE6F" w:rsidR="6C1EF9A4">
        <w:rPr>
          <w:rFonts w:ascii="Arial" w:hAnsi="Arial" w:eastAsia="Arial" w:cs="Arial"/>
          <w:noProof w:val="0"/>
          <w:sz w:val="22"/>
          <w:szCs w:val="22"/>
          <w:lang w:val="en-GB"/>
        </w:rPr>
        <w:t>. 5th edn. Oxford: Oxford University Press.</w:t>
      </w:r>
    </w:p>
    <w:p xmlns:wp14="http://schemas.microsoft.com/office/word/2010/wordml" w:rsidP="4F75CE6F" wp14:paraId="5DB0943D" wp14:textId="7477262B">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Castleberry, A. and Nolen, A. (2018) ‘Thematic analysis of qualitative research data: Is it as easy as it sounds?’, </w:t>
      </w:r>
      <w:r w:rsidRPr="4F75CE6F" w:rsidR="6C1EF9A4">
        <w:rPr>
          <w:rFonts w:ascii="Arial" w:hAnsi="Arial" w:eastAsia="Arial" w:cs="Arial"/>
          <w:i w:val="1"/>
          <w:iCs w:val="1"/>
          <w:noProof w:val="0"/>
          <w:sz w:val="22"/>
          <w:szCs w:val="22"/>
          <w:lang w:val="en-GB"/>
        </w:rPr>
        <w:t>Currents in Pharmacy Teaching and Learning</w:t>
      </w:r>
      <w:r w:rsidRPr="4F75CE6F" w:rsidR="6C1EF9A4">
        <w:rPr>
          <w:rFonts w:ascii="Arial" w:hAnsi="Arial" w:eastAsia="Arial" w:cs="Arial"/>
          <w:noProof w:val="0"/>
          <w:sz w:val="22"/>
          <w:szCs w:val="22"/>
          <w:lang w:val="en-GB"/>
        </w:rPr>
        <w:t>, 10(6), pp. 807–815.</w:t>
      </w:r>
    </w:p>
    <w:p xmlns:wp14="http://schemas.microsoft.com/office/word/2010/wordml" w:rsidP="4F75CE6F" wp14:paraId="36644581" wp14:textId="2A9E7834">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Creswell, J.W. and Poth, C.N. (2018) </w:t>
      </w:r>
      <w:r w:rsidRPr="4F75CE6F" w:rsidR="6C1EF9A4">
        <w:rPr>
          <w:rFonts w:ascii="Arial" w:hAnsi="Arial" w:eastAsia="Arial" w:cs="Arial"/>
          <w:i w:val="1"/>
          <w:iCs w:val="1"/>
          <w:noProof w:val="0"/>
          <w:sz w:val="22"/>
          <w:szCs w:val="22"/>
          <w:lang w:val="en-GB"/>
        </w:rPr>
        <w:t>Qualitative Inquiry and Research Design: Choosing Among Five Approaches</w:t>
      </w:r>
      <w:r w:rsidRPr="4F75CE6F" w:rsidR="6C1EF9A4">
        <w:rPr>
          <w:rFonts w:ascii="Arial" w:hAnsi="Arial" w:eastAsia="Arial" w:cs="Arial"/>
          <w:noProof w:val="0"/>
          <w:sz w:val="22"/>
          <w:szCs w:val="22"/>
          <w:lang w:val="en-GB"/>
        </w:rPr>
        <w:t>. 4th edn. Thousand Oaks, CA: SAGE Publications.</w:t>
      </w:r>
    </w:p>
    <w:p xmlns:wp14="http://schemas.microsoft.com/office/word/2010/wordml" w:rsidP="4F75CE6F" wp14:paraId="49765A63" wp14:textId="58A3C8EC">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Department of Health and Social Care (2022) </w:t>
      </w:r>
      <w:r w:rsidRPr="4F75CE6F" w:rsidR="6C1EF9A4">
        <w:rPr>
          <w:rFonts w:ascii="Arial" w:hAnsi="Arial" w:eastAsia="Arial" w:cs="Arial"/>
          <w:i w:val="1"/>
          <w:iCs w:val="1"/>
          <w:noProof w:val="0"/>
          <w:sz w:val="22"/>
          <w:szCs w:val="22"/>
          <w:lang w:val="en-GB"/>
        </w:rPr>
        <w:t>Mental Health Reform: Improving Access and Outcomes for Young People</w:t>
      </w:r>
      <w:r w:rsidRPr="4F75CE6F" w:rsidR="6C1EF9A4">
        <w:rPr>
          <w:rFonts w:ascii="Arial" w:hAnsi="Arial" w:eastAsia="Arial" w:cs="Arial"/>
          <w:noProof w:val="0"/>
          <w:sz w:val="22"/>
          <w:szCs w:val="22"/>
          <w:lang w:val="en-GB"/>
        </w:rPr>
        <w:t>. London: DHSC.</w:t>
      </w:r>
    </w:p>
    <w:p xmlns:wp14="http://schemas.microsoft.com/office/word/2010/wordml" w:rsidP="4F75CE6F" wp14:paraId="187C60FA" wp14:textId="0ECB522F">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Finlay, L. (2002) ‘Negotiating the swamp: the opportunity and challenge of reflexivity in research practice’, </w:t>
      </w:r>
      <w:r w:rsidRPr="4F75CE6F" w:rsidR="6C1EF9A4">
        <w:rPr>
          <w:rFonts w:ascii="Arial" w:hAnsi="Arial" w:eastAsia="Arial" w:cs="Arial"/>
          <w:i w:val="1"/>
          <w:iCs w:val="1"/>
          <w:noProof w:val="0"/>
          <w:sz w:val="22"/>
          <w:szCs w:val="22"/>
          <w:lang w:val="en-GB"/>
        </w:rPr>
        <w:t>Qualitative Research</w:t>
      </w:r>
      <w:r w:rsidRPr="4F75CE6F" w:rsidR="6C1EF9A4">
        <w:rPr>
          <w:rFonts w:ascii="Arial" w:hAnsi="Arial" w:eastAsia="Arial" w:cs="Arial"/>
          <w:noProof w:val="0"/>
          <w:sz w:val="22"/>
          <w:szCs w:val="22"/>
          <w:lang w:val="en-GB"/>
        </w:rPr>
        <w:t>, 2(2), pp. 209–230.</w:t>
      </w:r>
    </w:p>
    <w:p xmlns:wp14="http://schemas.microsoft.com/office/word/2010/wordml" w:rsidP="4F75CE6F" wp14:paraId="50DE81C9" wp14:textId="7C834693">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Gill, P., Stewart, K., Treasure, E. and Chadwick, B. (2008) ‘Methods of data collection in qualitative research: interviews and focus groups’, </w:t>
      </w:r>
      <w:r w:rsidRPr="4F75CE6F" w:rsidR="6C1EF9A4">
        <w:rPr>
          <w:rFonts w:ascii="Arial" w:hAnsi="Arial" w:eastAsia="Arial" w:cs="Arial"/>
          <w:i w:val="1"/>
          <w:iCs w:val="1"/>
          <w:noProof w:val="0"/>
          <w:sz w:val="22"/>
          <w:szCs w:val="22"/>
          <w:lang w:val="en-GB"/>
        </w:rPr>
        <w:t>British Dental Journal</w:t>
      </w:r>
      <w:r w:rsidRPr="4F75CE6F" w:rsidR="6C1EF9A4">
        <w:rPr>
          <w:rFonts w:ascii="Arial" w:hAnsi="Arial" w:eastAsia="Arial" w:cs="Arial"/>
          <w:noProof w:val="0"/>
          <w:sz w:val="22"/>
          <w:szCs w:val="22"/>
          <w:lang w:val="en-GB"/>
        </w:rPr>
        <w:t>, 204(6), pp. 291–295.</w:t>
      </w:r>
    </w:p>
    <w:p xmlns:wp14="http://schemas.microsoft.com/office/word/2010/wordml" w:rsidP="4F75CE6F" wp14:paraId="7D89D3AA" wp14:textId="7545B60F">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Guest, G., Bunce, A. and Johnson, L. (2006) ‘How many interviews are enough? An experiment with data saturation and variability’, </w:t>
      </w:r>
      <w:r w:rsidRPr="4F75CE6F" w:rsidR="6C1EF9A4">
        <w:rPr>
          <w:rFonts w:ascii="Arial" w:hAnsi="Arial" w:eastAsia="Arial" w:cs="Arial"/>
          <w:i w:val="1"/>
          <w:iCs w:val="1"/>
          <w:noProof w:val="0"/>
          <w:sz w:val="22"/>
          <w:szCs w:val="22"/>
          <w:lang w:val="en-GB"/>
        </w:rPr>
        <w:t>Field Methods</w:t>
      </w:r>
      <w:r w:rsidRPr="4F75CE6F" w:rsidR="6C1EF9A4">
        <w:rPr>
          <w:rFonts w:ascii="Arial" w:hAnsi="Arial" w:eastAsia="Arial" w:cs="Arial"/>
          <w:noProof w:val="0"/>
          <w:sz w:val="22"/>
          <w:szCs w:val="22"/>
          <w:lang w:val="en-GB"/>
        </w:rPr>
        <w:t>, 18(1), pp. 59–82.</w:t>
      </w:r>
    </w:p>
    <w:p xmlns:wp14="http://schemas.microsoft.com/office/word/2010/wordml" w:rsidP="4F75CE6F" wp14:paraId="74830C9A" wp14:textId="2D2EF184">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Health Research Authority (2023) </w:t>
      </w:r>
      <w:r w:rsidRPr="4F75CE6F" w:rsidR="6C1EF9A4">
        <w:rPr>
          <w:rFonts w:ascii="Arial" w:hAnsi="Arial" w:eastAsia="Arial" w:cs="Arial"/>
          <w:i w:val="1"/>
          <w:iCs w:val="1"/>
          <w:noProof w:val="0"/>
          <w:sz w:val="22"/>
          <w:szCs w:val="22"/>
          <w:lang w:val="en-GB"/>
        </w:rPr>
        <w:t>UK Policy Framework for Health and Social Care Research</w:t>
      </w:r>
      <w:r w:rsidRPr="4F75CE6F" w:rsidR="6C1EF9A4">
        <w:rPr>
          <w:rFonts w:ascii="Arial" w:hAnsi="Arial" w:eastAsia="Arial" w:cs="Arial"/>
          <w:noProof w:val="0"/>
          <w:sz w:val="22"/>
          <w:szCs w:val="22"/>
          <w:lang w:val="en-GB"/>
        </w:rPr>
        <w:t xml:space="preserve">. Available at: </w:t>
      </w:r>
      <w:hyperlink r:id="Rbe7a530f854e418b">
        <w:r w:rsidRPr="4F75CE6F" w:rsidR="6C1EF9A4">
          <w:rPr>
            <w:rStyle w:val="Hyperlink"/>
            <w:rFonts w:ascii="Arial" w:hAnsi="Arial" w:eastAsia="Arial" w:cs="Arial"/>
            <w:noProof w:val="0"/>
            <w:sz w:val="22"/>
            <w:szCs w:val="22"/>
            <w:lang w:val="en-GB"/>
          </w:rPr>
          <w:t>https://www.hra.nhs.uk</w:t>
        </w:r>
      </w:hyperlink>
      <w:r w:rsidRPr="4F75CE6F" w:rsidR="6C1EF9A4">
        <w:rPr>
          <w:rFonts w:ascii="Arial" w:hAnsi="Arial" w:eastAsia="Arial" w:cs="Arial"/>
          <w:noProof w:val="0"/>
          <w:sz w:val="22"/>
          <w:szCs w:val="22"/>
          <w:lang w:val="en-GB"/>
        </w:rPr>
        <w:t xml:space="preserve"> (Accessed: 20 January 2026).</w:t>
      </w:r>
    </w:p>
    <w:p xmlns:wp14="http://schemas.microsoft.com/office/word/2010/wordml" w:rsidP="4F75CE6F" wp14:paraId="721D6BE0" wp14:textId="15FD019F">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Hennink, M.M., Kaiser, B.N. and Marconi, V.C. (2017) ‘Code saturation versus meaning saturation: how many interviews are enough?’, </w:t>
      </w:r>
      <w:r w:rsidRPr="4F75CE6F" w:rsidR="6C1EF9A4">
        <w:rPr>
          <w:rFonts w:ascii="Arial" w:hAnsi="Arial" w:eastAsia="Arial" w:cs="Arial"/>
          <w:i w:val="1"/>
          <w:iCs w:val="1"/>
          <w:noProof w:val="0"/>
          <w:sz w:val="22"/>
          <w:szCs w:val="22"/>
          <w:lang w:val="en-GB"/>
        </w:rPr>
        <w:t>Qualitative Health Research</w:t>
      </w:r>
      <w:r w:rsidRPr="4F75CE6F" w:rsidR="6C1EF9A4">
        <w:rPr>
          <w:rFonts w:ascii="Arial" w:hAnsi="Arial" w:eastAsia="Arial" w:cs="Arial"/>
          <w:noProof w:val="0"/>
          <w:sz w:val="22"/>
          <w:szCs w:val="22"/>
          <w:lang w:val="en-GB"/>
        </w:rPr>
        <w:t>, 27(4), pp. 591–608.</w:t>
      </w:r>
    </w:p>
    <w:p xmlns:wp14="http://schemas.microsoft.com/office/word/2010/wordml" w:rsidP="4F75CE6F" wp14:paraId="2D30DE0F" wp14:textId="089AC04E">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Information Commissioner’s Office (2023) </w:t>
      </w:r>
      <w:r w:rsidRPr="4F75CE6F" w:rsidR="6C1EF9A4">
        <w:rPr>
          <w:rFonts w:ascii="Arial" w:hAnsi="Arial" w:eastAsia="Arial" w:cs="Arial"/>
          <w:i w:val="1"/>
          <w:iCs w:val="1"/>
          <w:noProof w:val="0"/>
          <w:sz w:val="22"/>
          <w:szCs w:val="22"/>
          <w:lang w:val="en-GB"/>
        </w:rPr>
        <w:t>Guide to the UK General Data Protection Regulation (UK GDPR)</w:t>
      </w:r>
      <w:r w:rsidRPr="4F75CE6F" w:rsidR="6C1EF9A4">
        <w:rPr>
          <w:rFonts w:ascii="Arial" w:hAnsi="Arial" w:eastAsia="Arial" w:cs="Arial"/>
          <w:noProof w:val="0"/>
          <w:sz w:val="22"/>
          <w:szCs w:val="22"/>
          <w:lang w:val="en-GB"/>
        </w:rPr>
        <w:t xml:space="preserve">. Available at: </w:t>
      </w:r>
      <w:hyperlink r:id="R6ffaa52b6e2449ba">
        <w:r w:rsidRPr="4F75CE6F" w:rsidR="6C1EF9A4">
          <w:rPr>
            <w:rStyle w:val="Hyperlink"/>
            <w:rFonts w:ascii="Arial" w:hAnsi="Arial" w:eastAsia="Arial" w:cs="Arial"/>
            <w:noProof w:val="0"/>
            <w:sz w:val="22"/>
            <w:szCs w:val="22"/>
            <w:lang w:val="en-GB"/>
          </w:rPr>
          <w:t>https://ico.org.uk</w:t>
        </w:r>
      </w:hyperlink>
      <w:r w:rsidRPr="4F75CE6F" w:rsidR="6C1EF9A4">
        <w:rPr>
          <w:rFonts w:ascii="Arial" w:hAnsi="Arial" w:eastAsia="Arial" w:cs="Arial"/>
          <w:noProof w:val="0"/>
          <w:sz w:val="22"/>
          <w:szCs w:val="22"/>
          <w:lang w:val="en-GB"/>
        </w:rPr>
        <w:t xml:space="preserve"> (Accessed: 20 January 2026).</w:t>
      </w:r>
    </w:p>
    <w:p xmlns:wp14="http://schemas.microsoft.com/office/word/2010/wordml" w:rsidP="4F75CE6F" wp14:paraId="115E7E86" wp14:textId="020D9071">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Kessler, R.C., Berglund, P., Demler, O., Jin, R., Merikangas, K.R. and Walters, E.E. (2005) ‘Lifetime prevalence and age-of-onset distributions of DSM-IV disorders’, </w:t>
      </w:r>
      <w:r w:rsidRPr="4F75CE6F" w:rsidR="6C1EF9A4">
        <w:rPr>
          <w:rFonts w:ascii="Arial" w:hAnsi="Arial" w:eastAsia="Arial" w:cs="Arial"/>
          <w:i w:val="1"/>
          <w:iCs w:val="1"/>
          <w:noProof w:val="0"/>
          <w:sz w:val="22"/>
          <w:szCs w:val="22"/>
          <w:lang w:val="en-GB"/>
        </w:rPr>
        <w:t>Archives of General Psychiatry</w:t>
      </w:r>
      <w:r w:rsidRPr="4F75CE6F" w:rsidR="6C1EF9A4">
        <w:rPr>
          <w:rFonts w:ascii="Arial" w:hAnsi="Arial" w:eastAsia="Arial" w:cs="Arial"/>
          <w:noProof w:val="0"/>
          <w:sz w:val="22"/>
          <w:szCs w:val="22"/>
          <w:lang w:val="en-GB"/>
        </w:rPr>
        <w:t>, 62(6), pp. 593–602.</w:t>
      </w:r>
    </w:p>
    <w:p xmlns:wp14="http://schemas.microsoft.com/office/word/2010/wordml" w:rsidP="4F75CE6F" wp14:paraId="5971AED0" wp14:textId="354ADEA5">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Mowbray, C., Byng, R. and Lister, J. (2021) </w:t>
      </w:r>
      <w:r w:rsidRPr="4F75CE6F" w:rsidR="6C1EF9A4">
        <w:rPr>
          <w:rFonts w:ascii="Arial" w:hAnsi="Arial" w:eastAsia="Arial" w:cs="Arial"/>
          <w:i w:val="1"/>
          <w:iCs w:val="1"/>
          <w:noProof w:val="0"/>
          <w:sz w:val="22"/>
          <w:szCs w:val="22"/>
          <w:lang w:val="en-GB"/>
        </w:rPr>
        <w:t>Structural and Systemic Barriers to Accessing Mental Health Services in the UK</w:t>
      </w:r>
      <w:r w:rsidRPr="4F75CE6F" w:rsidR="6C1EF9A4">
        <w:rPr>
          <w:rFonts w:ascii="Arial" w:hAnsi="Arial" w:eastAsia="Arial" w:cs="Arial"/>
          <w:noProof w:val="0"/>
          <w:sz w:val="22"/>
          <w:szCs w:val="22"/>
          <w:lang w:val="en-GB"/>
        </w:rPr>
        <w:t>. London: Routledge.</w:t>
      </w:r>
    </w:p>
    <w:p xmlns:wp14="http://schemas.microsoft.com/office/word/2010/wordml" w:rsidP="4F75CE6F" wp14:paraId="404101EE" wp14:textId="28705A7C">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NHS Digital (2025) </w:t>
      </w:r>
      <w:r w:rsidRPr="4F75CE6F" w:rsidR="6C1EF9A4">
        <w:rPr>
          <w:rFonts w:ascii="Arial" w:hAnsi="Arial" w:eastAsia="Arial" w:cs="Arial"/>
          <w:i w:val="1"/>
          <w:iCs w:val="1"/>
          <w:noProof w:val="0"/>
          <w:sz w:val="22"/>
          <w:szCs w:val="22"/>
          <w:lang w:val="en-GB"/>
        </w:rPr>
        <w:t>Adult Psychiatric Morbidity Survey: Survey of Mental Health and Wellbeing, England</w:t>
      </w:r>
      <w:r w:rsidRPr="4F75CE6F" w:rsidR="6C1EF9A4">
        <w:rPr>
          <w:rFonts w:ascii="Arial" w:hAnsi="Arial" w:eastAsia="Arial" w:cs="Arial"/>
          <w:noProof w:val="0"/>
          <w:sz w:val="22"/>
          <w:szCs w:val="22"/>
          <w:lang w:val="en-GB"/>
        </w:rPr>
        <w:t xml:space="preserve">. Available at: </w:t>
      </w:r>
      <w:hyperlink r:id="Ra9e24cc786f243ad">
        <w:r w:rsidRPr="4F75CE6F" w:rsidR="6C1EF9A4">
          <w:rPr>
            <w:rStyle w:val="Hyperlink"/>
            <w:rFonts w:ascii="Arial" w:hAnsi="Arial" w:eastAsia="Arial" w:cs="Arial"/>
            <w:noProof w:val="0"/>
            <w:sz w:val="22"/>
            <w:szCs w:val="22"/>
            <w:lang w:val="en-GB"/>
          </w:rPr>
          <w:t>https://digital.nhs.uk</w:t>
        </w:r>
      </w:hyperlink>
      <w:r w:rsidRPr="4F75CE6F" w:rsidR="6C1EF9A4">
        <w:rPr>
          <w:rFonts w:ascii="Arial" w:hAnsi="Arial" w:eastAsia="Arial" w:cs="Arial"/>
          <w:noProof w:val="0"/>
          <w:sz w:val="22"/>
          <w:szCs w:val="22"/>
          <w:lang w:val="en-GB"/>
        </w:rPr>
        <w:t xml:space="preserve"> (Accessed: 20 January 2026).</w:t>
      </w:r>
    </w:p>
    <w:p xmlns:wp14="http://schemas.microsoft.com/office/word/2010/wordml" w:rsidP="4F75CE6F" wp14:paraId="4A8E8959" wp14:textId="3DC2B4C7">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NHS England (2023) </w:t>
      </w:r>
      <w:r w:rsidRPr="4F75CE6F" w:rsidR="6C1EF9A4">
        <w:rPr>
          <w:rFonts w:ascii="Arial" w:hAnsi="Arial" w:eastAsia="Arial" w:cs="Arial"/>
          <w:i w:val="1"/>
          <w:iCs w:val="1"/>
          <w:noProof w:val="0"/>
          <w:sz w:val="22"/>
          <w:szCs w:val="22"/>
          <w:lang w:val="en-GB"/>
        </w:rPr>
        <w:t>Mental Health of Children and Young People in England</w:t>
      </w:r>
      <w:r w:rsidRPr="4F75CE6F" w:rsidR="6C1EF9A4">
        <w:rPr>
          <w:rFonts w:ascii="Arial" w:hAnsi="Arial" w:eastAsia="Arial" w:cs="Arial"/>
          <w:noProof w:val="0"/>
          <w:sz w:val="22"/>
          <w:szCs w:val="22"/>
          <w:lang w:val="en-GB"/>
        </w:rPr>
        <w:t xml:space="preserve">. Available at: </w:t>
      </w:r>
      <w:hyperlink r:id="R44cf68293a69445f">
        <w:r w:rsidRPr="4F75CE6F" w:rsidR="6C1EF9A4">
          <w:rPr>
            <w:rStyle w:val="Hyperlink"/>
            <w:rFonts w:ascii="Arial" w:hAnsi="Arial" w:eastAsia="Arial" w:cs="Arial"/>
            <w:noProof w:val="0"/>
            <w:sz w:val="22"/>
            <w:szCs w:val="22"/>
            <w:lang w:val="en-GB"/>
          </w:rPr>
          <w:t>https://digital.nhs.uk</w:t>
        </w:r>
      </w:hyperlink>
      <w:r w:rsidRPr="4F75CE6F" w:rsidR="6C1EF9A4">
        <w:rPr>
          <w:rFonts w:ascii="Arial" w:hAnsi="Arial" w:eastAsia="Arial" w:cs="Arial"/>
          <w:noProof w:val="0"/>
          <w:sz w:val="22"/>
          <w:szCs w:val="22"/>
          <w:lang w:val="en-GB"/>
        </w:rPr>
        <w:t xml:space="preserve"> (Accessed: 20 January 2026).</w:t>
      </w:r>
    </w:p>
    <w:p xmlns:wp14="http://schemas.microsoft.com/office/word/2010/wordml" w:rsidP="4F75CE6F" wp14:paraId="543706A7" wp14:textId="275F48FF">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Nowell, L.S., Norris, J.M., White, D.E. and Moules, N.J. (2017) ‘Thematic analysis: Striving to meet the trustworthiness criteria’, </w:t>
      </w:r>
      <w:r w:rsidRPr="4F75CE6F" w:rsidR="6C1EF9A4">
        <w:rPr>
          <w:rFonts w:ascii="Arial" w:hAnsi="Arial" w:eastAsia="Arial" w:cs="Arial"/>
          <w:i w:val="1"/>
          <w:iCs w:val="1"/>
          <w:noProof w:val="0"/>
          <w:sz w:val="22"/>
          <w:szCs w:val="22"/>
          <w:lang w:val="en-GB"/>
        </w:rPr>
        <w:t>International Journal of Qualitative Methods</w:t>
      </w:r>
      <w:r w:rsidRPr="4F75CE6F" w:rsidR="6C1EF9A4">
        <w:rPr>
          <w:rFonts w:ascii="Arial" w:hAnsi="Arial" w:eastAsia="Arial" w:cs="Arial"/>
          <w:noProof w:val="0"/>
          <w:sz w:val="22"/>
          <w:szCs w:val="22"/>
          <w:lang w:val="en-GB"/>
        </w:rPr>
        <w:t>, 16, pp. 1–13.</w:t>
      </w:r>
    </w:p>
    <w:p xmlns:wp14="http://schemas.microsoft.com/office/word/2010/wordml" w:rsidP="4F75CE6F" wp14:paraId="676DFCFF" wp14:textId="4B7BB3FE">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Palinkas, L.A., Horwitz, S.M., Green, C.A., Wisdom, J.P., Duan, N. and Hoagwood, K. (2015) ‘Purposeful sampling for qualitative data collection and analysis’, </w:t>
      </w:r>
      <w:r w:rsidRPr="4F75CE6F" w:rsidR="6C1EF9A4">
        <w:rPr>
          <w:rFonts w:ascii="Arial" w:hAnsi="Arial" w:eastAsia="Arial" w:cs="Arial"/>
          <w:i w:val="1"/>
          <w:iCs w:val="1"/>
          <w:noProof w:val="0"/>
          <w:sz w:val="22"/>
          <w:szCs w:val="22"/>
          <w:lang w:val="en-GB"/>
        </w:rPr>
        <w:t>Administration and Policy in Mental Health and Mental Health Services Research</w:t>
      </w:r>
      <w:r w:rsidRPr="4F75CE6F" w:rsidR="6C1EF9A4">
        <w:rPr>
          <w:rFonts w:ascii="Arial" w:hAnsi="Arial" w:eastAsia="Arial" w:cs="Arial"/>
          <w:noProof w:val="0"/>
          <w:sz w:val="22"/>
          <w:szCs w:val="22"/>
          <w:lang w:val="en-GB"/>
        </w:rPr>
        <w:t>, 42(5), pp. 533–544.</w:t>
      </w:r>
    </w:p>
    <w:p xmlns:wp14="http://schemas.microsoft.com/office/word/2010/wordml" w:rsidP="4F75CE6F" wp14:paraId="18E5B5D1" wp14:textId="6D70B98C">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Patel, V., Flisher, A.J., Hetrick, S. and McGorry, P. (2022) ‘Mental health of young people: a global public-health challenge’, </w:t>
      </w:r>
      <w:r w:rsidRPr="4F75CE6F" w:rsidR="6C1EF9A4">
        <w:rPr>
          <w:rFonts w:ascii="Arial" w:hAnsi="Arial" w:eastAsia="Arial" w:cs="Arial"/>
          <w:i w:val="1"/>
          <w:iCs w:val="1"/>
          <w:noProof w:val="0"/>
          <w:sz w:val="22"/>
          <w:szCs w:val="22"/>
          <w:lang w:val="en-GB"/>
        </w:rPr>
        <w:t>The Lancet</w:t>
      </w:r>
      <w:r w:rsidRPr="4F75CE6F" w:rsidR="6C1EF9A4">
        <w:rPr>
          <w:rFonts w:ascii="Arial" w:hAnsi="Arial" w:eastAsia="Arial" w:cs="Arial"/>
          <w:noProof w:val="0"/>
          <w:sz w:val="22"/>
          <w:szCs w:val="22"/>
          <w:lang w:val="en-GB"/>
        </w:rPr>
        <w:t>, 369(9569), pp. 1302–1313.</w:t>
      </w:r>
    </w:p>
    <w:p xmlns:wp14="http://schemas.microsoft.com/office/word/2010/wordml" w:rsidP="4F75CE6F" wp14:paraId="42355F62" wp14:textId="4ECC0E73">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Polkinghorne, D.E. (2005) ‘Language and meaning: data collection in qualitative research’, </w:t>
      </w:r>
      <w:r w:rsidRPr="4F75CE6F" w:rsidR="6C1EF9A4">
        <w:rPr>
          <w:rFonts w:ascii="Arial" w:hAnsi="Arial" w:eastAsia="Arial" w:cs="Arial"/>
          <w:i w:val="1"/>
          <w:iCs w:val="1"/>
          <w:noProof w:val="0"/>
          <w:sz w:val="22"/>
          <w:szCs w:val="22"/>
          <w:lang w:val="en-GB"/>
        </w:rPr>
        <w:t>Journal of Counseling Psychology</w:t>
      </w:r>
      <w:r w:rsidRPr="4F75CE6F" w:rsidR="6C1EF9A4">
        <w:rPr>
          <w:rFonts w:ascii="Arial" w:hAnsi="Arial" w:eastAsia="Arial" w:cs="Arial"/>
          <w:noProof w:val="0"/>
          <w:sz w:val="22"/>
          <w:szCs w:val="22"/>
          <w:lang w:val="en-GB"/>
        </w:rPr>
        <w:t>, 52(2), pp. 137–145.</w:t>
      </w:r>
    </w:p>
    <w:p xmlns:wp14="http://schemas.microsoft.com/office/word/2010/wordml" w:rsidP="4F75CE6F" wp14:paraId="0BB84AA1" wp14:textId="67CBC3FE">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Rickwood, D., Mazzer, K. and Telford, N. (2019) ‘Social influences on seeking help from mental health services’, </w:t>
      </w:r>
      <w:r w:rsidRPr="4F75CE6F" w:rsidR="6C1EF9A4">
        <w:rPr>
          <w:rFonts w:ascii="Arial" w:hAnsi="Arial" w:eastAsia="Arial" w:cs="Arial"/>
          <w:i w:val="1"/>
          <w:iCs w:val="1"/>
          <w:noProof w:val="0"/>
          <w:sz w:val="22"/>
          <w:szCs w:val="22"/>
          <w:lang w:val="en-GB"/>
        </w:rPr>
        <w:t>BMC Psychiatry</w:t>
      </w:r>
      <w:r w:rsidRPr="4F75CE6F" w:rsidR="6C1EF9A4">
        <w:rPr>
          <w:rFonts w:ascii="Arial" w:hAnsi="Arial" w:eastAsia="Arial" w:cs="Arial"/>
          <w:noProof w:val="0"/>
          <w:sz w:val="22"/>
          <w:szCs w:val="22"/>
          <w:lang w:val="en-GB"/>
        </w:rPr>
        <w:t>, 15(1), pp. 1–9.</w:t>
      </w:r>
    </w:p>
    <w:p xmlns:wp14="http://schemas.microsoft.com/office/word/2010/wordml" w:rsidP="4F75CE6F" wp14:paraId="7B884506" wp14:textId="3651CF4F">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Saunders, M., Lewis, P. and Thornhill, A. (2019) </w:t>
      </w:r>
      <w:r w:rsidRPr="4F75CE6F" w:rsidR="6C1EF9A4">
        <w:rPr>
          <w:rFonts w:ascii="Arial" w:hAnsi="Arial" w:eastAsia="Arial" w:cs="Arial"/>
          <w:i w:val="1"/>
          <w:iCs w:val="1"/>
          <w:noProof w:val="0"/>
          <w:sz w:val="22"/>
          <w:szCs w:val="22"/>
          <w:lang w:val="en-GB"/>
        </w:rPr>
        <w:t>Research Methods for Business Students</w:t>
      </w:r>
      <w:r w:rsidRPr="4F75CE6F" w:rsidR="6C1EF9A4">
        <w:rPr>
          <w:rFonts w:ascii="Arial" w:hAnsi="Arial" w:eastAsia="Arial" w:cs="Arial"/>
          <w:noProof w:val="0"/>
          <w:sz w:val="22"/>
          <w:szCs w:val="22"/>
          <w:lang w:val="en-GB"/>
        </w:rPr>
        <w:t>. 8th edn. Harlow: Pearson Education.</w:t>
      </w:r>
    </w:p>
    <w:p xmlns:wp14="http://schemas.microsoft.com/office/word/2010/wordml" w:rsidP="4F75CE6F" wp14:paraId="7481DCA5" wp14:textId="430EEC22">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Sharp, M.L. and Theiler, S. (2018) ‘A review of psychological distress among university students’, </w:t>
      </w:r>
      <w:r w:rsidRPr="4F75CE6F" w:rsidR="6C1EF9A4">
        <w:rPr>
          <w:rFonts w:ascii="Arial" w:hAnsi="Arial" w:eastAsia="Arial" w:cs="Arial"/>
          <w:i w:val="1"/>
          <w:iCs w:val="1"/>
          <w:noProof w:val="0"/>
          <w:sz w:val="22"/>
          <w:szCs w:val="22"/>
          <w:lang w:val="en-GB"/>
        </w:rPr>
        <w:t>Journal of Mental Health</w:t>
      </w:r>
      <w:r w:rsidRPr="4F75CE6F" w:rsidR="6C1EF9A4">
        <w:rPr>
          <w:rFonts w:ascii="Arial" w:hAnsi="Arial" w:eastAsia="Arial" w:cs="Arial"/>
          <w:noProof w:val="0"/>
          <w:sz w:val="22"/>
          <w:szCs w:val="22"/>
          <w:lang w:val="en-GB"/>
        </w:rPr>
        <w:t>, 27(3), pp. 222–231.</w:t>
      </w:r>
    </w:p>
    <w:p xmlns:wp14="http://schemas.microsoft.com/office/word/2010/wordml" w:rsidP="4F75CE6F" wp14:paraId="23E4E13E" wp14:textId="0D61EF97">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Smith, J.A. and Osborn, M. (2015) ‘Interpretative phenomenological analysis’, </w:t>
      </w:r>
      <w:r w:rsidRPr="4F75CE6F" w:rsidR="6C1EF9A4">
        <w:rPr>
          <w:rFonts w:ascii="Arial" w:hAnsi="Arial" w:eastAsia="Arial" w:cs="Arial"/>
          <w:i w:val="1"/>
          <w:iCs w:val="1"/>
          <w:noProof w:val="0"/>
          <w:sz w:val="22"/>
          <w:szCs w:val="22"/>
          <w:lang w:val="en-GB"/>
        </w:rPr>
        <w:t>British Journal of Pain</w:t>
      </w:r>
      <w:r w:rsidRPr="4F75CE6F" w:rsidR="6C1EF9A4">
        <w:rPr>
          <w:rFonts w:ascii="Arial" w:hAnsi="Arial" w:eastAsia="Arial" w:cs="Arial"/>
          <w:noProof w:val="0"/>
          <w:sz w:val="22"/>
          <w:szCs w:val="22"/>
          <w:lang w:val="en-GB"/>
        </w:rPr>
        <w:t>, 9(1), pp. 41–42.</w:t>
      </w:r>
    </w:p>
    <w:p xmlns:wp14="http://schemas.microsoft.com/office/word/2010/wordml" w:rsidP="4F75CE6F" wp14:paraId="670E7091" wp14:textId="7D2C7A2F">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Wiles, R., Crow, G., Heath, S. and Charles, V. (2008) ‘The management of confidentiality and anonymity in social research’, </w:t>
      </w:r>
      <w:r w:rsidRPr="4F75CE6F" w:rsidR="6C1EF9A4">
        <w:rPr>
          <w:rFonts w:ascii="Arial" w:hAnsi="Arial" w:eastAsia="Arial" w:cs="Arial"/>
          <w:i w:val="1"/>
          <w:iCs w:val="1"/>
          <w:noProof w:val="0"/>
          <w:sz w:val="22"/>
          <w:szCs w:val="22"/>
          <w:lang w:val="en-GB"/>
        </w:rPr>
        <w:t>International Journal of Social Research Methodology</w:t>
      </w:r>
      <w:r w:rsidRPr="4F75CE6F" w:rsidR="6C1EF9A4">
        <w:rPr>
          <w:rFonts w:ascii="Arial" w:hAnsi="Arial" w:eastAsia="Arial" w:cs="Arial"/>
          <w:noProof w:val="0"/>
          <w:sz w:val="22"/>
          <w:szCs w:val="22"/>
          <w:lang w:val="en-GB"/>
        </w:rPr>
        <w:t>, 11(5), pp. 417–428.</w:t>
      </w:r>
    </w:p>
    <w:p xmlns:wp14="http://schemas.microsoft.com/office/word/2010/wordml" w:rsidP="4F75CE6F" wp14:paraId="6F17CF48" wp14:textId="3C798961">
      <w:pPr>
        <w:bidi w:val="0"/>
        <w:spacing w:before="240" w:beforeAutospacing="off" w:after="240" w:afterAutospacing="off"/>
        <w:jc w:val="both"/>
      </w:pPr>
      <w:r w:rsidRPr="4F75CE6F" w:rsidR="6C1EF9A4">
        <w:rPr>
          <w:rFonts w:ascii="Arial" w:hAnsi="Arial" w:eastAsia="Arial" w:cs="Arial"/>
          <w:noProof w:val="0"/>
          <w:sz w:val="22"/>
          <w:szCs w:val="22"/>
          <w:lang w:val="en-GB"/>
        </w:rPr>
        <w:t xml:space="preserve">Youth Access (2021) </w:t>
      </w:r>
      <w:r w:rsidRPr="4F75CE6F" w:rsidR="6C1EF9A4">
        <w:rPr>
          <w:rFonts w:ascii="Arial" w:hAnsi="Arial" w:eastAsia="Arial" w:cs="Arial"/>
          <w:i w:val="1"/>
          <w:iCs w:val="1"/>
          <w:noProof w:val="0"/>
          <w:sz w:val="22"/>
          <w:szCs w:val="22"/>
          <w:lang w:val="en-GB"/>
        </w:rPr>
        <w:t>Access to Mental Health Services for Young People</w:t>
      </w:r>
      <w:r w:rsidRPr="4F75CE6F" w:rsidR="6C1EF9A4">
        <w:rPr>
          <w:rFonts w:ascii="Arial" w:hAnsi="Arial" w:eastAsia="Arial" w:cs="Arial"/>
          <w:noProof w:val="0"/>
          <w:sz w:val="22"/>
          <w:szCs w:val="22"/>
          <w:lang w:val="en-GB"/>
        </w:rPr>
        <w:t>. London: Youth Access.</w:t>
      </w:r>
    </w:p>
    <w:p xmlns:wp14="http://schemas.microsoft.com/office/word/2010/wordml" w:rsidP="4F75CE6F" wp14:paraId="76FBEF27" wp14:textId="26BB3169">
      <w:pPr>
        <w:pStyle w:val="Normal"/>
        <w:bidi w:val="0"/>
        <w:spacing w:before="240" w:beforeAutospacing="off" w:after="240" w:afterAutospacing="off" w:line="360" w:lineRule="auto"/>
        <w:jc w:val="both"/>
        <w:rPr>
          <w:rFonts w:ascii="Arial" w:hAnsi="Arial" w:eastAsia="Arial" w:cs="Arial"/>
          <w:b w:val="1"/>
          <w:bCs w:val="1"/>
          <w:noProof w:val="0"/>
          <w:color w:val="000000" w:themeColor="text1" w:themeTint="FF" w:themeShade="FF"/>
          <w:sz w:val="22"/>
          <w:szCs w:val="22"/>
          <w:lang w:val="en-GB"/>
        </w:rPr>
      </w:pPr>
    </w:p>
    <w:p xmlns:wp14="http://schemas.microsoft.com/office/word/2010/wordml" w:rsidP="4F75CE6F" wp14:paraId="5E5787A5" wp14:textId="39BE00D8">
      <w:pPr>
        <w:rPr>
          <w:rFonts w:ascii="Calibri" w:hAnsi="Calibri" w:eastAsia="Calibri" w:cs="Calibri"/>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unvFgUSqILdUHN" int2:id="Dp2Ri9qO">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16d9d49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021a20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a9283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29827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6691eb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8F3907"/>
    <w:rsid w:val="0522436C"/>
    <w:rsid w:val="0B412EE9"/>
    <w:rsid w:val="0B6973C1"/>
    <w:rsid w:val="0B6973C1"/>
    <w:rsid w:val="0CF5BD71"/>
    <w:rsid w:val="0D10C068"/>
    <w:rsid w:val="0E590C44"/>
    <w:rsid w:val="0E5F5266"/>
    <w:rsid w:val="0F5F97B0"/>
    <w:rsid w:val="0FC7968C"/>
    <w:rsid w:val="10CE76DA"/>
    <w:rsid w:val="11EBF842"/>
    <w:rsid w:val="12174F6F"/>
    <w:rsid w:val="12B3188F"/>
    <w:rsid w:val="1383D562"/>
    <w:rsid w:val="1789992A"/>
    <w:rsid w:val="182CF9CD"/>
    <w:rsid w:val="1977EAC4"/>
    <w:rsid w:val="1A5C8EF5"/>
    <w:rsid w:val="1B977765"/>
    <w:rsid w:val="1E6059B6"/>
    <w:rsid w:val="1E655180"/>
    <w:rsid w:val="20D03372"/>
    <w:rsid w:val="218E9827"/>
    <w:rsid w:val="25056B83"/>
    <w:rsid w:val="277A7F37"/>
    <w:rsid w:val="2D825A7E"/>
    <w:rsid w:val="2EC515A1"/>
    <w:rsid w:val="319D6590"/>
    <w:rsid w:val="32B9A8C8"/>
    <w:rsid w:val="3473E8A2"/>
    <w:rsid w:val="35E54546"/>
    <w:rsid w:val="3609CDB5"/>
    <w:rsid w:val="36FC3DAA"/>
    <w:rsid w:val="377327A9"/>
    <w:rsid w:val="388E44CE"/>
    <w:rsid w:val="38908F1F"/>
    <w:rsid w:val="3A50D0FD"/>
    <w:rsid w:val="3A50D0FD"/>
    <w:rsid w:val="3A8E9DBC"/>
    <w:rsid w:val="3B0C6EDE"/>
    <w:rsid w:val="3E3E8CB8"/>
    <w:rsid w:val="3F3D5CDA"/>
    <w:rsid w:val="42F7FB0D"/>
    <w:rsid w:val="4561DD06"/>
    <w:rsid w:val="458F3907"/>
    <w:rsid w:val="4629F5BE"/>
    <w:rsid w:val="49AFD6D5"/>
    <w:rsid w:val="4B15B50D"/>
    <w:rsid w:val="4D36B353"/>
    <w:rsid w:val="4DC96AB9"/>
    <w:rsid w:val="4F75CE6F"/>
    <w:rsid w:val="4F89F33E"/>
    <w:rsid w:val="4FA01084"/>
    <w:rsid w:val="4FD1082C"/>
    <w:rsid w:val="5230407C"/>
    <w:rsid w:val="52D6F6A8"/>
    <w:rsid w:val="54715CEB"/>
    <w:rsid w:val="54A2AFF9"/>
    <w:rsid w:val="55861F61"/>
    <w:rsid w:val="56EDF2C8"/>
    <w:rsid w:val="58F7BC6F"/>
    <w:rsid w:val="58F7BC6F"/>
    <w:rsid w:val="593AD5F6"/>
    <w:rsid w:val="5BA5B190"/>
    <w:rsid w:val="5FB433AF"/>
    <w:rsid w:val="610A0B9D"/>
    <w:rsid w:val="62638089"/>
    <w:rsid w:val="6299F30C"/>
    <w:rsid w:val="662BFC81"/>
    <w:rsid w:val="684260BE"/>
    <w:rsid w:val="68BF1E33"/>
    <w:rsid w:val="691561CA"/>
    <w:rsid w:val="6C1EF9A4"/>
    <w:rsid w:val="6D050191"/>
    <w:rsid w:val="73BACE92"/>
    <w:rsid w:val="7435F329"/>
    <w:rsid w:val="76256658"/>
    <w:rsid w:val="76F40E42"/>
    <w:rsid w:val="7728ED5E"/>
    <w:rsid w:val="77DD6DD5"/>
    <w:rsid w:val="7C00CA02"/>
    <w:rsid w:val="7D1E996F"/>
    <w:rsid w:val="7FFFE7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F3907"/>
  <w15:chartTrackingRefBased/>
  <w15:docId w15:val="{D35B0FF1-9B6F-4498-9780-CE0D7E8FA72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F75CE6F"/>
    <w:pPr>
      <w:spacing/>
      <w:ind w:left="720"/>
      <w:contextualSpacing/>
    </w:pPr>
  </w:style>
  <w:style w:type="paragraph" w:styleId="Heading2">
    <w:uiPriority w:val="9"/>
    <w:name w:val="heading 2"/>
    <w:basedOn w:val="Normal"/>
    <w:next w:val="Normal"/>
    <w:unhideWhenUsed/>
    <w:qFormat/>
    <w:rsid w:val="4F75CE6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4F75CE6F"/>
    <w:rPr>
      <w:color w:val="467886"/>
      <w:u w:val="single"/>
    </w:rPr>
  </w:style>
  <w:style w:type="paragraph" w:styleId="Heading3">
    <w:uiPriority w:val="9"/>
    <w:name w:val="heading 3"/>
    <w:basedOn w:val="Normal"/>
    <w:next w:val="Normal"/>
    <w:unhideWhenUsed/>
    <w:qFormat/>
    <w:rsid w:val="4F75CE6F"/>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4F75CE6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NoSpacing">
    <w:uiPriority w:val="1"/>
    <w:name w:val="No Spacing"/>
    <w:qFormat/>
    <w:rsid w:val="4F75CE6F"/>
    <w:pPr>
      <w:spacing w:after="0"/>
    </w:pPr>
  </w:style>
  <w:style w:type="paragraph" w:styleId="TOC2">
    <w:uiPriority w:val="39"/>
    <w:name w:val="toc 2"/>
    <w:basedOn w:val="Normal"/>
    <w:next w:val="Normal"/>
    <w:unhideWhenUsed/>
    <w:rsid w:val="4F75CE6F"/>
    <w:pPr>
      <w:spacing w:after="100"/>
      <w:ind w:left="220"/>
    </w:pPr>
  </w:style>
  <w:style w:type="paragraph" w:styleId="TOC3">
    <w:uiPriority w:val="39"/>
    <w:name w:val="toc 3"/>
    <w:basedOn w:val="Normal"/>
    <w:next w:val="Normal"/>
    <w:unhideWhenUsed/>
    <w:rsid w:val="4F75CE6F"/>
    <w:pPr>
      <w:spacing w:after="100"/>
      <w:ind w:left="440"/>
    </w:pPr>
  </w:style>
  <w:style w:type="paragraph" w:styleId="TOC1">
    <w:uiPriority w:val="39"/>
    <w:name w:val="toc 1"/>
    <w:basedOn w:val="Normal"/>
    <w:next w:val="Normal"/>
    <w:unhideWhenUsed/>
    <w:rsid w:val="4F75CE6F"/>
    <w:pPr>
      <w:spacing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hra.nhs.uk/" TargetMode="External" Id="Rbe7a530f854e418b" /><Relationship Type="http://schemas.openxmlformats.org/officeDocument/2006/relationships/hyperlink" Target="https://ico.org.uk/" TargetMode="External" Id="R6ffaa52b6e2449ba" /><Relationship Type="http://schemas.openxmlformats.org/officeDocument/2006/relationships/hyperlink" Target="https://digital.nhs.uk/" TargetMode="External" Id="Ra9e24cc786f243ad" /><Relationship Type="http://schemas.openxmlformats.org/officeDocument/2006/relationships/hyperlink" Target="https://digital.nhs.uk/" TargetMode="External" Id="R44cf68293a69445f" /><Relationship Type="http://schemas.microsoft.com/office/2020/10/relationships/intelligence" Target="/word/intelligence2.xml" Id="R92954a1540154600" /><Relationship Type="http://schemas.openxmlformats.org/officeDocument/2006/relationships/numbering" Target="/word/numbering.xml" Id="R7b62026626704f2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Nazia Ali (2208450)</dc:creator>
  <keywords/>
  <dc:description/>
  <lastModifiedBy>Nazia Ali (2208450)</lastModifiedBy>
  <revision>2</revision>
  <dcterms:created xsi:type="dcterms:W3CDTF">2026-01-25T17:10:35.3034697Z</dcterms:created>
  <dcterms:modified xsi:type="dcterms:W3CDTF">2026-01-26T00:58:51.6299950Z</dcterms:modified>
</coreProperties>
</file>