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commentsIds.xml" ContentType="application/vnd.openxmlformats-officedocument.wordprocessingml.commentsIds+xml"/>
  <Override PartName="/word/commentsExtended.xml" ContentType="application/vnd.openxmlformats-officedocument.wordprocessingml.commentsExtended+xml"/>
  <Override PartName="/word/people.xml" ContentType="application/vnd.openxmlformats-officedocument.wordprocessingml.people+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commentsExtended.xml><?xml version="1.0" encoding="utf-8"?>
<w15:commentsEx xmlns:mc="http://schemas.openxmlformats.org/markup-compatibility/2006" xmlns:w15="http://schemas.microsoft.com/office/word/2012/wordml" mc:Ignorable="w15"/>
</file>

<file path=word/commentsIds.xml><?xml version="1.0" encoding="utf-8"?>
<w16cid:commentsIds xmlns:mc="http://schemas.openxmlformats.org/markup-compatibility/2006" xmlns:w16cid="http://schemas.microsoft.com/office/word/2016/wordml/cid" mc:Ignorable="w16cid"/>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w:rsidR="0F8A6FCF" w:rsidP="0D7B821E" w:rsidRDefault="0F8A6FCF" w14:paraId="63BC294C" w14:textId="49A65877">
      <w:pPr>
        <w:pStyle w:val="NoSpacing"/>
        <w:spacing w:before="0" w:beforeAutospacing="off" w:after="0" w:afterAutospacing="off"/>
        <w:rPr>
          <w:rFonts w:ascii="Aptos" w:hAnsi="Aptos" w:eastAsia="Aptos" w:cs="Aptos"/>
          <w:noProof w:val="0"/>
          <w:sz w:val="32"/>
          <w:szCs w:val="32"/>
          <w:lang w:val="en-GB"/>
        </w:rPr>
      </w:pPr>
      <w:r w:rsidRPr="0D7B821E" w:rsidR="0F8A6FCF">
        <w:rPr>
          <w:rFonts w:ascii="Aptos" w:hAnsi="Aptos" w:eastAsia="Aptos" w:cs="Aptos"/>
          <w:noProof w:val="0"/>
          <w:sz w:val="32"/>
          <w:szCs w:val="32"/>
          <w:lang w:val="en-GB"/>
        </w:rPr>
        <w:t xml:space="preserve">Name: Celyn Morgan </w:t>
      </w:r>
    </w:p>
    <w:p w:rsidR="0F8A6FCF" w:rsidP="0D7B821E" w:rsidRDefault="0F8A6FCF" w14:paraId="6A0A1E83" w14:textId="6C05B1B9">
      <w:pPr>
        <w:pStyle w:val="NoSpacing"/>
        <w:spacing w:before="0" w:beforeAutospacing="off" w:after="0" w:afterAutospacing="off"/>
        <w:rPr>
          <w:rFonts w:ascii="Aptos" w:hAnsi="Aptos" w:eastAsia="Aptos" w:cs="Aptos"/>
          <w:noProof w:val="0"/>
          <w:sz w:val="32"/>
          <w:szCs w:val="32"/>
          <w:lang w:val="en-GB"/>
        </w:rPr>
      </w:pPr>
      <w:r w:rsidRPr="0D7B821E" w:rsidR="0F8A6FCF">
        <w:rPr>
          <w:rFonts w:ascii="Aptos" w:hAnsi="Aptos" w:eastAsia="Aptos" w:cs="Aptos"/>
          <w:noProof w:val="0"/>
          <w:sz w:val="32"/>
          <w:szCs w:val="32"/>
          <w:lang w:val="en-GB"/>
        </w:rPr>
        <w:t xml:space="preserve">Student number: 2501027 </w:t>
      </w:r>
    </w:p>
    <w:p w:rsidR="0F8A6FCF" w:rsidP="0D7B821E" w:rsidRDefault="0F8A6FCF" w14:paraId="44880F07" w14:textId="6DE551B5">
      <w:pPr>
        <w:pStyle w:val="NoSpacing"/>
        <w:spacing w:before="0" w:beforeAutospacing="off" w:after="0" w:afterAutospacing="off"/>
        <w:rPr>
          <w:rFonts w:ascii="Aptos" w:hAnsi="Aptos" w:eastAsia="Aptos" w:cs="Aptos"/>
          <w:noProof w:val="0"/>
          <w:sz w:val="32"/>
          <w:szCs w:val="32"/>
          <w:lang w:val="en-GB"/>
        </w:rPr>
      </w:pPr>
      <w:r w:rsidRPr="0D7B821E" w:rsidR="0F8A6FCF">
        <w:rPr>
          <w:rFonts w:ascii="Aptos" w:hAnsi="Aptos" w:eastAsia="Aptos" w:cs="Aptos"/>
          <w:noProof w:val="0"/>
          <w:sz w:val="32"/>
          <w:szCs w:val="32"/>
          <w:lang w:val="en-GB"/>
        </w:rPr>
        <w:t>I did not use any artificial intelligence in this essay.</w:t>
      </w:r>
    </w:p>
    <w:p w:rsidR="0D7B821E" w:rsidP="0D7B821E" w:rsidRDefault="0D7B821E" w14:paraId="02829293" w14:textId="722CFCBC">
      <w:pPr>
        <w:pStyle w:val="NoSpacing"/>
        <w:spacing w:before="0" w:beforeAutospacing="off" w:after="0" w:afterAutospacing="off"/>
        <w:rPr>
          <w:rFonts w:ascii="Aptos" w:hAnsi="Aptos" w:eastAsia="Aptos" w:cs="Aptos"/>
          <w:noProof w:val="0"/>
          <w:sz w:val="32"/>
          <w:szCs w:val="32"/>
          <w:lang w:val="en-GB"/>
        </w:rPr>
      </w:pPr>
    </w:p>
    <w:p xmlns:wp14="http://schemas.microsoft.com/office/word/2010/wordml" w:rsidP="69FD98CD" wp14:paraId="785869DE" wp14:textId="64A8F032">
      <w:pPr>
        <w:pStyle w:val="NoSpacing"/>
        <w:spacing w:before="0" w:beforeAutospacing="off" w:after="0" w:afterAutospacing="off"/>
        <w:rPr>
          <w:rFonts w:ascii="Aptos" w:hAnsi="Aptos" w:eastAsia="Aptos" w:cs="Aptos"/>
          <w:noProof w:val="0"/>
          <w:sz w:val="32"/>
          <w:szCs w:val="32"/>
          <w:lang w:val="en-GB"/>
        </w:rPr>
      </w:pPr>
      <w:r w:rsidRPr="0D7B821E" w:rsidR="6DECA315">
        <w:rPr>
          <w:rFonts w:ascii="Aptos" w:hAnsi="Aptos" w:eastAsia="Aptos" w:cs="Aptos"/>
          <w:noProof w:val="0"/>
          <w:sz w:val="32"/>
          <w:szCs w:val="32"/>
          <w:lang w:val="en-GB"/>
        </w:rPr>
        <w:t>“Evaluate how the Criminal Justice System services Victims and defendants through the Criminal Justice process”</w:t>
      </w:r>
    </w:p>
    <w:p w:rsidR="0D7B821E" w:rsidP="0D7B821E" w:rsidRDefault="0D7B821E" w14:paraId="2CB32166" w14:textId="07C4FB87">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25182D93" w14:textId="7E61E36F">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39E6DACC" w14:textId="28F1E5BF">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62751029" w14:textId="3074D5C0">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534AA61F" w14:textId="1A9F7408">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35A26FAB" w14:textId="584480AF">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7B1B91C1" w14:textId="3538087D">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4229479E" w14:textId="74672DBA">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7F65C538" w14:textId="2B569917">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25A5BEE8" w14:textId="0B95E727">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52780028" w14:textId="25B0AA39">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154B4672" w14:textId="0A9CA3ED">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22FD19F1" w14:textId="3BB45810">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6CC6C1D7" w14:textId="350690B7">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55B356C5" w14:textId="1AAFC848">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7DD9F301" w14:textId="000A37C6">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52666DFB" w14:textId="593E7D5D">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5F7EADCD" w14:textId="77BAD12D">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6CCF5397" w14:textId="5AF76F51">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00D93C4D" w14:textId="13DB01CC">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63397BF3" w14:textId="76387077">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2DBEC1E8" w14:textId="29BF0326">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6AECB343" w14:textId="7B66BEC0">
      <w:pPr>
        <w:pStyle w:val="NoSpacing"/>
        <w:spacing w:before="0" w:beforeAutospacing="off" w:after="0" w:afterAutospacing="off"/>
        <w:rPr>
          <w:rFonts w:ascii="Aptos" w:hAnsi="Aptos" w:eastAsia="Aptos" w:cs="Aptos"/>
          <w:noProof w:val="0"/>
          <w:sz w:val="32"/>
          <w:szCs w:val="32"/>
          <w:lang w:val="en-GB"/>
        </w:rPr>
      </w:pPr>
    </w:p>
    <w:p w:rsidR="0D7B821E" w:rsidP="0D7B821E" w:rsidRDefault="0D7B821E" w14:paraId="4851BDB3" w14:textId="142DD3FB">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2525CC86" w14:textId="27E2C3DD">
      <w:pPr>
        <w:pStyle w:val="NoSpacing"/>
        <w:spacing w:before="0" w:beforeAutospacing="off" w:after="0" w:afterAutospacing="off"/>
        <w:rPr>
          <w:rFonts w:ascii="Aptos" w:hAnsi="Aptos" w:eastAsia="Aptos" w:cs="Aptos"/>
          <w:noProof w:val="0"/>
          <w:sz w:val="24"/>
          <w:szCs w:val="24"/>
          <w:lang w:val="en-GB"/>
        </w:rPr>
      </w:pPr>
      <w:r w:rsidRPr="0D7B821E" w:rsidR="0A66414B">
        <w:rPr>
          <w:rFonts w:ascii="Aptos" w:hAnsi="Aptos" w:eastAsia="Aptos" w:cs="Aptos"/>
          <w:noProof w:val="0"/>
          <w:sz w:val="24"/>
          <w:szCs w:val="24"/>
          <w:lang w:val="en-GB"/>
        </w:rPr>
        <w:t>In this essay I will evaluate how the Criminal Justice System services victims and defendants through the process. According to Crown Prosecution Service (2024), the Criminal Justice System is the collective term for public bodies such as the police, the Prosecution Service, courts, HM Prison Service and the Probation Service. These organisations work together to uphold the law, take action against people who commit crimes and protect the innocent. In this essay, I will evaluate how the Criminal Justice System (CJS) serves both victims and defendants throughout the criminal process. The system plays a crucial role in ensuring fairness and justice by balancing the rights of defendants with the needs and protection of victims (Brunton-Smith and McCarthy, 2015). This essay will explore how effectively these responsibilities are carried out at different stages of the process.</w:t>
      </w:r>
    </w:p>
    <w:p w:rsidR="0D7B821E" w:rsidP="0D7B821E" w:rsidRDefault="0D7B821E" w14:paraId="6803F9FF" w14:textId="7780DC8A">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54423F06" w14:textId="649962AE">
      <w:pPr>
        <w:pStyle w:val="NoSpacing"/>
        <w:spacing w:before="0" w:beforeAutospacing="off" w:after="0" w:afterAutospacing="off"/>
      </w:pPr>
      <w:r w:rsidRPr="0D7B821E" w:rsidR="0A66414B">
        <w:rPr>
          <w:rFonts w:ascii="Aptos" w:hAnsi="Aptos" w:eastAsia="Aptos" w:cs="Aptos"/>
          <w:noProof w:val="0"/>
          <w:sz w:val="24"/>
          <w:szCs w:val="24"/>
          <w:lang w:val="en-GB"/>
        </w:rPr>
        <w:t>Custody procedures are designed to ensure that suspects are treated in accordance with the law and that their rights are protected. This includes proper recording of detention, access to food, rest, and legal advice, and regular reviews of whether continued detention is necessary (Mylonaki and Burton, 2010). These procedures help prevent abuse of power and ensure accountability within the police, which is essential for maintaining fairness for defendants. When someone is arrested, they will usually be taken to the police station, held in a custody cell and then questioned (McKay et al., 2018).</w:t>
      </w:r>
    </w:p>
    <w:p w:rsidR="0D7B821E" w:rsidP="0D7B821E" w:rsidRDefault="0D7B821E" w14:paraId="44089160" w14:textId="5D56CF9E">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01C09DB4" w14:textId="28B5C7F7">
      <w:pPr>
        <w:pStyle w:val="NoSpacing"/>
        <w:spacing w:before="0" w:beforeAutospacing="off" w:after="0" w:afterAutospacing="off"/>
      </w:pPr>
      <w:r w:rsidRPr="0D7B821E" w:rsidR="0A66414B">
        <w:rPr>
          <w:rFonts w:ascii="Aptos" w:hAnsi="Aptos" w:eastAsia="Aptos" w:cs="Aptos"/>
          <w:noProof w:val="0"/>
          <w:sz w:val="24"/>
          <w:szCs w:val="24"/>
          <w:lang w:val="en-GB"/>
        </w:rPr>
        <w:t>The police must provide anyone under the age of 18, or vulnerable, with an appropriate adult. The role of an appropriate adult is to protect your interests, rights and welfare. This includes making sure that the police are treating you fairly and respecting your rights. An appropriate adult cannot answer questions on your behalf or give you any legal advice. The custody officer at the police station must explain your rights, including the right to legal advice and your rights when being questioned. The police may interview you about the offence you are suspected of, and this will be recorded. You are not required to answer their questions, but choosing not to respond may have consequences. Before questioning begins, the police must inform you of this by giving you the police caution: “You do not have to say anything. But, it may harm your defence if you do not mention when questioned something which you later rely on in court. Anything you do say may be given in evidence.” (Police and Criminal Evidence Act, 1984).</w:t>
      </w:r>
    </w:p>
    <w:p w:rsidR="0D7B821E" w:rsidP="0D7B821E" w:rsidRDefault="0D7B821E" w14:paraId="06D4B95C" w14:textId="67584225">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55F0E2B2" w14:textId="53DD6CDD">
      <w:pPr>
        <w:pStyle w:val="NoSpacing"/>
        <w:spacing w:before="0" w:beforeAutospacing="off" w:after="0" w:afterAutospacing="off"/>
      </w:pPr>
      <w:r w:rsidRPr="0D7B821E" w:rsidR="0A66414B">
        <w:rPr>
          <w:rFonts w:ascii="Aptos" w:hAnsi="Aptos" w:eastAsia="Aptos" w:cs="Aptos"/>
          <w:noProof w:val="0"/>
          <w:sz w:val="24"/>
          <w:szCs w:val="24"/>
          <w:lang w:val="en-GB"/>
        </w:rPr>
        <w:t>You have the right to free legal advice after you have been arrested, and you can ask for this at any time. Once you have asked for free legal advice, the police cannot question you without it (HM Government, 2020). In some serious cases the police can make you wait for legal advice, but only if a senior officer agrees. The maximum time you can wait after getting to the police station is 36 hours. These rules are important because they help ensure suspects are not pressured into saying something unfairly, and they support the idea of a fair trial.</w:t>
      </w:r>
    </w:p>
    <w:p w:rsidR="0D7B821E" w:rsidP="0D7B821E" w:rsidRDefault="0D7B821E" w14:paraId="641EBA6D" w14:textId="69910D28">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198C86C1" w14:textId="25D8D72E">
      <w:pPr>
        <w:pStyle w:val="NoSpacing"/>
        <w:spacing w:before="0" w:beforeAutospacing="off" w:after="0" w:afterAutospacing="off"/>
      </w:pPr>
      <w:r w:rsidRPr="0D7B821E" w:rsidR="0A66414B">
        <w:rPr>
          <w:rFonts w:ascii="Aptos" w:hAnsi="Aptos" w:eastAsia="Aptos" w:cs="Aptos"/>
          <w:noProof w:val="0"/>
          <w:sz w:val="24"/>
          <w:szCs w:val="24"/>
          <w:lang w:val="en-GB"/>
        </w:rPr>
        <w:t>The CPS works closely with a range of partners within the Criminal Justice System (CJS). One of these is the police. The police are responsible for investigating crime, collecting evidence and arresting offenders. For less serious offences, the police will decide whether a suspect should be charged. For more serious offences, the police will send the case to the Crown Prosecution Service (CPS), and they will decide whether a suspect can be prosecuted (Crown Prosecution Service, 2026). The CPS prosecutors are then responsible for preparing cases for court and presenting them.</w:t>
      </w:r>
    </w:p>
    <w:p w:rsidR="0A66414B" w:rsidP="0D7B821E" w:rsidRDefault="0A66414B" w14:paraId="41A6095A" w14:textId="1C294126">
      <w:pPr>
        <w:pStyle w:val="NoSpacing"/>
        <w:spacing w:before="0" w:beforeAutospacing="off" w:after="0" w:afterAutospacing="off"/>
      </w:pPr>
      <w:r w:rsidRPr="0D7B821E" w:rsidR="0A66414B">
        <w:rPr>
          <w:rFonts w:ascii="Aptos" w:hAnsi="Aptos" w:eastAsia="Aptos" w:cs="Aptos"/>
          <w:noProof w:val="0"/>
          <w:sz w:val="24"/>
          <w:szCs w:val="24"/>
          <w:lang w:val="en-GB"/>
        </w:rPr>
        <w:t>According to Points2Prove (n.d), prosecutors must only start or continue a case when it has passed both stages of the Full Code Test. There are two stages to this test: the evidence stage followed by the public interest stage. The test can only be applied when all reasonable lines of enquiry have been completed, or before the investigation is finished if further evidence is unlikely to change the outcome (Crown Prosecution Service, 2018). This helps protect defendants from being prosecuted unfairly or without enough evidence. However, it can also mean that cases do not go ahead, which may lead to victims feeling like justice has not been achieved.</w:t>
      </w:r>
    </w:p>
    <w:p w:rsidR="0D7B821E" w:rsidP="0D7B821E" w:rsidRDefault="0D7B821E" w14:paraId="55133FE6" w14:textId="1202F5AF">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2F1453B6" w14:textId="6603CB4F">
      <w:pPr>
        <w:pStyle w:val="NoSpacing"/>
        <w:spacing w:before="0" w:beforeAutospacing="off" w:after="0" w:afterAutospacing="off"/>
      </w:pPr>
      <w:r w:rsidRPr="0D7B821E" w:rsidR="0A66414B">
        <w:rPr>
          <w:rFonts w:ascii="Aptos" w:hAnsi="Aptos" w:eastAsia="Aptos" w:cs="Aptos"/>
          <w:noProof w:val="0"/>
          <w:sz w:val="24"/>
          <w:szCs w:val="24"/>
          <w:lang w:val="en-GB"/>
        </w:rPr>
        <w:t xml:space="preserve">According to </w:t>
      </w:r>
      <w:r w:rsidRPr="0D7B821E" w:rsidR="0A66414B">
        <w:rPr>
          <w:rFonts w:ascii="Aptos" w:hAnsi="Aptos" w:eastAsia="Aptos" w:cs="Aptos"/>
          <w:noProof w:val="0"/>
          <w:sz w:val="24"/>
          <w:szCs w:val="24"/>
          <w:lang w:val="en-GB"/>
        </w:rPr>
        <w:t>Dehaghani</w:t>
      </w:r>
      <w:r w:rsidRPr="0D7B821E" w:rsidR="0A66414B">
        <w:rPr>
          <w:rFonts w:ascii="Aptos" w:hAnsi="Aptos" w:eastAsia="Aptos" w:cs="Aptos"/>
          <w:noProof w:val="0"/>
          <w:sz w:val="24"/>
          <w:szCs w:val="24"/>
          <w:lang w:val="en-GB"/>
        </w:rPr>
        <w:t xml:space="preserve"> (2020), during criminal investigations many witnesses feel scared and stressed when giving evidence in court. This can affect the quality of the evidence they give and how they communicate. The Youth Justice and Criminal Evidence Act 1999 introduced a range of measures to support witnesses. A vulnerable witness is someone under the age of 18 or someone with mental, physical, or learning difficulties that may reduce the quality of their evidence (Crown Prosecution Service, 2024).</w:t>
      </w:r>
      <w:r w:rsidRPr="0D7B821E" w:rsidR="0A66414B">
        <w:rPr>
          <w:rFonts w:ascii="Aptos" w:hAnsi="Aptos" w:eastAsia="Aptos" w:cs="Aptos"/>
          <w:noProof w:val="0"/>
          <w:sz w:val="24"/>
          <w:szCs w:val="24"/>
          <w:lang w:val="en-GB"/>
        </w:rPr>
        <w:t xml:space="preserve">Children usually give evidence through a pre-recorded interview and are cross-examined via live link. These rules can still apply even if the witness turns 18 after the recording (Legislation.gov.uk, 1999). Intimidated witnesses under section 17 YJCEA include victims of sexual offences, modern slavery, domestic abuse, and certain violent offences, and they are </w:t>
      </w:r>
      <w:r w:rsidRPr="0D7B821E" w:rsidR="0A66414B">
        <w:rPr>
          <w:rFonts w:ascii="Aptos" w:hAnsi="Aptos" w:eastAsia="Aptos" w:cs="Aptos"/>
          <w:noProof w:val="0"/>
          <w:sz w:val="24"/>
          <w:szCs w:val="24"/>
          <w:lang w:val="en-GB"/>
        </w:rPr>
        <w:t>generally eligible</w:t>
      </w:r>
      <w:r w:rsidRPr="0D7B821E" w:rsidR="0A66414B">
        <w:rPr>
          <w:rFonts w:ascii="Aptos" w:hAnsi="Aptos" w:eastAsia="Aptos" w:cs="Aptos"/>
          <w:noProof w:val="0"/>
          <w:sz w:val="24"/>
          <w:szCs w:val="24"/>
          <w:lang w:val="en-GB"/>
        </w:rPr>
        <w:t xml:space="preserve"> for </w:t>
      </w:r>
      <w:r w:rsidRPr="0D7B821E" w:rsidR="0A66414B">
        <w:rPr>
          <w:rFonts w:ascii="Aptos" w:hAnsi="Aptos" w:eastAsia="Aptos" w:cs="Aptos"/>
          <w:noProof w:val="0"/>
          <w:sz w:val="24"/>
          <w:szCs w:val="24"/>
          <w:lang w:val="en-GB"/>
        </w:rPr>
        <w:t>special measures</w:t>
      </w:r>
      <w:r w:rsidRPr="0D7B821E" w:rsidR="0A66414B">
        <w:rPr>
          <w:rFonts w:ascii="Aptos" w:hAnsi="Aptos" w:eastAsia="Aptos" w:cs="Aptos"/>
          <w:noProof w:val="0"/>
          <w:sz w:val="24"/>
          <w:szCs w:val="24"/>
          <w:lang w:val="en-GB"/>
        </w:rPr>
        <w:t xml:space="preserve"> unless they choose otherwise (Spencer, 2017). Other witnesses may also qualify if fear or distress is likely to affect their evidence, depending on the nature of the offence, their background, or the behaviour of the defendant (Ellison, 2016).</w:t>
      </w:r>
    </w:p>
    <w:p w:rsidR="0D7B821E" w:rsidP="0D7B821E" w:rsidRDefault="0D7B821E" w14:paraId="18B8D959" w14:textId="16139132">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71817FFF" w14:textId="294EB1AC">
      <w:pPr>
        <w:pStyle w:val="NoSpacing"/>
        <w:spacing w:before="0" w:beforeAutospacing="off" w:after="0" w:afterAutospacing="off"/>
      </w:pPr>
      <w:r w:rsidRPr="0D7B821E" w:rsidR="0A66414B">
        <w:rPr>
          <w:rFonts w:ascii="Aptos" w:hAnsi="Aptos" w:eastAsia="Aptos" w:cs="Aptos"/>
          <w:noProof w:val="0"/>
          <w:sz w:val="24"/>
          <w:szCs w:val="24"/>
          <w:lang w:val="en-GB"/>
        </w:rPr>
        <w:t>Courts must decide which special measures will best improve the quality of a witness’s evidence, and more than one measure may be used. Available measures include screens, live links, private hearings, removal of wigs and gowns, video-recorded evidence, pre-trial cross-examination, intermediaries, and communication aids (Plotnikoff and Woolfson, 2015). Screens are used to prevent the witness and defendant from seeing each other, although the witness can still be seen by the judge, jury, and lawyers (Taylor, 2020). Live links allow witnesses to give evidence from outside the courtroom, which can make the process less stressful. In some cases, evidence can be given in private, where members of the public are excluded, although one member of the media may still attend to maintain open justice (Ellison, 2016). The removal of wigs and gowns helps make the court environment less intimidating, particularly for children (Spencer, 2017). These measures show that the CJS is trying to support witnesses, but they must still be balanced with the defendant’s right to a fair trial.</w:t>
      </w:r>
    </w:p>
    <w:p w:rsidR="0D7B821E" w:rsidP="0D7B821E" w:rsidRDefault="0D7B821E" w14:paraId="7EFF581B" w14:textId="17763328">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50F869B7" w14:textId="7D1FD637">
      <w:pPr>
        <w:pStyle w:val="NoSpacing"/>
        <w:spacing w:before="0" w:beforeAutospacing="off" w:after="0" w:afterAutospacing="off"/>
      </w:pPr>
      <w:r w:rsidRPr="0D7B821E" w:rsidR="0A66414B">
        <w:rPr>
          <w:rFonts w:ascii="Aptos" w:hAnsi="Aptos" w:eastAsia="Aptos" w:cs="Aptos"/>
          <w:noProof w:val="0"/>
          <w:sz w:val="24"/>
          <w:szCs w:val="24"/>
          <w:lang w:val="en-GB"/>
        </w:rPr>
        <w:t>The government has introduced a range of strategies to support victims of domestic abuse, recognising the complex nature of these offences. Domestic abuse cases can involve ongoing control, fear and manipulation, which can make it difficult for victims to report offences or take part in the process (Brennan and Myhill, 2022). One key development is the Domestic Abuse Act (2021), which strengthens legal protections and provides a clearer definition of abuse, including emotional and controlling behaviour. It also places a duty on local authorities to provide support for victims, showing a more joined-up approach within the CJS.</w:t>
      </w:r>
    </w:p>
    <w:p w:rsidR="0D7B821E" w:rsidP="0D7B821E" w:rsidRDefault="0D7B821E" w14:paraId="788D97FE" w14:textId="2A6A033A">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751B0A62" w14:textId="0BE55811">
      <w:pPr>
        <w:pStyle w:val="NoSpacing"/>
        <w:spacing w:before="0" w:beforeAutospacing="off" w:after="0" w:afterAutospacing="off"/>
      </w:pPr>
      <w:r w:rsidRPr="0D7B821E" w:rsidR="0A66414B">
        <w:rPr>
          <w:rFonts w:ascii="Aptos" w:hAnsi="Aptos" w:eastAsia="Aptos" w:cs="Aptos"/>
          <w:noProof w:val="0"/>
          <w:sz w:val="24"/>
          <w:szCs w:val="24"/>
          <w:lang w:val="en-GB"/>
        </w:rPr>
        <w:t>Policing strategies have also been adapted to improve responses to domestic abuse. This includes prioritising victim safety, risk assessments, and early intervention. The use of specialist domestic abuse units and trained officers helps ensure cases are handled more effectively (College of Policing, 2026). Victims are also supported through Independent Domestic Violence Advisors (IDVAs), who provide guidance and support throughout the legal process.</w:t>
      </w:r>
      <w:r w:rsidRPr="0D7B821E" w:rsidR="0A66414B">
        <w:rPr>
          <w:rFonts w:ascii="Aptos" w:hAnsi="Aptos" w:eastAsia="Aptos" w:cs="Aptos"/>
          <w:noProof w:val="0"/>
          <w:sz w:val="24"/>
          <w:szCs w:val="24"/>
          <w:lang w:val="en-GB"/>
        </w:rPr>
        <w:t xml:space="preserve">The service provided by the Criminal Justice System can be seen as both effective and limited. On one hand, the system is strong in protecting defendants’ rights. Laws such as the Police and Criminal Evidence Act 1984 ensure that suspects are treated fairly, with rights like access to legal advice and protection during questioning. This helps prevent wrongful convictions and ensures fairness. However, some argue that it can be too lenient, especially when cases do not </w:t>
      </w:r>
      <w:r w:rsidRPr="0D7B821E" w:rsidR="0A66414B">
        <w:rPr>
          <w:rFonts w:ascii="Aptos" w:hAnsi="Aptos" w:eastAsia="Aptos" w:cs="Aptos"/>
          <w:noProof w:val="0"/>
          <w:sz w:val="24"/>
          <w:szCs w:val="24"/>
          <w:lang w:val="en-GB"/>
        </w:rPr>
        <w:t>proceed</w:t>
      </w:r>
      <w:r w:rsidRPr="0D7B821E" w:rsidR="0A66414B">
        <w:rPr>
          <w:rFonts w:ascii="Aptos" w:hAnsi="Aptos" w:eastAsia="Aptos" w:cs="Aptos"/>
          <w:noProof w:val="0"/>
          <w:sz w:val="24"/>
          <w:szCs w:val="24"/>
          <w:lang w:val="en-GB"/>
        </w:rPr>
        <w:t xml:space="preserve"> due to insufficient evidence, which may lead to the </w:t>
      </w:r>
      <w:r w:rsidRPr="0D7B821E" w:rsidR="0A66414B">
        <w:rPr>
          <w:rFonts w:ascii="Aptos" w:hAnsi="Aptos" w:eastAsia="Aptos" w:cs="Aptos"/>
          <w:noProof w:val="0"/>
          <w:sz w:val="24"/>
          <w:szCs w:val="24"/>
          <w:lang w:val="en-GB"/>
        </w:rPr>
        <w:t>perception</w:t>
      </w:r>
      <w:r w:rsidRPr="0D7B821E" w:rsidR="0A66414B">
        <w:rPr>
          <w:rFonts w:ascii="Aptos" w:hAnsi="Aptos" w:eastAsia="Aptos" w:cs="Aptos"/>
          <w:noProof w:val="0"/>
          <w:sz w:val="24"/>
          <w:szCs w:val="24"/>
          <w:lang w:val="en-GB"/>
        </w:rPr>
        <w:t xml:space="preserve"> that offenders avoid punishment.</w:t>
      </w:r>
    </w:p>
    <w:p w:rsidR="0D7B821E" w:rsidP="0D7B821E" w:rsidRDefault="0D7B821E" w14:paraId="2B85B3AE" w14:textId="52B841B8">
      <w:pPr>
        <w:pStyle w:val="NoSpacing"/>
        <w:spacing w:before="0" w:beforeAutospacing="off" w:after="0" w:afterAutospacing="off"/>
        <w:rPr>
          <w:rFonts w:ascii="Aptos" w:hAnsi="Aptos" w:eastAsia="Aptos" w:cs="Aptos"/>
          <w:noProof w:val="0"/>
          <w:sz w:val="24"/>
          <w:szCs w:val="24"/>
          <w:lang w:val="en-GB"/>
        </w:rPr>
      </w:pPr>
    </w:p>
    <w:p w:rsidR="0A66414B" w:rsidP="0D7B821E" w:rsidRDefault="0A66414B" w14:paraId="174414A6" w14:textId="3C123AEA">
      <w:pPr>
        <w:pStyle w:val="NoSpacing"/>
        <w:spacing w:before="0" w:beforeAutospacing="off" w:after="0" w:afterAutospacing="off"/>
      </w:pPr>
      <w:r w:rsidRPr="0D7B821E" w:rsidR="0A66414B">
        <w:rPr>
          <w:rFonts w:ascii="Aptos" w:hAnsi="Aptos" w:eastAsia="Aptos" w:cs="Aptos"/>
          <w:noProof w:val="0"/>
          <w:sz w:val="24"/>
          <w:szCs w:val="24"/>
          <w:lang w:val="en-GB"/>
        </w:rPr>
        <w:t>On the other hand, improvements have been made in supporting victims. For example, the Youth Justice and Criminal Evidence Act 1999 provides special measures to help vulnerable and intimidated witnesses, and the Domestic Abuse Act 2021 strengthens protections for victims of domestic abuse. These reforms show efforts to improve trust and participation in the justice process (Laxminarayan, 2015). Despite this, victims are not always fully protected, as delays, fear of giving evidence, and low conviction rates can still limit engagement with the system.</w:t>
      </w:r>
    </w:p>
    <w:p w:rsidR="0A66414B" w:rsidP="0D7B821E" w:rsidRDefault="0A66414B" w14:paraId="3FEFFD1D" w14:textId="20C386F2">
      <w:pPr>
        <w:pStyle w:val="NoSpacing"/>
        <w:spacing w:before="0" w:beforeAutospacing="off" w:after="0" w:afterAutospacing="off"/>
      </w:pPr>
      <w:r w:rsidRPr="0D7B821E" w:rsidR="0A66414B">
        <w:rPr>
          <w:rFonts w:ascii="Aptos" w:hAnsi="Aptos" w:eastAsia="Aptos" w:cs="Aptos"/>
          <w:noProof w:val="0"/>
          <w:sz w:val="24"/>
          <w:szCs w:val="24"/>
          <w:lang w:val="en-GB"/>
        </w:rPr>
        <w:t>Overall, the system attempts to balance fairness for both victims and defendants, but in practice it often prioritises procedural fairness for defendants more consistently than outcomes for victims (Ward, 2015).</w:t>
      </w:r>
    </w:p>
    <w:p w:rsidR="0D7B821E" w:rsidP="0D7B821E" w:rsidRDefault="0D7B821E" w14:paraId="73199306" w14:textId="3AC9DB1A">
      <w:pPr>
        <w:pStyle w:val="NoSpacing"/>
        <w:spacing w:before="0" w:beforeAutospacing="off" w:after="0" w:afterAutospacing="off"/>
        <w:rPr>
          <w:rFonts w:ascii="Aptos" w:hAnsi="Aptos" w:eastAsia="Aptos" w:cs="Aptos"/>
          <w:noProof w:val="0"/>
          <w:sz w:val="24"/>
          <w:szCs w:val="24"/>
          <w:lang w:val="en-GB"/>
        </w:rPr>
      </w:pPr>
    </w:p>
    <w:p w:rsidR="0D7B821E" w:rsidP="0D7B821E" w:rsidRDefault="0D7B821E" w14:paraId="3845D937" w14:textId="5141B9F0">
      <w:pPr>
        <w:pStyle w:val="NoSpacing"/>
        <w:spacing w:before="0" w:beforeAutospacing="off" w:after="0" w:afterAutospacing="off"/>
        <w:rPr>
          <w:rFonts w:ascii="Aptos" w:hAnsi="Aptos" w:eastAsia="Aptos" w:cs="Aptos"/>
          <w:noProof w:val="0"/>
          <w:sz w:val="32"/>
          <w:szCs w:val="32"/>
          <w:lang w:val="en-GB"/>
        </w:rPr>
      </w:pPr>
    </w:p>
    <w:p w:rsidR="0D7B821E" w:rsidRDefault="0D7B821E" w14:paraId="10D17189" w14:textId="595310A6"/>
    <w:p w:rsidR="0D7B821E" w:rsidRDefault="0D7B821E" w14:paraId="4C6DFB39" w14:textId="2D41DC0F"/>
    <w:p w:rsidR="0D7B821E" w:rsidRDefault="0D7B821E" w14:paraId="70ADE030" w14:textId="67FC67A9"/>
    <w:p w:rsidR="0D7B821E" w:rsidRDefault="0D7B821E" w14:paraId="184AED6E" w14:textId="0410628F"/>
    <w:p w:rsidR="0D7B821E" w:rsidRDefault="0D7B821E" w14:paraId="04AC3B74" w14:textId="328A576B"/>
    <w:p w:rsidR="0D7B821E" w:rsidRDefault="0D7B821E" w14:paraId="1AA12C44" w14:textId="652C69E7"/>
    <w:p w:rsidR="0D7B821E" w:rsidRDefault="0D7B821E" w14:paraId="3BA396CE" w14:textId="777A4378"/>
    <w:p w:rsidR="0D7B821E" w:rsidRDefault="0D7B821E" w14:paraId="4AF92ADA" w14:textId="18A480D9"/>
    <w:p w:rsidR="0D7B821E" w:rsidRDefault="0D7B821E" w14:paraId="3786539A" w14:textId="74A67A39"/>
    <w:p w:rsidR="0D7B821E" w:rsidRDefault="0D7B821E" w14:paraId="22C242B9" w14:textId="36AFA08C"/>
    <w:p w:rsidR="0D7B821E" w:rsidRDefault="0D7B821E" w14:paraId="5FE8ED0F" w14:textId="0C91072D"/>
    <w:p w:rsidR="0D7B821E" w:rsidRDefault="0D7B821E" w14:paraId="79DF9AEF" w14:textId="7E81A604"/>
    <w:p w:rsidR="0D7B821E" w:rsidRDefault="0D7B821E" w14:paraId="1473EA35" w14:textId="75A9A604"/>
    <w:p w:rsidR="0D7B821E" w:rsidRDefault="0D7B821E" w14:paraId="3E08F729" w14:textId="282B357B"/>
    <w:p w:rsidR="0D7B821E" w:rsidRDefault="0D7B821E" w14:paraId="4A9F0221" w14:textId="731551C1"/>
    <w:p w:rsidR="0D7B821E" w:rsidRDefault="0D7B821E" w14:paraId="106E3AA8" w14:textId="0BAB42FC"/>
    <w:p w:rsidR="0D7B821E" w:rsidRDefault="0D7B821E" w14:paraId="3D344828" w14:textId="7F3248E8"/>
    <w:p w:rsidR="0D7B821E" w:rsidP="0D7B821E" w:rsidRDefault="0D7B821E" w14:paraId="36EF6EB6" w14:textId="078123BD">
      <w:pPr>
        <w:pStyle w:val="Normal"/>
      </w:pPr>
    </w:p>
    <w:p w:rsidR="0D7B821E" w:rsidP="0D7B821E" w:rsidRDefault="0D7B821E" w14:paraId="08FB6F29" w14:textId="7E3B9D3C">
      <w:pPr>
        <w:pStyle w:val="Normal"/>
      </w:pPr>
    </w:p>
    <w:p w:rsidR="0D7B821E" w:rsidP="0D7B821E" w:rsidRDefault="0D7B821E" w14:paraId="3A839E87" w14:textId="748AEAF4">
      <w:pPr>
        <w:pStyle w:val="Normal"/>
      </w:pPr>
    </w:p>
    <w:p w:rsidR="0D7B821E" w:rsidP="0D7B821E" w:rsidRDefault="0D7B821E" w14:paraId="40AABFFF" w14:textId="318B99F8">
      <w:pPr>
        <w:pStyle w:val="Normal"/>
      </w:pPr>
    </w:p>
    <w:p w:rsidR="0D7B821E" w:rsidP="0D7B821E" w:rsidRDefault="0D7B821E" w14:paraId="7010491B" w14:textId="1757C886">
      <w:pPr>
        <w:pStyle w:val="Normal"/>
      </w:pPr>
    </w:p>
    <w:p w:rsidR="0D7B821E" w:rsidP="0D7B821E" w:rsidRDefault="0D7B821E" w14:paraId="7000C209" w14:textId="01DA0FEE">
      <w:pPr>
        <w:pStyle w:val="Normal"/>
      </w:pPr>
    </w:p>
    <w:p w:rsidR="0D7B821E" w:rsidP="0D7B821E" w:rsidRDefault="0D7B821E" w14:paraId="2C028483" w14:textId="37E52972">
      <w:pPr>
        <w:pStyle w:val="Normal"/>
      </w:pPr>
    </w:p>
    <w:p w:rsidR="3FF44D3F" w:rsidP="0D7B821E" w:rsidRDefault="3FF44D3F" w14:paraId="34FAE4F8" w14:textId="178B7E2F">
      <w:pPr>
        <w:pStyle w:val="Normal"/>
      </w:pPr>
      <w:r w:rsidR="3FF44D3F">
        <w:rPr/>
        <w:t>Refrance</w:t>
      </w:r>
      <w:r w:rsidR="3FF44D3F">
        <w:rPr/>
        <w:t xml:space="preserve"> list:</w:t>
      </w:r>
    </w:p>
    <w:p w:rsidR="118C9842" w:rsidP="0D7B821E" w:rsidRDefault="118C9842" w14:paraId="16B2B4DC" w14:textId="20EFC830">
      <w:pPr>
        <w:pStyle w:val="Normal"/>
      </w:pPr>
      <w:r w:rsidR="118C9842">
        <w:rPr/>
        <w:t xml:space="preserve">Brennan, </w:t>
      </w:r>
      <w:r w:rsidR="118C9842">
        <w:rPr/>
        <w:t>I.</w:t>
      </w:r>
      <w:r w:rsidR="118C9842">
        <w:rPr/>
        <w:t xml:space="preserve"> and Myhill, A. (2022) C</w:t>
      </w:r>
      <w:r w:rsidRPr="0D7B821E" w:rsidR="118C9842">
        <w:rPr>
          <w:i w:val="1"/>
          <w:iCs w:val="1"/>
        </w:rPr>
        <w:t xml:space="preserve">oercive control: patterns in crimes, </w:t>
      </w:r>
      <w:r w:rsidRPr="0D7B821E" w:rsidR="118C9842">
        <w:rPr>
          <w:i w:val="1"/>
          <w:iCs w:val="1"/>
        </w:rPr>
        <w:t>arrests</w:t>
      </w:r>
      <w:r w:rsidRPr="0D7B821E" w:rsidR="118C9842">
        <w:rPr>
          <w:i w:val="1"/>
          <w:iCs w:val="1"/>
        </w:rPr>
        <w:t xml:space="preserve"> and outcomes for a new domestic abuse offence</w:t>
      </w:r>
      <w:r w:rsidR="118C9842">
        <w:rPr/>
        <w:t xml:space="preserve">. The British Journal of Criminology, 62(2), pp. 468–483. Available at: </w:t>
      </w:r>
      <w:r>
        <w:fldChar w:fldCharType="begin"/>
      </w:r>
      <w:r>
        <w:instrText xml:space="preserve">HYPERLINK "https://academic.oup.com/bjc/article-abstract/62/2/468/6332754" </w:instrText>
      </w:r>
      <w:r>
        <w:fldChar w:fldCharType="separate"/>
      </w:r>
      <w:r w:rsidR="118C9842">
        <w:rPr/>
        <w:t>https://academic.oup.com/bjc/article-abstract/62/2/468/6332754</w:t>
      </w:r>
      <w:r>
        <w:fldChar w:fldCharType="end"/>
      </w:r>
      <w:r w:rsidR="118C9842">
        <w:rPr/>
        <w:t xml:space="preserve"> (Accessed: </w:t>
      </w:r>
      <w:r w:rsidR="14E747B5">
        <w:rPr/>
        <w:t>April 23</w:t>
      </w:r>
      <w:r w:rsidR="118C9842">
        <w:rPr/>
        <w:t xml:space="preserve"> 2026). </w:t>
      </w:r>
    </w:p>
    <w:p w:rsidR="118C9842" w:rsidP="0D7B821E" w:rsidRDefault="118C9842" w14:paraId="511AA929" w14:textId="1E3BC512">
      <w:pPr>
        <w:pStyle w:val="Normal"/>
      </w:pPr>
      <w:r w:rsidR="118C9842">
        <w:rPr/>
        <w:t xml:space="preserve">Brunton-Smith, </w:t>
      </w:r>
      <w:r w:rsidR="118C9842">
        <w:rPr/>
        <w:t>I.</w:t>
      </w:r>
      <w:r w:rsidR="118C9842">
        <w:rPr/>
        <w:t xml:space="preserve"> and McCarthy, D. (2015) </w:t>
      </w:r>
      <w:r w:rsidRPr="0D7B821E" w:rsidR="118C9842">
        <w:rPr>
          <w:i w:val="1"/>
          <w:iCs w:val="1"/>
        </w:rPr>
        <w:t xml:space="preserve">‘Prison legitimacy and procedural fairness: A multilevel examination of prisoners in England and Wales’, </w:t>
      </w:r>
      <w:r w:rsidR="118C9842">
        <w:rPr/>
        <w:t xml:space="preserve">Justice Quarterly, 33(6), pp. 1029–1054. Available at: </w:t>
      </w:r>
      <w:r>
        <w:fldChar w:fldCharType="begin"/>
      </w:r>
      <w:r>
        <w:instrText xml:space="preserve">HYPERLINK "https://doi.org/10.1080/07418825.2015.1023215" </w:instrText>
      </w:r>
      <w:r>
        <w:fldChar w:fldCharType="separate"/>
      </w:r>
      <w:r w:rsidR="118C9842">
        <w:rPr/>
        <w:t>https://doi.org/10.1080/07418825.2015.1023215</w:t>
      </w:r>
      <w:r>
        <w:fldChar w:fldCharType="end"/>
      </w:r>
      <w:r w:rsidR="118C9842">
        <w:rPr/>
        <w:t xml:space="preserve"> (Accessed: </w:t>
      </w:r>
      <w:r w:rsidR="7893523B">
        <w:rPr/>
        <w:t>26</w:t>
      </w:r>
      <w:r w:rsidR="118C9842">
        <w:rPr/>
        <w:t xml:space="preserve"> April 2026). </w:t>
      </w:r>
    </w:p>
    <w:p w:rsidR="118C9842" w:rsidP="0D7B821E" w:rsidRDefault="118C9842" w14:paraId="340CF82D" w14:textId="4CEC36C4">
      <w:pPr>
        <w:pStyle w:val="Normal"/>
      </w:pPr>
      <w:r w:rsidR="118C9842">
        <w:rPr/>
        <w:t>College of Policing (2026)</w:t>
      </w:r>
      <w:r w:rsidRPr="0D7B821E" w:rsidR="118C9842">
        <w:rPr>
          <w:i w:val="1"/>
          <w:iCs w:val="1"/>
        </w:rPr>
        <w:t xml:space="preserve"> Domestic abuse</w:t>
      </w:r>
      <w:r w:rsidR="118C9842">
        <w:rPr/>
        <w:t xml:space="preserve">. Available at: </w:t>
      </w:r>
      <w:r>
        <w:fldChar w:fldCharType="begin"/>
      </w:r>
      <w:r>
        <w:instrText xml:space="preserve">HYPERLINK "https://www.college.police.uk/app/domestic-abuse" </w:instrText>
      </w:r>
      <w:r>
        <w:fldChar w:fldCharType="separate"/>
      </w:r>
      <w:r w:rsidR="118C9842">
        <w:rPr/>
        <w:t>https://www.college.police.uk/app/domestic-abuse</w:t>
      </w:r>
      <w:r>
        <w:fldChar w:fldCharType="end"/>
      </w:r>
      <w:r w:rsidR="118C9842">
        <w:rPr/>
        <w:t xml:space="preserve"> (Accessed: </w:t>
      </w:r>
      <w:r w:rsidR="5EA6924F">
        <w:rPr/>
        <w:t>25</w:t>
      </w:r>
      <w:r w:rsidR="118C9842">
        <w:rPr/>
        <w:t xml:space="preserve"> April 2026). </w:t>
      </w:r>
    </w:p>
    <w:p w:rsidR="118C9842" w:rsidP="0D7B821E" w:rsidRDefault="118C9842" w14:paraId="155081CC" w14:textId="54908050">
      <w:pPr>
        <w:pStyle w:val="Normal"/>
      </w:pPr>
      <w:r w:rsidR="118C9842">
        <w:rPr/>
        <w:t xml:space="preserve">Crown Prosecution Service (2018) </w:t>
      </w:r>
      <w:r w:rsidRPr="0D7B821E" w:rsidR="118C9842">
        <w:rPr>
          <w:i w:val="1"/>
          <w:iCs w:val="1"/>
        </w:rPr>
        <w:t>The Code for Crown Prosecutors</w:t>
      </w:r>
      <w:r w:rsidR="118C9842">
        <w:rPr/>
        <w:t xml:space="preserve">. Available at: </w:t>
      </w:r>
      <w:r>
        <w:fldChar w:fldCharType="begin"/>
      </w:r>
      <w:r>
        <w:instrText xml:space="preserve">HYPERLINK "https://www.cps.gov.uk/publication/code-crown-prosecutors" </w:instrText>
      </w:r>
      <w:r>
        <w:fldChar w:fldCharType="separate"/>
      </w:r>
      <w:r w:rsidR="118C9842">
        <w:rPr/>
        <w:t>https://www.cps.gov.uk/publication/code-crown-prosecutors</w:t>
      </w:r>
      <w:r>
        <w:fldChar w:fldCharType="end"/>
      </w:r>
      <w:r w:rsidR="118C9842">
        <w:rPr/>
        <w:t xml:space="preserve"> (Accessed: </w:t>
      </w:r>
      <w:r w:rsidR="5AC754A4">
        <w:rPr/>
        <w:t>24</w:t>
      </w:r>
      <w:r w:rsidR="118C9842">
        <w:rPr/>
        <w:t xml:space="preserve"> April 2026). </w:t>
      </w:r>
    </w:p>
    <w:p w:rsidR="118C9842" w:rsidP="0D7B821E" w:rsidRDefault="118C9842" w14:paraId="32532617" w14:textId="2835A8D8">
      <w:pPr>
        <w:pStyle w:val="Normal"/>
      </w:pPr>
      <w:r w:rsidR="118C9842">
        <w:rPr/>
        <w:t xml:space="preserve">Crown Prosecution Service (2024) </w:t>
      </w:r>
      <w:r w:rsidRPr="0D7B821E" w:rsidR="118C9842">
        <w:rPr>
          <w:i w:val="1"/>
          <w:iCs w:val="1"/>
        </w:rPr>
        <w:t>Special measures</w:t>
      </w:r>
      <w:r w:rsidR="118C9842">
        <w:rPr/>
        <w:t xml:space="preserve">. Available at: </w:t>
      </w:r>
      <w:r>
        <w:fldChar w:fldCharType="begin"/>
      </w:r>
      <w:r>
        <w:instrText xml:space="preserve">HYPERLINK "https://www.cps.gov.uk/prosecution-guidance/special-measures" </w:instrText>
      </w:r>
      <w:r>
        <w:fldChar w:fldCharType="separate"/>
      </w:r>
      <w:r w:rsidR="118C9842">
        <w:rPr/>
        <w:t>https://www.cps.gov.uk/prosecution-guidance/special-measures</w:t>
      </w:r>
      <w:r>
        <w:fldChar w:fldCharType="end"/>
      </w:r>
      <w:r w:rsidR="118C9842">
        <w:rPr/>
        <w:t xml:space="preserve"> (Accessed: </w:t>
      </w:r>
      <w:r w:rsidR="67EDDE86">
        <w:rPr/>
        <w:t>23</w:t>
      </w:r>
      <w:r w:rsidR="118C9842">
        <w:rPr/>
        <w:t xml:space="preserve"> April 2026). </w:t>
      </w:r>
    </w:p>
    <w:p w:rsidR="118C9842" w:rsidP="0D7B821E" w:rsidRDefault="118C9842" w14:paraId="7B298296" w14:textId="6F7ADCD8">
      <w:pPr>
        <w:pStyle w:val="Normal"/>
      </w:pPr>
      <w:r w:rsidR="118C9842">
        <w:rPr/>
        <w:t xml:space="preserve">Crown Prosecution Service (2026) </w:t>
      </w:r>
      <w:r w:rsidRPr="0D7B821E" w:rsidR="118C9842">
        <w:rPr>
          <w:i w:val="1"/>
          <w:iCs w:val="1"/>
        </w:rPr>
        <w:t>Our criminal justice partners.</w:t>
      </w:r>
      <w:r w:rsidR="118C9842">
        <w:rPr/>
        <w:t xml:space="preserve"> Available at: </w:t>
      </w:r>
      <w:r>
        <w:fldChar w:fldCharType="begin"/>
      </w:r>
      <w:r>
        <w:instrText xml:space="preserve">HYPERLINK "https://www.cps.gov.uk/about-cps/our-criminal-justice-partners" </w:instrText>
      </w:r>
      <w:r>
        <w:fldChar w:fldCharType="separate"/>
      </w:r>
      <w:r w:rsidR="118C9842">
        <w:rPr/>
        <w:t>https://www.cps.gov.uk/about-cps/our-criminal-justice-partners</w:t>
      </w:r>
      <w:r>
        <w:fldChar w:fldCharType="end"/>
      </w:r>
      <w:r w:rsidR="118C9842">
        <w:rPr/>
        <w:t xml:space="preserve"> (Accessed: </w:t>
      </w:r>
      <w:r w:rsidR="2C9DBB1A">
        <w:rPr/>
        <w:t>26</w:t>
      </w:r>
      <w:r w:rsidR="118C9842">
        <w:rPr/>
        <w:t xml:space="preserve"> April 2026). </w:t>
      </w:r>
    </w:p>
    <w:p w:rsidR="118C9842" w:rsidP="0D7B821E" w:rsidRDefault="118C9842" w14:paraId="4556A99F" w14:textId="01F3D44E">
      <w:pPr>
        <w:pStyle w:val="Normal"/>
      </w:pPr>
      <w:r w:rsidR="118C9842">
        <w:rPr/>
        <w:t xml:space="preserve">Crown Prosecution Service (2026) </w:t>
      </w:r>
      <w:r w:rsidRPr="0D7B821E" w:rsidR="118C9842">
        <w:rPr>
          <w:i w:val="1"/>
          <w:iCs w:val="1"/>
        </w:rPr>
        <w:t>Our criminal justice partners.</w:t>
      </w:r>
      <w:r w:rsidR="118C9842">
        <w:rPr/>
        <w:t xml:space="preserve"> Available at: </w:t>
      </w:r>
      <w:r>
        <w:fldChar w:fldCharType="begin"/>
      </w:r>
      <w:r>
        <w:instrText xml:space="preserve">HYPERLINK "https://www.cps.gov.uk/about-cps/our-criminal-justice-partners" </w:instrText>
      </w:r>
      <w:r>
        <w:fldChar w:fldCharType="separate"/>
      </w:r>
      <w:r w:rsidR="118C9842">
        <w:rPr/>
        <w:t>https://www.cps.gov.uk/about-cps/our-criminal-justice-partners</w:t>
      </w:r>
      <w:r>
        <w:fldChar w:fldCharType="end"/>
      </w:r>
      <w:r w:rsidR="118C9842">
        <w:rPr/>
        <w:t xml:space="preserve"> (Accessed: </w:t>
      </w:r>
      <w:r w:rsidR="7F96DEF1">
        <w:rPr/>
        <w:t>27</w:t>
      </w:r>
      <w:r w:rsidR="118C9842">
        <w:rPr/>
        <w:t xml:space="preserve"> April 2026). </w:t>
      </w:r>
    </w:p>
    <w:p w:rsidR="118C9842" w:rsidP="0D7B821E" w:rsidRDefault="118C9842" w14:paraId="7EEFC655" w14:textId="689FD22C">
      <w:pPr>
        <w:pStyle w:val="Normal"/>
      </w:pPr>
      <w:r w:rsidR="118C9842">
        <w:rPr/>
        <w:t>Dehaghani</w:t>
      </w:r>
      <w:r w:rsidR="118C9842">
        <w:rPr/>
        <w:t xml:space="preserve">, R. (2020) Vulnerability in police custody. In: Taylor &amp; Francis Online. Available at: </w:t>
      </w:r>
      <w:r>
        <w:fldChar w:fldCharType="begin"/>
      </w:r>
      <w:r>
        <w:instrText xml:space="preserve">HYPERLINK "https://www.taylorfrancis.com/chapters/oa-edit/10.4324/9781003384021-3/vulnerability-police-custody-roxanna-dehaghani" </w:instrText>
      </w:r>
      <w:r>
        <w:fldChar w:fldCharType="separate"/>
      </w:r>
      <w:r w:rsidR="118C9842">
        <w:rPr/>
        <w:t>https://www.taylorfrancis.com/chapters/oa-edit/10.4324/9781003384021-3/vulnerability-police-custody-roxanna-dehaghani</w:t>
      </w:r>
      <w:r>
        <w:fldChar w:fldCharType="end"/>
      </w:r>
      <w:r w:rsidR="118C9842">
        <w:rPr/>
        <w:t xml:space="preserve"> (Accessed: 30 April 2026). </w:t>
      </w:r>
    </w:p>
    <w:p w:rsidR="118C9842" w:rsidP="0D7B821E" w:rsidRDefault="118C9842" w14:paraId="6557FC05" w14:textId="39839C94">
      <w:pPr>
        <w:pStyle w:val="Normal"/>
      </w:pPr>
      <w:r w:rsidRPr="0D7B821E" w:rsidR="118C9842">
        <w:rPr>
          <w:i w:val="1"/>
          <w:iCs w:val="1"/>
        </w:rPr>
        <w:t>Domestic Abuse Act</w:t>
      </w:r>
      <w:r w:rsidR="118C9842">
        <w:rPr/>
        <w:t xml:space="preserve"> 2021. Available at: </w:t>
      </w:r>
      <w:r>
        <w:fldChar w:fldCharType="begin"/>
      </w:r>
      <w:r>
        <w:instrText xml:space="preserve">HYPERLINK "https://www.legislation.gov.uk/ukpga/2021/17/contents" </w:instrText>
      </w:r>
      <w:r>
        <w:fldChar w:fldCharType="separate"/>
      </w:r>
      <w:r w:rsidR="118C9842">
        <w:rPr/>
        <w:t>https://www.legislation.gov.uk/ukpga/2021/17/contents</w:t>
      </w:r>
      <w:r>
        <w:fldChar w:fldCharType="end"/>
      </w:r>
      <w:r w:rsidR="118C9842">
        <w:rPr/>
        <w:t xml:space="preserve"> (Accessed: </w:t>
      </w:r>
      <w:r w:rsidR="02BB80EE">
        <w:rPr/>
        <w:t xml:space="preserve">25 </w:t>
      </w:r>
      <w:r w:rsidR="118C9842">
        <w:rPr/>
        <w:t xml:space="preserve">April 2026). </w:t>
      </w:r>
    </w:p>
    <w:p w:rsidR="118C9842" w:rsidP="0D7B821E" w:rsidRDefault="118C9842" w14:paraId="7D84DC55" w14:textId="3869F75E">
      <w:pPr>
        <w:pStyle w:val="Normal"/>
      </w:pPr>
      <w:r w:rsidR="118C9842">
        <w:rPr/>
        <w:t>Elsevier (2017)</w:t>
      </w:r>
      <w:r w:rsidRPr="0D7B821E" w:rsidR="118C9842">
        <w:rPr>
          <w:i w:val="1"/>
          <w:iCs w:val="1"/>
        </w:rPr>
        <w:t xml:space="preserve"> ScienceDirect.</w:t>
      </w:r>
      <w:r w:rsidR="118C9842">
        <w:rPr/>
        <w:t xml:space="preserve"> Available at: </w:t>
      </w:r>
      <w:r>
        <w:fldChar w:fldCharType="begin"/>
      </w:r>
      <w:r>
        <w:instrText xml:space="preserve">HYPERLINK "https://www.sciencedirect.com/org/science/article/pii/S1363951X17000458" </w:instrText>
      </w:r>
      <w:r>
        <w:fldChar w:fldCharType="separate"/>
      </w:r>
      <w:r w:rsidR="118C9842">
        <w:rPr/>
        <w:t>https://www.sciencedirect.com/org/science/article/pii/S1363951X17000458</w:t>
      </w:r>
      <w:r>
        <w:fldChar w:fldCharType="end"/>
      </w:r>
      <w:r w:rsidR="118C9842">
        <w:rPr/>
        <w:t xml:space="preserve"> (Accessed: 30 April 2026). </w:t>
      </w:r>
    </w:p>
    <w:p w:rsidR="118C9842" w:rsidP="0D7B821E" w:rsidRDefault="118C9842" w14:paraId="74B28D72" w14:textId="74EEEBCB">
      <w:pPr>
        <w:pStyle w:val="Normal"/>
      </w:pPr>
      <w:r w:rsidR="118C9842">
        <w:rPr/>
        <w:t>Ewin, R. (2015) ‘</w:t>
      </w:r>
      <w:r w:rsidRPr="0D7B821E" w:rsidR="118C9842">
        <w:rPr>
          <w:i w:val="1"/>
          <w:iCs w:val="1"/>
        </w:rPr>
        <w:t xml:space="preserve">The vulnerable and intimidated witness: A socio-legal analysis of </w:t>
      </w:r>
      <w:r w:rsidRPr="0D7B821E" w:rsidR="118C9842">
        <w:rPr>
          <w:i w:val="1"/>
          <w:iCs w:val="1"/>
        </w:rPr>
        <w:t>special measures</w:t>
      </w:r>
      <w:r w:rsidRPr="0D7B821E" w:rsidR="118C9842">
        <w:rPr>
          <w:i w:val="1"/>
          <w:iCs w:val="1"/>
        </w:rPr>
        <w:t>’,</w:t>
      </w:r>
      <w:r w:rsidR="118C9842">
        <w:rPr/>
        <w:t xml:space="preserve"> Journal of Applied Psychology and Social Science, 1(2), pp. 31–54. Available at: </w:t>
      </w:r>
      <w:r>
        <w:fldChar w:fldCharType="begin"/>
      </w:r>
      <w:r>
        <w:instrText xml:space="preserve">HYPERLINK "https://ojs.cumbria.ac.uk/index.php/apass/article/view/278" </w:instrText>
      </w:r>
      <w:r>
        <w:fldChar w:fldCharType="separate"/>
      </w:r>
      <w:r w:rsidR="118C9842">
        <w:rPr/>
        <w:t>https://ojs.cumbria.ac.uk/index.php/apass/article/view/278</w:t>
      </w:r>
      <w:r>
        <w:fldChar w:fldCharType="end"/>
      </w:r>
      <w:r w:rsidR="118C9842">
        <w:rPr/>
        <w:t xml:space="preserve"> (Accessed: </w:t>
      </w:r>
      <w:r w:rsidR="356BEB74">
        <w:rPr/>
        <w:t>26</w:t>
      </w:r>
      <w:r w:rsidR="118C9842">
        <w:rPr/>
        <w:t xml:space="preserve"> May 2026). </w:t>
      </w:r>
    </w:p>
    <w:p w:rsidR="118C9842" w:rsidP="0D7B821E" w:rsidRDefault="118C9842" w14:paraId="0D0BAE71" w14:textId="00E01658">
      <w:pPr>
        <w:pStyle w:val="Normal"/>
      </w:pPr>
      <w:r w:rsidR="118C9842">
        <w:rPr/>
        <w:t>Fairclough, S. (2017</w:t>
      </w:r>
      <w:r w:rsidRPr="0D7B821E" w:rsidR="118C9842">
        <w:rPr>
          <w:i w:val="1"/>
          <w:iCs w:val="1"/>
        </w:rPr>
        <w:t>) ‘Barriers to vulnerable defendants giving evidence by live link in Crown Court trials’, International Journal of Evidence &amp; Proof</w:t>
      </w:r>
      <w:r w:rsidR="118C9842">
        <w:rPr/>
        <w:t xml:space="preserve">, 21(3), pp. 209–229. Available at: </w:t>
      </w:r>
      <w:r>
        <w:fldChar w:fldCharType="begin"/>
      </w:r>
      <w:r>
        <w:instrText xml:space="preserve">HYPERLINK "https://journals.sagepub.com/doi/10.1177/1365712716658892" </w:instrText>
      </w:r>
      <w:r>
        <w:fldChar w:fldCharType="separate"/>
      </w:r>
      <w:r w:rsidR="118C9842">
        <w:rPr/>
        <w:t>https://journals.sagepub.com/doi/10.1177/1365712716658892</w:t>
      </w:r>
      <w:r>
        <w:fldChar w:fldCharType="end"/>
      </w:r>
      <w:r w:rsidR="118C9842">
        <w:rPr/>
        <w:t xml:space="preserve"> (Accessed: </w:t>
      </w:r>
      <w:r w:rsidR="413AF6E2">
        <w:rPr/>
        <w:t>26 April</w:t>
      </w:r>
      <w:r w:rsidR="118C9842">
        <w:rPr/>
        <w:t xml:space="preserve"> 2026). </w:t>
      </w:r>
    </w:p>
    <w:p w:rsidR="118C9842" w:rsidP="0D7B821E" w:rsidRDefault="118C9842" w14:paraId="63CA1ED4" w14:textId="28A46168">
      <w:pPr>
        <w:pStyle w:val="Normal"/>
      </w:pPr>
      <w:r w:rsidR="118C9842">
        <w:rPr/>
        <w:t xml:space="preserve">HM Government (n.d.) Legal advice at the police station. Available at: </w:t>
      </w:r>
      <w:r>
        <w:fldChar w:fldCharType="begin"/>
      </w:r>
      <w:r>
        <w:instrText xml:space="preserve">HYPERLINK "https://www.gov.uk/arrested-your-rights/legal-advice-at-the-police-station" </w:instrText>
      </w:r>
      <w:r>
        <w:fldChar w:fldCharType="separate"/>
      </w:r>
      <w:r w:rsidR="118C9842">
        <w:rPr/>
        <w:t>https://www.gov.uk/arrested-your-rights/legal-advice-at-the-police-station</w:t>
      </w:r>
      <w:r>
        <w:fldChar w:fldCharType="end"/>
      </w:r>
      <w:r w:rsidR="118C9842">
        <w:rPr/>
        <w:t xml:space="preserve"> (Accessed: 30 April 2026). </w:t>
      </w:r>
    </w:p>
    <w:p w:rsidR="118C9842" w:rsidP="0D7B821E" w:rsidRDefault="118C9842" w14:paraId="4620A5FF" w14:textId="2FC6891C">
      <w:pPr>
        <w:pStyle w:val="Normal"/>
      </w:pPr>
      <w:r w:rsidR="118C9842">
        <w:rPr/>
        <w:t>Journal of Public Law (2010)</w:t>
      </w:r>
      <w:r w:rsidRPr="0D7B821E" w:rsidR="118C9842">
        <w:rPr>
          <w:i w:val="1"/>
          <w:iCs w:val="1"/>
        </w:rPr>
        <w:t xml:space="preserve"> Policing and procedural fairness in the criminal justice system.</w:t>
      </w:r>
      <w:r w:rsidR="118C9842">
        <w:rPr/>
        <w:t xml:space="preserve"> Available at: </w:t>
      </w:r>
      <w:r>
        <w:fldChar w:fldCharType="begin"/>
      </w:r>
      <w:r>
        <w:instrText xml:space="preserve">HYPERLINK "https://journals.sagepub.com/doi/10.1350/pojo.2010.83.1.482" </w:instrText>
      </w:r>
      <w:r>
        <w:fldChar w:fldCharType="separate"/>
      </w:r>
      <w:r w:rsidR="118C9842">
        <w:rPr/>
        <w:t>https://journals.sagepub.com/doi/10.1350/pojo.2010.83.1.482</w:t>
      </w:r>
      <w:r>
        <w:fldChar w:fldCharType="end"/>
      </w:r>
      <w:r w:rsidR="118C9842">
        <w:rPr/>
        <w:t xml:space="preserve"> (Accessed: </w:t>
      </w:r>
      <w:r w:rsidR="200B2E0C">
        <w:rPr/>
        <w:t xml:space="preserve">25 </w:t>
      </w:r>
      <w:r w:rsidR="118C9842">
        <w:rPr/>
        <w:t xml:space="preserve">April 2026). </w:t>
      </w:r>
    </w:p>
    <w:p w:rsidR="118C9842" w:rsidP="0D7B821E" w:rsidRDefault="118C9842" w14:paraId="292585C2" w14:textId="4B80E63A">
      <w:pPr>
        <w:pStyle w:val="Normal"/>
      </w:pPr>
      <w:r w:rsidR="118C9842">
        <w:rPr/>
        <w:t xml:space="preserve">Laxminarayan, M. (2015) </w:t>
      </w:r>
      <w:r w:rsidRPr="0D7B821E" w:rsidR="118C9842">
        <w:rPr>
          <w:i w:val="1"/>
          <w:iCs w:val="1"/>
        </w:rPr>
        <w:t>‘Enhancing trust in the legal system through victims’ rights mechanisms’,</w:t>
      </w:r>
      <w:r w:rsidR="118C9842">
        <w:rPr/>
        <w:t xml:space="preserve"> New Journal of European Criminal Law, 6(3), pp. 321–343. Available at: </w:t>
      </w:r>
      <w:r>
        <w:fldChar w:fldCharType="begin"/>
      </w:r>
      <w:r>
        <w:instrText xml:space="preserve">HYPERLINK "https://doi.org/10.1177/0269758015591721" </w:instrText>
      </w:r>
      <w:r>
        <w:fldChar w:fldCharType="separate"/>
      </w:r>
      <w:r w:rsidR="118C9842">
        <w:rPr/>
        <w:t>https://doi.org/10.1177/0269758015591721</w:t>
      </w:r>
      <w:r>
        <w:fldChar w:fldCharType="end"/>
      </w:r>
      <w:r w:rsidR="118C9842">
        <w:rPr/>
        <w:t xml:space="preserve"> (Accessed: </w:t>
      </w:r>
      <w:r w:rsidR="5594F07B">
        <w:rPr/>
        <w:t>23</w:t>
      </w:r>
      <w:r w:rsidR="118C9842">
        <w:rPr/>
        <w:t xml:space="preserve"> April 2026). </w:t>
      </w:r>
    </w:p>
    <w:p w:rsidR="118C9842" w:rsidP="0D7B821E" w:rsidRDefault="118C9842" w14:paraId="3451DAC7" w14:textId="181A7361">
      <w:pPr>
        <w:pStyle w:val="Normal"/>
      </w:pPr>
      <w:r w:rsidR="118C9842">
        <w:rPr/>
        <w:t>Legislation.gov.uk (1984)</w:t>
      </w:r>
      <w:r w:rsidRPr="0D7B821E" w:rsidR="118C9842">
        <w:rPr>
          <w:i w:val="1"/>
          <w:iCs w:val="1"/>
        </w:rPr>
        <w:t xml:space="preserve"> Police and Criminal Evidence Act 1984</w:t>
      </w:r>
      <w:r w:rsidR="118C9842">
        <w:rPr/>
        <w:t xml:space="preserve">. Available at: Public Law (2010) ‘Police powers and procedural fairness in criminal justice’, Journal of Public Law, 83(1). Available at: </w:t>
      </w:r>
      <w:r>
        <w:fldChar w:fldCharType="begin"/>
      </w:r>
      <w:r>
        <w:instrText xml:space="preserve">HYPERLINK "https://journals.sagepub.com/doi/10.1350/pojo.2010.83.1.482" </w:instrText>
      </w:r>
      <w:r>
        <w:fldChar w:fldCharType="separate"/>
      </w:r>
      <w:r w:rsidR="118C9842">
        <w:rPr/>
        <w:t>https://journals.sagepub.com/doi/10.1350/pojo.2010.83.1.482</w:t>
      </w:r>
      <w:r>
        <w:fldChar w:fldCharType="end"/>
      </w:r>
      <w:r w:rsidR="118C9842">
        <w:rPr/>
        <w:t xml:space="preserve"> (Accessed: </w:t>
      </w:r>
      <w:r w:rsidR="173C93B3">
        <w:rPr/>
        <w:t>26</w:t>
      </w:r>
      <w:r w:rsidR="118C9842">
        <w:rPr/>
        <w:t xml:space="preserve"> April 2026). </w:t>
      </w:r>
    </w:p>
    <w:p w:rsidR="118C9842" w:rsidP="0D7B821E" w:rsidRDefault="118C9842" w14:paraId="4EDCD0A1" w14:textId="72B217D0">
      <w:pPr>
        <w:pStyle w:val="Normal"/>
      </w:pPr>
      <w:r w:rsidR="118C9842">
        <w:rPr/>
        <w:t xml:space="preserve">McKay, C., McKenzie, </w:t>
      </w:r>
      <w:r w:rsidR="118C9842">
        <w:rPr/>
        <w:t>K.</w:t>
      </w:r>
      <w:r w:rsidR="118C9842">
        <w:rPr/>
        <w:t xml:space="preserve"> and Smith, A. (2018) ‘</w:t>
      </w:r>
      <w:r w:rsidRPr="0D7B821E" w:rsidR="118C9842">
        <w:rPr>
          <w:i w:val="1"/>
          <w:iCs w:val="1"/>
        </w:rPr>
        <w:t>The legal safeguards in police custody: A critical analysis</w:t>
      </w:r>
      <w:r w:rsidR="118C9842">
        <w:rPr/>
        <w:t xml:space="preserve">’, Journal of Criminal Justice, 56, pp. 85–93. Available at: </w:t>
      </w:r>
      <w:r>
        <w:fldChar w:fldCharType="begin"/>
      </w:r>
      <w:r>
        <w:instrText xml:space="preserve">HYPERLINK "https://www.sciencedirect.com/science/article/pii/S1363951X17000458" </w:instrText>
      </w:r>
      <w:r>
        <w:fldChar w:fldCharType="separate"/>
      </w:r>
      <w:r w:rsidR="118C9842">
        <w:rPr/>
        <w:t>https://www.sciencedirect.com/science/article/pii/S1363951X17000458</w:t>
      </w:r>
      <w:r>
        <w:fldChar w:fldCharType="end"/>
      </w:r>
      <w:r w:rsidR="118C9842">
        <w:rPr/>
        <w:t xml:space="preserve"> (Accessed: </w:t>
      </w:r>
      <w:r w:rsidR="4839CF57">
        <w:rPr/>
        <w:t>24</w:t>
      </w:r>
      <w:r w:rsidR="118C9842">
        <w:rPr/>
        <w:t xml:space="preserve"> </w:t>
      </w:r>
      <w:r w:rsidR="1A8EE0C2">
        <w:rPr/>
        <w:t>April</w:t>
      </w:r>
      <w:r w:rsidR="118C9842">
        <w:rPr/>
        <w:t xml:space="preserve"> 2026). </w:t>
      </w:r>
    </w:p>
    <w:p w:rsidR="118C9842" w:rsidP="0D7B821E" w:rsidRDefault="118C9842" w14:paraId="404EF18E" w14:textId="6E14AA0B">
      <w:pPr>
        <w:pStyle w:val="Normal"/>
      </w:pPr>
      <w:r w:rsidR="118C9842">
        <w:rPr/>
        <w:t>Mylonaki</w:t>
      </w:r>
      <w:r w:rsidR="118C9842">
        <w:rPr/>
        <w:t>, E. and Burton, T. (2010) ‘</w:t>
      </w:r>
      <w:r w:rsidRPr="0D7B821E" w:rsidR="118C9842">
        <w:rPr>
          <w:i w:val="1"/>
          <w:iCs w:val="1"/>
        </w:rPr>
        <w:t xml:space="preserve">A critique of the deficiencies in the regulation of contemporary police powers of detention and questioning in England and Wales’, </w:t>
      </w:r>
      <w:r w:rsidR="118C9842">
        <w:rPr/>
        <w:t xml:space="preserve">The Police Journal: Theory, Practice and Principles, 83(1), pp. 61–79. Available at: </w:t>
      </w:r>
      <w:r>
        <w:fldChar w:fldCharType="begin"/>
      </w:r>
      <w:r>
        <w:instrText xml:space="preserve">HYPERLINK "https://journals.sagepub.com/doi/10.1350/pojo.2010.83.1.482" </w:instrText>
      </w:r>
      <w:r>
        <w:fldChar w:fldCharType="separate"/>
      </w:r>
      <w:r w:rsidR="118C9842">
        <w:rPr/>
        <w:t>https://journals.sagepub.com/doi/10.1350/pojo.2010.83.1.482</w:t>
      </w:r>
      <w:r>
        <w:fldChar w:fldCharType="end"/>
      </w:r>
      <w:r w:rsidR="118C9842">
        <w:rPr/>
        <w:t xml:space="preserve"> (Accessed: </w:t>
      </w:r>
      <w:r w:rsidR="2CE70A69">
        <w:rPr/>
        <w:t>26 April</w:t>
      </w:r>
      <w:r w:rsidR="118C9842">
        <w:rPr/>
        <w:t xml:space="preserve"> 2026). </w:t>
      </w:r>
    </w:p>
    <w:p w:rsidR="118C9842" w:rsidP="0D7B821E" w:rsidRDefault="118C9842" w14:paraId="2B9E3194" w14:textId="6EE33959">
      <w:pPr>
        <w:pStyle w:val="Normal"/>
      </w:pPr>
      <w:r w:rsidR="118C9842">
        <w:rPr/>
        <w:t>Oxford Journal of Legal Studies (2021) ‘S</w:t>
      </w:r>
      <w:r w:rsidRPr="0D7B821E" w:rsidR="118C9842">
        <w:rPr>
          <w:i w:val="1"/>
          <w:iCs w:val="1"/>
        </w:rPr>
        <w:t>pecial measures and humane treatment under the Youth Justice and Criminal Evidence Act 1999’,</w:t>
      </w:r>
      <w:r w:rsidR="118C9842">
        <w:rPr/>
        <w:t xml:space="preserve"> Oxford Journal of Legal Studies, 41(4), pp. 1066–1088. Available at: </w:t>
      </w:r>
      <w:r>
        <w:fldChar w:fldCharType="begin"/>
      </w:r>
      <w:r>
        <w:instrText xml:space="preserve">HYPERLINK "https://academic.oup.com/ojls/article/41/4/1066/6274265" </w:instrText>
      </w:r>
      <w:r>
        <w:fldChar w:fldCharType="separate"/>
      </w:r>
      <w:r w:rsidR="118C9842">
        <w:rPr/>
        <w:t>https://academic.oup.com/ojls/article/41/4/1066/6274265</w:t>
      </w:r>
      <w:r>
        <w:fldChar w:fldCharType="end"/>
      </w:r>
      <w:r w:rsidR="118C9842">
        <w:rPr/>
        <w:t xml:space="preserve"> (Accessed: </w:t>
      </w:r>
      <w:r w:rsidR="121C4B17">
        <w:rPr/>
        <w:t>24 April</w:t>
      </w:r>
      <w:r w:rsidR="118C9842">
        <w:rPr/>
        <w:t xml:space="preserve"> 2026). </w:t>
      </w:r>
    </w:p>
    <w:p w:rsidR="118C9842" w:rsidP="0D7B821E" w:rsidRDefault="118C9842" w14:paraId="04063C67" w14:textId="61EC3819">
      <w:pPr>
        <w:pStyle w:val="Normal"/>
      </w:pPr>
      <w:r w:rsidR="118C9842">
        <w:rPr/>
        <w:t xml:space="preserve">Points2Prove (n.d.) </w:t>
      </w:r>
      <w:r w:rsidRPr="0D7B821E" w:rsidR="118C9842">
        <w:rPr>
          <w:i w:val="1"/>
          <w:iCs w:val="1"/>
        </w:rPr>
        <w:t>The Full Code Test</w:t>
      </w:r>
      <w:r w:rsidR="118C9842">
        <w:rPr/>
        <w:t xml:space="preserve">. Available at: </w:t>
      </w:r>
      <w:r>
        <w:fldChar w:fldCharType="begin"/>
      </w:r>
      <w:r>
        <w:instrText xml:space="preserve">HYPERLINK "https://points2prove.co.uk/checklist/the-full-code-test" </w:instrText>
      </w:r>
      <w:r>
        <w:fldChar w:fldCharType="separate"/>
      </w:r>
      <w:r w:rsidR="118C9842">
        <w:rPr/>
        <w:t>https://points2prove.co.uk/checklist/the-full-code-test</w:t>
      </w:r>
      <w:r>
        <w:fldChar w:fldCharType="end"/>
      </w:r>
      <w:r w:rsidR="118C9842">
        <w:rPr/>
        <w:t xml:space="preserve"> (Accessed: </w:t>
      </w:r>
      <w:r w:rsidR="34EEBDDA">
        <w:rPr/>
        <w:t>26</w:t>
      </w:r>
      <w:r w:rsidR="118C9842">
        <w:rPr/>
        <w:t xml:space="preserve"> April 2026). </w:t>
      </w:r>
    </w:p>
    <w:p w:rsidR="118C9842" w:rsidP="0D7B821E" w:rsidRDefault="118C9842" w14:paraId="0CF38F26" w14:textId="3315668F">
      <w:pPr>
        <w:pStyle w:val="Normal"/>
      </w:pPr>
      <w:r w:rsidR="118C9842">
        <w:rPr/>
        <w:t xml:space="preserve">Surrey University (2024) Prison legitimacy and procedural fairness: a study of legal systems. Available at: </w:t>
      </w:r>
      <w:r>
        <w:fldChar w:fldCharType="begin"/>
      </w:r>
      <w:r>
        <w:instrText xml:space="preserve">HYPERLINK "https://openresearch.surrey.ac.uk/esploro/outputs/journalArticle/Prison-Legitimacy-and-Procedural-Fairness-A/99515808402346" </w:instrText>
      </w:r>
      <w:r>
        <w:fldChar w:fldCharType="separate"/>
      </w:r>
      <w:r w:rsidR="118C9842">
        <w:rPr/>
        <w:t>https://openresearch.surrey.ac.uk/esploro/outputs/journalArticle/Prison-Legitimacy-and-Procedural-Fairness-A/99515808402346</w:t>
      </w:r>
      <w:r>
        <w:fldChar w:fldCharType="end"/>
      </w:r>
      <w:r w:rsidR="118C9842">
        <w:rPr/>
        <w:t xml:space="preserve"> (Accessed: </w:t>
      </w:r>
      <w:r w:rsidR="2509CCBC">
        <w:rPr/>
        <w:t>23</w:t>
      </w:r>
      <w:r w:rsidR="118C9842">
        <w:rPr/>
        <w:t xml:space="preserve"> April 2026) </w:t>
      </w:r>
    </w:p>
    <w:p w:rsidR="118C9842" w:rsidP="0D7B821E" w:rsidRDefault="118C9842" w14:paraId="64F4D557" w14:textId="11C10377">
      <w:pPr>
        <w:pStyle w:val="Normal"/>
      </w:pPr>
      <w:r w:rsidR="118C9842">
        <w:rPr/>
        <w:t>The British Journal of Criminology (2022)</w:t>
      </w:r>
      <w:r w:rsidRPr="0D7B821E" w:rsidR="118C9842">
        <w:rPr>
          <w:i w:val="1"/>
          <w:iCs w:val="1"/>
        </w:rPr>
        <w:t xml:space="preserve"> Article abstract</w:t>
      </w:r>
      <w:r w:rsidR="118C9842">
        <w:rPr/>
        <w:t xml:space="preserve">. Available at: </w:t>
      </w:r>
      <w:r>
        <w:fldChar w:fldCharType="begin"/>
      </w:r>
      <w:r>
        <w:instrText xml:space="preserve">HYPERLINK "https://academic.oup.com/bjc/article-abstract/62/2/468/6332754" </w:instrText>
      </w:r>
      <w:r>
        <w:fldChar w:fldCharType="separate"/>
      </w:r>
      <w:r w:rsidR="118C9842">
        <w:rPr/>
        <w:t>https://academic.oup.com/bjc/article-abstract/62/2/468/6332754</w:t>
      </w:r>
      <w:r>
        <w:fldChar w:fldCharType="end"/>
      </w:r>
      <w:r w:rsidR="118C9842">
        <w:rPr/>
        <w:t xml:space="preserve"> (Accessed: </w:t>
      </w:r>
      <w:r w:rsidR="3933BE45">
        <w:rPr/>
        <w:t>26</w:t>
      </w:r>
      <w:r w:rsidR="118C9842">
        <w:rPr/>
        <w:t xml:space="preserve"> April 2026). </w:t>
      </w:r>
    </w:p>
    <w:p w:rsidR="118C9842" w:rsidP="0D7B821E" w:rsidRDefault="118C9842" w14:paraId="505D82FB" w14:textId="338EA9F8">
      <w:pPr>
        <w:pStyle w:val="Normal"/>
      </w:pPr>
      <w:r w:rsidR="118C9842">
        <w:rPr/>
        <w:t>Ward, J. (2015)</w:t>
      </w:r>
      <w:r w:rsidRPr="0D7B821E" w:rsidR="118C9842">
        <w:rPr>
          <w:i w:val="1"/>
          <w:iCs w:val="1"/>
        </w:rPr>
        <w:t xml:space="preserve"> ‘Transforming “summary justice” through police-led prosecution and “virtual courts”’,</w:t>
      </w:r>
      <w:r w:rsidR="118C9842">
        <w:rPr/>
        <w:t xml:space="preserve"> British Journal of Criminology, 55(2), pp. 341–358. Available at: https://doi.org/10.1093/bjc/azu077 (Accessed: </w:t>
      </w:r>
      <w:r w:rsidR="2E9DBECB">
        <w:rPr/>
        <w:t xml:space="preserve">27 </w:t>
      </w:r>
      <w:r w:rsidR="118C9842">
        <w:rPr/>
        <w:t>April 2026).</w:t>
      </w:r>
    </w:p>
    <w:p w:rsidR="0D7B821E" w:rsidP="0D7B821E" w:rsidRDefault="0D7B821E" w14:paraId="6D68B174" w14:textId="26C4E5AE">
      <w:pPr>
        <w:pStyle w:val="Normal"/>
      </w:pPr>
    </w:p>
    <w:sectPr>
      <w:pgSz w:w="11906" w:h="16838" w:orient="portrait"/>
      <w:pgMar w:top="1440" w:right="1440" w:bottom="1440" w:left="1440" w:header="720" w:footer="720" w:gutter="0"/>
      <w:cols w:space="720"/>
      <w:docGrid w:linePitch="360"/>
      <w:headerReference w:type="default" r:id="R74461439e3914f3c"/>
      <w:footerReference w:type="default" r:id="Rde49041eac3c44c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FD98CD" w:rsidTr="69FD98CD" w14:paraId="11955F92">
      <w:trPr>
        <w:trHeight w:val="300"/>
      </w:trPr>
      <w:tc>
        <w:tcPr>
          <w:tcW w:w="3005" w:type="dxa"/>
          <w:tcMar/>
        </w:tcPr>
        <w:p w:rsidR="69FD98CD" w:rsidP="69FD98CD" w:rsidRDefault="69FD98CD" w14:paraId="75D123DE" w14:textId="63C017FF">
          <w:pPr>
            <w:pStyle w:val="Header"/>
            <w:bidi w:val="0"/>
            <w:ind w:left="-115"/>
            <w:jc w:val="left"/>
          </w:pPr>
        </w:p>
      </w:tc>
      <w:tc>
        <w:tcPr>
          <w:tcW w:w="3005" w:type="dxa"/>
          <w:tcMar/>
        </w:tcPr>
        <w:p w:rsidR="69FD98CD" w:rsidP="69FD98CD" w:rsidRDefault="69FD98CD" w14:paraId="30E9E858" w14:textId="5D1A002A">
          <w:pPr>
            <w:pStyle w:val="Header"/>
            <w:bidi w:val="0"/>
            <w:jc w:val="center"/>
          </w:pPr>
        </w:p>
      </w:tc>
      <w:tc>
        <w:tcPr>
          <w:tcW w:w="3005" w:type="dxa"/>
          <w:tcMar/>
        </w:tcPr>
        <w:p w:rsidR="69FD98CD" w:rsidP="69FD98CD" w:rsidRDefault="69FD98CD" w14:paraId="5AD78005" w14:textId="45700E40">
          <w:pPr>
            <w:pStyle w:val="Header"/>
            <w:bidi w:val="0"/>
            <w:ind w:right="-115"/>
            <w:jc w:val="right"/>
          </w:pPr>
        </w:p>
      </w:tc>
    </w:tr>
  </w:tbl>
  <w:p w:rsidR="69FD98CD" w:rsidP="69FD98CD" w:rsidRDefault="69FD98CD" w14:paraId="286646E4" w14:textId="6B19BA1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69FD98CD" w:rsidTr="69FD98CD" w14:paraId="6E8239BC">
      <w:trPr>
        <w:trHeight w:val="300"/>
      </w:trPr>
      <w:tc>
        <w:tcPr>
          <w:tcW w:w="3005" w:type="dxa"/>
          <w:tcMar/>
        </w:tcPr>
        <w:p w:rsidR="69FD98CD" w:rsidP="69FD98CD" w:rsidRDefault="69FD98CD" w14:paraId="189A9709" w14:textId="414150EE">
          <w:pPr>
            <w:pStyle w:val="Header"/>
            <w:bidi w:val="0"/>
            <w:ind w:left="-115"/>
            <w:jc w:val="left"/>
          </w:pPr>
        </w:p>
      </w:tc>
      <w:tc>
        <w:tcPr>
          <w:tcW w:w="3005" w:type="dxa"/>
          <w:tcMar/>
        </w:tcPr>
        <w:p w:rsidR="69FD98CD" w:rsidP="69FD98CD" w:rsidRDefault="69FD98CD" w14:paraId="3174AE0C" w14:textId="312106E9">
          <w:pPr>
            <w:pStyle w:val="Header"/>
            <w:bidi w:val="0"/>
            <w:jc w:val="center"/>
          </w:pPr>
        </w:p>
      </w:tc>
      <w:tc>
        <w:tcPr>
          <w:tcW w:w="3005" w:type="dxa"/>
          <w:tcMar/>
        </w:tcPr>
        <w:p w:rsidR="69FD98CD" w:rsidP="69FD98CD" w:rsidRDefault="69FD98CD" w14:paraId="0EEEF397" w14:textId="579005E0">
          <w:pPr>
            <w:pStyle w:val="Header"/>
            <w:bidi w:val="0"/>
            <w:ind w:right="-115"/>
            <w:jc w:val="right"/>
          </w:pPr>
        </w:p>
      </w:tc>
    </w:tr>
  </w:tbl>
  <w:p w:rsidR="69FD98CD" w:rsidP="69FD98CD" w:rsidRDefault="69FD98CD" w14:paraId="0D280396" w14:textId="130D564E">
    <w:pPr>
      <w:pStyle w:val="Header"/>
      <w:bidi w:val="0"/>
    </w:pPr>
  </w:p>
</w:hdr>
</file>

<file path=word/people.xml><?xml version="1.0" encoding="utf-8"?>
<w15:people xmlns:mc="http://schemas.openxmlformats.org/markup-compatibility/2006" xmlns:w15="http://schemas.microsoft.com/office/word/2012/wordml" mc:Ignorable="w15"/>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DC41AE6"/>
    <w:rsid w:val="00353800"/>
    <w:rsid w:val="00D8F4C2"/>
    <w:rsid w:val="0113E317"/>
    <w:rsid w:val="021C3668"/>
    <w:rsid w:val="02868FAC"/>
    <w:rsid w:val="0289B2E4"/>
    <w:rsid w:val="02BB80EE"/>
    <w:rsid w:val="0356C06B"/>
    <w:rsid w:val="0383F19E"/>
    <w:rsid w:val="03890929"/>
    <w:rsid w:val="038924AC"/>
    <w:rsid w:val="03995F5C"/>
    <w:rsid w:val="03B8AF2B"/>
    <w:rsid w:val="03DCB3A3"/>
    <w:rsid w:val="03F67D39"/>
    <w:rsid w:val="044ABBDE"/>
    <w:rsid w:val="0496635F"/>
    <w:rsid w:val="04A31C67"/>
    <w:rsid w:val="04B34422"/>
    <w:rsid w:val="04C7C08E"/>
    <w:rsid w:val="04E7D545"/>
    <w:rsid w:val="051A4807"/>
    <w:rsid w:val="05334B3C"/>
    <w:rsid w:val="05968692"/>
    <w:rsid w:val="05E294C8"/>
    <w:rsid w:val="060BC6C2"/>
    <w:rsid w:val="0635BC79"/>
    <w:rsid w:val="066AF00E"/>
    <w:rsid w:val="0671F2BE"/>
    <w:rsid w:val="06A5B9CF"/>
    <w:rsid w:val="07049EA7"/>
    <w:rsid w:val="071D4F45"/>
    <w:rsid w:val="075B01ED"/>
    <w:rsid w:val="078F8650"/>
    <w:rsid w:val="079D3559"/>
    <w:rsid w:val="07A2A332"/>
    <w:rsid w:val="07BC23A1"/>
    <w:rsid w:val="07BDBE9A"/>
    <w:rsid w:val="0808B6D9"/>
    <w:rsid w:val="082F4606"/>
    <w:rsid w:val="083107D3"/>
    <w:rsid w:val="08C852BE"/>
    <w:rsid w:val="0A1AF0AD"/>
    <w:rsid w:val="0A66414B"/>
    <w:rsid w:val="0A7419F5"/>
    <w:rsid w:val="0A7CA610"/>
    <w:rsid w:val="0ADBCDB8"/>
    <w:rsid w:val="0B2E2748"/>
    <w:rsid w:val="0BA84609"/>
    <w:rsid w:val="0BBE8235"/>
    <w:rsid w:val="0BC93914"/>
    <w:rsid w:val="0C1FBE9D"/>
    <w:rsid w:val="0CAC9DB6"/>
    <w:rsid w:val="0CAE5372"/>
    <w:rsid w:val="0D7B821E"/>
    <w:rsid w:val="0D89EB63"/>
    <w:rsid w:val="0DADDE6F"/>
    <w:rsid w:val="0E1D5D95"/>
    <w:rsid w:val="0E5BF1BA"/>
    <w:rsid w:val="0E8F274E"/>
    <w:rsid w:val="0EB971D1"/>
    <w:rsid w:val="0F209151"/>
    <w:rsid w:val="0F8A6FCF"/>
    <w:rsid w:val="0FA24B2D"/>
    <w:rsid w:val="0FD09DBA"/>
    <w:rsid w:val="10484878"/>
    <w:rsid w:val="11546E1E"/>
    <w:rsid w:val="1171A855"/>
    <w:rsid w:val="118C9842"/>
    <w:rsid w:val="11ABBCE2"/>
    <w:rsid w:val="11E58CEE"/>
    <w:rsid w:val="121C4B17"/>
    <w:rsid w:val="1267F36E"/>
    <w:rsid w:val="12C7E639"/>
    <w:rsid w:val="1313E3CC"/>
    <w:rsid w:val="13911948"/>
    <w:rsid w:val="13F36948"/>
    <w:rsid w:val="141CE183"/>
    <w:rsid w:val="146357F1"/>
    <w:rsid w:val="14893469"/>
    <w:rsid w:val="14E747B5"/>
    <w:rsid w:val="151C761E"/>
    <w:rsid w:val="1563AC8F"/>
    <w:rsid w:val="1568C034"/>
    <w:rsid w:val="165A22EE"/>
    <w:rsid w:val="1668D9E3"/>
    <w:rsid w:val="173C93B3"/>
    <w:rsid w:val="17C415C9"/>
    <w:rsid w:val="17E78C75"/>
    <w:rsid w:val="1851F925"/>
    <w:rsid w:val="19318693"/>
    <w:rsid w:val="1932F16A"/>
    <w:rsid w:val="1944D0C3"/>
    <w:rsid w:val="199E225E"/>
    <w:rsid w:val="1A1F507E"/>
    <w:rsid w:val="1A362E7C"/>
    <w:rsid w:val="1A6AA356"/>
    <w:rsid w:val="1A7472DA"/>
    <w:rsid w:val="1A7F1017"/>
    <w:rsid w:val="1A8EE0C2"/>
    <w:rsid w:val="1AF5B1BD"/>
    <w:rsid w:val="1B74FF55"/>
    <w:rsid w:val="1C79CA62"/>
    <w:rsid w:val="1CDE3B29"/>
    <w:rsid w:val="1D0FCCEC"/>
    <w:rsid w:val="1D25BE4A"/>
    <w:rsid w:val="1D553164"/>
    <w:rsid w:val="1D7A1EE3"/>
    <w:rsid w:val="1DCDACEF"/>
    <w:rsid w:val="1DE342F0"/>
    <w:rsid w:val="1DF3F3BC"/>
    <w:rsid w:val="1DFA4FB8"/>
    <w:rsid w:val="1E479133"/>
    <w:rsid w:val="1E8F0314"/>
    <w:rsid w:val="1E8F747C"/>
    <w:rsid w:val="1E9BDD5E"/>
    <w:rsid w:val="1EBFC543"/>
    <w:rsid w:val="1EEAC175"/>
    <w:rsid w:val="1EFB7B48"/>
    <w:rsid w:val="1F8FCA58"/>
    <w:rsid w:val="1FF18F3C"/>
    <w:rsid w:val="200B2E0C"/>
    <w:rsid w:val="201FB812"/>
    <w:rsid w:val="2095EAB0"/>
    <w:rsid w:val="20CF9808"/>
    <w:rsid w:val="216280B8"/>
    <w:rsid w:val="21CBBD7D"/>
    <w:rsid w:val="21DA6D2B"/>
    <w:rsid w:val="21DB8D1D"/>
    <w:rsid w:val="21EA5A9E"/>
    <w:rsid w:val="222AA736"/>
    <w:rsid w:val="22A3BB92"/>
    <w:rsid w:val="22B481E7"/>
    <w:rsid w:val="22D043C5"/>
    <w:rsid w:val="23483D84"/>
    <w:rsid w:val="23E73EF7"/>
    <w:rsid w:val="242DF82A"/>
    <w:rsid w:val="24A39D35"/>
    <w:rsid w:val="24D3CEA9"/>
    <w:rsid w:val="2509CCBC"/>
    <w:rsid w:val="2560970D"/>
    <w:rsid w:val="2564E593"/>
    <w:rsid w:val="26223382"/>
    <w:rsid w:val="2678A3DB"/>
    <w:rsid w:val="267BAC21"/>
    <w:rsid w:val="26BDBC74"/>
    <w:rsid w:val="26D46B4C"/>
    <w:rsid w:val="2760E4F9"/>
    <w:rsid w:val="276E7B4A"/>
    <w:rsid w:val="28089BDF"/>
    <w:rsid w:val="28FF8D0F"/>
    <w:rsid w:val="29459E8D"/>
    <w:rsid w:val="29761187"/>
    <w:rsid w:val="2A685313"/>
    <w:rsid w:val="2A9EFB58"/>
    <w:rsid w:val="2B2C9A58"/>
    <w:rsid w:val="2BD1C0C1"/>
    <w:rsid w:val="2BDE4ECE"/>
    <w:rsid w:val="2C9DBB1A"/>
    <w:rsid w:val="2CE70A69"/>
    <w:rsid w:val="2D1F40CC"/>
    <w:rsid w:val="2D41EBE3"/>
    <w:rsid w:val="2DC4B7E9"/>
    <w:rsid w:val="2E02DDB2"/>
    <w:rsid w:val="2E08B1A2"/>
    <w:rsid w:val="2E4D58CF"/>
    <w:rsid w:val="2E9DBECB"/>
    <w:rsid w:val="2EABAE0C"/>
    <w:rsid w:val="2F0F5F30"/>
    <w:rsid w:val="2F4F8671"/>
    <w:rsid w:val="2FDD8904"/>
    <w:rsid w:val="2FE1A3D0"/>
    <w:rsid w:val="2FE9F38A"/>
    <w:rsid w:val="30766A3D"/>
    <w:rsid w:val="309D98FA"/>
    <w:rsid w:val="30D521AF"/>
    <w:rsid w:val="30E0FD57"/>
    <w:rsid w:val="30E21440"/>
    <w:rsid w:val="30FB0975"/>
    <w:rsid w:val="3193456F"/>
    <w:rsid w:val="3210275B"/>
    <w:rsid w:val="321671C4"/>
    <w:rsid w:val="321684FA"/>
    <w:rsid w:val="32B1FBC7"/>
    <w:rsid w:val="331D9D7E"/>
    <w:rsid w:val="33B7C0FA"/>
    <w:rsid w:val="340E32C4"/>
    <w:rsid w:val="34EEBDDA"/>
    <w:rsid w:val="3505E368"/>
    <w:rsid w:val="356BEB74"/>
    <w:rsid w:val="35B15B86"/>
    <w:rsid w:val="35DF1E1F"/>
    <w:rsid w:val="363F6A0E"/>
    <w:rsid w:val="369C8DCE"/>
    <w:rsid w:val="37156DDB"/>
    <w:rsid w:val="37B13CB7"/>
    <w:rsid w:val="381074C2"/>
    <w:rsid w:val="38233272"/>
    <w:rsid w:val="3835F247"/>
    <w:rsid w:val="38E101BB"/>
    <w:rsid w:val="3933BE45"/>
    <w:rsid w:val="395E5FAC"/>
    <w:rsid w:val="3A2D403C"/>
    <w:rsid w:val="3AC08347"/>
    <w:rsid w:val="3AD311EA"/>
    <w:rsid w:val="3AE9CD5F"/>
    <w:rsid w:val="3AF545FA"/>
    <w:rsid w:val="3B410A7B"/>
    <w:rsid w:val="3BC55D14"/>
    <w:rsid w:val="3C25BB53"/>
    <w:rsid w:val="3CCA1953"/>
    <w:rsid w:val="3D0AF1A5"/>
    <w:rsid w:val="3D845EA0"/>
    <w:rsid w:val="3DEA1F34"/>
    <w:rsid w:val="3DFF5A9A"/>
    <w:rsid w:val="3E2295F2"/>
    <w:rsid w:val="3E5F9D0B"/>
    <w:rsid w:val="3E65FD3E"/>
    <w:rsid w:val="3EBA2F37"/>
    <w:rsid w:val="3F0577D9"/>
    <w:rsid w:val="3F05A611"/>
    <w:rsid w:val="3F3C6C3E"/>
    <w:rsid w:val="3FB8C0A8"/>
    <w:rsid w:val="3FBA619B"/>
    <w:rsid w:val="3FD85D1F"/>
    <w:rsid w:val="3FF44D3F"/>
    <w:rsid w:val="413AF6E2"/>
    <w:rsid w:val="417533B8"/>
    <w:rsid w:val="419B353B"/>
    <w:rsid w:val="41A75A0A"/>
    <w:rsid w:val="41E3602A"/>
    <w:rsid w:val="41FA7E77"/>
    <w:rsid w:val="42A03E52"/>
    <w:rsid w:val="43BB8D8A"/>
    <w:rsid w:val="43DEC220"/>
    <w:rsid w:val="43FF7989"/>
    <w:rsid w:val="4446EBD4"/>
    <w:rsid w:val="44826A2E"/>
    <w:rsid w:val="44C08D83"/>
    <w:rsid w:val="44D9444F"/>
    <w:rsid w:val="44FE55AC"/>
    <w:rsid w:val="45256218"/>
    <w:rsid w:val="45642F32"/>
    <w:rsid w:val="4571DA72"/>
    <w:rsid w:val="45AF093B"/>
    <w:rsid w:val="45E39759"/>
    <w:rsid w:val="46274615"/>
    <w:rsid w:val="46329BCF"/>
    <w:rsid w:val="46651965"/>
    <w:rsid w:val="471EABDF"/>
    <w:rsid w:val="47A17A95"/>
    <w:rsid w:val="47FF0E1D"/>
    <w:rsid w:val="4839CF57"/>
    <w:rsid w:val="485918AB"/>
    <w:rsid w:val="48D49522"/>
    <w:rsid w:val="49833211"/>
    <w:rsid w:val="49A7A330"/>
    <w:rsid w:val="49BADBC8"/>
    <w:rsid w:val="4A6620F4"/>
    <w:rsid w:val="4A981B1C"/>
    <w:rsid w:val="4B61744C"/>
    <w:rsid w:val="4B6A7250"/>
    <w:rsid w:val="4B94A29B"/>
    <w:rsid w:val="4BA17BEB"/>
    <w:rsid w:val="4BF88CD6"/>
    <w:rsid w:val="4C2C9CC2"/>
    <w:rsid w:val="4C3A3223"/>
    <w:rsid w:val="4C73E600"/>
    <w:rsid w:val="4C9B3EFC"/>
    <w:rsid w:val="4D7B755D"/>
    <w:rsid w:val="4D88F4D7"/>
    <w:rsid w:val="4DF1633C"/>
    <w:rsid w:val="4E6272DA"/>
    <w:rsid w:val="4E852294"/>
    <w:rsid w:val="4EB7970C"/>
    <w:rsid w:val="4F153021"/>
    <w:rsid w:val="4F68A1D5"/>
    <w:rsid w:val="4F8FFFA1"/>
    <w:rsid w:val="4FA085F2"/>
    <w:rsid w:val="50ADC3A7"/>
    <w:rsid w:val="51549CD8"/>
    <w:rsid w:val="51735DFF"/>
    <w:rsid w:val="518812B6"/>
    <w:rsid w:val="51F997BF"/>
    <w:rsid w:val="526DE666"/>
    <w:rsid w:val="5284243F"/>
    <w:rsid w:val="52DBA9CE"/>
    <w:rsid w:val="52FAB463"/>
    <w:rsid w:val="53170B02"/>
    <w:rsid w:val="531DCC35"/>
    <w:rsid w:val="532ED34B"/>
    <w:rsid w:val="533201FD"/>
    <w:rsid w:val="5380E044"/>
    <w:rsid w:val="53AC9687"/>
    <w:rsid w:val="54422C55"/>
    <w:rsid w:val="5448ED0F"/>
    <w:rsid w:val="54E212BC"/>
    <w:rsid w:val="55039C3E"/>
    <w:rsid w:val="5594F07B"/>
    <w:rsid w:val="559E649D"/>
    <w:rsid w:val="55C16455"/>
    <w:rsid w:val="55CC75B3"/>
    <w:rsid w:val="55FA5CD8"/>
    <w:rsid w:val="56046C6D"/>
    <w:rsid w:val="561ED15C"/>
    <w:rsid w:val="56AC7D02"/>
    <w:rsid w:val="56DBEDCF"/>
    <w:rsid w:val="570043AE"/>
    <w:rsid w:val="57025A22"/>
    <w:rsid w:val="57582D05"/>
    <w:rsid w:val="575A3882"/>
    <w:rsid w:val="577B80B5"/>
    <w:rsid w:val="5896AAEF"/>
    <w:rsid w:val="58A5E9EE"/>
    <w:rsid w:val="5952E905"/>
    <w:rsid w:val="59D2C6C6"/>
    <w:rsid w:val="59EEA419"/>
    <w:rsid w:val="5A1CFD54"/>
    <w:rsid w:val="5AB43510"/>
    <w:rsid w:val="5AC754A4"/>
    <w:rsid w:val="5B3FA51D"/>
    <w:rsid w:val="5B59E2D5"/>
    <w:rsid w:val="5BE515B2"/>
    <w:rsid w:val="5BF093FF"/>
    <w:rsid w:val="5C91AD62"/>
    <w:rsid w:val="5D03B1C0"/>
    <w:rsid w:val="5D791003"/>
    <w:rsid w:val="5DAC7421"/>
    <w:rsid w:val="5EA3C72F"/>
    <w:rsid w:val="5EA6924F"/>
    <w:rsid w:val="5ECB1430"/>
    <w:rsid w:val="5F2BB3AF"/>
    <w:rsid w:val="5FA550A6"/>
    <w:rsid w:val="60904130"/>
    <w:rsid w:val="60BD4104"/>
    <w:rsid w:val="60CBB88A"/>
    <w:rsid w:val="60D9F5D5"/>
    <w:rsid w:val="60F973D0"/>
    <w:rsid w:val="60FC2ED6"/>
    <w:rsid w:val="610F930E"/>
    <w:rsid w:val="611C2212"/>
    <w:rsid w:val="61B71590"/>
    <w:rsid w:val="61C3270A"/>
    <w:rsid w:val="61DBF983"/>
    <w:rsid w:val="6294AC3E"/>
    <w:rsid w:val="632546AF"/>
    <w:rsid w:val="632A628B"/>
    <w:rsid w:val="63E0FDE5"/>
    <w:rsid w:val="640E1208"/>
    <w:rsid w:val="641814C9"/>
    <w:rsid w:val="644BEAB8"/>
    <w:rsid w:val="646D03AE"/>
    <w:rsid w:val="648138BC"/>
    <w:rsid w:val="64A2520F"/>
    <w:rsid w:val="654BBBBA"/>
    <w:rsid w:val="66D69000"/>
    <w:rsid w:val="678120E4"/>
    <w:rsid w:val="67EDDE86"/>
    <w:rsid w:val="67F70E6B"/>
    <w:rsid w:val="687C8DA4"/>
    <w:rsid w:val="69290780"/>
    <w:rsid w:val="6981BF8E"/>
    <w:rsid w:val="699F60DB"/>
    <w:rsid w:val="699F73E0"/>
    <w:rsid w:val="69DDBDA6"/>
    <w:rsid w:val="69FD98CD"/>
    <w:rsid w:val="6A44A0B9"/>
    <w:rsid w:val="6A4BE216"/>
    <w:rsid w:val="6A5E25A1"/>
    <w:rsid w:val="6ADE43C0"/>
    <w:rsid w:val="6B92F22E"/>
    <w:rsid w:val="6C03A5E2"/>
    <w:rsid w:val="6C599927"/>
    <w:rsid w:val="6C849683"/>
    <w:rsid w:val="6CD3A9C8"/>
    <w:rsid w:val="6CDCD3E6"/>
    <w:rsid w:val="6D8462A8"/>
    <w:rsid w:val="6DDA4B17"/>
    <w:rsid w:val="6DE83A90"/>
    <w:rsid w:val="6DECA315"/>
    <w:rsid w:val="6E9A1EE0"/>
    <w:rsid w:val="6F8DDA0C"/>
    <w:rsid w:val="7117007C"/>
    <w:rsid w:val="71C44792"/>
    <w:rsid w:val="72566FB3"/>
    <w:rsid w:val="72C943D5"/>
    <w:rsid w:val="736C8875"/>
    <w:rsid w:val="73C6CD67"/>
    <w:rsid w:val="7412113E"/>
    <w:rsid w:val="74361E33"/>
    <w:rsid w:val="75752EF6"/>
    <w:rsid w:val="75E4ADC8"/>
    <w:rsid w:val="76D18122"/>
    <w:rsid w:val="771B0A71"/>
    <w:rsid w:val="77358A9A"/>
    <w:rsid w:val="7775A94B"/>
    <w:rsid w:val="77E17109"/>
    <w:rsid w:val="77FECFCE"/>
    <w:rsid w:val="78902EA4"/>
    <w:rsid w:val="7893523B"/>
    <w:rsid w:val="78B93EFC"/>
    <w:rsid w:val="79E15FA6"/>
    <w:rsid w:val="7A12D0A4"/>
    <w:rsid w:val="7A63A65F"/>
    <w:rsid w:val="7AA00186"/>
    <w:rsid w:val="7B8731D3"/>
    <w:rsid w:val="7B98BE25"/>
    <w:rsid w:val="7B9E9954"/>
    <w:rsid w:val="7BAF280A"/>
    <w:rsid w:val="7BD1686B"/>
    <w:rsid w:val="7BE3940D"/>
    <w:rsid w:val="7BFB85BB"/>
    <w:rsid w:val="7CC7EEA9"/>
    <w:rsid w:val="7D642698"/>
    <w:rsid w:val="7D6532A2"/>
    <w:rsid w:val="7DC41AE6"/>
    <w:rsid w:val="7E14FF64"/>
    <w:rsid w:val="7E1B2CEC"/>
    <w:rsid w:val="7E9FE6EA"/>
    <w:rsid w:val="7F96DE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C41AE6"/>
  <w15:chartTrackingRefBased/>
  <w15:docId w15:val="{3743971D-01A3-496D-8E19-37C7EE97F6B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uiPriority w:val="1"/>
    <w:name w:val="No Spacing"/>
    <w:qFormat/>
    <w:rsid w:val="69FD98CD"/>
    <w:pPr>
      <w:spacing w:after="0"/>
    </w:pPr>
  </w:style>
  <w:style w:type="paragraph" w:styleId="Header">
    <w:uiPriority w:val="99"/>
    <w:name w:val="header"/>
    <w:basedOn w:val="Normal"/>
    <w:unhideWhenUsed/>
    <w:rsid w:val="69FD98CD"/>
    <w:pPr>
      <w:tabs>
        <w:tab w:val="center" w:leader="none" w:pos="4680"/>
        <w:tab w:val="right" w:leader="none" w:pos="9360"/>
      </w:tabs>
      <w:spacing w:after="0" w:line="240" w:lineRule="auto"/>
    </w:pPr>
  </w:style>
  <w:style w:type="paragraph" w:styleId="Footer">
    <w:uiPriority w:val="99"/>
    <w:name w:val="footer"/>
    <w:basedOn w:val="Normal"/>
    <w:unhideWhenUsed/>
    <w:rsid w:val="69FD98C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74461439e3914f3c" /><Relationship Type="http://schemas.openxmlformats.org/officeDocument/2006/relationships/footer" Target="/word/footer.xml" Id="Rde49041eac3c44ce" /><Relationship Type="http://schemas.microsoft.com/office/2016/09/relationships/commentsIds" Target="/word/commentsIds.xml" Id="R41b3c9887216422b" /><Relationship Type="http://schemas.microsoft.com/office/2011/relationships/commentsExtended" Target="/word/commentsExtended.xml" Id="R04e96419423344f2" /><Relationship Type="http://schemas.microsoft.com/office/2011/relationships/people" Target="/word/people.xml" Id="R80cc18782bf442f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Celyn Morgan (2501027)</dc:creator>
  <keywords/>
  <dc:description/>
  <lastModifiedBy>Celyn Morgan (2501027)</lastModifiedBy>
  <revision>5</revision>
  <dcterms:created xsi:type="dcterms:W3CDTF">2026-03-25T18:22:19.4075297Z</dcterms:created>
  <dcterms:modified xsi:type="dcterms:W3CDTF">2026-05-01T18:38:44.6488515Z</dcterms:modified>
</coreProperties>
</file>