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581D3C" w14:textId="40C91F70" w:rsidR="47CE9B6C" w:rsidRDefault="64BFC03D" w:rsidP="329A9ABD">
      <w:pPr>
        <w:spacing w:line="240" w:lineRule="auto"/>
        <w:rPr>
          <w:rFonts w:ascii="Arial" w:eastAsia="Arial" w:hAnsi="Arial" w:cs="Arial"/>
        </w:rPr>
      </w:pPr>
      <w:r>
        <w:rPr>
          <w:noProof/>
        </w:rPr>
        <w:drawing>
          <wp:inline distT="0" distB="0" distL="0" distR="0" wp14:anchorId="61D250AB" wp14:editId="4E3A0AB1">
            <wp:extent cx="5060119" cy="2011854"/>
            <wp:effectExtent l="0" t="0" r="0" b="0"/>
            <wp:docPr id="12059691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969103" name=""/>
                    <pic:cNvPicPr/>
                  </pic:nvPicPr>
                  <pic:blipFill>
                    <a:blip r:embed="rId8">
                      <a:extLst>
                        <a:ext uri="{28A0092B-C50C-407E-A947-70E740481C1C}">
                          <a14:useLocalDpi xmlns:a14="http://schemas.microsoft.com/office/drawing/2010/main" val="0"/>
                        </a:ext>
                      </a:extLst>
                    </a:blip>
                    <a:stretch>
                      <a:fillRect/>
                    </a:stretch>
                  </pic:blipFill>
                  <pic:spPr>
                    <a:xfrm>
                      <a:off x="0" y="0"/>
                      <a:ext cx="5060119" cy="2011854"/>
                    </a:xfrm>
                    <a:prstGeom prst="rect">
                      <a:avLst/>
                    </a:prstGeom>
                  </pic:spPr>
                </pic:pic>
              </a:graphicData>
            </a:graphic>
          </wp:inline>
        </w:drawing>
      </w:r>
      <w:r w:rsidR="47CE9B6C">
        <w:tab/>
      </w:r>
    </w:p>
    <w:p w14:paraId="5157C539" w14:textId="4A3E8F26" w:rsidR="329A9ABD" w:rsidRDefault="329A9ABD" w:rsidP="329A9ABD">
      <w:pPr>
        <w:spacing w:line="278" w:lineRule="auto"/>
        <w:rPr>
          <w:rFonts w:ascii="Arial" w:eastAsia="Arial" w:hAnsi="Arial" w:cs="Arial"/>
          <w:b/>
          <w:bCs/>
          <w:sz w:val="40"/>
          <w:szCs w:val="40"/>
        </w:rPr>
      </w:pPr>
    </w:p>
    <w:p w14:paraId="0CD5389B" w14:textId="124B77DD" w:rsidR="47CE9B6C" w:rsidRDefault="64BFC03D" w:rsidP="329A9ABD">
      <w:pPr>
        <w:spacing w:line="278" w:lineRule="auto"/>
        <w:rPr>
          <w:rFonts w:ascii="Arial" w:eastAsia="Arial" w:hAnsi="Arial" w:cs="Arial"/>
          <w:b/>
          <w:bCs/>
          <w:sz w:val="40"/>
          <w:szCs w:val="40"/>
        </w:rPr>
      </w:pPr>
      <w:r w:rsidRPr="1BAECB45">
        <w:rPr>
          <w:rFonts w:ascii="Arial" w:eastAsia="Arial" w:hAnsi="Arial" w:cs="Arial"/>
          <w:b/>
          <w:bCs/>
          <w:sz w:val="40"/>
          <w:szCs w:val="40"/>
        </w:rPr>
        <w:t>Master of Business Administration</w:t>
      </w:r>
    </w:p>
    <w:p w14:paraId="68132EA3" w14:textId="5B020D4A" w:rsidR="47CE9B6C" w:rsidRDefault="64BFC03D" w:rsidP="329A9ABD">
      <w:pPr>
        <w:spacing w:line="278" w:lineRule="auto"/>
        <w:rPr>
          <w:rFonts w:ascii="Arial" w:eastAsia="Arial" w:hAnsi="Arial" w:cs="Arial"/>
          <w:b/>
          <w:bCs/>
          <w:sz w:val="36"/>
          <w:szCs w:val="36"/>
        </w:rPr>
      </w:pPr>
      <w:r w:rsidRPr="1BAECB45">
        <w:rPr>
          <w:rFonts w:ascii="Arial" w:eastAsia="Arial" w:hAnsi="Arial" w:cs="Arial"/>
          <w:b/>
          <w:bCs/>
          <w:sz w:val="36"/>
          <w:szCs w:val="36"/>
        </w:rPr>
        <w:t xml:space="preserve"> </w:t>
      </w:r>
    </w:p>
    <w:p w14:paraId="6A5A7DF7" w14:textId="45606EE9" w:rsidR="47CE9B6C" w:rsidRDefault="64BFC03D" w:rsidP="329A9ABD">
      <w:pPr>
        <w:spacing w:line="278" w:lineRule="auto"/>
        <w:rPr>
          <w:rFonts w:ascii="Arial" w:eastAsia="Arial" w:hAnsi="Arial" w:cs="Arial"/>
          <w:b/>
          <w:bCs/>
          <w:sz w:val="32"/>
          <w:szCs w:val="32"/>
        </w:rPr>
      </w:pPr>
      <w:r w:rsidRPr="1BAECB45">
        <w:rPr>
          <w:rFonts w:ascii="Arial" w:eastAsia="Arial" w:hAnsi="Arial" w:cs="Arial"/>
          <w:b/>
          <w:bCs/>
          <w:sz w:val="32"/>
          <w:szCs w:val="32"/>
        </w:rPr>
        <w:t xml:space="preserve">Student </w:t>
      </w:r>
      <w:r w:rsidR="0065037A" w:rsidRPr="1BAECB45">
        <w:rPr>
          <w:rFonts w:ascii="Arial" w:eastAsia="Arial" w:hAnsi="Arial" w:cs="Arial"/>
          <w:b/>
          <w:bCs/>
          <w:sz w:val="32"/>
          <w:szCs w:val="32"/>
        </w:rPr>
        <w:t>Name: -</w:t>
      </w:r>
      <w:r w:rsidRPr="1BAECB45">
        <w:rPr>
          <w:rFonts w:ascii="Arial" w:eastAsia="Arial" w:hAnsi="Arial" w:cs="Arial"/>
          <w:b/>
          <w:bCs/>
          <w:sz w:val="32"/>
          <w:szCs w:val="32"/>
        </w:rPr>
        <w:t xml:space="preserve"> </w:t>
      </w:r>
      <w:r w:rsidRPr="1BAECB45">
        <w:rPr>
          <w:rFonts w:ascii="Arial" w:eastAsia="Arial" w:hAnsi="Arial" w:cs="Arial"/>
          <w:sz w:val="32"/>
          <w:szCs w:val="32"/>
        </w:rPr>
        <w:t>Meet Kumar Prajapati</w:t>
      </w:r>
      <w:r w:rsidRPr="1BAECB45">
        <w:rPr>
          <w:rFonts w:ascii="Arial" w:eastAsia="Arial" w:hAnsi="Arial" w:cs="Arial"/>
          <w:b/>
          <w:bCs/>
          <w:sz w:val="32"/>
          <w:szCs w:val="32"/>
        </w:rPr>
        <w:t xml:space="preserve"> </w:t>
      </w:r>
    </w:p>
    <w:p w14:paraId="093C39D8" w14:textId="6D8C7745" w:rsidR="47CE9B6C" w:rsidRDefault="64BFC03D" w:rsidP="329A9ABD">
      <w:pPr>
        <w:spacing w:line="278" w:lineRule="auto"/>
        <w:rPr>
          <w:rFonts w:ascii="Arial" w:eastAsia="Arial" w:hAnsi="Arial" w:cs="Arial"/>
          <w:sz w:val="32"/>
          <w:szCs w:val="32"/>
        </w:rPr>
      </w:pPr>
      <w:r w:rsidRPr="1BAECB45">
        <w:rPr>
          <w:rFonts w:ascii="Arial" w:eastAsia="Arial" w:hAnsi="Arial" w:cs="Arial"/>
          <w:b/>
          <w:bCs/>
          <w:sz w:val="32"/>
          <w:szCs w:val="32"/>
        </w:rPr>
        <w:t xml:space="preserve">Student Number: - </w:t>
      </w:r>
      <w:r w:rsidRPr="1BAECB45">
        <w:rPr>
          <w:rFonts w:ascii="Arial" w:eastAsia="Arial" w:hAnsi="Arial" w:cs="Arial"/>
          <w:sz w:val="32"/>
          <w:szCs w:val="32"/>
        </w:rPr>
        <w:t>2432308</w:t>
      </w:r>
    </w:p>
    <w:p w14:paraId="3FA50B9F" w14:textId="35E3E845" w:rsidR="47CE9B6C" w:rsidRDefault="64BFC03D" w:rsidP="329A9ABD">
      <w:pPr>
        <w:spacing w:line="278" w:lineRule="auto"/>
        <w:rPr>
          <w:rFonts w:ascii="Arial" w:eastAsia="Arial" w:hAnsi="Arial" w:cs="Arial"/>
          <w:color w:val="000000" w:themeColor="text1"/>
          <w:sz w:val="32"/>
          <w:szCs w:val="32"/>
        </w:rPr>
      </w:pPr>
      <w:r w:rsidRPr="1BAECB45">
        <w:rPr>
          <w:rFonts w:ascii="Arial" w:eastAsia="Arial" w:hAnsi="Arial" w:cs="Arial"/>
          <w:b/>
          <w:bCs/>
          <w:sz w:val="32"/>
          <w:szCs w:val="32"/>
        </w:rPr>
        <w:t xml:space="preserve">Module </w:t>
      </w:r>
      <w:r w:rsidR="0065037A" w:rsidRPr="1BAECB45">
        <w:rPr>
          <w:rFonts w:ascii="Arial" w:eastAsia="Arial" w:hAnsi="Arial" w:cs="Arial"/>
          <w:b/>
          <w:bCs/>
          <w:sz w:val="32"/>
          <w:szCs w:val="32"/>
        </w:rPr>
        <w:t>Name: -</w:t>
      </w:r>
      <w:r w:rsidRPr="1BAECB45">
        <w:rPr>
          <w:rFonts w:ascii="Arial" w:eastAsia="Arial" w:hAnsi="Arial" w:cs="Arial"/>
          <w:b/>
          <w:bCs/>
          <w:sz w:val="32"/>
          <w:szCs w:val="32"/>
        </w:rPr>
        <w:t xml:space="preserve"> </w:t>
      </w:r>
      <w:r w:rsidR="00EF1B7A" w:rsidRPr="00EF1B7A">
        <w:rPr>
          <w:rFonts w:ascii="Arial" w:hAnsi="Arial" w:cs="Arial"/>
          <w:sz w:val="32"/>
        </w:rPr>
        <w:t xml:space="preserve">Strategic Management </w:t>
      </w:r>
      <w:r w:rsidRPr="1BAECB45">
        <w:rPr>
          <w:rFonts w:ascii="Arial" w:eastAsia="Arial" w:hAnsi="Arial" w:cs="Arial"/>
          <w:sz w:val="32"/>
          <w:szCs w:val="32"/>
        </w:rPr>
        <w:t>(</w:t>
      </w:r>
      <w:r w:rsidRPr="1BAECB45">
        <w:rPr>
          <w:rFonts w:ascii="Arial" w:eastAsia="Arial" w:hAnsi="Arial" w:cs="Arial"/>
          <w:color w:val="000000" w:themeColor="text1"/>
        </w:rPr>
        <w:t>LCMB70</w:t>
      </w:r>
      <w:r w:rsidR="6B1FB975" w:rsidRPr="1BAECB45">
        <w:rPr>
          <w:rFonts w:ascii="Arial" w:eastAsia="Arial" w:hAnsi="Arial" w:cs="Arial"/>
          <w:color w:val="000000" w:themeColor="text1"/>
        </w:rPr>
        <w:t>0</w:t>
      </w:r>
      <w:r w:rsidR="00EF1B7A">
        <w:rPr>
          <w:rFonts w:ascii="Arial" w:eastAsia="Arial" w:hAnsi="Arial" w:cs="Arial"/>
          <w:color w:val="000000" w:themeColor="text1"/>
        </w:rPr>
        <w:t>3</w:t>
      </w:r>
      <w:r w:rsidRPr="1BAECB45">
        <w:rPr>
          <w:rFonts w:ascii="Arial" w:eastAsia="Arial" w:hAnsi="Arial" w:cs="Arial"/>
          <w:color w:val="000000" w:themeColor="text1"/>
        </w:rPr>
        <w:t>_LON</w:t>
      </w:r>
      <w:r w:rsidRPr="1BAECB45">
        <w:rPr>
          <w:rFonts w:ascii="Arial" w:eastAsia="Arial" w:hAnsi="Arial" w:cs="Arial"/>
          <w:color w:val="000000" w:themeColor="text1"/>
          <w:sz w:val="32"/>
          <w:szCs w:val="32"/>
        </w:rPr>
        <w:t>)</w:t>
      </w:r>
    </w:p>
    <w:p w14:paraId="3E12A03D" w14:textId="2B881D4D" w:rsidR="47CE9B6C" w:rsidRDefault="64BFC03D" w:rsidP="329A9ABD">
      <w:pPr>
        <w:spacing w:line="278" w:lineRule="auto"/>
        <w:rPr>
          <w:rFonts w:ascii="Arial" w:eastAsia="Arial" w:hAnsi="Arial" w:cs="Arial"/>
          <w:b/>
          <w:bCs/>
          <w:color w:val="000000" w:themeColor="text1"/>
          <w:sz w:val="32"/>
          <w:szCs w:val="32"/>
          <w:lang w:val="en-GB"/>
        </w:rPr>
      </w:pPr>
      <w:r w:rsidRPr="1BAECB45">
        <w:rPr>
          <w:rFonts w:ascii="Arial" w:eastAsia="Arial" w:hAnsi="Arial" w:cs="Arial"/>
          <w:b/>
          <w:bCs/>
          <w:color w:val="000000" w:themeColor="text1"/>
          <w:sz w:val="32"/>
          <w:szCs w:val="32"/>
          <w:lang w:val="en-GB"/>
        </w:rPr>
        <w:t xml:space="preserve">Lecturer </w:t>
      </w:r>
      <w:r w:rsidR="0065037A" w:rsidRPr="1BAECB45">
        <w:rPr>
          <w:rFonts w:ascii="Arial" w:eastAsia="Arial" w:hAnsi="Arial" w:cs="Arial"/>
          <w:b/>
          <w:bCs/>
          <w:color w:val="000000" w:themeColor="text1"/>
          <w:sz w:val="32"/>
          <w:szCs w:val="32"/>
          <w:lang w:val="en-GB"/>
        </w:rPr>
        <w:t>Name: -</w:t>
      </w:r>
      <w:r w:rsidRPr="1BAECB45">
        <w:rPr>
          <w:rFonts w:ascii="Arial" w:eastAsia="Arial" w:hAnsi="Arial" w:cs="Arial"/>
          <w:b/>
          <w:bCs/>
          <w:color w:val="000000" w:themeColor="text1"/>
          <w:sz w:val="32"/>
          <w:szCs w:val="32"/>
          <w:lang w:val="en-GB"/>
        </w:rPr>
        <w:t xml:space="preserve"> </w:t>
      </w:r>
      <w:proofErr w:type="spellStart"/>
      <w:r w:rsidR="0065037A" w:rsidRPr="1BAECB45">
        <w:rPr>
          <w:rFonts w:ascii="Arial" w:eastAsia="Arial" w:hAnsi="Arial" w:cs="Arial"/>
          <w:color w:val="000000" w:themeColor="text1"/>
          <w:sz w:val="32"/>
          <w:szCs w:val="32"/>
          <w:lang w:val="en-GB"/>
        </w:rPr>
        <w:t>Dr</w:t>
      </w:r>
      <w:r w:rsidR="0065037A">
        <w:rPr>
          <w:rFonts w:ascii="Arial" w:eastAsia="Arial" w:hAnsi="Arial" w:cs="Arial"/>
          <w:color w:val="000000" w:themeColor="text1"/>
          <w:sz w:val="32"/>
          <w:szCs w:val="32"/>
          <w:lang w:val="en-GB"/>
        </w:rPr>
        <w:t>.</w:t>
      </w:r>
      <w:proofErr w:type="spellEnd"/>
      <w:r w:rsidR="097F0326" w:rsidRPr="1BAECB45">
        <w:rPr>
          <w:rFonts w:ascii="Arial" w:eastAsia="Arial" w:hAnsi="Arial" w:cs="Arial"/>
          <w:color w:val="000000" w:themeColor="text1"/>
          <w:sz w:val="32"/>
          <w:szCs w:val="32"/>
          <w:lang w:val="en-GB"/>
        </w:rPr>
        <w:t xml:space="preserve"> </w:t>
      </w:r>
      <w:r w:rsidR="00EF1B7A">
        <w:rPr>
          <w:rFonts w:ascii="Arial" w:eastAsia="Arial" w:hAnsi="Arial" w:cs="Arial"/>
          <w:color w:val="000000" w:themeColor="text1"/>
          <w:sz w:val="32"/>
          <w:szCs w:val="32"/>
          <w:lang w:val="en-GB"/>
        </w:rPr>
        <w:t>Jaya</w:t>
      </w:r>
      <w:r w:rsidR="097F0326" w:rsidRPr="1BAECB45">
        <w:rPr>
          <w:rFonts w:ascii="Arial" w:eastAsia="Arial" w:hAnsi="Arial" w:cs="Arial"/>
          <w:color w:val="000000" w:themeColor="text1"/>
          <w:sz w:val="32"/>
          <w:szCs w:val="32"/>
          <w:lang w:val="en-GB"/>
        </w:rPr>
        <w:t xml:space="preserve"> </w:t>
      </w:r>
    </w:p>
    <w:p w14:paraId="58370A27" w14:textId="7B55D4A5" w:rsidR="47CE9B6C" w:rsidRDefault="64BFC03D" w:rsidP="329A9ABD">
      <w:pPr>
        <w:spacing w:line="278" w:lineRule="auto"/>
        <w:rPr>
          <w:rFonts w:ascii="Arial" w:eastAsia="Arial" w:hAnsi="Arial" w:cs="Arial"/>
          <w:color w:val="000000" w:themeColor="text1"/>
          <w:sz w:val="32"/>
          <w:szCs w:val="32"/>
          <w:lang w:val="en-GB"/>
        </w:rPr>
      </w:pPr>
      <w:r w:rsidRPr="1BAECB45">
        <w:rPr>
          <w:rFonts w:ascii="Arial" w:eastAsia="Arial" w:hAnsi="Arial" w:cs="Arial"/>
          <w:b/>
          <w:bCs/>
          <w:color w:val="000000" w:themeColor="text1"/>
          <w:sz w:val="32"/>
          <w:szCs w:val="32"/>
          <w:lang w:val="en-GB"/>
        </w:rPr>
        <w:t xml:space="preserve">Submission </w:t>
      </w:r>
      <w:r w:rsidR="0065037A" w:rsidRPr="1BAECB45">
        <w:rPr>
          <w:rFonts w:ascii="Arial" w:eastAsia="Arial" w:hAnsi="Arial" w:cs="Arial"/>
          <w:b/>
          <w:bCs/>
          <w:color w:val="000000" w:themeColor="text1"/>
          <w:sz w:val="32"/>
          <w:szCs w:val="32"/>
          <w:lang w:val="en-GB"/>
        </w:rPr>
        <w:t>Deadline: -</w:t>
      </w:r>
      <w:r w:rsidRPr="1BAECB45">
        <w:rPr>
          <w:rFonts w:ascii="Arial" w:eastAsia="Arial" w:hAnsi="Arial" w:cs="Arial"/>
          <w:color w:val="000000" w:themeColor="text1"/>
          <w:sz w:val="32"/>
          <w:szCs w:val="32"/>
          <w:lang w:val="en-GB"/>
        </w:rPr>
        <w:t xml:space="preserve"> </w:t>
      </w:r>
      <w:r w:rsidR="305F2C71" w:rsidRPr="1BAECB45">
        <w:rPr>
          <w:rFonts w:ascii="Arial" w:eastAsia="Arial" w:hAnsi="Arial" w:cs="Arial"/>
          <w:color w:val="000000" w:themeColor="text1"/>
          <w:sz w:val="32"/>
          <w:szCs w:val="32"/>
          <w:lang w:val="en-GB"/>
        </w:rPr>
        <w:t>2</w:t>
      </w:r>
      <w:r w:rsidR="00EF1B7A">
        <w:rPr>
          <w:rFonts w:ascii="Arial" w:eastAsia="Arial" w:hAnsi="Arial" w:cs="Arial"/>
          <w:color w:val="000000" w:themeColor="text1"/>
          <w:sz w:val="32"/>
          <w:szCs w:val="32"/>
          <w:lang w:val="en-GB"/>
        </w:rPr>
        <w:t>2</w:t>
      </w:r>
      <w:r w:rsidRPr="1BAECB45">
        <w:rPr>
          <w:rFonts w:ascii="Arial" w:eastAsia="Arial" w:hAnsi="Arial" w:cs="Arial"/>
          <w:color w:val="000000" w:themeColor="text1"/>
          <w:sz w:val="32"/>
          <w:szCs w:val="32"/>
          <w:lang w:val="en-GB"/>
        </w:rPr>
        <w:t>/</w:t>
      </w:r>
      <w:r w:rsidR="00EF1B7A">
        <w:rPr>
          <w:rFonts w:ascii="Arial" w:eastAsia="Arial" w:hAnsi="Arial" w:cs="Arial"/>
          <w:color w:val="000000" w:themeColor="text1"/>
          <w:sz w:val="32"/>
          <w:szCs w:val="32"/>
          <w:lang w:val="en-GB"/>
        </w:rPr>
        <w:t>12</w:t>
      </w:r>
      <w:r w:rsidRPr="1BAECB45">
        <w:rPr>
          <w:rFonts w:ascii="Arial" w:eastAsia="Arial" w:hAnsi="Arial" w:cs="Arial"/>
          <w:color w:val="000000" w:themeColor="text1"/>
          <w:sz w:val="32"/>
          <w:szCs w:val="32"/>
          <w:lang w:val="en-GB"/>
        </w:rPr>
        <w:t>/2025</w:t>
      </w:r>
    </w:p>
    <w:p w14:paraId="6533DE1A" w14:textId="0BA7FC36" w:rsidR="47CE9B6C" w:rsidRDefault="64BFC03D" w:rsidP="329A9ABD">
      <w:pPr>
        <w:spacing w:line="278" w:lineRule="auto"/>
        <w:rPr>
          <w:rFonts w:ascii="Arial" w:eastAsia="Arial" w:hAnsi="Arial" w:cs="Arial"/>
          <w:b/>
          <w:bCs/>
          <w:color w:val="000000" w:themeColor="text1"/>
          <w:sz w:val="32"/>
          <w:szCs w:val="32"/>
          <w:lang w:val="en-GB"/>
        </w:rPr>
      </w:pPr>
      <w:r w:rsidRPr="1BAECB45">
        <w:rPr>
          <w:rFonts w:ascii="Arial" w:eastAsia="Arial" w:hAnsi="Arial" w:cs="Arial"/>
          <w:b/>
          <w:bCs/>
          <w:color w:val="000000" w:themeColor="text1"/>
          <w:sz w:val="32"/>
          <w:szCs w:val="32"/>
          <w:lang w:val="en-GB"/>
        </w:rPr>
        <w:t xml:space="preserve">Word </w:t>
      </w:r>
      <w:r w:rsidR="0065037A" w:rsidRPr="1BAECB45">
        <w:rPr>
          <w:rFonts w:ascii="Arial" w:eastAsia="Arial" w:hAnsi="Arial" w:cs="Arial"/>
          <w:b/>
          <w:bCs/>
          <w:color w:val="000000" w:themeColor="text1"/>
          <w:sz w:val="32"/>
          <w:szCs w:val="32"/>
          <w:lang w:val="en-GB"/>
        </w:rPr>
        <w:t>Count: -</w:t>
      </w:r>
      <w:r w:rsidRPr="1BAECB45">
        <w:rPr>
          <w:rFonts w:ascii="Arial" w:eastAsia="Arial" w:hAnsi="Arial" w:cs="Arial"/>
          <w:b/>
          <w:bCs/>
          <w:color w:val="000000" w:themeColor="text1"/>
          <w:sz w:val="32"/>
          <w:szCs w:val="32"/>
          <w:lang w:val="en-GB"/>
        </w:rPr>
        <w:t xml:space="preserve"> </w:t>
      </w:r>
      <w:r w:rsidR="00EF1B7A">
        <w:rPr>
          <w:rFonts w:ascii="Arial" w:eastAsia="Arial" w:hAnsi="Arial" w:cs="Arial"/>
          <w:b/>
          <w:bCs/>
          <w:color w:val="000000" w:themeColor="text1"/>
          <w:sz w:val="32"/>
          <w:szCs w:val="32"/>
          <w:lang w:val="en-GB"/>
        </w:rPr>
        <w:t>5000</w:t>
      </w:r>
    </w:p>
    <w:p w14:paraId="5BB00431" w14:textId="71D70FAE" w:rsidR="329A9ABD" w:rsidRDefault="329A9ABD" w:rsidP="329A9ABD">
      <w:pPr>
        <w:spacing w:line="278" w:lineRule="auto"/>
        <w:rPr>
          <w:rFonts w:ascii="Arial" w:eastAsia="Arial" w:hAnsi="Arial" w:cs="Arial"/>
          <w:b/>
          <w:bCs/>
          <w:color w:val="000000" w:themeColor="text1"/>
          <w:sz w:val="32"/>
          <w:szCs w:val="32"/>
          <w:lang w:val="en-GB"/>
        </w:rPr>
      </w:pPr>
    </w:p>
    <w:p w14:paraId="5BC3B4EA" w14:textId="686F7653" w:rsidR="329A9ABD" w:rsidRDefault="329A9ABD" w:rsidP="329A9ABD">
      <w:pPr>
        <w:spacing w:line="278" w:lineRule="auto"/>
        <w:rPr>
          <w:rFonts w:ascii="Arial" w:eastAsia="Arial" w:hAnsi="Arial" w:cs="Arial"/>
          <w:b/>
          <w:bCs/>
          <w:color w:val="000000" w:themeColor="text1"/>
          <w:sz w:val="32"/>
          <w:szCs w:val="32"/>
          <w:lang w:val="en-GB"/>
        </w:rPr>
      </w:pPr>
    </w:p>
    <w:p w14:paraId="2CDD331B" w14:textId="2223AE8A" w:rsidR="329A9ABD" w:rsidRDefault="329A9ABD" w:rsidP="329A9ABD">
      <w:pPr>
        <w:spacing w:line="278" w:lineRule="auto"/>
        <w:rPr>
          <w:rFonts w:ascii="Arial" w:eastAsia="Arial" w:hAnsi="Arial" w:cs="Arial"/>
          <w:b/>
          <w:bCs/>
          <w:color w:val="000000" w:themeColor="text1"/>
          <w:sz w:val="32"/>
          <w:szCs w:val="32"/>
          <w:lang w:val="en-GB"/>
        </w:rPr>
      </w:pPr>
    </w:p>
    <w:p w14:paraId="1C33B6D1" w14:textId="618F1EF9" w:rsidR="329A9ABD" w:rsidRDefault="329A9ABD" w:rsidP="329A9ABD">
      <w:pPr>
        <w:spacing w:line="278" w:lineRule="auto"/>
        <w:rPr>
          <w:rFonts w:ascii="Arial" w:eastAsia="Arial" w:hAnsi="Arial" w:cs="Arial"/>
          <w:b/>
          <w:bCs/>
          <w:color w:val="000000" w:themeColor="text1"/>
          <w:sz w:val="32"/>
          <w:szCs w:val="32"/>
          <w:lang w:val="en-GB"/>
        </w:rPr>
      </w:pPr>
    </w:p>
    <w:p w14:paraId="6FF35756" w14:textId="6D410188" w:rsidR="329A9ABD" w:rsidRDefault="329A9ABD" w:rsidP="329A9ABD">
      <w:pPr>
        <w:spacing w:line="278" w:lineRule="auto"/>
        <w:rPr>
          <w:rFonts w:ascii="Arial" w:eastAsia="Arial" w:hAnsi="Arial" w:cs="Arial"/>
          <w:b/>
          <w:bCs/>
          <w:color w:val="000000" w:themeColor="text1"/>
          <w:sz w:val="32"/>
          <w:szCs w:val="32"/>
          <w:lang w:val="en-GB"/>
        </w:rPr>
      </w:pPr>
    </w:p>
    <w:p w14:paraId="2330E109" w14:textId="322B338B" w:rsidR="329A9ABD" w:rsidRDefault="329A9ABD" w:rsidP="329A9ABD">
      <w:pPr>
        <w:spacing w:line="278" w:lineRule="auto"/>
        <w:rPr>
          <w:rFonts w:ascii="Arial" w:eastAsia="Arial" w:hAnsi="Arial" w:cs="Arial"/>
          <w:b/>
          <w:bCs/>
          <w:color w:val="000000" w:themeColor="text1"/>
          <w:sz w:val="32"/>
          <w:szCs w:val="32"/>
          <w:lang w:val="en-GB"/>
        </w:rPr>
      </w:pPr>
    </w:p>
    <w:p w14:paraId="0FBD844C" w14:textId="01CC6D8D" w:rsidR="329A9ABD" w:rsidRDefault="329A9ABD" w:rsidP="329A9ABD">
      <w:pPr>
        <w:spacing w:line="278" w:lineRule="auto"/>
        <w:rPr>
          <w:rFonts w:ascii="Arial" w:eastAsia="Arial" w:hAnsi="Arial" w:cs="Arial"/>
          <w:b/>
          <w:bCs/>
          <w:color w:val="000000" w:themeColor="text1"/>
          <w:sz w:val="32"/>
          <w:szCs w:val="32"/>
          <w:lang w:val="en-GB"/>
        </w:rPr>
      </w:pPr>
    </w:p>
    <w:sdt>
      <w:sdtPr>
        <w:id w:val="820160670"/>
        <w:docPartObj>
          <w:docPartGallery w:val="Table of Contents"/>
          <w:docPartUnique/>
        </w:docPartObj>
      </w:sdtPr>
      <w:sdtEndPr/>
      <w:sdtContent>
        <w:p w14:paraId="34242772" w14:textId="1116F141" w:rsidR="00EA5D55" w:rsidRDefault="24B2082A">
          <w:pPr>
            <w:pStyle w:val="TOC1"/>
            <w:tabs>
              <w:tab w:val="right" w:leader="dot" w:pos="10790"/>
            </w:tabs>
            <w:rPr>
              <w:noProof/>
              <w:sz w:val="22"/>
              <w:szCs w:val="22"/>
              <w:lang w:val="en-IN" w:eastAsia="en-IN"/>
            </w:rPr>
          </w:pPr>
          <w:r>
            <w:fldChar w:fldCharType="begin"/>
          </w:r>
          <w:r w:rsidR="329A9ABD">
            <w:instrText>TOC \o "1-9" \z \u \h</w:instrText>
          </w:r>
          <w:r>
            <w:fldChar w:fldCharType="separate"/>
          </w:r>
          <w:hyperlink w:anchor="_Toc215617305" w:history="1">
            <w:r w:rsidR="00EA5D55" w:rsidRPr="00360945">
              <w:rPr>
                <w:rStyle w:val="Hyperlink"/>
                <w:rFonts w:ascii="Arial" w:eastAsia="Aptos" w:hAnsi="Arial" w:cs="Arial"/>
                <w:noProof/>
              </w:rPr>
              <w:t>Company overview &amp; History</w:t>
            </w:r>
            <w:r w:rsidR="00EA5D55">
              <w:rPr>
                <w:noProof/>
                <w:webHidden/>
              </w:rPr>
              <w:tab/>
            </w:r>
            <w:r w:rsidR="00EA5D55">
              <w:rPr>
                <w:noProof/>
                <w:webHidden/>
              </w:rPr>
              <w:fldChar w:fldCharType="begin"/>
            </w:r>
            <w:r w:rsidR="00EA5D55">
              <w:rPr>
                <w:noProof/>
                <w:webHidden/>
              </w:rPr>
              <w:instrText xml:space="preserve"> PAGEREF _Toc215617305 \h </w:instrText>
            </w:r>
            <w:r w:rsidR="00EA5D55">
              <w:rPr>
                <w:noProof/>
                <w:webHidden/>
              </w:rPr>
            </w:r>
            <w:r w:rsidR="00EA5D55">
              <w:rPr>
                <w:noProof/>
                <w:webHidden/>
              </w:rPr>
              <w:fldChar w:fldCharType="separate"/>
            </w:r>
            <w:r w:rsidR="00EA5D55">
              <w:rPr>
                <w:noProof/>
                <w:webHidden/>
              </w:rPr>
              <w:t>3</w:t>
            </w:r>
            <w:r w:rsidR="00EA5D55">
              <w:rPr>
                <w:noProof/>
                <w:webHidden/>
              </w:rPr>
              <w:fldChar w:fldCharType="end"/>
            </w:r>
          </w:hyperlink>
        </w:p>
        <w:p w14:paraId="6A0A07E5" w14:textId="7C737BE0" w:rsidR="00EA5D55" w:rsidRDefault="00864262">
          <w:pPr>
            <w:pStyle w:val="TOC1"/>
            <w:tabs>
              <w:tab w:val="right" w:leader="dot" w:pos="10790"/>
            </w:tabs>
            <w:rPr>
              <w:noProof/>
              <w:sz w:val="22"/>
              <w:szCs w:val="22"/>
              <w:lang w:val="en-IN" w:eastAsia="en-IN"/>
            </w:rPr>
          </w:pPr>
          <w:hyperlink w:anchor="_Toc215617306" w:history="1">
            <w:r w:rsidR="00EA5D55" w:rsidRPr="00360945">
              <w:rPr>
                <w:rStyle w:val="Hyperlink"/>
                <w:rFonts w:ascii="Arial" w:hAnsi="Arial" w:cs="Arial"/>
                <w:noProof/>
              </w:rPr>
              <w:t>Introduction</w:t>
            </w:r>
            <w:r w:rsidR="00EA5D55">
              <w:rPr>
                <w:noProof/>
                <w:webHidden/>
              </w:rPr>
              <w:tab/>
            </w:r>
            <w:r w:rsidR="00EA5D55">
              <w:rPr>
                <w:noProof/>
                <w:webHidden/>
              </w:rPr>
              <w:fldChar w:fldCharType="begin"/>
            </w:r>
            <w:r w:rsidR="00EA5D55">
              <w:rPr>
                <w:noProof/>
                <w:webHidden/>
              </w:rPr>
              <w:instrText xml:space="preserve"> PAGEREF _Toc215617306 \h </w:instrText>
            </w:r>
            <w:r w:rsidR="00EA5D55">
              <w:rPr>
                <w:noProof/>
                <w:webHidden/>
              </w:rPr>
            </w:r>
            <w:r w:rsidR="00EA5D55">
              <w:rPr>
                <w:noProof/>
                <w:webHidden/>
              </w:rPr>
              <w:fldChar w:fldCharType="separate"/>
            </w:r>
            <w:r w:rsidR="00EA5D55">
              <w:rPr>
                <w:noProof/>
                <w:webHidden/>
              </w:rPr>
              <w:t>4</w:t>
            </w:r>
            <w:r w:rsidR="00EA5D55">
              <w:rPr>
                <w:noProof/>
                <w:webHidden/>
              </w:rPr>
              <w:fldChar w:fldCharType="end"/>
            </w:r>
          </w:hyperlink>
        </w:p>
        <w:p w14:paraId="1DDDC0F9" w14:textId="64D7F81F" w:rsidR="00EA5D55" w:rsidRDefault="00864262">
          <w:pPr>
            <w:pStyle w:val="TOC1"/>
            <w:tabs>
              <w:tab w:val="right" w:leader="dot" w:pos="10790"/>
            </w:tabs>
            <w:rPr>
              <w:noProof/>
              <w:sz w:val="22"/>
              <w:szCs w:val="22"/>
              <w:lang w:val="en-IN" w:eastAsia="en-IN"/>
            </w:rPr>
          </w:pPr>
          <w:hyperlink w:anchor="_Toc215617307" w:history="1">
            <w:r w:rsidR="00EA5D55" w:rsidRPr="00360945">
              <w:rPr>
                <w:rStyle w:val="Hyperlink"/>
                <w:rFonts w:ascii="Arial" w:hAnsi="Arial" w:cs="Arial"/>
                <w:noProof/>
              </w:rPr>
              <w:t>1.Greggs International Expansion Strategy: Entry into the Indian Market</w:t>
            </w:r>
            <w:r w:rsidR="00EA5D55">
              <w:rPr>
                <w:noProof/>
                <w:webHidden/>
              </w:rPr>
              <w:tab/>
            </w:r>
            <w:r w:rsidR="00EA5D55">
              <w:rPr>
                <w:noProof/>
                <w:webHidden/>
              </w:rPr>
              <w:fldChar w:fldCharType="begin"/>
            </w:r>
            <w:r w:rsidR="00EA5D55">
              <w:rPr>
                <w:noProof/>
                <w:webHidden/>
              </w:rPr>
              <w:instrText xml:space="preserve"> PAGEREF _Toc215617307 \h </w:instrText>
            </w:r>
            <w:r w:rsidR="00EA5D55">
              <w:rPr>
                <w:noProof/>
                <w:webHidden/>
              </w:rPr>
            </w:r>
            <w:r w:rsidR="00EA5D55">
              <w:rPr>
                <w:noProof/>
                <w:webHidden/>
              </w:rPr>
              <w:fldChar w:fldCharType="separate"/>
            </w:r>
            <w:r w:rsidR="00EA5D55">
              <w:rPr>
                <w:noProof/>
                <w:webHidden/>
              </w:rPr>
              <w:t>5</w:t>
            </w:r>
            <w:r w:rsidR="00EA5D55">
              <w:rPr>
                <w:noProof/>
                <w:webHidden/>
              </w:rPr>
              <w:fldChar w:fldCharType="end"/>
            </w:r>
          </w:hyperlink>
        </w:p>
        <w:p w14:paraId="5F40CFB2" w14:textId="6A937458" w:rsidR="00EA5D55" w:rsidRDefault="00864262">
          <w:pPr>
            <w:pStyle w:val="TOC2"/>
            <w:tabs>
              <w:tab w:val="right" w:leader="dot" w:pos="10790"/>
            </w:tabs>
            <w:rPr>
              <w:noProof/>
              <w:sz w:val="22"/>
              <w:szCs w:val="22"/>
              <w:lang w:val="en-IN" w:eastAsia="en-IN"/>
            </w:rPr>
          </w:pPr>
          <w:hyperlink w:anchor="_Toc215617308" w:history="1">
            <w:r w:rsidR="00EA5D55" w:rsidRPr="00360945">
              <w:rPr>
                <w:rStyle w:val="Hyperlink"/>
                <w:rFonts w:ascii="Arial" w:hAnsi="Arial" w:cs="Arial"/>
                <w:noProof/>
              </w:rPr>
              <w:t>1.1 The Chosen Organization</w:t>
            </w:r>
            <w:r w:rsidR="00EA5D55">
              <w:rPr>
                <w:noProof/>
                <w:webHidden/>
              </w:rPr>
              <w:tab/>
            </w:r>
            <w:r w:rsidR="00EA5D55">
              <w:rPr>
                <w:noProof/>
                <w:webHidden/>
              </w:rPr>
              <w:fldChar w:fldCharType="begin"/>
            </w:r>
            <w:r w:rsidR="00EA5D55">
              <w:rPr>
                <w:noProof/>
                <w:webHidden/>
              </w:rPr>
              <w:instrText xml:space="preserve"> PAGEREF _Toc215617308 \h </w:instrText>
            </w:r>
            <w:r w:rsidR="00EA5D55">
              <w:rPr>
                <w:noProof/>
                <w:webHidden/>
              </w:rPr>
            </w:r>
            <w:r w:rsidR="00EA5D55">
              <w:rPr>
                <w:noProof/>
                <w:webHidden/>
              </w:rPr>
              <w:fldChar w:fldCharType="separate"/>
            </w:r>
            <w:r w:rsidR="00EA5D55">
              <w:rPr>
                <w:noProof/>
                <w:webHidden/>
              </w:rPr>
              <w:t>5</w:t>
            </w:r>
            <w:r w:rsidR="00EA5D55">
              <w:rPr>
                <w:noProof/>
                <w:webHidden/>
              </w:rPr>
              <w:fldChar w:fldCharType="end"/>
            </w:r>
          </w:hyperlink>
        </w:p>
        <w:p w14:paraId="546CC531" w14:textId="46180FDF" w:rsidR="00EA5D55" w:rsidRDefault="00864262">
          <w:pPr>
            <w:pStyle w:val="TOC2"/>
            <w:tabs>
              <w:tab w:val="right" w:leader="dot" w:pos="10790"/>
            </w:tabs>
            <w:rPr>
              <w:noProof/>
              <w:sz w:val="22"/>
              <w:szCs w:val="22"/>
              <w:lang w:val="en-IN" w:eastAsia="en-IN"/>
            </w:rPr>
          </w:pPr>
          <w:hyperlink w:anchor="_Toc215617309" w:history="1">
            <w:r w:rsidR="00EA5D55" w:rsidRPr="00360945">
              <w:rPr>
                <w:rStyle w:val="Hyperlink"/>
                <w:rFonts w:ascii="Arial" w:hAnsi="Arial" w:cs="Arial"/>
                <w:noProof/>
              </w:rPr>
              <w:t>1.2 Target Market: India</w:t>
            </w:r>
            <w:r w:rsidR="00EA5D55">
              <w:rPr>
                <w:noProof/>
                <w:webHidden/>
              </w:rPr>
              <w:tab/>
            </w:r>
            <w:r w:rsidR="00EA5D55">
              <w:rPr>
                <w:noProof/>
                <w:webHidden/>
              </w:rPr>
              <w:fldChar w:fldCharType="begin"/>
            </w:r>
            <w:r w:rsidR="00EA5D55">
              <w:rPr>
                <w:noProof/>
                <w:webHidden/>
              </w:rPr>
              <w:instrText xml:space="preserve"> PAGEREF _Toc215617309 \h </w:instrText>
            </w:r>
            <w:r w:rsidR="00EA5D55">
              <w:rPr>
                <w:noProof/>
                <w:webHidden/>
              </w:rPr>
            </w:r>
            <w:r w:rsidR="00EA5D55">
              <w:rPr>
                <w:noProof/>
                <w:webHidden/>
              </w:rPr>
              <w:fldChar w:fldCharType="separate"/>
            </w:r>
            <w:r w:rsidR="00EA5D55">
              <w:rPr>
                <w:noProof/>
                <w:webHidden/>
              </w:rPr>
              <w:t>5</w:t>
            </w:r>
            <w:r w:rsidR="00EA5D55">
              <w:rPr>
                <w:noProof/>
                <w:webHidden/>
              </w:rPr>
              <w:fldChar w:fldCharType="end"/>
            </w:r>
          </w:hyperlink>
        </w:p>
        <w:p w14:paraId="6BD5C75C" w14:textId="11F4C82E" w:rsidR="00EA5D55" w:rsidRDefault="00864262">
          <w:pPr>
            <w:pStyle w:val="TOC2"/>
            <w:tabs>
              <w:tab w:val="right" w:leader="dot" w:pos="10790"/>
            </w:tabs>
            <w:rPr>
              <w:noProof/>
              <w:sz w:val="22"/>
              <w:szCs w:val="22"/>
              <w:lang w:val="en-IN" w:eastAsia="en-IN"/>
            </w:rPr>
          </w:pPr>
          <w:hyperlink w:anchor="_Toc215617310" w:history="1">
            <w:r w:rsidR="00EA5D55" w:rsidRPr="00360945">
              <w:rPr>
                <w:rStyle w:val="Hyperlink"/>
                <w:rFonts w:ascii="Arial" w:hAnsi="Arial" w:cs="Arial"/>
                <w:noProof/>
              </w:rPr>
              <w:t>1.3 Rationale for Strategic Selection</w:t>
            </w:r>
            <w:r w:rsidR="00EA5D55">
              <w:rPr>
                <w:noProof/>
                <w:webHidden/>
              </w:rPr>
              <w:tab/>
            </w:r>
            <w:r w:rsidR="00EA5D55">
              <w:rPr>
                <w:noProof/>
                <w:webHidden/>
              </w:rPr>
              <w:fldChar w:fldCharType="begin"/>
            </w:r>
            <w:r w:rsidR="00EA5D55">
              <w:rPr>
                <w:noProof/>
                <w:webHidden/>
              </w:rPr>
              <w:instrText xml:space="preserve"> PAGEREF _Toc215617310 \h </w:instrText>
            </w:r>
            <w:r w:rsidR="00EA5D55">
              <w:rPr>
                <w:noProof/>
                <w:webHidden/>
              </w:rPr>
            </w:r>
            <w:r w:rsidR="00EA5D55">
              <w:rPr>
                <w:noProof/>
                <w:webHidden/>
              </w:rPr>
              <w:fldChar w:fldCharType="separate"/>
            </w:r>
            <w:r w:rsidR="00EA5D55">
              <w:rPr>
                <w:noProof/>
                <w:webHidden/>
              </w:rPr>
              <w:t>5</w:t>
            </w:r>
            <w:r w:rsidR="00EA5D55">
              <w:rPr>
                <w:noProof/>
                <w:webHidden/>
              </w:rPr>
              <w:fldChar w:fldCharType="end"/>
            </w:r>
          </w:hyperlink>
        </w:p>
        <w:p w14:paraId="034DF71B" w14:textId="19C76832" w:rsidR="00EA5D55" w:rsidRDefault="00864262">
          <w:pPr>
            <w:pStyle w:val="TOC1"/>
            <w:tabs>
              <w:tab w:val="right" w:leader="dot" w:pos="10790"/>
            </w:tabs>
            <w:rPr>
              <w:noProof/>
              <w:sz w:val="22"/>
              <w:szCs w:val="22"/>
              <w:lang w:val="en-IN" w:eastAsia="en-IN"/>
            </w:rPr>
          </w:pPr>
          <w:hyperlink w:anchor="_Toc215617311" w:history="1">
            <w:r w:rsidR="00EA5D55" w:rsidRPr="00360945">
              <w:rPr>
                <w:rStyle w:val="Hyperlink"/>
                <w:rFonts w:ascii="Arial" w:hAnsi="Arial" w:cs="Arial"/>
                <w:noProof/>
              </w:rPr>
              <w:t>2. Comprehensive Strategic Analysis</w:t>
            </w:r>
            <w:r w:rsidR="00EA5D55">
              <w:rPr>
                <w:noProof/>
                <w:webHidden/>
              </w:rPr>
              <w:tab/>
            </w:r>
            <w:r w:rsidR="00EA5D55">
              <w:rPr>
                <w:noProof/>
                <w:webHidden/>
              </w:rPr>
              <w:fldChar w:fldCharType="begin"/>
            </w:r>
            <w:r w:rsidR="00EA5D55">
              <w:rPr>
                <w:noProof/>
                <w:webHidden/>
              </w:rPr>
              <w:instrText xml:space="preserve"> PAGEREF _Toc215617311 \h </w:instrText>
            </w:r>
            <w:r w:rsidR="00EA5D55">
              <w:rPr>
                <w:noProof/>
                <w:webHidden/>
              </w:rPr>
            </w:r>
            <w:r w:rsidR="00EA5D55">
              <w:rPr>
                <w:noProof/>
                <w:webHidden/>
              </w:rPr>
              <w:fldChar w:fldCharType="separate"/>
            </w:r>
            <w:r w:rsidR="00EA5D55">
              <w:rPr>
                <w:noProof/>
                <w:webHidden/>
              </w:rPr>
              <w:t>7</w:t>
            </w:r>
            <w:r w:rsidR="00EA5D55">
              <w:rPr>
                <w:noProof/>
                <w:webHidden/>
              </w:rPr>
              <w:fldChar w:fldCharType="end"/>
            </w:r>
          </w:hyperlink>
        </w:p>
        <w:p w14:paraId="610D82D3" w14:textId="5FEE21DE" w:rsidR="00EA5D55" w:rsidRDefault="00864262">
          <w:pPr>
            <w:pStyle w:val="TOC2"/>
            <w:tabs>
              <w:tab w:val="right" w:leader="dot" w:pos="10790"/>
            </w:tabs>
            <w:rPr>
              <w:noProof/>
              <w:sz w:val="22"/>
              <w:szCs w:val="22"/>
              <w:lang w:val="en-IN" w:eastAsia="en-IN"/>
            </w:rPr>
          </w:pPr>
          <w:hyperlink w:anchor="_Toc215617312" w:history="1">
            <w:r w:rsidR="00EA5D55" w:rsidRPr="00360945">
              <w:rPr>
                <w:rStyle w:val="Hyperlink"/>
                <w:rFonts w:ascii="Arial" w:hAnsi="Arial" w:cs="Arial"/>
                <w:noProof/>
              </w:rPr>
              <w:t>2.1 Macro-Environmental Analysis: PESTEL Framework</w:t>
            </w:r>
            <w:r w:rsidR="00EA5D55">
              <w:rPr>
                <w:noProof/>
                <w:webHidden/>
              </w:rPr>
              <w:tab/>
            </w:r>
            <w:r w:rsidR="00EA5D55">
              <w:rPr>
                <w:noProof/>
                <w:webHidden/>
              </w:rPr>
              <w:fldChar w:fldCharType="begin"/>
            </w:r>
            <w:r w:rsidR="00EA5D55">
              <w:rPr>
                <w:noProof/>
                <w:webHidden/>
              </w:rPr>
              <w:instrText xml:space="preserve"> PAGEREF _Toc215617312 \h </w:instrText>
            </w:r>
            <w:r w:rsidR="00EA5D55">
              <w:rPr>
                <w:noProof/>
                <w:webHidden/>
              </w:rPr>
            </w:r>
            <w:r w:rsidR="00EA5D55">
              <w:rPr>
                <w:noProof/>
                <w:webHidden/>
              </w:rPr>
              <w:fldChar w:fldCharType="separate"/>
            </w:r>
            <w:r w:rsidR="00EA5D55">
              <w:rPr>
                <w:noProof/>
                <w:webHidden/>
              </w:rPr>
              <w:t>7</w:t>
            </w:r>
            <w:r w:rsidR="00EA5D55">
              <w:rPr>
                <w:noProof/>
                <w:webHidden/>
              </w:rPr>
              <w:fldChar w:fldCharType="end"/>
            </w:r>
          </w:hyperlink>
        </w:p>
        <w:p w14:paraId="5E60C573" w14:textId="775923EA" w:rsidR="00EA5D55" w:rsidRDefault="00864262">
          <w:pPr>
            <w:pStyle w:val="TOC2"/>
            <w:tabs>
              <w:tab w:val="right" w:leader="dot" w:pos="10790"/>
            </w:tabs>
            <w:rPr>
              <w:noProof/>
              <w:sz w:val="22"/>
              <w:szCs w:val="22"/>
              <w:lang w:val="en-IN" w:eastAsia="en-IN"/>
            </w:rPr>
          </w:pPr>
          <w:hyperlink w:anchor="_Toc215617313" w:history="1">
            <w:r w:rsidR="00EA5D55" w:rsidRPr="00360945">
              <w:rPr>
                <w:rStyle w:val="Hyperlink"/>
                <w:rFonts w:ascii="Arial" w:hAnsi="Arial" w:cs="Arial"/>
                <w:noProof/>
              </w:rPr>
              <w:t>2.2 Industry Analysis: Porter's Five Forces Model</w:t>
            </w:r>
            <w:r w:rsidR="00EA5D55">
              <w:rPr>
                <w:noProof/>
                <w:webHidden/>
              </w:rPr>
              <w:tab/>
            </w:r>
            <w:r w:rsidR="00EA5D55">
              <w:rPr>
                <w:noProof/>
                <w:webHidden/>
              </w:rPr>
              <w:fldChar w:fldCharType="begin"/>
            </w:r>
            <w:r w:rsidR="00EA5D55">
              <w:rPr>
                <w:noProof/>
                <w:webHidden/>
              </w:rPr>
              <w:instrText xml:space="preserve"> PAGEREF _Toc215617313 \h </w:instrText>
            </w:r>
            <w:r w:rsidR="00EA5D55">
              <w:rPr>
                <w:noProof/>
                <w:webHidden/>
              </w:rPr>
            </w:r>
            <w:r w:rsidR="00EA5D55">
              <w:rPr>
                <w:noProof/>
                <w:webHidden/>
              </w:rPr>
              <w:fldChar w:fldCharType="separate"/>
            </w:r>
            <w:r w:rsidR="00EA5D55">
              <w:rPr>
                <w:noProof/>
                <w:webHidden/>
              </w:rPr>
              <w:t>9</w:t>
            </w:r>
            <w:r w:rsidR="00EA5D55">
              <w:rPr>
                <w:noProof/>
                <w:webHidden/>
              </w:rPr>
              <w:fldChar w:fldCharType="end"/>
            </w:r>
          </w:hyperlink>
        </w:p>
        <w:p w14:paraId="4183B3BB" w14:textId="7CBAD478" w:rsidR="00EA5D55" w:rsidRDefault="00864262">
          <w:pPr>
            <w:pStyle w:val="TOC2"/>
            <w:tabs>
              <w:tab w:val="right" w:leader="dot" w:pos="10790"/>
            </w:tabs>
            <w:rPr>
              <w:noProof/>
              <w:sz w:val="22"/>
              <w:szCs w:val="22"/>
              <w:lang w:val="en-IN" w:eastAsia="en-IN"/>
            </w:rPr>
          </w:pPr>
          <w:hyperlink w:anchor="_Toc215617314" w:history="1">
            <w:r w:rsidR="00EA5D55" w:rsidRPr="00360945">
              <w:rPr>
                <w:rStyle w:val="Hyperlink"/>
                <w:rFonts w:ascii="Arial" w:hAnsi="Arial" w:cs="Arial"/>
                <w:noProof/>
              </w:rPr>
              <w:t>2.3 Internal-External Analysis: SWOT Framework</w:t>
            </w:r>
            <w:r w:rsidR="00EA5D55">
              <w:rPr>
                <w:noProof/>
                <w:webHidden/>
              </w:rPr>
              <w:tab/>
            </w:r>
            <w:r w:rsidR="00EA5D55">
              <w:rPr>
                <w:noProof/>
                <w:webHidden/>
              </w:rPr>
              <w:fldChar w:fldCharType="begin"/>
            </w:r>
            <w:r w:rsidR="00EA5D55">
              <w:rPr>
                <w:noProof/>
                <w:webHidden/>
              </w:rPr>
              <w:instrText xml:space="preserve"> PAGEREF _Toc215617314 \h </w:instrText>
            </w:r>
            <w:r w:rsidR="00EA5D55">
              <w:rPr>
                <w:noProof/>
                <w:webHidden/>
              </w:rPr>
            </w:r>
            <w:r w:rsidR="00EA5D55">
              <w:rPr>
                <w:noProof/>
                <w:webHidden/>
              </w:rPr>
              <w:fldChar w:fldCharType="separate"/>
            </w:r>
            <w:r w:rsidR="00EA5D55">
              <w:rPr>
                <w:noProof/>
                <w:webHidden/>
              </w:rPr>
              <w:t>12</w:t>
            </w:r>
            <w:r w:rsidR="00EA5D55">
              <w:rPr>
                <w:noProof/>
                <w:webHidden/>
              </w:rPr>
              <w:fldChar w:fldCharType="end"/>
            </w:r>
          </w:hyperlink>
        </w:p>
        <w:p w14:paraId="7492D66F" w14:textId="25435F27" w:rsidR="00EA5D55" w:rsidRDefault="00864262">
          <w:pPr>
            <w:pStyle w:val="TOC1"/>
            <w:tabs>
              <w:tab w:val="right" w:leader="dot" w:pos="10790"/>
            </w:tabs>
            <w:rPr>
              <w:noProof/>
              <w:sz w:val="22"/>
              <w:szCs w:val="22"/>
              <w:lang w:val="en-IN" w:eastAsia="en-IN"/>
            </w:rPr>
          </w:pPr>
          <w:hyperlink w:anchor="_Toc215617315" w:history="1">
            <w:r w:rsidR="00EA5D55" w:rsidRPr="00360945">
              <w:rPr>
                <w:rStyle w:val="Hyperlink"/>
                <w:rFonts w:ascii="Arial" w:hAnsi="Arial" w:cs="Arial"/>
                <w:noProof/>
              </w:rPr>
              <w:t>3: Strategy Development and Formulation</w:t>
            </w:r>
            <w:r w:rsidR="00EA5D55">
              <w:rPr>
                <w:noProof/>
                <w:webHidden/>
              </w:rPr>
              <w:tab/>
            </w:r>
            <w:r w:rsidR="00EA5D55">
              <w:rPr>
                <w:noProof/>
                <w:webHidden/>
              </w:rPr>
              <w:fldChar w:fldCharType="begin"/>
            </w:r>
            <w:r w:rsidR="00EA5D55">
              <w:rPr>
                <w:noProof/>
                <w:webHidden/>
              </w:rPr>
              <w:instrText xml:space="preserve"> PAGEREF _Toc215617315 \h </w:instrText>
            </w:r>
            <w:r w:rsidR="00EA5D55">
              <w:rPr>
                <w:noProof/>
                <w:webHidden/>
              </w:rPr>
            </w:r>
            <w:r w:rsidR="00EA5D55">
              <w:rPr>
                <w:noProof/>
                <w:webHidden/>
              </w:rPr>
              <w:fldChar w:fldCharType="separate"/>
            </w:r>
            <w:r w:rsidR="00EA5D55">
              <w:rPr>
                <w:noProof/>
                <w:webHidden/>
              </w:rPr>
              <w:t>13</w:t>
            </w:r>
            <w:r w:rsidR="00EA5D55">
              <w:rPr>
                <w:noProof/>
                <w:webHidden/>
              </w:rPr>
              <w:fldChar w:fldCharType="end"/>
            </w:r>
          </w:hyperlink>
        </w:p>
        <w:p w14:paraId="403967CB" w14:textId="53BA5A9D" w:rsidR="00EA5D55" w:rsidRDefault="00864262">
          <w:pPr>
            <w:pStyle w:val="TOC2"/>
            <w:tabs>
              <w:tab w:val="right" w:leader="dot" w:pos="10790"/>
            </w:tabs>
            <w:rPr>
              <w:noProof/>
              <w:sz w:val="22"/>
              <w:szCs w:val="22"/>
              <w:lang w:val="en-IN" w:eastAsia="en-IN"/>
            </w:rPr>
          </w:pPr>
          <w:hyperlink w:anchor="_Toc215617316" w:history="1">
            <w:r w:rsidR="00EA5D55" w:rsidRPr="00360945">
              <w:rPr>
                <w:rStyle w:val="Hyperlink"/>
                <w:rFonts w:ascii="Arial" w:hAnsi="Arial" w:cs="Arial"/>
                <w:noProof/>
              </w:rPr>
              <w:t>3.1 Strategic Direction: Market Development via Ansoff Matrix</w:t>
            </w:r>
            <w:r w:rsidR="00EA5D55">
              <w:rPr>
                <w:noProof/>
                <w:webHidden/>
              </w:rPr>
              <w:tab/>
            </w:r>
            <w:r w:rsidR="00EA5D55">
              <w:rPr>
                <w:noProof/>
                <w:webHidden/>
              </w:rPr>
              <w:fldChar w:fldCharType="begin"/>
            </w:r>
            <w:r w:rsidR="00EA5D55">
              <w:rPr>
                <w:noProof/>
                <w:webHidden/>
              </w:rPr>
              <w:instrText xml:space="preserve"> PAGEREF _Toc215617316 \h </w:instrText>
            </w:r>
            <w:r w:rsidR="00EA5D55">
              <w:rPr>
                <w:noProof/>
                <w:webHidden/>
              </w:rPr>
            </w:r>
            <w:r w:rsidR="00EA5D55">
              <w:rPr>
                <w:noProof/>
                <w:webHidden/>
              </w:rPr>
              <w:fldChar w:fldCharType="separate"/>
            </w:r>
            <w:r w:rsidR="00EA5D55">
              <w:rPr>
                <w:noProof/>
                <w:webHidden/>
              </w:rPr>
              <w:t>13</w:t>
            </w:r>
            <w:r w:rsidR="00EA5D55">
              <w:rPr>
                <w:noProof/>
                <w:webHidden/>
              </w:rPr>
              <w:fldChar w:fldCharType="end"/>
            </w:r>
          </w:hyperlink>
        </w:p>
        <w:p w14:paraId="754FC02B" w14:textId="16AFCADE" w:rsidR="00EA5D55" w:rsidRDefault="00864262">
          <w:pPr>
            <w:pStyle w:val="TOC2"/>
            <w:tabs>
              <w:tab w:val="right" w:leader="dot" w:pos="10790"/>
            </w:tabs>
            <w:rPr>
              <w:noProof/>
              <w:sz w:val="22"/>
              <w:szCs w:val="22"/>
              <w:lang w:val="en-IN" w:eastAsia="en-IN"/>
            </w:rPr>
          </w:pPr>
          <w:hyperlink w:anchor="_Toc215617317" w:history="1">
            <w:r w:rsidR="00EA5D55" w:rsidRPr="00360945">
              <w:rPr>
                <w:rStyle w:val="Hyperlink"/>
                <w:rFonts w:ascii="Arial" w:hAnsi="Arial" w:cs="Arial"/>
                <w:noProof/>
              </w:rPr>
              <w:t>3.2 Market Entry Mode: Hybrid Model</w:t>
            </w:r>
            <w:r w:rsidR="00EA5D55">
              <w:rPr>
                <w:noProof/>
                <w:webHidden/>
              </w:rPr>
              <w:tab/>
            </w:r>
            <w:r w:rsidR="00EA5D55">
              <w:rPr>
                <w:noProof/>
                <w:webHidden/>
              </w:rPr>
              <w:fldChar w:fldCharType="begin"/>
            </w:r>
            <w:r w:rsidR="00EA5D55">
              <w:rPr>
                <w:noProof/>
                <w:webHidden/>
              </w:rPr>
              <w:instrText xml:space="preserve"> PAGEREF _Toc215617317 \h </w:instrText>
            </w:r>
            <w:r w:rsidR="00EA5D55">
              <w:rPr>
                <w:noProof/>
                <w:webHidden/>
              </w:rPr>
            </w:r>
            <w:r w:rsidR="00EA5D55">
              <w:rPr>
                <w:noProof/>
                <w:webHidden/>
              </w:rPr>
              <w:fldChar w:fldCharType="separate"/>
            </w:r>
            <w:r w:rsidR="00EA5D55">
              <w:rPr>
                <w:noProof/>
                <w:webHidden/>
              </w:rPr>
              <w:t>13</w:t>
            </w:r>
            <w:r w:rsidR="00EA5D55">
              <w:rPr>
                <w:noProof/>
                <w:webHidden/>
              </w:rPr>
              <w:fldChar w:fldCharType="end"/>
            </w:r>
          </w:hyperlink>
        </w:p>
        <w:p w14:paraId="0F8C2144" w14:textId="55D48730" w:rsidR="00EA5D55" w:rsidRDefault="00864262">
          <w:pPr>
            <w:pStyle w:val="TOC2"/>
            <w:tabs>
              <w:tab w:val="right" w:leader="dot" w:pos="10790"/>
            </w:tabs>
            <w:rPr>
              <w:noProof/>
              <w:sz w:val="22"/>
              <w:szCs w:val="22"/>
              <w:lang w:val="en-IN" w:eastAsia="en-IN"/>
            </w:rPr>
          </w:pPr>
          <w:hyperlink w:anchor="_Toc215617318" w:history="1">
            <w:r w:rsidR="00EA5D55" w:rsidRPr="00360945">
              <w:rPr>
                <w:rStyle w:val="Hyperlink"/>
                <w:rFonts w:ascii="Arial" w:hAnsi="Arial" w:cs="Arial"/>
                <w:noProof/>
              </w:rPr>
              <w:t>3.3 Competitive Positioning: Cost Leadership Strategy</w:t>
            </w:r>
            <w:r w:rsidR="00EA5D55">
              <w:rPr>
                <w:noProof/>
                <w:webHidden/>
              </w:rPr>
              <w:tab/>
            </w:r>
            <w:r w:rsidR="00EA5D55">
              <w:rPr>
                <w:noProof/>
                <w:webHidden/>
              </w:rPr>
              <w:fldChar w:fldCharType="begin"/>
            </w:r>
            <w:r w:rsidR="00EA5D55">
              <w:rPr>
                <w:noProof/>
                <w:webHidden/>
              </w:rPr>
              <w:instrText xml:space="preserve"> PAGEREF _Toc215617318 \h </w:instrText>
            </w:r>
            <w:r w:rsidR="00EA5D55">
              <w:rPr>
                <w:noProof/>
                <w:webHidden/>
              </w:rPr>
            </w:r>
            <w:r w:rsidR="00EA5D55">
              <w:rPr>
                <w:noProof/>
                <w:webHidden/>
              </w:rPr>
              <w:fldChar w:fldCharType="separate"/>
            </w:r>
            <w:r w:rsidR="00EA5D55">
              <w:rPr>
                <w:noProof/>
                <w:webHidden/>
              </w:rPr>
              <w:t>14</w:t>
            </w:r>
            <w:r w:rsidR="00EA5D55">
              <w:rPr>
                <w:noProof/>
                <w:webHidden/>
              </w:rPr>
              <w:fldChar w:fldCharType="end"/>
            </w:r>
          </w:hyperlink>
        </w:p>
        <w:p w14:paraId="0DE4FA0F" w14:textId="0B47A9F7" w:rsidR="00EA5D55" w:rsidRDefault="00864262">
          <w:pPr>
            <w:pStyle w:val="TOC2"/>
            <w:tabs>
              <w:tab w:val="right" w:leader="dot" w:pos="10790"/>
            </w:tabs>
            <w:rPr>
              <w:noProof/>
              <w:sz w:val="22"/>
              <w:szCs w:val="22"/>
              <w:lang w:val="en-IN" w:eastAsia="en-IN"/>
            </w:rPr>
          </w:pPr>
          <w:hyperlink w:anchor="_Toc215617319" w:history="1">
            <w:r w:rsidR="00EA5D55" w:rsidRPr="00360945">
              <w:rPr>
                <w:rStyle w:val="Hyperlink"/>
                <w:rFonts w:ascii="Arial" w:hAnsi="Arial" w:cs="Arial"/>
                <w:noProof/>
              </w:rPr>
              <w:t>3.4 Strategic Capability Assessment: VRIO Analysis</w:t>
            </w:r>
            <w:r w:rsidR="00EA5D55">
              <w:rPr>
                <w:noProof/>
                <w:webHidden/>
              </w:rPr>
              <w:tab/>
            </w:r>
            <w:r w:rsidR="00EA5D55">
              <w:rPr>
                <w:noProof/>
                <w:webHidden/>
              </w:rPr>
              <w:fldChar w:fldCharType="begin"/>
            </w:r>
            <w:r w:rsidR="00EA5D55">
              <w:rPr>
                <w:noProof/>
                <w:webHidden/>
              </w:rPr>
              <w:instrText xml:space="preserve"> PAGEREF _Toc215617319 \h </w:instrText>
            </w:r>
            <w:r w:rsidR="00EA5D55">
              <w:rPr>
                <w:noProof/>
                <w:webHidden/>
              </w:rPr>
            </w:r>
            <w:r w:rsidR="00EA5D55">
              <w:rPr>
                <w:noProof/>
                <w:webHidden/>
              </w:rPr>
              <w:fldChar w:fldCharType="separate"/>
            </w:r>
            <w:r w:rsidR="00EA5D55">
              <w:rPr>
                <w:noProof/>
                <w:webHidden/>
              </w:rPr>
              <w:t>15</w:t>
            </w:r>
            <w:r w:rsidR="00EA5D55">
              <w:rPr>
                <w:noProof/>
                <w:webHidden/>
              </w:rPr>
              <w:fldChar w:fldCharType="end"/>
            </w:r>
          </w:hyperlink>
        </w:p>
        <w:p w14:paraId="2459C873" w14:textId="165133B6" w:rsidR="00EA5D55" w:rsidRDefault="00864262">
          <w:pPr>
            <w:pStyle w:val="TOC2"/>
            <w:tabs>
              <w:tab w:val="right" w:leader="dot" w:pos="10790"/>
            </w:tabs>
            <w:rPr>
              <w:noProof/>
              <w:sz w:val="22"/>
              <w:szCs w:val="22"/>
              <w:lang w:val="en-IN" w:eastAsia="en-IN"/>
            </w:rPr>
          </w:pPr>
          <w:hyperlink w:anchor="_Toc215617320" w:history="1">
            <w:r w:rsidR="00EA5D55" w:rsidRPr="00360945">
              <w:rPr>
                <w:rStyle w:val="Hyperlink"/>
                <w:rFonts w:ascii="Arial" w:hAnsi="Arial" w:cs="Arial"/>
                <w:noProof/>
              </w:rPr>
              <w:t>3.5 Implementation Framework</w:t>
            </w:r>
            <w:r w:rsidR="00EA5D55">
              <w:rPr>
                <w:noProof/>
                <w:webHidden/>
              </w:rPr>
              <w:tab/>
            </w:r>
            <w:r w:rsidR="00EA5D55">
              <w:rPr>
                <w:noProof/>
                <w:webHidden/>
              </w:rPr>
              <w:fldChar w:fldCharType="begin"/>
            </w:r>
            <w:r w:rsidR="00EA5D55">
              <w:rPr>
                <w:noProof/>
                <w:webHidden/>
              </w:rPr>
              <w:instrText xml:space="preserve"> PAGEREF _Toc215617320 \h </w:instrText>
            </w:r>
            <w:r w:rsidR="00EA5D55">
              <w:rPr>
                <w:noProof/>
                <w:webHidden/>
              </w:rPr>
            </w:r>
            <w:r w:rsidR="00EA5D55">
              <w:rPr>
                <w:noProof/>
                <w:webHidden/>
              </w:rPr>
              <w:fldChar w:fldCharType="separate"/>
            </w:r>
            <w:r w:rsidR="00EA5D55">
              <w:rPr>
                <w:noProof/>
                <w:webHidden/>
              </w:rPr>
              <w:t>15</w:t>
            </w:r>
            <w:r w:rsidR="00EA5D55">
              <w:rPr>
                <w:noProof/>
                <w:webHidden/>
              </w:rPr>
              <w:fldChar w:fldCharType="end"/>
            </w:r>
          </w:hyperlink>
        </w:p>
        <w:p w14:paraId="236BA3B1" w14:textId="0540F4AB" w:rsidR="00EA5D55" w:rsidRDefault="00864262">
          <w:pPr>
            <w:pStyle w:val="TOC1"/>
            <w:tabs>
              <w:tab w:val="right" w:leader="dot" w:pos="10790"/>
            </w:tabs>
            <w:rPr>
              <w:noProof/>
              <w:sz w:val="22"/>
              <w:szCs w:val="22"/>
              <w:lang w:val="en-IN" w:eastAsia="en-IN"/>
            </w:rPr>
          </w:pPr>
          <w:hyperlink w:anchor="_Toc215617321" w:history="1">
            <w:r w:rsidR="00EA5D55" w:rsidRPr="00360945">
              <w:rPr>
                <w:rStyle w:val="Hyperlink"/>
                <w:rFonts w:ascii="Arial" w:hAnsi="Arial" w:cs="Arial"/>
                <w:noProof/>
              </w:rPr>
              <w:t>4: Performance Evaluation Framework</w:t>
            </w:r>
            <w:r w:rsidR="00EA5D55">
              <w:rPr>
                <w:noProof/>
                <w:webHidden/>
              </w:rPr>
              <w:tab/>
            </w:r>
            <w:r w:rsidR="00EA5D55">
              <w:rPr>
                <w:noProof/>
                <w:webHidden/>
              </w:rPr>
              <w:fldChar w:fldCharType="begin"/>
            </w:r>
            <w:r w:rsidR="00EA5D55">
              <w:rPr>
                <w:noProof/>
                <w:webHidden/>
              </w:rPr>
              <w:instrText xml:space="preserve"> PAGEREF _Toc215617321 \h </w:instrText>
            </w:r>
            <w:r w:rsidR="00EA5D55">
              <w:rPr>
                <w:noProof/>
                <w:webHidden/>
              </w:rPr>
            </w:r>
            <w:r w:rsidR="00EA5D55">
              <w:rPr>
                <w:noProof/>
                <w:webHidden/>
              </w:rPr>
              <w:fldChar w:fldCharType="separate"/>
            </w:r>
            <w:r w:rsidR="00EA5D55">
              <w:rPr>
                <w:noProof/>
                <w:webHidden/>
              </w:rPr>
              <w:t>16</w:t>
            </w:r>
            <w:r w:rsidR="00EA5D55">
              <w:rPr>
                <w:noProof/>
                <w:webHidden/>
              </w:rPr>
              <w:fldChar w:fldCharType="end"/>
            </w:r>
          </w:hyperlink>
        </w:p>
        <w:p w14:paraId="737394D0" w14:textId="34E09F67" w:rsidR="00EA5D55" w:rsidRDefault="00864262">
          <w:pPr>
            <w:pStyle w:val="TOC2"/>
            <w:tabs>
              <w:tab w:val="right" w:leader="dot" w:pos="10790"/>
            </w:tabs>
            <w:rPr>
              <w:noProof/>
              <w:sz w:val="22"/>
              <w:szCs w:val="22"/>
              <w:lang w:val="en-IN" w:eastAsia="en-IN"/>
            </w:rPr>
          </w:pPr>
          <w:hyperlink w:anchor="_Toc215617322" w:history="1">
            <w:r w:rsidR="00EA5D55" w:rsidRPr="00360945">
              <w:rPr>
                <w:rStyle w:val="Hyperlink"/>
                <w:rFonts w:ascii="Arial" w:hAnsi="Arial" w:cs="Arial"/>
                <w:noProof/>
              </w:rPr>
              <w:t>4.1 Balanced Scorecard Framework</w:t>
            </w:r>
            <w:r w:rsidR="00EA5D55">
              <w:rPr>
                <w:noProof/>
                <w:webHidden/>
              </w:rPr>
              <w:tab/>
            </w:r>
            <w:r w:rsidR="00EA5D55">
              <w:rPr>
                <w:noProof/>
                <w:webHidden/>
              </w:rPr>
              <w:fldChar w:fldCharType="begin"/>
            </w:r>
            <w:r w:rsidR="00EA5D55">
              <w:rPr>
                <w:noProof/>
                <w:webHidden/>
              </w:rPr>
              <w:instrText xml:space="preserve"> PAGEREF _Toc215617322 \h </w:instrText>
            </w:r>
            <w:r w:rsidR="00EA5D55">
              <w:rPr>
                <w:noProof/>
                <w:webHidden/>
              </w:rPr>
            </w:r>
            <w:r w:rsidR="00EA5D55">
              <w:rPr>
                <w:noProof/>
                <w:webHidden/>
              </w:rPr>
              <w:fldChar w:fldCharType="separate"/>
            </w:r>
            <w:r w:rsidR="00EA5D55">
              <w:rPr>
                <w:noProof/>
                <w:webHidden/>
              </w:rPr>
              <w:t>16</w:t>
            </w:r>
            <w:r w:rsidR="00EA5D55">
              <w:rPr>
                <w:noProof/>
                <w:webHidden/>
              </w:rPr>
              <w:fldChar w:fldCharType="end"/>
            </w:r>
          </w:hyperlink>
        </w:p>
        <w:p w14:paraId="3420F5C3" w14:textId="5CA617A9" w:rsidR="00EA5D55" w:rsidRDefault="00864262">
          <w:pPr>
            <w:pStyle w:val="TOC2"/>
            <w:tabs>
              <w:tab w:val="right" w:leader="dot" w:pos="10790"/>
            </w:tabs>
            <w:rPr>
              <w:noProof/>
              <w:sz w:val="22"/>
              <w:szCs w:val="22"/>
              <w:lang w:val="en-IN" w:eastAsia="en-IN"/>
            </w:rPr>
          </w:pPr>
          <w:hyperlink w:anchor="_Toc215617323" w:history="1">
            <w:r w:rsidR="00EA5D55" w:rsidRPr="00360945">
              <w:rPr>
                <w:rStyle w:val="Hyperlink"/>
                <w:rFonts w:ascii="Arial" w:hAnsi="Arial" w:cs="Arial"/>
                <w:noProof/>
              </w:rPr>
              <w:t>4.2 Triple Bottom Line Integration</w:t>
            </w:r>
            <w:r w:rsidR="00EA5D55">
              <w:rPr>
                <w:noProof/>
                <w:webHidden/>
              </w:rPr>
              <w:tab/>
            </w:r>
            <w:r w:rsidR="00EA5D55">
              <w:rPr>
                <w:noProof/>
                <w:webHidden/>
              </w:rPr>
              <w:fldChar w:fldCharType="begin"/>
            </w:r>
            <w:r w:rsidR="00EA5D55">
              <w:rPr>
                <w:noProof/>
                <w:webHidden/>
              </w:rPr>
              <w:instrText xml:space="preserve"> PAGEREF _Toc215617323 \h </w:instrText>
            </w:r>
            <w:r w:rsidR="00EA5D55">
              <w:rPr>
                <w:noProof/>
                <w:webHidden/>
              </w:rPr>
            </w:r>
            <w:r w:rsidR="00EA5D55">
              <w:rPr>
                <w:noProof/>
                <w:webHidden/>
              </w:rPr>
              <w:fldChar w:fldCharType="separate"/>
            </w:r>
            <w:r w:rsidR="00EA5D55">
              <w:rPr>
                <w:noProof/>
                <w:webHidden/>
              </w:rPr>
              <w:t>18</w:t>
            </w:r>
            <w:r w:rsidR="00EA5D55">
              <w:rPr>
                <w:noProof/>
                <w:webHidden/>
              </w:rPr>
              <w:fldChar w:fldCharType="end"/>
            </w:r>
          </w:hyperlink>
        </w:p>
        <w:p w14:paraId="6F80F99A" w14:textId="08707822" w:rsidR="00EA5D55" w:rsidRDefault="00864262">
          <w:pPr>
            <w:pStyle w:val="TOC2"/>
            <w:tabs>
              <w:tab w:val="right" w:leader="dot" w:pos="10790"/>
            </w:tabs>
            <w:rPr>
              <w:noProof/>
              <w:sz w:val="22"/>
              <w:szCs w:val="22"/>
              <w:lang w:val="en-IN" w:eastAsia="en-IN"/>
            </w:rPr>
          </w:pPr>
          <w:hyperlink w:anchor="_Toc215617324" w:history="1">
            <w:r w:rsidR="00EA5D55" w:rsidRPr="00360945">
              <w:rPr>
                <w:rStyle w:val="Hyperlink"/>
                <w:rFonts w:ascii="Arial" w:hAnsi="Arial" w:cs="Arial"/>
                <w:noProof/>
              </w:rPr>
              <w:t>4.3 Monitoring and Governance Mechanisms</w:t>
            </w:r>
            <w:r w:rsidR="00EA5D55">
              <w:rPr>
                <w:noProof/>
                <w:webHidden/>
              </w:rPr>
              <w:tab/>
            </w:r>
            <w:r w:rsidR="00EA5D55">
              <w:rPr>
                <w:noProof/>
                <w:webHidden/>
              </w:rPr>
              <w:fldChar w:fldCharType="begin"/>
            </w:r>
            <w:r w:rsidR="00EA5D55">
              <w:rPr>
                <w:noProof/>
                <w:webHidden/>
              </w:rPr>
              <w:instrText xml:space="preserve"> PAGEREF _Toc215617324 \h </w:instrText>
            </w:r>
            <w:r w:rsidR="00EA5D55">
              <w:rPr>
                <w:noProof/>
                <w:webHidden/>
              </w:rPr>
            </w:r>
            <w:r w:rsidR="00EA5D55">
              <w:rPr>
                <w:noProof/>
                <w:webHidden/>
              </w:rPr>
              <w:fldChar w:fldCharType="separate"/>
            </w:r>
            <w:r w:rsidR="00EA5D55">
              <w:rPr>
                <w:noProof/>
                <w:webHidden/>
              </w:rPr>
              <w:t>18</w:t>
            </w:r>
            <w:r w:rsidR="00EA5D55">
              <w:rPr>
                <w:noProof/>
                <w:webHidden/>
              </w:rPr>
              <w:fldChar w:fldCharType="end"/>
            </w:r>
          </w:hyperlink>
        </w:p>
        <w:p w14:paraId="41F478E3" w14:textId="44E15799" w:rsidR="00EA5D55" w:rsidRDefault="00864262">
          <w:pPr>
            <w:pStyle w:val="TOC1"/>
            <w:tabs>
              <w:tab w:val="right" w:leader="dot" w:pos="10790"/>
            </w:tabs>
            <w:rPr>
              <w:noProof/>
              <w:sz w:val="22"/>
              <w:szCs w:val="22"/>
              <w:lang w:val="en-IN" w:eastAsia="en-IN"/>
            </w:rPr>
          </w:pPr>
          <w:hyperlink w:anchor="_Toc215617325" w:history="1">
            <w:r w:rsidR="00EA5D55" w:rsidRPr="00360945">
              <w:rPr>
                <w:rStyle w:val="Hyperlink"/>
                <w:rFonts w:ascii="Arial" w:hAnsi="Arial" w:cs="Arial"/>
                <w:noProof/>
              </w:rPr>
              <w:t>Conclusion</w:t>
            </w:r>
            <w:r w:rsidR="00EA5D55">
              <w:rPr>
                <w:noProof/>
                <w:webHidden/>
              </w:rPr>
              <w:tab/>
            </w:r>
            <w:r w:rsidR="00EA5D55">
              <w:rPr>
                <w:noProof/>
                <w:webHidden/>
              </w:rPr>
              <w:fldChar w:fldCharType="begin"/>
            </w:r>
            <w:r w:rsidR="00EA5D55">
              <w:rPr>
                <w:noProof/>
                <w:webHidden/>
              </w:rPr>
              <w:instrText xml:space="preserve"> PAGEREF _Toc215617325 \h </w:instrText>
            </w:r>
            <w:r w:rsidR="00EA5D55">
              <w:rPr>
                <w:noProof/>
                <w:webHidden/>
              </w:rPr>
            </w:r>
            <w:r w:rsidR="00EA5D55">
              <w:rPr>
                <w:noProof/>
                <w:webHidden/>
              </w:rPr>
              <w:fldChar w:fldCharType="separate"/>
            </w:r>
            <w:r w:rsidR="00EA5D55">
              <w:rPr>
                <w:noProof/>
                <w:webHidden/>
              </w:rPr>
              <w:t>19</w:t>
            </w:r>
            <w:r w:rsidR="00EA5D55">
              <w:rPr>
                <w:noProof/>
                <w:webHidden/>
              </w:rPr>
              <w:fldChar w:fldCharType="end"/>
            </w:r>
          </w:hyperlink>
        </w:p>
        <w:p w14:paraId="5ACE84B0" w14:textId="31E6463E" w:rsidR="00EA5D55" w:rsidRDefault="00864262">
          <w:pPr>
            <w:pStyle w:val="TOC1"/>
            <w:tabs>
              <w:tab w:val="right" w:leader="dot" w:pos="10790"/>
            </w:tabs>
            <w:rPr>
              <w:noProof/>
              <w:sz w:val="22"/>
              <w:szCs w:val="22"/>
              <w:lang w:val="en-IN" w:eastAsia="en-IN"/>
            </w:rPr>
          </w:pPr>
          <w:hyperlink w:anchor="_Toc215617326" w:history="1">
            <w:r w:rsidR="00EA5D55" w:rsidRPr="00360945">
              <w:rPr>
                <w:rStyle w:val="Hyperlink"/>
                <w:rFonts w:ascii="Arial" w:eastAsia="Arial" w:hAnsi="Arial" w:cs="Arial"/>
                <w:noProof/>
              </w:rPr>
              <w:t>References</w:t>
            </w:r>
            <w:r w:rsidR="00EA5D55">
              <w:rPr>
                <w:noProof/>
                <w:webHidden/>
              </w:rPr>
              <w:tab/>
            </w:r>
            <w:r w:rsidR="00EA5D55">
              <w:rPr>
                <w:noProof/>
                <w:webHidden/>
              </w:rPr>
              <w:fldChar w:fldCharType="begin"/>
            </w:r>
            <w:r w:rsidR="00EA5D55">
              <w:rPr>
                <w:noProof/>
                <w:webHidden/>
              </w:rPr>
              <w:instrText xml:space="preserve"> PAGEREF _Toc215617326 \h </w:instrText>
            </w:r>
            <w:r w:rsidR="00EA5D55">
              <w:rPr>
                <w:noProof/>
                <w:webHidden/>
              </w:rPr>
            </w:r>
            <w:r w:rsidR="00EA5D55">
              <w:rPr>
                <w:noProof/>
                <w:webHidden/>
              </w:rPr>
              <w:fldChar w:fldCharType="separate"/>
            </w:r>
            <w:r w:rsidR="00EA5D55">
              <w:rPr>
                <w:noProof/>
                <w:webHidden/>
              </w:rPr>
              <w:t>20</w:t>
            </w:r>
            <w:r w:rsidR="00EA5D55">
              <w:rPr>
                <w:noProof/>
                <w:webHidden/>
              </w:rPr>
              <w:fldChar w:fldCharType="end"/>
            </w:r>
          </w:hyperlink>
        </w:p>
        <w:p w14:paraId="0477D9A2" w14:textId="652E168E" w:rsidR="24B2082A" w:rsidRDefault="24B2082A" w:rsidP="24B2082A">
          <w:pPr>
            <w:pStyle w:val="TOC1"/>
            <w:tabs>
              <w:tab w:val="right" w:leader="dot" w:pos="10800"/>
            </w:tabs>
            <w:rPr>
              <w:rStyle w:val="Hyperlink"/>
            </w:rPr>
          </w:pPr>
          <w:r>
            <w:fldChar w:fldCharType="end"/>
          </w:r>
        </w:p>
      </w:sdtContent>
    </w:sdt>
    <w:p w14:paraId="5BED70C7" w14:textId="098EE3D4" w:rsidR="329A9ABD" w:rsidRDefault="329A9ABD" w:rsidP="329A9ABD">
      <w:pPr>
        <w:spacing w:line="278" w:lineRule="auto"/>
        <w:rPr>
          <w:rFonts w:ascii="Arial" w:eastAsia="Arial" w:hAnsi="Arial" w:cs="Arial"/>
          <w:b/>
          <w:bCs/>
          <w:color w:val="000000" w:themeColor="text1"/>
          <w:sz w:val="32"/>
          <w:szCs w:val="32"/>
          <w:lang w:val="en-GB"/>
        </w:rPr>
      </w:pPr>
    </w:p>
    <w:p w14:paraId="684AA0A8" w14:textId="10AD9294" w:rsidR="329A9ABD" w:rsidRDefault="329A9ABD" w:rsidP="329A9ABD">
      <w:pPr>
        <w:spacing w:line="278" w:lineRule="auto"/>
        <w:rPr>
          <w:rFonts w:ascii="Arial" w:eastAsia="Arial" w:hAnsi="Arial" w:cs="Arial"/>
          <w:b/>
          <w:bCs/>
          <w:color w:val="000000" w:themeColor="text1"/>
          <w:sz w:val="32"/>
          <w:szCs w:val="32"/>
          <w:lang w:val="en-GB"/>
        </w:rPr>
      </w:pPr>
    </w:p>
    <w:p w14:paraId="2E0A0C47" w14:textId="0102AD24" w:rsidR="329A9ABD" w:rsidRDefault="329A9ABD" w:rsidP="329A9ABD">
      <w:pPr>
        <w:spacing w:line="278" w:lineRule="auto"/>
        <w:rPr>
          <w:rFonts w:ascii="Arial" w:eastAsia="Arial" w:hAnsi="Arial" w:cs="Arial"/>
          <w:b/>
          <w:bCs/>
          <w:color w:val="000000" w:themeColor="text1"/>
          <w:sz w:val="32"/>
          <w:szCs w:val="32"/>
          <w:lang w:val="en-GB"/>
        </w:rPr>
      </w:pPr>
    </w:p>
    <w:p w14:paraId="6B9FE87A" w14:textId="31E76AB3" w:rsidR="329A9ABD" w:rsidRDefault="329A9ABD" w:rsidP="329A9ABD">
      <w:pPr>
        <w:spacing w:line="278" w:lineRule="auto"/>
        <w:rPr>
          <w:rFonts w:ascii="Arial" w:eastAsia="Arial" w:hAnsi="Arial" w:cs="Arial"/>
          <w:b/>
          <w:bCs/>
          <w:color w:val="000000" w:themeColor="text1"/>
          <w:sz w:val="32"/>
          <w:szCs w:val="32"/>
          <w:lang w:val="en-GB"/>
        </w:rPr>
      </w:pPr>
    </w:p>
    <w:p w14:paraId="6D82FFDB" w14:textId="3C359194" w:rsidR="1BAECB45" w:rsidRPr="00EA5D55" w:rsidRDefault="1BAECB45" w:rsidP="1BAECB45">
      <w:pPr>
        <w:spacing w:line="278" w:lineRule="auto"/>
        <w:rPr>
          <w:rFonts w:ascii="Arial" w:eastAsia="Aptos" w:hAnsi="Arial" w:cs="Arial"/>
        </w:rPr>
      </w:pPr>
    </w:p>
    <w:p w14:paraId="37B15FC2" w14:textId="1110B535" w:rsidR="1BAECB45" w:rsidRPr="00EA5D55" w:rsidRDefault="00254274" w:rsidP="0065037A">
      <w:pPr>
        <w:pStyle w:val="Heading1"/>
        <w:rPr>
          <w:rFonts w:ascii="Arial" w:eastAsia="Aptos" w:hAnsi="Arial" w:cs="Arial"/>
          <w:sz w:val="24"/>
          <w:szCs w:val="24"/>
        </w:rPr>
      </w:pPr>
      <w:bookmarkStart w:id="0" w:name="_Toc215617305"/>
      <w:r w:rsidRPr="00EA5D55">
        <w:rPr>
          <w:rFonts w:ascii="Arial" w:hAnsi="Arial" w:cs="Arial"/>
          <w:noProof/>
        </w:rPr>
        <w:lastRenderedPageBreak/>
        <w:drawing>
          <wp:anchor distT="0" distB="0" distL="114300" distR="114300" simplePos="0" relativeHeight="251658240" behindDoc="0" locked="0" layoutInCell="1" allowOverlap="1" wp14:anchorId="19046176" wp14:editId="62A07C17">
            <wp:simplePos x="0" y="0"/>
            <wp:positionH relativeFrom="margin">
              <wp:posOffset>5448300</wp:posOffset>
            </wp:positionH>
            <wp:positionV relativeFrom="paragraph">
              <wp:posOffset>96520</wp:posOffset>
            </wp:positionV>
            <wp:extent cx="1684020" cy="1722120"/>
            <wp:effectExtent l="0" t="0" r="0" b="0"/>
            <wp:wrapSquare wrapText="bothSides"/>
            <wp:docPr id="1" name="Picture 1" descr="John Robert Greg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Robert Gregg - Wikipedi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1263" t="8238" r="13311" b="35344"/>
                    <a:stretch/>
                  </pic:blipFill>
                  <pic:spPr bwMode="auto">
                    <a:xfrm>
                      <a:off x="0" y="0"/>
                      <a:ext cx="1684020" cy="17221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037A" w:rsidRPr="00EA5D55">
        <w:rPr>
          <w:rFonts w:ascii="Arial" w:eastAsia="Aptos" w:hAnsi="Arial" w:cs="Arial"/>
          <w:sz w:val="24"/>
          <w:szCs w:val="24"/>
        </w:rPr>
        <w:t>Company overview &amp; History</w:t>
      </w:r>
      <w:bookmarkEnd w:id="0"/>
      <w:r w:rsidR="0065037A" w:rsidRPr="00EA5D55">
        <w:rPr>
          <w:rFonts w:ascii="Arial" w:eastAsia="Aptos" w:hAnsi="Arial" w:cs="Arial"/>
          <w:sz w:val="24"/>
          <w:szCs w:val="24"/>
        </w:rPr>
        <w:t xml:space="preserve"> </w:t>
      </w:r>
    </w:p>
    <w:p w14:paraId="2B765BB8" w14:textId="0E0C832B" w:rsidR="008A5354" w:rsidRPr="00EA5D55" w:rsidRDefault="008A5354" w:rsidP="0065037A">
      <w:pPr>
        <w:rPr>
          <w:rFonts w:ascii="Arial" w:hAnsi="Arial" w:cs="Arial"/>
          <w:noProof/>
        </w:rPr>
      </w:pPr>
    </w:p>
    <w:p w14:paraId="41FE2A0C" w14:textId="06385869" w:rsidR="008A5354" w:rsidRPr="00EA5D55" w:rsidRDefault="00A5449F" w:rsidP="0065037A">
      <w:pPr>
        <w:rPr>
          <w:rFonts w:ascii="Arial" w:hAnsi="Arial" w:cs="Arial"/>
        </w:rPr>
      </w:pPr>
      <w:r w:rsidRPr="00EA5D55">
        <w:rPr>
          <w:rFonts w:ascii="Arial" w:hAnsi="Arial" w:cs="Arial"/>
        </w:rPr>
        <w:t xml:space="preserve">Greggs plc is a leading UK bakery franchise that specializes in convenient food options such as sausage rolls, sandwiches, and desserts, with its headquarters located in Newcastle upon Tyne (Greggs, 2025). The company was established in 1939 by John Gregg as a bakery and delivery service in </w:t>
      </w:r>
      <w:proofErr w:type="spellStart"/>
      <w:r w:rsidRPr="00EA5D55">
        <w:rPr>
          <w:rFonts w:ascii="Arial" w:hAnsi="Arial" w:cs="Arial"/>
        </w:rPr>
        <w:t>Tyneside</w:t>
      </w:r>
      <w:proofErr w:type="spellEnd"/>
      <w:r w:rsidRPr="00EA5D55">
        <w:rPr>
          <w:rFonts w:ascii="Arial" w:hAnsi="Arial" w:cs="Arial"/>
        </w:rPr>
        <w:t xml:space="preserve">, England, with the first store launching in Gosforth in 1951 (DCFmodeling.com, 2025; Wikipedia, 2025). </w:t>
      </w:r>
    </w:p>
    <w:p w14:paraId="27515EC4" w14:textId="74917020" w:rsidR="0065037A" w:rsidRPr="00EA5D55" w:rsidRDefault="00254274" w:rsidP="0065037A">
      <w:pPr>
        <w:rPr>
          <w:rFonts w:ascii="Arial" w:hAnsi="Arial" w:cs="Arial"/>
        </w:rPr>
      </w:pPr>
      <w:r w:rsidRPr="00EA5D55">
        <w:rPr>
          <w:rFonts w:ascii="Arial" w:hAnsi="Arial" w:cs="Arial"/>
          <w:noProof/>
        </w:rPr>
        <w:drawing>
          <wp:anchor distT="0" distB="0" distL="114300" distR="114300" simplePos="0" relativeHeight="251661312" behindDoc="0" locked="0" layoutInCell="1" allowOverlap="1" wp14:anchorId="5AF669CB" wp14:editId="2E1C70BD">
            <wp:simplePos x="0" y="0"/>
            <wp:positionH relativeFrom="column">
              <wp:posOffset>-342900</wp:posOffset>
            </wp:positionH>
            <wp:positionV relativeFrom="paragraph">
              <wp:posOffset>12065</wp:posOffset>
            </wp:positionV>
            <wp:extent cx="2171700" cy="2023110"/>
            <wp:effectExtent l="0" t="0" r="0" b="0"/>
            <wp:wrapSquare wrapText="bothSides"/>
            <wp:docPr id="3" name="Picture 3" descr="Greggs Corporate | Our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eggs Corporate | Our history"/>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7206" b="21156"/>
                    <a:stretch/>
                  </pic:blipFill>
                  <pic:spPr bwMode="auto">
                    <a:xfrm flipH="1">
                      <a:off x="0" y="0"/>
                      <a:ext cx="2171700" cy="20231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A5D55">
        <w:rPr>
          <w:rFonts w:ascii="Arial" w:hAnsi="Arial" w:cs="Arial"/>
          <w:noProof/>
        </w:rPr>
        <mc:AlternateContent>
          <mc:Choice Requires="wps">
            <w:drawing>
              <wp:anchor distT="0" distB="0" distL="114300" distR="114300" simplePos="0" relativeHeight="251660288" behindDoc="0" locked="0" layoutInCell="1" allowOverlap="1" wp14:anchorId="7A2E8338" wp14:editId="6B163053">
                <wp:simplePos x="0" y="0"/>
                <wp:positionH relativeFrom="margin">
                  <wp:posOffset>5433060</wp:posOffset>
                </wp:positionH>
                <wp:positionV relativeFrom="paragraph">
                  <wp:posOffset>8890</wp:posOffset>
                </wp:positionV>
                <wp:extent cx="1684020" cy="2667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684020" cy="266700"/>
                        </a:xfrm>
                        <a:prstGeom prst="rect">
                          <a:avLst/>
                        </a:prstGeom>
                        <a:solidFill>
                          <a:prstClr val="white"/>
                        </a:solidFill>
                        <a:ln>
                          <a:noFill/>
                        </a:ln>
                      </wps:spPr>
                      <wps:txbx>
                        <w:txbxContent>
                          <w:p w14:paraId="0694EBE1" w14:textId="02E531BF" w:rsidR="00BF435E" w:rsidRPr="00FD0D25" w:rsidRDefault="00BF435E" w:rsidP="008A5354">
                            <w:pPr>
                              <w:pStyle w:val="Caption"/>
                              <w:rPr>
                                <w:noProof/>
                                <w:sz w:val="24"/>
                                <w:szCs w:val="24"/>
                              </w:rPr>
                            </w:pPr>
                            <w:r>
                              <w:t xml:space="preserve">Figure </w:t>
                            </w:r>
                            <w:r w:rsidR="00864262">
                              <w:fldChar w:fldCharType="begin"/>
                            </w:r>
                            <w:r w:rsidR="00864262">
                              <w:instrText xml:space="preserve"> SEQ Figure \* ARABIC </w:instrText>
                            </w:r>
                            <w:r w:rsidR="00864262">
                              <w:fldChar w:fldCharType="separate"/>
                            </w:r>
                            <w:r w:rsidR="00B93DE9">
                              <w:rPr>
                                <w:noProof/>
                              </w:rPr>
                              <w:t>1</w:t>
                            </w:r>
                            <w:r w:rsidR="00864262">
                              <w:rPr>
                                <w:noProof/>
                              </w:rPr>
                              <w:fldChar w:fldCharType="end"/>
                            </w:r>
                            <w:r w:rsidRPr="00715CAB">
                              <w:t>https://en.wikipedia.org/wiki/John_Robert_Gregg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A2E8338" id="_x0000_t202" coordsize="21600,21600" o:spt="202" path="m,l,21600r21600,l21600,xe">
                <v:stroke joinstyle="miter"/>
                <v:path gradientshapeok="t" o:connecttype="rect"/>
              </v:shapetype>
              <v:shape id="Text Box 2" o:spid="_x0000_s1026" type="#_x0000_t202" style="position:absolute;margin-left:427.8pt;margin-top:.7pt;width:132.6pt;height:21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" stroked="f">
                <v:textbox inset="0,0,0,0">
                  <w:txbxContent>
                    <w:p w14:paraId="0694EBE1" w14:textId="02E531BF" w:rsidR="00BF435E" w:rsidRPr="00FD0D25" w:rsidRDefault="00BF435E" w:rsidP="008A5354">
                      <w:pPr>
                        <w:pStyle w:val="Caption"/>
                        <w:rPr>
                          <w:noProof/>
                          <w:sz w:val="24"/>
                          <w:szCs w:val="24"/>
                        </w:rPr>
                      </w:pPr>
                      <w:r>
                        <w:t xml:space="preserve">Figure </w:t>
                      </w:r>
                      <w:r w:rsidR="00864262">
                        <w:fldChar w:fldCharType="begin"/>
                      </w:r>
                      <w:r w:rsidR="00864262">
                        <w:instrText xml:space="preserve"> SEQ Figure \* ARABIC </w:instrText>
                      </w:r>
                      <w:r w:rsidR="00864262">
                        <w:fldChar w:fldCharType="separate"/>
                      </w:r>
                      <w:r w:rsidR="00B93DE9">
                        <w:rPr>
                          <w:noProof/>
                        </w:rPr>
                        <w:t>1</w:t>
                      </w:r>
                      <w:r w:rsidR="00864262">
                        <w:rPr>
                          <w:noProof/>
                        </w:rPr>
                        <w:fldChar w:fldCharType="end"/>
                      </w:r>
                      <w:r w:rsidRPr="00715CAB">
                        <w:t>https://en.wikipedia.org/wiki/John_Robert_Gregg</w:t>
                      </w:r>
                    </w:p>
                  </w:txbxContent>
                </v:textbox>
                <w10:wrap type="square" anchorx="margin"/>
              </v:shape>
            </w:pict>
          </mc:Fallback>
        </mc:AlternateContent>
      </w:r>
      <w:r w:rsidR="008A5354" w:rsidRPr="00EA5D55">
        <w:rPr>
          <w:rFonts w:ascii="Arial" w:hAnsi="Arial" w:cs="Arial"/>
          <w:noProof/>
        </w:rPr>
        <mc:AlternateContent>
          <mc:Choice Requires="wps">
            <w:drawing>
              <wp:anchor distT="0" distB="0" distL="114300" distR="114300" simplePos="0" relativeHeight="251663360" behindDoc="0" locked="0" layoutInCell="1" allowOverlap="1" wp14:anchorId="42A8B35B" wp14:editId="36730F79">
                <wp:simplePos x="0" y="0"/>
                <wp:positionH relativeFrom="column">
                  <wp:posOffset>-297180</wp:posOffset>
                </wp:positionH>
                <wp:positionV relativeFrom="paragraph">
                  <wp:posOffset>2119630</wp:posOffset>
                </wp:positionV>
                <wp:extent cx="2171700" cy="2667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171700" cy="266700"/>
                        </a:xfrm>
                        <a:prstGeom prst="rect">
                          <a:avLst/>
                        </a:prstGeom>
                        <a:solidFill>
                          <a:prstClr val="white"/>
                        </a:solidFill>
                        <a:ln>
                          <a:noFill/>
                        </a:ln>
                      </wps:spPr>
                      <wps:txbx>
                        <w:txbxContent>
                          <w:p w14:paraId="02B88C21" w14:textId="1FE844EE" w:rsidR="00BF435E" w:rsidRPr="00751562" w:rsidRDefault="00BF435E" w:rsidP="008A5354">
                            <w:pPr>
                              <w:pStyle w:val="Caption"/>
                              <w:rPr>
                                <w:noProof/>
                                <w:sz w:val="24"/>
                                <w:szCs w:val="24"/>
                              </w:rPr>
                            </w:pPr>
                            <w:r>
                              <w:t xml:space="preserve">Figure </w:t>
                            </w:r>
                            <w:r w:rsidR="00864262">
                              <w:fldChar w:fldCharType="begin"/>
                            </w:r>
                            <w:r w:rsidR="00864262">
                              <w:instrText xml:space="preserve"> SEQ Figure \* ARABIC </w:instrText>
                            </w:r>
                            <w:r w:rsidR="00864262">
                              <w:fldChar w:fldCharType="separate"/>
                            </w:r>
                            <w:r w:rsidR="00B93DE9">
                              <w:rPr>
                                <w:noProof/>
                              </w:rPr>
                              <w:t>2</w:t>
                            </w:r>
                            <w:r w:rsidR="00864262">
                              <w:rPr>
                                <w:noProof/>
                              </w:rPr>
                              <w:fldChar w:fldCharType="end"/>
                            </w:r>
                            <w:r w:rsidRPr="00844B29">
                              <w:t>https://corporate.greggs.co.uk/about-us/our-history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A8B35B" id="Text Box 4" o:spid="_x0000_s1027" type="#_x0000_t202" style="position:absolute;margin-left:-23.4pt;margin-top:166.9pt;width:171pt;height:2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" stroked="f">
                <v:textbox inset="0,0,0,0">
                  <w:txbxContent>
                    <w:p w14:paraId="02B88C21" w14:textId="1FE844EE" w:rsidR="00BF435E" w:rsidRPr="00751562" w:rsidRDefault="00BF435E" w:rsidP="008A5354">
                      <w:pPr>
                        <w:pStyle w:val="Caption"/>
                        <w:rPr>
                          <w:noProof/>
                          <w:sz w:val="24"/>
                          <w:szCs w:val="24"/>
                        </w:rPr>
                      </w:pPr>
                      <w:r>
                        <w:t xml:space="preserve">Figure </w:t>
                      </w:r>
                      <w:r w:rsidR="00864262">
                        <w:fldChar w:fldCharType="begin"/>
                      </w:r>
                      <w:r w:rsidR="00864262">
                        <w:instrText xml:space="preserve"> SEQ Figure \* ARABIC </w:instrText>
                      </w:r>
                      <w:r w:rsidR="00864262">
                        <w:fldChar w:fldCharType="separate"/>
                      </w:r>
                      <w:r w:rsidR="00B93DE9">
                        <w:rPr>
                          <w:noProof/>
                        </w:rPr>
                        <w:t>2</w:t>
                      </w:r>
                      <w:r w:rsidR="00864262">
                        <w:rPr>
                          <w:noProof/>
                        </w:rPr>
                        <w:fldChar w:fldCharType="end"/>
                      </w:r>
                      <w:r w:rsidRPr="00844B29">
                        <w:t>https://corporate.greggs.co.uk/about-us/our-history</w:t>
                      </w:r>
                    </w:p>
                  </w:txbxContent>
                </v:textbox>
                <w10:wrap type="square"/>
              </v:shape>
            </w:pict>
          </mc:Fallback>
        </mc:AlternateContent>
      </w:r>
      <w:r w:rsidR="00A5449F" w:rsidRPr="00EA5D55">
        <w:rPr>
          <w:rFonts w:ascii="Arial" w:hAnsi="Arial" w:cs="Arial"/>
        </w:rPr>
        <w:t>After the passing of John Gregg in 1964, his son Ian Gregg took control and drove substantial regional growth by acquiring other bakery businesses (Company-Histories.com, 2025). Greggs became a publicly traded company on the London Stock Exchange in 1984, utilizing the raised funds to support its expansion throughout the UK (DCFmodeling.com, 2025). In 2013, the business shifted its focus to concentrate on the highly profitable "food-on-the-go" sector, stepping away from conventional take-home bakery items to emerge as the foremost specialist retailer in the UK, now featuring over 2,500 locations (Wikipedia,2025; Greggs, 2025).</w:t>
      </w:r>
    </w:p>
    <w:p w14:paraId="5E806AEE" w14:textId="28AF5DD5" w:rsidR="008A5354" w:rsidRPr="00EA5D55" w:rsidRDefault="008A5354" w:rsidP="0065037A">
      <w:pPr>
        <w:rPr>
          <w:rFonts w:ascii="Arial" w:hAnsi="Arial" w:cs="Arial"/>
          <w:noProof/>
        </w:rPr>
      </w:pPr>
    </w:p>
    <w:p w14:paraId="6AAF8EF7" w14:textId="3B886BBB" w:rsidR="008A5354" w:rsidRPr="00EA5D55" w:rsidRDefault="008A5354" w:rsidP="008A5354">
      <w:pPr>
        <w:pStyle w:val="Heading1"/>
        <w:rPr>
          <w:rFonts w:ascii="Arial" w:hAnsi="Arial" w:cs="Arial"/>
          <w:noProof/>
          <w:sz w:val="24"/>
          <w:szCs w:val="24"/>
        </w:rPr>
      </w:pPr>
      <w:bookmarkStart w:id="1" w:name="_Toc215617306"/>
      <w:r w:rsidRPr="00EA5D55">
        <w:rPr>
          <w:rFonts w:ascii="Arial" w:hAnsi="Arial" w:cs="Arial"/>
          <w:noProof/>
          <w:sz w:val="24"/>
          <w:szCs w:val="24"/>
        </w:rPr>
        <w:t>Introduction</w:t>
      </w:r>
      <w:bookmarkEnd w:id="1"/>
    </w:p>
    <w:p w14:paraId="409A6CCD" w14:textId="230A61B4" w:rsidR="00DA0213" w:rsidRDefault="008A5354" w:rsidP="00DA0213">
      <w:r w:rsidRPr="00EA5D55">
        <w:rPr>
          <w:rFonts w:ascii="Arial" w:hAnsi="Arial" w:cs="Arial"/>
        </w:rPr>
        <w:t>This report examines Greggs plc's strategic move into India, focusing on urban millennials and Generation Z consumers in Tier 1 cities. Using thorough strategic analysis through PESTEL, Porter's Five Forces, and SWOT frameworks, the study uncovers considerable opportunities within India's $60 billion food services market, which is growing at a rate of 9-10% each year. The expansion strategy adopts a hybrid market entry approach that integrates wholly-owned flagship stores and selective franchising, aiming at the underserved value bakery-café segment through cost leadership. The implementation plan includes developing a localized menu, setting up a strong supply chain, and engaging customers with a digital-first approach. A Balanced Scorecard</w:t>
      </w:r>
      <w:r w:rsidRPr="008A5354">
        <w:t xml:space="preserve"> </w:t>
      </w:r>
      <w:r w:rsidRPr="00EA5D55">
        <w:rPr>
          <w:rFonts w:ascii="Arial" w:hAnsi="Arial" w:cs="Arial"/>
        </w:rPr>
        <w:t>framework, aligned with Triple Bottom Line principles, offers an extensive method for monitoring performance across financial, customer, operational, learning, and sustainability aspects. Although there are challenges such as cultural adjustment, supply chain intricacies, and fierce competition, the demographic advantages in</w:t>
      </w:r>
      <w:r w:rsidR="00EA5D55">
        <w:rPr>
          <w:rFonts w:ascii="Arial" w:hAnsi="Arial" w:cs="Arial"/>
        </w:rPr>
        <w:t xml:space="preserve"> </w:t>
      </w:r>
      <w:r w:rsidRPr="00EA5D55">
        <w:rPr>
          <w:rFonts w:ascii="Arial" w:hAnsi="Arial" w:cs="Arial"/>
        </w:rPr>
        <w:lastRenderedPageBreak/>
        <w:t xml:space="preserve">India, shifting consumption trends, and existing market gaps provide a strong strategic </w:t>
      </w:r>
      <w:r w:rsidR="00DA0213" w:rsidRPr="00EA5D55">
        <w:rPr>
          <w:rFonts w:ascii="Arial" w:hAnsi="Arial" w:cs="Arial"/>
          <w:noProof/>
        </w:rPr>
        <mc:AlternateContent>
          <mc:Choice Requires="wps">
            <w:drawing>
              <wp:anchor distT="0" distB="0" distL="114300" distR="114300" simplePos="0" relativeHeight="251670528" behindDoc="0" locked="0" layoutInCell="1" allowOverlap="1" wp14:anchorId="6D4E1CCD" wp14:editId="6819A48E">
                <wp:simplePos x="0" y="0"/>
                <wp:positionH relativeFrom="margin">
                  <wp:align>center</wp:align>
                </wp:positionH>
                <wp:positionV relativeFrom="paragraph">
                  <wp:posOffset>1216025</wp:posOffset>
                </wp:positionV>
                <wp:extent cx="1767840" cy="990600"/>
                <wp:effectExtent l="38100" t="38100" r="99060" b="114300"/>
                <wp:wrapNone/>
                <wp:docPr id="10" name="Arrow: Right 10"/>
                <wp:cNvGraphicFramePr/>
                <a:graphic xmlns:a="http://schemas.openxmlformats.org/drawingml/2006/main">
                  <a:graphicData uri="http://schemas.microsoft.com/office/word/2010/wordprocessingShape">
                    <wps:wsp>
                      <wps:cNvSpPr/>
                      <wps:spPr>
                        <a:xfrm>
                          <a:off x="0" y="0"/>
                          <a:ext cx="1767840" cy="990600"/>
                        </a:xfrm>
                        <a:prstGeom prst="rightArrow">
                          <a:avLst/>
                        </a:prstGeom>
                        <a:solidFill>
                          <a:srgbClr val="FF0000"/>
                        </a:solidFill>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7A2C96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 o:spid="_x0000_s1026" type="#_x0000_t13" style="position:absolute;margin-left:0;margin-top:95.75pt;width:139.2pt;height:78pt;z-index:25167052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" adj="15548" fillcolor="red" strokecolor="#0a2f40 [1604]" strokeweight="1pt">
                <v:shadow on="t" color="black" opacity="26214f" origin="-.5,-.5" offset=".74836mm,.74836mm"/>
                <w10:wrap anchorx="margin"/>
              </v:shape>
            </w:pict>
          </mc:Fallback>
        </mc:AlternateContent>
      </w:r>
      <w:r w:rsidR="00DA0213" w:rsidRPr="00EA5D55">
        <w:rPr>
          <w:rFonts w:ascii="Arial" w:hAnsi="Arial" w:cs="Arial"/>
          <w:noProof/>
        </w:rPr>
        <mc:AlternateContent>
          <mc:Choice Requires="wps">
            <w:drawing>
              <wp:anchor distT="0" distB="0" distL="114300" distR="114300" simplePos="0" relativeHeight="251667456" behindDoc="0" locked="0" layoutInCell="1" allowOverlap="1" wp14:anchorId="3F92B8AE" wp14:editId="752D6188">
                <wp:simplePos x="0" y="0"/>
                <wp:positionH relativeFrom="column">
                  <wp:posOffset>3483610</wp:posOffset>
                </wp:positionH>
                <wp:positionV relativeFrom="paragraph">
                  <wp:posOffset>2728595</wp:posOffset>
                </wp:positionV>
                <wp:extent cx="361950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619500" cy="635"/>
                        </a:xfrm>
                        <a:prstGeom prst="rect">
                          <a:avLst/>
                        </a:prstGeom>
                        <a:solidFill>
                          <a:prstClr val="white"/>
                        </a:solidFill>
                        <a:ln>
                          <a:noFill/>
                        </a:ln>
                      </wps:spPr>
                      <wps:txbx>
                        <w:txbxContent>
                          <w:p w14:paraId="3FDB42E8" w14:textId="209E4946" w:rsidR="00BF435E" w:rsidRPr="003847F8" w:rsidRDefault="00BF435E" w:rsidP="00DA0213">
                            <w:pPr>
                              <w:pStyle w:val="Caption"/>
                              <w:rPr>
                                <w:sz w:val="24"/>
                                <w:szCs w:val="24"/>
                              </w:rPr>
                            </w:pPr>
                            <w:r>
                              <w:t xml:space="preserve">Figure </w:t>
                            </w:r>
                            <w:r w:rsidR="00864262">
                              <w:fldChar w:fldCharType="begin"/>
                            </w:r>
                            <w:r w:rsidR="00864262">
                              <w:instrText xml:space="preserve"> SEQ Figure \* ARABIC </w:instrText>
                            </w:r>
                            <w:r w:rsidR="00864262">
                              <w:fldChar w:fldCharType="separate"/>
                            </w:r>
                            <w:r w:rsidR="00B93DE9">
                              <w:rPr>
                                <w:noProof/>
                              </w:rPr>
                              <w:t>3</w:t>
                            </w:r>
                            <w:r w:rsidR="00864262">
                              <w:rPr>
                                <w:noProof/>
                              </w:rPr>
                              <w:fldChar w:fldCharType="end"/>
                            </w:r>
                            <w:r w:rsidRPr="004B3EFA">
                              <w:t>https://en.wikipedia.org/wiki/Flag_of_India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92B8AE" id="Text Box 8" o:spid="_x0000_s1028" type="#_x0000_t202" style="position:absolute;margin-left:274.3pt;margin-top:214.85pt;width:28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" stroked="f">
                <v:textbox style="mso-fit-shape-to-text:t" inset="0,0,0,0">
                  <w:txbxContent>
                    <w:p w14:paraId="3FDB42E8" w14:textId="209E4946" w:rsidR="00BF435E" w:rsidRPr="003847F8" w:rsidRDefault="00BF435E" w:rsidP="00DA0213">
                      <w:pPr>
                        <w:pStyle w:val="Caption"/>
                        <w:rPr>
                          <w:sz w:val="24"/>
                          <w:szCs w:val="24"/>
                        </w:rPr>
                      </w:pPr>
                      <w:r>
                        <w:t xml:space="preserve">Figure </w:t>
                      </w:r>
                      <w:r w:rsidR="00864262">
                        <w:fldChar w:fldCharType="begin"/>
                      </w:r>
                      <w:r w:rsidR="00864262">
                        <w:instrText xml:space="preserve"> SEQ Figure \* ARABIC </w:instrText>
                      </w:r>
                      <w:r w:rsidR="00864262">
                        <w:fldChar w:fldCharType="separate"/>
                      </w:r>
                      <w:r w:rsidR="00B93DE9">
                        <w:rPr>
                          <w:noProof/>
                        </w:rPr>
                        <w:t>3</w:t>
                      </w:r>
                      <w:r w:rsidR="00864262">
                        <w:rPr>
                          <w:noProof/>
                        </w:rPr>
                        <w:fldChar w:fldCharType="end"/>
                      </w:r>
                      <w:r w:rsidRPr="004B3EFA">
                        <w:t>https://en.wikipedia.org/wiki/Flag_of_India</w:t>
                      </w:r>
                    </w:p>
                  </w:txbxContent>
                </v:textbox>
                <w10:wrap type="square"/>
              </v:shape>
            </w:pict>
          </mc:Fallback>
        </mc:AlternateContent>
      </w:r>
      <w:r w:rsidR="00DA0213" w:rsidRPr="00EA5D55">
        <w:rPr>
          <w:rFonts w:ascii="Arial" w:hAnsi="Arial" w:cs="Arial"/>
          <w:noProof/>
        </w:rPr>
        <w:drawing>
          <wp:anchor distT="0" distB="0" distL="114300" distR="114300" simplePos="0" relativeHeight="251664384" behindDoc="0" locked="0" layoutInCell="1" allowOverlap="1" wp14:anchorId="7471DE33" wp14:editId="741BB99D">
            <wp:simplePos x="0" y="0"/>
            <wp:positionH relativeFrom="column">
              <wp:posOffset>3482340</wp:posOffset>
            </wp:positionH>
            <wp:positionV relativeFrom="paragraph">
              <wp:posOffset>758825</wp:posOffset>
            </wp:positionV>
            <wp:extent cx="3619500" cy="191008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19500" cy="1910080"/>
                    </a:xfrm>
                    <a:prstGeom prst="rect">
                      <a:avLst/>
                    </a:prstGeom>
                    <a:noFill/>
                  </pic:spPr>
                </pic:pic>
              </a:graphicData>
            </a:graphic>
          </wp:anchor>
        </w:drawing>
      </w:r>
      <w:r w:rsidR="00DA0213" w:rsidRPr="00EA5D55">
        <w:rPr>
          <w:rFonts w:ascii="Arial" w:hAnsi="Arial" w:cs="Arial"/>
          <w:noProof/>
        </w:rPr>
        <mc:AlternateContent>
          <mc:Choice Requires="wps">
            <w:drawing>
              <wp:anchor distT="0" distB="0" distL="114300" distR="114300" simplePos="0" relativeHeight="251669504" behindDoc="0" locked="0" layoutInCell="1" allowOverlap="1" wp14:anchorId="53D1E7FC" wp14:editId="0972E604">
                <wp:simplePos x="0" y="0"/>
                <wp:positionH relativeFrom="column">
                  <wp:posOffset>-190500</wp:posOffset>
                </wp:positionH>
                <wp:positionV relativeFrom="paragraph">
                  <wp:posOffset>2728595</wp:posOffset>
                </wp:positionV>
                <wp:extent cx="359791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3597910" cy="635"/>
                        </a:xfrm>
                        <a:prstGeom prst="rect">
                          <a:avLst/>
                        </a:prstGeom>
                        <a:solidFill>
                          <a:prstClr val="white"/>
                        </a:solidFill>
                        <a:ln>
                          <a:noFill/>
                        </a:ln>
                      </wps:spPr>
                      <wps:txbx>
                        <w:txbxContent>
                          <w:p w14:paraId="758A6137" w14:textId="2EA859A6" w:rsidR="00BF435E" w:rsidRPr="00120419" w:rsidRDefault="00BF435E" w:rsidP="00DA0213">
                            <w:pPr>
                              <w:pStyle w:val="Caption"/>
                              <w:rPr>
                                <w:sz w:val="24"/>
                                <w:szCs w:val="24"/>
                              </w:rPr>
                            </w:pPr>
                            <w:r>
                              <w:t xml:space="preserve">Figure </w:t>
                            </w:r>
                            <w:r w:rsidR="00864262">
                              <w:fldChar w:fldCharType="begin"/>
                            </w:r>
                            <w:r w:rsidR="00864262">
                              <w:instrText xml:space="preserve"> SEQ Figure \* ARABIC </w:instrText>
                            </w:r>
                            <w:r w:rsidR="00864262">
                              <w:fldChar w:fldCharType="separate"/>
                            </w:r>
                            <w:r w:rsidR="00B93DE9">
                              <w:rPr>
                                <w:noProof/>
                              </w:rPr>
                              <w:t>4</w:t>
                            </w:r>
                            <w:r w:rsidR="00864262">
                              <w:rPr>
                                <w:noProof/>
                              </w:rPr>
                              <w:fldChar w:fldCharType="end"/>
                            </w:r>
                            <w:r w:rsidRPr="00AE29AF">
                              <w:t>https://corporate.greggs.co.uk/about-us/our-history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D1E7FC" id="Text Box 9" o:spid="_x0000_s1029" type="#_x0000_t202" style="position:absolute;margin-left:-15pt;margin-top:214.85pt;width:283.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" stroked="f">
                <v:textbox style="mso-fit-shape-to-text:t" inset="0,0,0,0">
                  <w:txbxContent>
                    <w:p w14:paraId="758A6137" w14:textId="2EA859A6" w:rsidR="00BF435E" w:rsidRPr="00120419" w:rsidRDefault="00BF435E" w:rsidP="00DA0213">
                      <w:pPr>
                        <w:pStyle w:val="Caption"/>
                        <w:rPr>
                          <w:sz w:val="24"/>
                          <w:szCs w:val="24"/>
                        </w:rPr>
                      </w:pPr>
                      <w:r>
                        <w:t xml:space="preserve">Figure </w:t>
                      </w:r>
                      <w:r w:rsidR="00864262">
                        <w:fldChar w:fldCharType="begin"/>
                      </w:r>
                      <w:r w:rsidR="00864262">
                        <w:instrText xml:space="preserve"> SEQ Figure \* ARABIC </w:instrText>
                      </w:r>
                      <w:r w:rsidR="00864262">
                        <w:fldChar w:fldCharType="separate"/>
                      </w:r>
                      <w:r w:rsidR="00B93DE9">
                        <w:rPr>
                          <w:noProof/>
                        </w:rPr>
                        <w:t>4</w:t>
                      </w:r>
                      <w:r w:rsidR="00864262">
                        <w:rPr>
                          <w:noProof/>
                        </w:rPr>
                        <w:fldChar w:fldCharType="end"/>
                      </w:r>
                      <w:r w:rsidRPr="00AE29AF">
                        <w:t>https://corporate.greggs.co.uk/about-us/our-history</w:t>
                      </w:r>
                    </w:p>
                  </w:txbxContent>
                </v:textbox>
                <w10:wrap type="square"/>
              </v:shape>
            </w:pict>
          </mc:Fallback>
        </mc:AlternateContent>
      </w:r>
      <w:r w:rsidR="00DA0213" w:rsidRPr="00EA5D55">
        <w:rPr>
          <w:rFonts w:ascii="Arial" w:hAnsi="Arial" w:cs="Arial"/>
          <w:noProof/>
        </w:rPr>
        <w:drawing>
          <wp:anchor distT="0" distB="0" distL="114300" distR="114300" simplePos="0" relativeHeight="251665408" behindDoc="1" locked="0" layoutInCell="1" allowOverlap="1" wp14:anchorId="35C8EEE1" wp14:editId="2255C100">
            <wp:simplePos x="0" y="0"/>
            <wp:positionH relativeFrom="column">
              <wp:posOffset>-190500</wp:posOffset>
            </wp:positionH>
            <wp:positionV relativeFrom="paragraph">
              <wp:posOffset>751205</wp:posOffset>
            </wp:positionV>
            <wp:extent cx="3597910" cy="1920240"/>
            <wp:effectExtent l="0" t="0" r="2540" b="3810"/>
            <wp:wrapTight wrapText="bothSides">
              <wp:wrapPolygon edited="0">
                <wp:start x="0" y="0"/>
                <wp:lineTo x="0" y="21429"/>
                <wp:lineTo x="21501" y="21429"/>
                <wp:lineTo x="21501" y="0"/>
                <wp:lineTo x="0" y="0"/>
              </wp:wrapPolygon>
            </wp:wrapTight>
            <wp:docPr id="5" name="Picture 5" descr="Greggs Corporate | Our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eggs Corporate | Our histor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97910" cy="1920240"/>
                    </a:xfrm>
                    <a:prstGeom prst="rect">
                      <a:avLst/>
                    </a:prstGeom>
                    <a:noFill/>
                    <a:ln>
                      <a:noFill/>
                    </a:ln>
                  </pic:spPr>
                </pic:pic>
              </a:graphicData>
            </a:graphic>
          </wp:anchor>
        </w:drawing>
      </w:r>
      <w:r w:rsidRPr="00EA5D55">
        <w:rPr>
          <w:rFonts w:ascii="Arial" w:hAnsi="Arial" w:cs="Arial"/>
        </w:rPr>
        <w:t>justification for Greggs' first major international venture.</w:t>
      </w:r>
      <w:r w:rsidR="00F038A7" w:rsidRPr="00EA5D55">
        <w:rPr>
          <w:rFonts w:ascii="Arial" w:hAnsi="Arial" w:cs="Arial"/>
        </w:rPr>
        <w:t xml:space="preserve"> </w:t>
      </w:r>
    </w:p>
    <w:p w14:paraId="7AB062B0" w14:textId="0C29F4A1" w:rsidR="008A5354" w:rsidRPr="00EA5D55" w:rsidRDefault="00F038A7" w:rsidP="00F038A7">
      <w:pPr>
        <w:pStyle w:val="Heading1"/>
        <w:rPr>
          <w:rFonts w:ascii="Arial" w:hAnsi="Arial" w:cs="Arial"/>
          <w:sz w:val="24"/>
          <w:szCs w:val="24"/>
        </w:rPr>
      </w:pPr>
      <w:bookmarkStart w:id="2" w:name="_Toc215617307"/>
      <w:r w:rsidRPr="00EA5D55">
        <w:rPr>
          <w:rFonts w:ascii="Arial" w:hAnsi="Arial" w:cs="Arial"/>
          <w:sz w:val="24"/>
          <w:szCs w:val="24"/>
        </w:rPr>
        <w:t>1.</w:t>
      </w:r>
      <w:r w:rsidR="008A5354" w:rsidRPr="00EA5D55">
        <w:rPr>
          <w:rFonts w:ascii="Arial" w:hAnsi="Arial" w:cs="Arial"/>
          <w:sz w:val="24"/>
          <w:szCs w:val="24"/>
        </w:rPr>
        <w:t>Greggs International Expansion Strategy: Entry into the Indian Market</w:t>
      </w:r>
      <w:bookmarkEnd w:id="2"/>
    </w:p>
    <w:p w14:paraId="35699A4A" w14:textId="2CC8D9BE" w:rsidR="008A5354" w:rsidRPr="00EA5D55" w:rsidRDefault="008A5354" w:rsidP="008A5354">
      <w:pPr>
        <w:rPr>
          <w:rFonts w:ascii="Arial" w:hAnsi="Arial" w:cs="Arial"/>
        </w:rPr>
      </w:pPr>
    </w:p>
    <w:p w14:paraId="584BC143" w14:textId="69079803" w:rsidR="00A5449F" w:rsidRPr="00EA5D55" w:rsidRDefault="00F038A7" w:rsidP="00F038A7">
      <w:pPr>
        <w:pStyle w:val="Heading2"/>
        <w:rPr>
          <w:rFonts w:ascii="Arial" w:hAnsi="Arial" w:cs="Arial"/>
          <w:sz w:val="24"/>
          <w:szCs w:val="24"/>
        </w:rPr>
      </w:pPr>
      <w:bookmarkStart w:id="3" w:name="_Toc215617308"/>
      <w:r w:rsidRPr="00EA5D55">
        <w:rPr>
          <w:rFonts w:ascii="Arial" w:hAnsi="Arial" w:cs="Arial"/>
          <w:sz w:val="24"/>
          <w:szCs w:val="24"/>
        </w:rPr>
        <w:t>1.1 The Chosen Organization</w:t>
      </w:r>
      <w:bookmarkEnd w:id="3"/>
    </w:p>
    <w:p w14:paraId="500DEF31" w14:textId="3A438C04" w:rsidR="00F038A7" w:rsidRPr="00EA5D55" w:rsidRDefault="00F038A7" w:rsidP="00F038A7">
      <w:pPr>
        <w:rPr>
          <w:rFonts w:ascii="Arial" w:hAnsi="Arial" w:cs="Arial"/>
        </w:rPr>
      </w:pPr>
    </w:p>
    <w:p w14:paraId="0B1DDCBA" w14:textId="66B59576" w:rsidR="00F038A7" w:rsidRPr="00EA5D55" w:rsidRDefault="00F038A7" w:rsidP="00F038A7">
      <w:pPr>
        <w:spacing w:line="278" w:lineRule="auto"/>
        <w:rPr>
          <w:rFonts w:ascii="Arial" w:eastAsia="Aptos" w:hAnsi="Arial" w:cs="Arial"/>
        </w:rPr>
      </w:pPr>
      <w:r w:rsidRPr="00EA5D55">
        <w:rPr>
          <w:rFonts w:ascii="Arial" w:eastAsia="Aptos" w:hAnsi="Arial" w:cs="Arial"/>
        </w:rPr>
        <w:t xml:space="preserve">Greggs plc is the leading bakery food-on-the-go retailer in the United Kingdom, founded in 1939 and boasting a legacy of over eighty years. With over 2,450 stores across the nation, Greggs generated revenues of £1.8 billion in 2023, catering to around 10 million customers each week (Greggs plc, 2024). The company's core value proposition focuses on quality products at affordable prices, offering a mix of freshly baked goods, sandwiches, hot drinks, and savory items available through conveniently placed high-street and transport hub locations. </w:t>
      </w:r>
    </w:p>
    <w:p w14:paraId="61194000" w14:textId="635F938A" w:rsidR="1BAECB45" w:rsidRPr="00EA5D55" w:rsidRDefault="00F038A7" w:rsidP="00F038A7">
      <w:pPr>
        <w:spacing w:line="278" w:lineRule="auto"/>
        <w:rPr>
          <w:rFonts w:ascii="Arial" w:eastAsia="Aptos" w:hAnsi="Arial" w:cs="Arial"/>
        </w:rPr>
      </w:pPr>
      <w:r w:rsidRPr="00EA5D55">
        <w:rPr>
          <w:rFonts w:ascii="Arial" w:eastAsia="Aptos" w:hAnsi="Arial" w:cs="Arial"/>
        </w:rPr>
        <w:t>Greggs positions itself in the value segment, clearly distinguished from premium coffee outlets while upholding a quality advantage over low-cost alternatives. This strategic positioning has led to steady financial results, with compound annual growth rates surpassing 7% over the last five years, showcasing the resilience of its business model through various economic conditions and significant external challenges, including the COVID-19 pandemic (Greggs plc, 2024).</w:t>
      </w:r>
    </w:p>
    <w:p w14:paraId="64ABF6EA" w14:textId="1290914C" w:rsidR="00F038A7" w:rsidRDefault="00F038A7" w:rsidP="00F038A7">
      <w:pPr>
        <w:pStyle w:val="Heading2"/>
        <w:rPr>
          <w:rFonts w:ascii="Arial" w:hAnsi="Arial" w:cs="Arial"/>
          <w:sz w:val="24"/>
          <w:szCs w:val="24"/>
        </w:rPr>
      </w:pPr>
      <w:bookmarkStart w:id="4" w:name="_Toc215617309"/>
      <w:r w:rsidRPr="00EA5D55">
        <w:rPr>
          <w:rFonts w:ascii="Arial" w:hAnsi="Arial" w:cs="Arial"/>
          <w:sz w:val="24"/>
          <w:szCs w:val="24"/>
        </w:rPr>
        <w:t>1.2 Target Market: India</w:t>
      </w:r>
      <w:bookmarkEnd w:id="4"/>
    </w:p>
    <w:p w14:paraId="4F22BC97" w14:textId="77777777" w:rsidR="00312BDA" w:rsidRPr="00312BDA" w:rsidRDefault="00312BDA" w:rsidP="00312BDA"/>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98"/>
        <w:gridCol w:w="1921"/>
        <w:gridCol w:w="6871"/>
      </w:tblGrid>
      <w:tr w:rsidR="00FD7C93" w:rsidRPr="00FD7C93" w14:paraId="36E64120" w14:textId="77777777" w:rsidTr="00FD7C93">
        <w:trPr>
          <w:tblHeader/>
          <w:tblCellSpacing w:w="15" w:type="dxa"/>
        </w:trPr>
        <w:tc>
          <w:tcPr>
            <w:tcW w:w="0" w:type="auto"/>
            <w:vAlign w:val="center"/>
            <w:hideMark/>
          </w:tcPr>
          <w:p w14:paraId="11436A3F" w14:textId="77777777" w:rsidR="00FD7C93" w:rsidRPr="00FD7C93" w:rsidRDefault="00FD7C93" w:rsidP="00FD7C93">
            <w:pPr>
              <w:spacing w:after="0" w:line="240" w:lineRule="auto"/>
              <w:jc w:val="center"/>
              <w:rPr>
                <w:rFonts w:ascii="Arial" w:eastAsia="Times New Roman" w:hAnsi="Arial" w:cs="Arial"/>
                <w:b/>
                <w:bCs/>
                <w:lang w:val="en-IN" w:eastAsia="en-IN"/>
              </w:rPr>
            </w:pPr>
            <w:r w:rsidRPr="00FD7C93">
              <w:rPr>
                <w:rFonts w:ascii="Arial" w:eastAsia="Times New Roman" w:hAnsi="Arial" w:cs="Arial"/>
                <w:b/>
                <w:bCs/>
                <w:lang w:val="en-IN" w:eastAsia="en-IN"/>
              </w:rPr>
              <w:t>STP Element</w:t>
            </w:r>
          </w:p>
        </w:tc>
        <w:tc>
          <w:tcPr>
            <w:tcW w:w="0" w:type="auto"/>
            <w:vAlign w:val="center"/>
            <w:hideMark/>
          </w:tcPr>
          <w:p w14:paraId="624FA217" w14:textId="77777777" w:rsidR="00FD7C93" w:rsidRPr="00FD7C93" w:rsidRDefault="00FD7C93" w:rsidP="00FD7C93">
            <w:pPr>
              <w:spacing w:after="0" w:line="240" w:lineRule="auto"/>
              <w:jc w:val="center"/>
              <w:rPr>
                <w:rFonts w:ascii="Arial" w:eastAsia="Times New Roman" w:hAnsi="Arial" w:cs="Arial"/>
                <w:b/>
                <w:bCs/>
                <w:lang w:val="en-IN" w:eastAsia="en-IN"/>
              </w:rPr>
            </w:pPr>
            <w:r w:rsidRPr="00FD7C93">
              <w:rPr>
                <w:rFonts w:ascii="Arial" w:eastAsia="Times New Roman" w:hAnsi="Arial" w:cs="Arial"/>
                <w:b/>
                <w:bCs/>
                <w:lang w:val="en-IN" w:eastAsia="en-IN"/>
              </w:rPr>
              <w:t>Details</w:t>
            </w:r>
          </w:p>
        </w:tc>
        <w:tc>
          <w:tcPr>
            <w:tcW w:w="0" w:type="auto"/>
            <w:vAlign w:val="center"/>
            <w:hideMark/>
          </w:tcPr>
          <w:p w14:paraId="240A36D5" w14:textId="77777777" w:rsidR="00FD7C93" w:rsidRPr="00FD7C93" w:rsidRDefault="00FD7C93" w:rsidP="00FD7C93">
            <w:pPr>
              <w:spacing w:after="0" w:line="240" w:lineRule="auto"/>
              <w:jc w:val="center"/>
              <w:rPr>
                <w:rFonts w:ascii="Arial" w:eastAsia="Times New Roman" w:hAnsi="Arial" w:cs="Arial"/>
                <w:b/>
                <w:bCs/>
                <w:lang w:val="en-IN" w:eastAsia="en-IN"/>
              </w:rPr>
            </w:pPr>
            <w:r w:rsidRPr="00FD7C93">
              <w:rPr>
                <w:rFonts w:ascii="Arial" w:eastAsia="Times New Roman" w:hAnsi="Arial" w:cs="Arial"/>
                <w:b/>
                <w:bCs/>
                <w:lang w:val="en-IN" w:eastAsia="en-IN"/>
              </w:rPr>
              <w:t>Application for Greggs India</w:t>
            </w:r>
          </w:p>
        </w:tc>
      </w:tr>
      <w:tr w:rsidR="00FD7C93" w:rsidRPr="00FD7C93" w14:paraId="1F780E87" w14:textId="77777777" w:rsidTr="00FD7C93">
        <w:trPr>
          <w:tblCellSpacing w:w="15" w:type="dxa"/>
        </w:trPr>
        <w:tc>
          <w:tcPr>
            <w:tcW w:w="0" w:type="auto"/>
            <w:vAlign w:val="center"/>
            <w:hideMark/>
          </w:tcPr>
          <w:p w14:paraId="3A5D47DC"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Segmentation</w:t>
            </w:r>
          </w:p>
        </w:tc>
        <w:tc>
          <w:tcPr>
            <w:tcW w:w="0" w:type="auto"/>
            <w:vAlign w:val="center"/>
            <w:hideMark/>
          </w:tcPr>
          <w:p w14:paraId="279A9798"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Geographic</w:t>
            </w:r>
          </w:p>
        </w:tc>
        <w:tc>
          <w:tcPr>
            <w:tcW w:w="0" w:type="auto"/>
            <w:vAlign w:val="center"/>
            <w:hideMark/>
          </w:tcPr>
          <w:p w14:paraId="70B65F6F"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Target Tier-1 cities first (Mumbai, Delhi, Bengaluru) with high urban footfall and Western food acceptance.</w:t>
            </w:r>
          </w:p>
        </w:tc>
      </w:tr>
      <w:tr w:rsidR="00FD7C93" w:rsidRPr="00FD7C93" w14:paraId="5201FCA1" w14:textId="77777777" w:rsidTr="00FD7C93">
        <w:trPr>
          <w:tblCellSpacing w:w="15" w:type="dxa"/>
        </w:trPr>
        <w:tc>
          <w:tcPr>
            <w:tcW w:w="0" w:type="auto"/>
            <w:vAlign w:val="center"/>
            <w:hideMark/>
          </w:tcPr>
          <w:p w14:paraId="5BD2056B" w14:textId="77777777" w:rsidR="00FD7C93" w:rsidRPr="00FD7C93" w:rsidRDefault="00FD7C93" w:rsidP="00FD7C93">
            <w:pPr>
              <w:spacing w:after="0" w:line="240" w:lineRule="auto"/>
              <w:rPr>
                <w:rFonts w:ascii="Arial" w:eastAsia="Times New Roman" w:hAnsi="Arial" w:cs="Arial"/>
                <w:lang w:val="en-IN" w:eastAsia="en-IN"/>
              </w:rPr>
            </w:pPr>
          </w:p>
        </w:tc>
        <w:tc>
          <w:tcPr>
            <w:tcW w:w="0" w:type="auto"/>
            <w:vAlign w:val="center"/>
            <w:hideMark/>
          </w:tcPr>
          <w:p w14:paraId="2326B270"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Demographic</w:t>
            </w:r>
          </w:p>
        </w:tc>
        <w:tc>
          <w:tcPr>
            <w:tcW w:w="0" w:type="auto"/>
            <w:vAlign w:val="center"/>
            <w:hideMark/>
          </w:tcPr>
          <w:p w14:paraId="1E9840FD"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Young adults (18-35), working professionals, university students, dual-income families.</w:t>
            </w:r>
          </w:p>
        </w:tc>
      </w:tr>
      <w:tr w:rsidR="00FD7C93" w:rsidRPr="00FD7C93" w14:paraId="45CBB265" w14:textId="77777777" w:rsidTr="00FD7C93">
        <w:trPr>
          <w:tblCellSpacing w:w="15" w:type="dxa"/>
        </w:trPr>
        <w:tc>
          <w:tcPr>
            <w:tcW w:w="0" w:type="auto"/>
            <w:vAlign w:val="center"/>
            <w:hideMark/>
          </w:tcPr>
          <w:p w14:paraId="31459AB6" w14:textId="77777777" w:rsidR="00FD7C93" w:rsidRPr="00FD7C93" w:rsidRDefault="00FD7C93" w:rsidP="00FD7C93">
            <w:pPr>
              <w:spacing w:after="0" w:line="240" w:lineRule="auto"/>
              <w:rPr>
                <w:rFonts w:ascii="Arial" w:eastAsia="Times New Roman" w:hAnsi="Arial" w:cs="Arial"/>
                <w:lang w:val="en-IN" w:eastAsia="en-IN"/>
              </w:rPr>
            </w:pPr>
          </w:p>
        </w:tc>
        <w:tc>
          <w:tcPr>
            <w:tcW w:w="0" w:type="auto"/>
            <w:vAlign w:val="center"/>
            <w:hideMark/>
          </w:tcPr>
          <w:p w14:paraId="564CF303"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Psychographic</w:t>
            </w:r>
          </w:p>
        </w:tc>
        <w:tc>
          <w:tcPr>
            <w:tcW w:w="0" w:type="auto"/>
            <w:vAlign w:val="center"/>
            <w:hideMark/>
          </w:tcPr>
          <w:p w14:paraId="61138B16"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Convenience-seekers, health-conscious consumers, value-driven customers open to Western bakery products.</w:t>
            </w:r>
          </w:p>
        </w:tc>
      </w:tr>
      <w:tr w:rsidR="00FD7C93" w:rsidRPr="00FD7C93" w14:paraId="37BFD962" w14:textId="77777777" w:rsidTr="00FD7C93">
        <w:trPr>
          <w:tblCellSpacing w:w="15" w:type="dxa"/>
        </w:trPr>
        <w:tc>
          <w:tcPr>
            <w:tcW w:w="0" w:type="auto"/>
            <w:vAlign w:val="center"/>
            <w:hideMark/>
          </w:tcPr>
          <w:p w14:paraId="328799A5" w14:textId="77777777" w:rsidR="00FD7C93" w:rsidRPr="00FD7C93" w:rsidRDefault="00FD7C93" w:rsidP="00FD7C93">
            <w:pPr>
              <w:spacing w:after="0" w:line="240" w:lineRule="auto"/>
              <w:rPr>
                <w:rFonts w:ascii="Arial" w:eastAsia="Times New Roman" w:hAnsi="Arial" w:cs="Arial"/>
                <w:lang w:val="en-IN" w:eastAsia="en-IN"/>
              </w:rPr>
            </w:pPr>
          </w:p>
        </w:tc>
        <w:tc>
          <w:tcPr>
            <w:tcW w:w="0" w:type="auto"/>
            <w:vAlign w:val="center"/>
            <w:hideMark/>
          </w:tcPr>
          <w:p w14:paraId="171E1753"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Behavioural</w:t>
            </w:r>
          </w:p>
        </w:tc>
        <w:tc>
          <w:tcPr>
            <w:tcW w:w="0" w:type="auto"/>
            <w:vAlign w:val="center"/>
            <w:hideMark/>
          </w:tcPr>
          <w:p w14:paraId="78719075"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Frequent on-the-go eaters, snack buyers, price-sensitive but quality-expectant consumers.</w:t>
            </w:r>
          </w:p>
        </w:tc>
      </w:tr>
      <w:tr w:rsidR="00FD7C93" w:rsidRPr="00FD7C93" w14:paraId="78EC9FC9" w14:textId="77777777" w:rsidTr="00FD7C93">
        <w:trPr>
          <w:tblCellSpacing w:w="15" w:type="dxa"/>
        </w:trPr>
        <w:tc>
          <w:tcPr>
            <w:tcW w:w="0" w:type="auto"/>
            <w:vAlign w:val="center"/>
            <w:hideMark/>
          </w:tcPr>
          <w:p w14:paraId="56034843"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Targeting</w:t>
            </w:r>
          </w:p>
        </w:tc>
        <w:tc>
          <w:tcPr>
            <w:tcW w:w="0" w:type="auto"/>
            <w:vAlign w:val="center"/>
            <w:hideMark/>
          </w:tcPr>
          <w:p w14:paraId="56F80D01"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Primary Target</w:t>
            </w:r>
          </w:p>
        </w:tc>
        <w:tc>
          <w:tcPr>
            <w:tcW w:w="0" w:type="auto"/>
            <w:vAlign w:val="center"/>
            <w:hideMark/>
          </w:tcPr>
          <w:p w14:paraId="0517B0F7"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Urban young professionals &amp; students requiring quick meals/snacks at affordable prices.</w:t>
            </w:r>
          </w:p>
        </w:tc>
      </w:tr>
      <w:tr w:rsidR="00FD7C93" w:rsidRPr="00FD7C93" w14:paraId="68024453" w14:textId="77777777" w:rsidTr="00FD7C93">
        <w:trPr>
          <w:tblCellSpacing w:w="15" w:type="dxa"/>
        </w:trPr>
        <w:tc>
          <w:tcPr>
            <w:tcW w:w="0" w:type="auto"/>
            <w:vAlign w:val="center"/>
            <w:hideMark/>
          </w:tcPr>
          <w:p w14:paraId="28BADABB" w14:textId="77777777" w:rsidR="00FD7C93" w:rsidRPr="00FD7C93" w:rsidRDefault="00FD7C93" w:rsidP="00FD7C93">
            <w:pPr>
              <w:spacing w:after="0" w:line="240" w:lineRule="auto"/>
              <w:rPr>
                <w:rFonts w:ascii="Arial" w:eastAsia="Times New Roman" w:hAnsi="Arial" w:cs="Arial"/>
                <w:lang w:val="en-IN" w:eastAsia="en-IN"/>
              </w:rPr>
            </w:pPr>
          </w:p>
        </w:tc>
        <w:tc>
          <w:tcPr>
            <w:tcW w:w="0" w:type="auto"/>
            <w:vAlign w:val="center"/>
            <w:hideMark/>
          </w:tcPr>
          <w:p w14:paraId="23660363"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Secondary Target</w:t>
            </w:r>
          </w:p>
        </w:tc>
        <w:tc>
          <w:tcPr>
            <w:tcW w:w="0" w:type="auto"/>
            <w:vAlign w:val="center"/>
            <w:hideMark/>
          </w:tcPr>
          <w:p w14:paraId="1B9CC36F"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Middle-income families and commuters looking for convenient &amp; hygienic breakfast/lunch options.</w:t>
            </w:r>
          </w:p>
        </w:tc>
      </w:tr>
      <w:tr w:rsidR="00FD7C93" w:rsidRPr="00FD7C93" w14:paraId="438986ED" w14:textId="77777777" w:rsidTr="00FD7C93">
        <w:trPr>
          <w:tblCellSpacing w:w="15" w:type="dxa"/>
        </w:trPr>
        <w:tc>
          <w:tcPr>
            <w:tcW w:w="0" w:type="auto"/>
            <w:vAlign w:val="center"/>
            <w:hideMark/>
          </w:tcPr>
          <w:p w14:paraId="3A041D89" w14:textId="77777777" w:rsidR="00FD7C93" w:rsidRPr="00FD7C93" w:rsidRDefault="00FD7C93" w:rsidP="00FD7C93">
            <w:pPr>
              <w:spacing w:after="0" w:line="240" w:lineRule="auto"/>
              <w:rPr>
                <w:rFonts w:ascii="Arial" w:eastAsia="Times New Roman" w:hAnsi="Arial" w:cs="Arial"/>
                <w:lang w:val="en-IN" w:eastAsia="en-IN"/>
              </w:rPr>
            </w:pPr>
          </w:p>
        </w:tc>
        <w:tc>
          <w:tcPr>
            <w:tcW w:w="0" w:type="auto"/>
            <w:vAlign w:val="center"/>
            <w:hideMark/>
          </w:tcPr>
          <w:p w14:paraId="4AEDF480"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Market Approach</w:t>
            </w:r>
          </w:p>
        </w:tc>
        <w:tc>
          <w:tcPr>
            <w:tcW w:w="0" w:type="auto"/>
            <w:vAlign w:val="center"/>
            <w:hideMark/>
          </w:tcPr>
          <w:p w14:paraId="25C9A346"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Concentrated targeting strategy in Tier-1 cities with outlet clusters near universities, metro stations, tech parks.</w:t>
            </w:r>
          </w:p>
        </w:tc>
      </w:tr>
      <w:tr w:rsidR="00FD7C93" w:rsidRPr="00FD7C93" w14:paraId="756CC5DE" w14:textId="77777777" w:rsidTr="00FD7C93">
        <w:trPr>
          <w:tblCellSpacing w:w="15" w:type="dxa"/>
        </w:trPr>
        <w:tc>
          <w:tcPr>
            <w:tcW w:w="0" w:type="auto"/>
            <w:vAlign w:val="center"/>
            <w:hideMark/>
          </w:tcPr>
          <w:p w14:paraId="0E0A0B6A"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Positioning</w:t>
            </w:r>
          </w:p>
        </w:tc>
        <w:tc>
          <w:tcPr>
            <w:tcW w:w="0" w:type="auto"/>
            <w:vAlign w:val="center"/>
            <w:hideMark/>
          </w:tcPr>
          <w:p w14:paraId="3264A8C4"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Value Proposition</w:t>
            </w:r>
          </w:p>
        </w:tc>
        <w:tc>
          <w:tcPr>
            <w:tcW w:w="0" w:type="auto"/>
            <w:vAlign w:val="center"/>
            <w:hideMark/>
          </w:tcPr>
          <w:p w14:paraId="5AAB3713"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Fresh, fast, affordable bakery-style meals inspired by global taste but adapted for India.</w:t>
            </w:r>
          </w:p>
        </w:tc>
      </w:tr>
      <w:tr w:rsidR="00FD7C93" w:rsidRPr="00FD7C93" w14:paraId="75047DA1" w14:textId="77777777" w:rsidTr="00FD7C93">
        <w:trPr>
          <w:tblCellSpacing w:w="15" w:type="dxa"/>
        </w:trPr>
        <w:tc>
          <w:tcPr>
            <w:tcW w:w="0" w:type="auto"/>
            <w:vAlign w:val="center"/>
            <w:hideMark/>
          </w:tcPr>
          <w:p w14:paraId="68EFBA0D" w14:textId="77777777" w:rsidR="00FD7C93" w:rsidRPr="00FD7C93" w:rsidRDefault="00FD7C93" w:rsidP="00FD7C93">
            <w:pPr>
              <w:spacing w:after="0" w:line="240" w:lineRule="auto"/>
              <w:rPr>
                <w:rFonts w:ascii="Arial" w:eastAsia="Times New Roman" w:hAnsi="Arial" w:cs="Arial"/>
                <w:lang w:val="en-IN" w:eastAsia="en-IN"/>
              </w:rPr>
            </w:pPr>
          </w:p>
        </w:tc>
        <w:tc>
          <w:tcPr>
            <w:tcW w:w="0" w:type="auto"/>
            <w:vAlign w:val="center"/>
            <w:hideMark/>
          </w:tcPr>
          <w:p w14:paraId="4FC16DD9"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Positioning Focus</w:t>
            </w:r>
          </w:p>
        </w:tc>
        <w:tc>
          <w:tcPr>
            <w:tcW w:w="0" w:type="auto"/>
            <w:vAlign w:val="center"/>
            <w:hideMark/>
          </w:tcPr>
          <w:p w14:paraId="4A9FF19A"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“Quality baked food on-the-go at great value.”</w:t>
            </w:r>
          </w:p>
        </w:tc>
      </w:tr>
      <w:tr w:rsidR="00FD7C93" w:rsidRPr="00FD7C93" w14:paraId="07E363F9" w14:textId="77777777" w:rsidTr="00FD7C93">
        <w:trPr>
          <w:tblCellSpacing w:w="15" w:type="dxa"/>
        </w:trPr>
        <w:tc>
          <w:tcPr>
            <w:tcW w:w="0" w:type="auto"/>
            <w:vAlign w:val="center"/>
            <w:hideMark/>
          </w:tcPr>
          <w:p w14:paraId="48547DC7" w14:textId="77777777" w:rsidR="00FD7C93" w:rsidRPr="00FD7C93" w:rsidRDefault="00FD7C93" w:rsidP="00FD7C93">
            <w:pPr>
              <w:spacing w:after="0" w:line="240" w:lineRule="auto"/>
              <w:rPr>
                <w:rFonts w:ascii="Arial" w:eastAsia="Times New Roman" w:hAnsi="Arial" w:cs="Arial"/>
                <w:lang w:val="en-IN" w:eastAsia="en-IN"/>
              </w:rPr>
            </w:pPr>
          </w:p>
        </w:tc>
        <w:tc>
          <w:tcPr>
            <w:tcW w:w="0" w:type="auto"/>
            <w:vAlign w:val="center"/>
            <w:hideMark/>
          </w:tcPr>
          <w:p w14:paraId="6C6A1188"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Differentiation</w:t>
            </w:r>
          </w:p>
        </w:tc>
        <w:tc>
          <w:tcPr>
            <w:tcW w:w="0" w:type="auto"/>
            <w:vAlign w:val="center"/>
            <w:hideMark/>
          </w:tcPr>
          <w:p w14:paraId="3C2F913B"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Western bakery experience, consistent quality, vegetarian/local flavour variations, hygienic &amp; quick service.</w:t>
            </w:r>
          </w:p>
        </w:tc>
      </w:tr>
      <w:tr w:rsidR="00FD7C93" w:rsidRPr="00FD7C93" w14:paraId="7F625FE3" w14:textId="77777777" w:rsidTr="00FD7C93">
        <w:trPr>
          <w:tblCellSpacing w:w="15" w:type="dxa"/>
        </w:trPr>
        <w:tc>
          <w:tcPr>
            <w:tcW w:w="0" w:type="auto"/>
            <w:vAlign w:val="center"/>
            <w:hideMark/>
          </w:tcPr>
          <w:p w14:paraId="397EEB46"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Positioning Statement</w:t>
            </w:r>
          </w:p>
        </w:tc>
        <w:tc>
          <w:tcPr>
            <w:tcW w:w="0" w:type="auto"/>
            <w:vAlign w:val="center"/>
            <w:hideMark/>
          </w:tcPr>
          <w:p w14:paraId="5514AF86"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w:t>
            </w:r>
          </w:p>
        </w:tc>
        <w:tc>
          <w:tcPr>
            <w:tcW w:w="0" w:type="auto"/>
            <w:vAlign w:val="center"/>
            <w:hideMark/>
          </w:tcPr>
          <w:p w14:paraId="159E9261"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“For urban Indians who seek quick, tasty and affordable everyday meals, Greggs offers freshly baked snacks and sandwiches with global taste and local value.”</w:t>
            </w:r>
          </w:p>
        </w:tc>
      </w:tr>
    </w:tbl>
    <w:p w14:paraId="269B2E9D" w14:textId="77777777" w:rsidR="00FD7C93" w:rsidRPr="00FD7C93" w:rsidRDefault="00FD7C93" w:rsidP="00FD7C93"/>
    <w:p w14:paraId="19ED917C" w14:textId="78E931D9" w:rsidR="1BAECB45" w:rsidRPr="00EA5D55" w:rsidRDefault="00F038A7" w:rsidP="00F038A7">
      <w:pPr>
        <w:pStyle w:val="Heading2"/>
        <w:rPr>
          <w:rFonts w:ascii="Arial" w:eastAsia="Aptos" w:hAnsi="Arial" w:cs="Arial"/>
          <w:sz w:val="24"/>
          <w:szCs w:val="24"/>
        </w:rPr>
      </w:pPr>
      <w:bookmarkStart w:id="5" w:name="_Toc215617310"/>
      <w:r w:rsidRPr="00EA5D55">
        <w:rPr>
          <w:rFonts w:ascii="Arial" w:hAnsi="Arial" w:cs="Arial"/>
          <w:sz w:val="24"/>
          <w:szCs w:val="24"/>
        </w:rPr>
        <w:t>1.3 Rationale for Strategic Selection</w:t>
      </w:r>
      <w:bookmarkEnd w:id="5"/>
    </w:p>
    <w:p w14:paraId="3B22AAAB" w14:textId="68BE3B44" w:rsidR="00F038A7" w:rsidRPr="00EA5D55" w:rsidRDefault="00F038A7" w:rsidP="00F038A7">
      <w:pPr>
        <w:spacing w:line="278" w:lineRule="auto"/>
        <w:rPr>
          <w:rFonts w:ascii="Arial" w:eastAsia="Aptos" w:hAnsi="Arial" w:cs="Arial"/>
        </w:rPr>
      </w:pPr>
      <w:r w:rsidRPr="00EA5D55">
        <w:rPr>
          <w:rFonts w:ascii="Arial" w:eastAsia="Aptos" w:hAnsi="Arial" w:cs="Arial"/>
          <w:b/>
        </w:rPr>
        <w:t>Market Size and Growth Trajectory:</w:t>
      </w:r>
      <w:r w:rsidRPr="00EA5D55">
        <w:rPr>
          <w:rFonts w:ascii="Arial" w:eastAsia="Aptos" w:hAnsi="Arial" w:cs="Arial"/>
        </w:rPr>
        <w:t xml:space="preserve"> As of 2024, India's food services market is valued at $60 billion, with forecasts suggesting it could reach $100 billion by 2030, reflecting a compound annual growth rate of 10-12% (Euromonitor International, 2024). The </w:t>
      </w:r>
      <w:proofErr w:type="spellStart"/>
      <w:r w:rsidRPr="00EA5D55">
        <w:rPr>
          <w:rFonts w:ascii="Arial" w:eastAsia="Aptos" w:hAnsi="Arial" w:cs="Arial"/>
        </w:rPr>
        <w:t>organised</w:t>
      </w:r>
      <w:proofErr w:type="spellEnd"/>
      <w:r w:rsidRPr="00EA5D55">
        <w:rPr>
          <w:rFonts w:ascii="Arial" w:eastAsia="Aptos" w:hAnsi="Arial" w:cs="Arial"/>
        </w:rPr>
        <w:t xml:space="preserve"> bakery sector, which is currently around $3.5 billion, is experiencing annual growth of 9-10% but remains largely untapped in terms of its market potential, highlighting significant opportunities for well-positioned entrants (National Restaurant Association of India, 2024). </w:t>
      </w:r>
    </w:p>
    <w:p w14:paraId="083D47AB" w14:textId="64F489CD" w:rsidR="00F038A7" w:rsidRPr="00EA5D55" w:rsidRDefault="00F038A7" w:rsidP="00F038A7">
      <w:pPr>
        <w:spacing w:line="278" w:lineRule="auto"/>
        <w:rPr>
          <w:rFonts w:ascii="Arial" w:eastAsia="Aptos" w:hAnsi="Arial" w:cs="Arial"/>
        </w:rPr>
      </w:pPr>
      <w:r w:rsidRPr="00EA5D55">
        <w:rPr>
          <w:rFonts w:ascii="Arial" w:eastAsia="Aptos" w:hAnsi="Arial" w:cs="Arial"/>
          <w:b/>
        </w:rPr>
        <w:t>Demographic Dividend:</w:t>
      </w:r>
      <w:r w:rsidRPr="00EA5D55">
        <w:rPr>
          <w:rFonts w:ascii="Arial" w:eastAsia="Aptos" w:hAnsi="Arial" w:cs="Arial"/>
        </w:rPr>
        <w:t xml:space="preserve"> The demographic composition of India offers a remarkable opportunity, with 65% of its 1.4 billion population being under the age of 35, thereby establishing the largest youth demographic globally (World Bank, 2024). This young demographic is seeing rising disposable incomes, increasingly adopting Western cultural norms through digital media, and showing a readiness to explore international food options. The country's middle-class segment, currently numbering 350 million, is projected to grow to 600 million by 2030, signaling unprecedented growth in consumption (McKinsey &amp; Company, 2024).</w:t>
      </w:r>
    </w:p>
    <w:p w14:paraId="582E76A4" w14:textId="14575F1B" w:rsidR="00F038A7" w:rsidRPr="00EA5D55" w:rsidRDefault="00F038A7" w:rsidP="00F038A7">
      <w:pPr>
        <w:spacing w:line="278" w:lineRule="auto"/>
        <w:rPr>
          <w:rFonts w:ascii="Arial" w:eastAsia="Aptos" w:hAnsi="Arial" w:cs="Arial"/>
        </w:rPr>
      </w:pPr>
      <w:r w:rsidRPr="00EA5D55">
        <w:rPr>
          <w:rFonts w:ascii="Arial" w:eastAsia="Aptos" w:hAnsi="Arial" w:cs="Arial"/>
          <w:b/>
        </w:rPr>
        <w:t xml:space="preserve">Evolving Consumer </w:t>
      </w:r>
      <w:proofErr w:type="spellStart"/>
      <w:r w:rsidRPr="00EA5D55">
        <w:rPr>
          <w:rFonts w:ascii="Arial" w:eastAsia="Aptos" w:hAnsi="Arial" w:cs="Arial"/>
          <w:b/>
        </w:rPr>
        <w:t>Behaviour</w:t>
      </w:r>
      <w:proofErr w:type="spellEnd"/>
      <w:r w:rsidRPr="00EA5D55">
        <w:rPr>
          <w:rFonts w:ascii="Arial" w:eastAsia="Aptos" w:hAnsi="Arial" w:cs="Arial"/>
          <w:b/>
        </w:rPr>
        <w:t>:</w:t>
      </w:r>
      <w:r w:rsidRPr="00EA5D55">
        <w:rPr>
          <w:rFonts w:ascii="Arial" w:eastAsia="Aptos" w:hAnsi="Arial" w:cs="Arial"/>
        </w:rPr>
        <w:t xml:space="preserve"> With 35% of the population now living in urban areas and increasing migration trends, there is a concentrated consumer base emerging. The rise of nuclear families, the prevalence of dual-income households, and record-high female workforce participation are fundamentally changing meal preparation habits, thus elevating the demand for convenient, </w:t>
      </w:r>
      <w:r w:rsidRPr="00EA5D55">
        <w:rPr>
          <w:rFonts w:ascii="Arial" w:eastAsia="Aptos" w:hAnsi="Arial" w:cs="Arial"/>
        </w:rPr>
        <w:lastRenderedPageBreak/>
        <w:t>ready-to-eat food products (PwC India, 2024). While the breakfast-on-the-go trend is still in its early stages compared to Western markets, it is notably gaining traction among urban professionals who are looking for efficient morning routines.</w:t>
      </w:r>
    </w:p>
    <w:p w14:paraId="189EC381" w14:textId="76E85C48" w:rsidR="00F038A7" w:rsidRPr="00EA5D55" w:rsidRDefault="00F038A7" w:rsidP="00F038A7">
      <w:pPr>
        <w:spacing w:line="278" w:lineRule="auto"/>
        <w:rPr>
          <w:rFonts w:ascii="Arial" w:eastAsia="Aptos" w:hAnsi="Arial" w:cs="Arial"/>
        </w:rPr>
      </w:pPr>
      <w:r w:rsidRPr="00EA5D55">
        <w:rPr>
          <w:rFonts w:ascii="Arial" w:eastAsia="Aptos" w:hAnsi="Arial" w:cs="Arial"/>
          <w:b/>
        </w:rPr>
        <w:t>Competitive Landscape Opportunity:</w:t>
      </w:r>
      <w:r w:rsidRPr="00EA5D55">
        <w:rPr>
          <w:rFonts w:ascii="Arial" w:eastAsia="Aptos" w:hAnsi="Arial" w:cs="Arial"/>
        </w:rPr>
        <w:t xml:space="preserve"> A review of the competitive environment indicates a fragmented market, where premium international brands (like Starbucks and Costa Coffee) operate at price points that are 2-3 times higher than the pricing strategy intended by Greggs, while local bakeries often struggle with quality inconsistencies and lack contemporary formats (</w:t>
      </w:r>
      <w:proofErr w:type="spellStart"/>
      <w:r w:rsidRPr="00EA5D55">
        <w:rPr>
          <w:rFonts w:ascii="Arial" w:eastAsia="Aptos" w:hAnsi="Arial" w:cs="Arial"/>
        </w:rPr>
        <w:t>Sachitanand</w:t>
      </w:r>
      <w:proofErr w:type="spellEnd"/>
      <w:r w:rsidRPr="00EA5D55">
        <w:rPr>
          <w:rFonts w:ascii="Arial" w:eastAsia="Aptos" w:hAnsi="Arial" w:cs="Arial"/>
        </w:rPr>
        <w:t>, 2024). The value bakery-café segment that merges quality, convenience, and affordability is critically neglected, providing Greggs with the opportunity to secure market share akin to its successful formula in the UK.</w:t>
      </w:r>
    </w:p>
    <w:p w14:paraId="40092D14" w14:textId="4B292F51" w:rsidR="00F038A7" w:rsidRPr="00EA5D55" w:rsidRDefault="00F038A7" w:rsidP="00F038A7">
      <w:pPr>
        <w:spacing w:line="278" w:lineRule="auto"/>
        <w:rPr>
          <w:rFonts w:ascii="Arial" w:eastAsia="Aptos" w:hAnsi="Arial" w:cs="Arial"/>
        </w:rPr>
      </w:pPr>
      <w:r w:rsidRPr="00EA5D55">
        <w:rPr>
          <w:rFonts w:ascii="Arial" w:eastAsia="Aptos" w:hAnsi="Arial" w:cs="Arial"/>
          <w:b/>
        </w:rPr>
        <w:t>Economic Fundamentals:</w:t>
      </w:r>
      <w:r w:rsidRPr="00EA5D55">
        <w:rPr>
          <w:rFonts w:ascii="Arial" w:eastAsia="Aptos" w:hAnsi="Arial" w:cs="Arial"/>
        </w:rPr>
        <w:t xml:space="preserve"> Key economic indicators in India favor expansion, with GDP growth rates averaging 6-7% each year, inflation rates easing to manageable levels, and foreign investment policies becoming more accommodating through the allowance of 100% FDI in food processing and single-brand retail (World Bank, 2024). Improvements in infrastructure related to transport, logistics, and the digital payments ecosystem are also lowering the traditional barriers faced by emerging markets.</w:t>
      </w:r>
    </w:p>
    <w:p w14:paraId="02DBF332" w14:textId="3B1326A4" w:rsidR="1BAECB45" w:rsidRPr="00EA5D55" w:rsidRDefault="00F038A7" w:rsidP="00F038A7">
      <w:pPr>
        <w:spacing w:line="278" w:lineRule="auto"/>
        <w:rPr>
          <w:rFonts w:ascii="Arial" w:eastAsia="Aptos" w:hAnsi="Arial" w:cs="Arial"/>
        </w:rPr>
      </w:pPr>
      <w:r w:rsidRPr="00EA5D55">
        <w:rPr>
          <w:rFonts w:ascii="Arial" w:eastAsia="Aptos" w:hAnsi="Arial" w:cs="Arial"/>
          <w:b/>
        </w:rPr>
        <w:t>Strategic Timing:</w:t>
      </w:r>
      <w:r w:rsidRPr="00EA5D55">
        <w:rPr>
          <w:rFonts w:ascii="Arial" w:eastAsia="Aptos" w:hAnsi="Arial" w:cs="Arial"/>
        </w:rPr>
        <w:t xml:space="preserve"> The current market scenario offers an ideal moment for entry before the value segment becomes overly saturated with competitors. Taking swift action is justified by the advantages of being an early mover in areas such as site selection, supply chain development, and brand establishment, despite the inherent risks associated with expansion.</w:t>
      </w:r>
    </w:p>
    <w:p w14:paraId="50D6122F" w14:textId="3F8486E4" w:rsidR="00DA0213" w:rsidRPr="00EA5D55" w:rsidRDefault="00F038A7" w:rsidP="00DA0213">
      <w:pPr>
        <w:pStyle w:val="Heading1"/>
        <w:rPr>
          <w:rFonts w:ascii="Arial" w:hAnsi="Arial" w:cs="Arial"/>
          <w:sz w:val="24"/>
          <w:szCs w:val="24"/>
        </w:rPr>
      </w:pPr>
      <w:bookmarkStart w:id="6" w:name="_Toc215617311"/>
      <w:r w:rsidRPr="00EA5D55">
        <w:rPr>
          <w:rFonts w:ascii="Arial" w:hAnsi="Arial" w:cs="Arial"/>
          <w:sz w:val="24"/>
          <w:szCs w:val="24"/>
        </w:rPr>
        <w:lastRenderedPageBreak/>
        <w:t>2. Comprehensive Strategic Analysis</w:t>
      </w:r>
      <w:bookmarkEnd w:id="6"/>
    </w:p>
    <w:p w14:paraId="321FAF3D" w14:textId="29D7A4B2" w:rsidR="00DA0213" w:rsidRPr="00DA0213" w:rsidRDefault="00DA0213" w:rsidP="00DA0213">
      <w:r>
        <w:rPr>
          <w:noProof/>
        </w:rPr>
        <w:drawing>
          <wp:inline distT="0" distB="0" distL="0" distR="0" wp14:anchorId="2EA8406A" wp14:editId="3E5A50B9">
            <wp:extent cx="5701030" cy="41986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ESTLE Analysis of the Food Retail Industry in India - visual selection.png"/>
                    <pic:cNvPicPr/>
                  </pic:nvPicPr>
                  <pic:blipFill rotWithShape="1">
                    <a:blip r:embed="rId13">
                      <a:extLst>
                        <a:ext uri="{28A0092B-C50C-407E-A947-70E740481C1C}">
                          <a14:useLocalDpi xmlns:a14="http://schemas.microsoft.com/office/drawing/2010/main" val="0"/>
                        </a:ext>
                      </a:extLst>
                    </a:blip>
                    <a:srcRect t="7828" b="4148"/>
                    <a:stretch/>
                  </pic:blipFill>
                  <pic:spPr bwMode="auto">
                    <a:xfrm>
                      <a:off x="0" y="0"/>
                      <a:ext cx="5705165" cy="4201665"/>
                    </a:xfrm>
                    <a:prstGeom prst="rect">
                      <a:avLst/>
                    </a:prstGeom>
                    <a:ln>
                      <a:noFill/>
                    </a:ln>
                    <a:extLst>
                      <a:ext uri="{53640926-AAD7-44D8-BBD7-CCE9431645EC}">
                        <a14:shadowObscured xmlns:a14="http://schemas.microsoft.com/office/drawing/2010/main"/>
                      </a:ext>
                    </a:extLst>
                  </pic:spPr>
                </pic:pic>
              </a:graphicData>
            </a:graphic>
          </wp:inline>
        </w:drawing>
      </w:r>
    </w:p>
    <w:p w14:paraId="0A09DA72" w14:textId="02E39FAB" w:rsidR="1BAECB45" w:rsidRPr="00EA5D55" w:rsidRDefault="00F038A7" w:rsidP="00F038A7">
      <w:pPr>
        <w:pStyle w:val="Heading2"/>
        <w:rPr>
          <w:rFonts w:ascii="Arial" w:eastAsia="Aptos" w:hAnsi="Arial" w:cs="Arial"/>
          <w:sz w:val="24"/>
          <w:szCs w:val="24"/>
        </w:rPr>
      </w:pPr>
      <w:bookmarkStart w:id="7" w:name="_Toc215617312"/>
      <w:r w:rsidRPr="00EA5D55">
        <w:rPr>
          <w:rFonts w:ascii="Arial" w:hAnsi="Arial" w:cs="Arial"/>
          <w:sz w:val="24"/>
          <w:szCs w:val="24"/>
        </w:rPr>
        <w:t>2.1 Macro-Environmental Analysis: PESTEL Framework</w:t>
      </w:r>
      <w:bookmarkEnd w:id="7"/>
    </w:p>
    <w:p w14:paraId="4D176F98" w14:textId="77777777" w:rsidR="00F038A7" w:rsidRPr="00EA5D55" w:rsidRDefault="00F038A7" w:rsidP="00F038A7">
      <w:pPr>
        <w:rPr>
          <w:rFonts w:ascii="Arial" w:hAnsi="Arial" w:cs="Arial"/>
        </w:rPr>
      </w:pPr>
      <w:r w:rsidRPr="00EA5D55">
        <w:rPr>
          <w:rFonts w:ascii="Arial" w:hAnsi="Arial" w:cs="Arial"/>
        </w:rPr>
        <w:t xml:space="preserve">The PESTEL framework systematically analyzes external environmental factors that impact strategic effectiveness. However, its limitations include the inadequacy of static analysis in dynamic environments and the tendency to focus excessively on external factors while neglecting internal capabilities (Grant, 2021).  </w:t>
      </w:r>
    </w:p>
    <w:p w14:paraId="1720FAF4" w14:textId="77777777" w:rsidR="00F038A7" w:rsidRPr="00EA5D55" w:rsidRDefault="00F038A7" w:rsidP="00F038A7">
      <w:pPr>
        <w:pStyle w:val="ListParagraph"/>
        <w:numPr>
          <w:ilvl w:val="0"/>
          <w:numId w:val="31"/>
        </w:numPr>
        <w:rPr>
          <w:rFonts w:ascii="Arial" w:hAnsi="Arial" w:cs="Arial"/>
          <w:b/>
        </w:rPr>
      </w:pPr>
      <w:r w:rsidRPr="00EA5D55">
        <w:rPr>
          <w:rFonts w:ascii="Arial" w:hAnsi="Arial" w:cs="Arial"/>
          <w:b/>
        </w:rPr>
        <w:t xml:space="preserve">Political Environment  </w:t>
      </w:r>
    </w:p>
    <w:p w14:paraId="67482939" w14:textId="77777777" w:rsidR="00F038A7" w:rsidRPr="00EA5D55" w:rsidRDefault="00F038A7" w:rsidP="00F038A7">
      <w:pPr>
        <w:rPr>
          <w:rFonts w:ascii="Arial" w:hAnsi="Arial" w:cs="Arial"/>
        </w:rPr>
      </w:pPr>
      <w:r w:rsidRPr="00EA5D55">
        <w:rPr>
          <w:rFonts w:ascii="Arial" w:hAnsi="Arial" w:cs="Arial"/>
        </w:rPr>
        <w:t xml:space="preserve">India's political situation, characterized by a stable majority government, fosters business continuity, with the "Make in India" initiative promoting foreign investment through streamlined approval processes and liberalized FDI policies (IBEF, 2024). The implementation of the Goods and Services Tax (GST) has simplified taxation by consolidating various state-level levies into a single framework, although compliance remains complex across different jurisdictions. The Food Safety and Standards Authority of India (FSSAI) enforces strict food safety regulations that require comprehensive quality assurance systems, ingredient transparency, and certifications for production facilities. Variations in state-level politics lead to regulatory fragmentation, necessitating localized strategies in different markets. The dynamics between the central and state governments affect business licensing, labor regulations, and operational approvals, which require careful management of diplomatic stakeholder relationships.  </w:t>
      </w:r>
    </w:p>
    <w:p w14:paraId="56624D97" w14:textId="77777777" w:rsidR="00F038A7" w:rsidRPr="00EA5D55" w:rsidRDefault="00F038A7" w:rsidP="00F038A7">
      <w:pPr>
        <w:pStyle w:val="ListParagraph"/>
        <w:numPr>
          <w:ilvl w:val="0"/>
          <w:numId w:val="31"/>
        </w:numPr>
        <w:rPr>
          <w:rFonts w:ascii="Arial" w:hAnsi="Arial" w:cs="Arial"/>
          <w:b/>
        </w:rPr>
      </w:pPr>
      <w:r w:rsidRPr="00EA5D55">
        <w:rPr>
          <w:rFonts w:ascii="Arial" w:hAnsi="Arial" w:cs="Arial"/>
          <w:b/>
        </w:rPr>
        <w:lastRenderedPageBreak/>
        <w:t xml:space="preserve">Economic Factors  </w:t>
      </w:r>
    </w:p>
    <w:p w14:paraId="14478A8D" w14:textId="77777777" w:rsidR="00F038A7" w:rsidRPr="00EA5D55" w:rsidRDefault="00F038A7" w:rsidP="00F038A7">
      <w:pPr>
        <w:rPr>
          <w:rFonts w:ascii="Arial" w:hAnsi="Arial" w:cs="Arial"/>
        </w:rPr>
      </w:pPr>
      <w:r w:rsidRPr="00EA5D55">
        <w:rPr>
          <w:rFonts w:ascii="Arial" w:hAnsi="Arial" w:cs="Arial"/>
        </w:rPr>
        <w:t xml:space="preserve">India's strong economic fundamentals fuel retail growth, with a stable GDP growth rate of 6-7% contributing to increased wealth accumulation among target demographics (World Bank, 2024). Urban household incomes have risen by 40% over the past five years, enhancing the purchasing power for discretionary spending, particularly in dining out. Nevertheless, the significant income inequality, with a concentration of wealth among the top quintiles, requires careful market segmentation and value-based pricing strategies. Currency volatility introduces foreign exchange risk, with fluctuations in the rupee against the sterling necessitating hedging strategies and flexibility in pricing. Infrastructure development in transport corridors, cold chain logistics, and organized retail real estate continues to improve; however, gaps remain, particularly in Tier 2 cities, which can impact operational efficiency. Labor costs are still considerably lower than in Western markets, providing operational benefits, but the availability of a skilled workforce in food retail management necessitates investment in training and development programs.  </w:t>
      </w:r>
    </w:p>
    <w:p w14:paraId="179AFDE5" w14:textId="77777777" w:rsidR="00F038A7" w:rsidRPr="00EA5D55" w:rsidRDefault="00F038A7" w:rsidP="00F038A7">
      <w:pPr>
        <w:pStyle w:val="ListParagraph"/>
        <w:numPr>
          <w:ilvl w:val="0"/>
          <w:numId w:val="31"/>
        </w:numPr>
        <w:rPr>
          <w:rFonts w:ascii="Arial" w:hAnsi="Arial" w:cs="Arial"/>
          <w:b/>
        </w:rPr>
      </w:pPr>
      <w:r w:rsidRPr="00EA5D55">
        <w:rPr>
          <w:rFonts w:ascii="Arial" w:hAnsi="Arial" w:cs="Arial"/>
          <w:b/>
        </w:rPr>
        <w:t xml:space="preserve">Social Dynamics  </w:t>
      </w:r>
    </w:p>
    <w:p w14:paraId="4A7C0D3E" w14:textId="2F971BEC" w:rsidR="1BAECB45" w:rsidRPr="00EA5D55" w:rsidRDefault="00F038A7" w:rsidP="00F038A7">
      <w:pPr>
        <w:rPr>
          <w:rFonts w:ascii="Arial" w:hAnsi="Arial" w:cs="Arial"/>
        </w:rPr>
      </w:pPr>
      <w:r w:rsidRPr="00EA5D55">
        <w:rPr>
          <w:rFonts w:ascii="Arial" w:hAnsi="Arial" w:cs="Arial"/>
        </w:rPr>
        <w:t xml:space="preserve">The social landscape in India significantly affects food retail strategies. The youth demographic is a key audience open to Western concepts, increasingly exposed to international influences through travel, education, and digital media consumption. The shift from joint family systems to nuclear family structures and the rise of working professionals have increased the demand for convenience foods, moving away from traditional home-cooked meals. However, addressing dietary complexities requires sophisticated adaptations, given that approximately 40% of the population is vegetarian, with specific religious prohibitions against beef (Hindu) and pork (Muslim) and varying regional taste preferences across North, South, East, and West India (PwC India, 2024). A growing health consciousness, particularly among urban millennials, raises concerns about ingredients, nutrition labeling, and food sourcing transparency. The influence of social media is substantial, with platforms such as Instagram, WhatsApp, and regional services driving brand discovery and peer recommendations. Traditional meal timing in India differs from Western practices, with breakfast culture being less established but rapidly gaining traction in metropolitan areas.  </w:t>
      </w:r>
    </w:p>
    <w:p w14:paraId="414E2E45" w14:textId="77777777" w:rsidR="00F038A7" w:rsidRPr="00EA5D55" w:rsidRDefault="00F038A7" w:rsidP="00F038A7">
      <w:pPr>
        <w:pStyle w:val="ListParagraph"/>
        <w:numPr>
          <w:ilvl w:val="0"/>
          <w:numId w:val="31"/>
        </w:numPr>
        <w:rPr>
          <w:rFonts w:ascii="Arial" w:hAnsi="Arial" w:cs="Arial"/>
          <w:b/>
        </w:rPr>
      </w:pPr>
      <w:r w:rsidRPr="00EA5D55">
        <w:rPr>
          <w:rFonts w:ascii="Arial" w:hAnsi="Arial" w:cs="Arial"/>
          <w:b/>
        </w:rPr>
        <w:t xml:space="preserve">Technological Progress  </w:t>
      </w:r>
    </w:p>
    <w:p w14:paraId="6F51EBB3" w14:textId="77777777" w:rsidR="00F038A7" w:rsidRPr="00EA5D55" w:rsidRDefault="00F038A7" w:rsidP="00F038A7">
      <w:pPr>
        <w:rPr>
          <w:rFonts w:ascii="Arial" w:hAnsi="Arial" w:cs="Arial"/>
        </w:rPr>
      </w:pPr>
      <w:r w:rsidRPr="00EA5D55">
        <w:rPr>
          <w:rFonts w:ascii="Arial" w:hAnsi="Arial" w:cs="Arial"/>
        </w:rPr>
        <w:t xml:space="preserve">India's technological framework serves as a significant enabler. The digital payments transformation led by UPI (Unified Payments Interface) processes over 10 billion transactions monthly, facilitating smooth cashless operations favored by target audiences (Statista, 2024). The penetration of food delivery platforms, such as </w:t>
      </w:r>
      <w:proofErr w:type="spellStart"/>
      <w:r w:rsidRPr="00EA5D55">
        <w:rPr>
          <w:rFonts w:ascii="Arial" w:hAnsi="Arial" w:cs="Arial"/>
        </w:rPr>
        <w:t>Swiggy</w:t>
      </w:r>
      <w:proofErr w:type="spellEnd"/>
      <w:r w:rsidRPr="00EA5D55">
        <w:rPr>
          <w:rFonts w:ascii="Arial" w:hAnsi="Arial" w:cs="Arial"/>
        </w:rPr>
        <w:t xml:space="preserve"> and Zomato, reaches millions of consumers, which is crucial for executing an omnichannel strategy. Consumer behavior that prioritizes mobile demands smooth app experiences for ordering, engaging in loyalty programs, and digital interactions. Concepts like cloud kitchens and virtual restaurants are gaining traction, potentially allowing for low-asset initial expansion models. Nonetheless, cybersecurity issues and data localization requirements under Indian regulations call for robust IT governance and substantial infrastructure investments. There is room for </w:t>
      </w:r>
      <w:r w:rsidRPr="00EA5D55">
        <w:rPr>
          <w:rFonts w:ascii="Arial" w:hAnsi="Arial" w:cs="Arial"/>
        </w:rPr>
        <w:lastRenderedPageBreak/>
        <w:t>automation to ensure production consistency, although the high initial investment must be weighed against the advantages of low labor costs.</w:t>
      </w:r>
    </w:p>
    <w:p w14:paraId="34CC1BAD" w14:textId="77777777" w:rsidR="00F038A7" w:rsidRPr="00EA5D55" w:rsidRDefault="00F038A7" w:rsidP="00F038A7">
      <w:pPr>
        <w:rPr>
          <w:rFonts w:ascii="Arial" w:hAnsi="Arial" w:cs="Arial"/>
        </w:rPr>
      </w:pPr>
    </w:p>
    <w:p w14:paraId="154E9A2F" w14:textId="77777777" w:rsidR="00F038A7" w:rsidRPr="00EA5D55" w:rsidRDefault="00F038A7" w:rsidP="00F038A7">
      <w:pPr>
        <w:pStyle w:val="ListParagraph"/>
        <w:numPr>
          <w:ilvl w:val="0"/>
          <w:numId w:val="31"/>
        </w:numPr>
        <w:rPr>
          <w:rFonts w:ascii="Arial" w:hAnsi="Arial" w:cs="Arial"/>
          <w:b/>
        </w:rPr>
      </w:pPr>
      <w:r w:rsidRPr="00EA5D55">
        <w:rPr>
          <w:rFonts w:ascii="Arial" w:hAnsi="Arial" w:cs="Arial"/>
          <w:b/>
        </w:rPr>
        <w:t xml:space="preserve">Environmental Factors  </w:t>
      </w:r>
    </w:p>
    <w:p w14:paraId="037DCADB" w14:textId="77777777" w:rsidR="00F038A7" w:rsidRPr="00EA5D55" w:rsidRDefault="00F038A7" w:rsidP="00F038A7">
      <w:pPr>
        <w:rPr>
          <w:rFonts w:ascii="Arial" w:hAnsi="Arial" w:cs="Arial"/>
        </w:rPr>
      </w:pPr>
      <w:r w:rsidRPr="00EA5D55">
        <w:rPr>
          <w:rFonts w:ascii="Arial" w:hAnsi="Arial" w:cs="Arial"/>
        </w:rPr>
        <w:t>Environmental considerations are increasingly shaping consumer preferences and regulatory frameworks. Climate change affects supply chains through temperature fluctuations that influence ingredient sourcing, storage needs, and production reliability. Concerns about urban air quality shape health perceptions regarding food consumption. An increase in environmental awareness, especially among educated urban consumers, is leading to a demand for sustainable packaging options that replace single-use plastics. Regulatory measures, including bans on plastic waste in various states, compel the adoption of alternative packaging solutions, escalating operational costs (FSSAI, 2024). Water scarcity in multiple regions impacts production operations, necessitating effective resource management systems. Regulations surrounding food waste management require adequate disposal infrastructure. Pressures for sustainable sourcing arise as consumers and activists closely examine supply chains for environmental and social accountability.</w:t>
      </w:r>
    </w:p>
    <w:p w14:paraId="0BDBD581" w14:textId="77777777" w:rsidR="00F038A7" w:rsidRPr="00EA5D55" w:rsidRDefault="00F038A7" w:rsidP="00F038A7">
      <w:pPr>
        <w:rPr>
          <w:rFonts w:ascii="Arial" w:hAnsi="Arial" w:cs="Arial"/>
        </w:rPr>
      </w:pPr>
    </w:p>
    <w:p w14:paraId="0B9A7435" w14:textId="77777777" w:rsidR="00F038A7" w:rsidRPr="00EA5D55" w:rsidRDefault="00F038A7" w:rsidP="00F038A7">
      <w:pPr>
        <w:pStyle w:val="ListParagraph"/>
        <w:numPr>
          <w:ilvl w:val="0"/>
          <w:numId w:val="31"/>
        </w:numPr>
        <w:rPr>
          <w:rFonts w:ascii="Arial" w:hAnsi="Arial" w:cs="Arial"/>
          <w:b/>
        </w:rPr>
      </w:pPr>
      <w:r w:rsidRPr="00EA5D55">
        <w:rPr>
          <w:rFonts w:ascii="Arial" w:hAnsi="Arial" w:cs="Arial"/>
          <w:b/>
        </w:rPr>
        <w:t xml:space="preserve">Legal Environment  </w:t>
      </w:r>
    </w:p>
    <w:p w14:paraId="3F68CD87" w14:textId="77777777" w:rsidR="00F038A7" w:rsidRPr="00EA5D55" w:rsidRDefault="00F038A7" w:rsidP="00F038A7">
      <w:pPr>
        <w:rPr>
          <w:rFonts w:ascii="Arial" w:hAnsi="Arial" w:cs="Arial"/>
        </w:rPr>
      </w:pPr>
      <w:r w:rsidRPr="00EA5D55">
        <w:rPr>
          <w:rFonts w:ascii="Arial" w:hAnsi="Arial" w:cs="Arial"/>
        </w:rPr>
        <w:t>India's legal landscape is complex, necessitating advanced compliance capabilities. The FSSAI licensing process at both central and state levels requires thorough documentation, facility inspections, and continual compliance oversight. Labor laws differ significantly by state, featuring various provisions for working hours, minimum wages, overtime, and employee benefits, which demand localized HR policies. Rules governing commercial real estate influence location selection, lease negotiations, and property rights. Safeguarding intellectual property for recipes, branding, and operational systems requires proactive registration and enforcement strategies. Import regulations on equipment and specialized ingredients involve tariffs, paperwork, and customs procedures. Franchise laws, if considering partnership frameworks, necessitate careful structuring to balance brand protection and partner support.</w:t>
      </w:r>
    </w:p>
    <w:p w14:paraId="65DE7B22" w14:textId="29D97C6E" w:rsidR="001D427C" w:rsidRPr="00EA5D55" w:rsidRDefault="001D427C" w:rsidP="00F038A7">
      <w:pPr>
        <w:rPr>
          <w:rFonts w:ascii="Arial" w:hAnsi="Arial" w:cs="Arial"/>
        </w:rPr>
      </w:pPr>
    </w:p>
    <w:p w14:paraId="17874BB3" w14:textId="77777777" w:rsidR="001D427C" w:rsidRPr="00EA5D55" w:rsidRDefault="001D427C" w:rsidP="00F038A7">
      <w:pPr>
        <w:rPr>
          <w:rFonts w:ascii="Arial" w:hAnsi="Arial" w:cs="Arial"/>
        </w:rPr>
      </w:pPr>
    </w:p>
    <w:p w14:paraId="6F964CD3" w14:textId="788EA5F1" w:rsidR="1BAECB45" w:rsidRPr="00EA5D55" w:rsidRDefault="00BF435E" w:rsidP="00BF435E">
      <w:pPr>
        <w:pStyle w:val="Heading2"/>
        <w:rPr>
          <w:rFonts w:ascii="Arial" w:hAnsi="Arial" w:cs="Arial"/>
          <w:sz w:val="24"/>
          <w:szCs w:val="24"/>
        </w:rPr>
      </w:pPr>
      <w:bookmarkStart w:id="8" w:name="_Toc215617313"/>
      <w:r w:rsidRPr="00EA5D55">
        <w:rPr>
          <w:rFonts w:ascii="Arial" w:hAnsi="Arial" w:cs="Arial"/>
          <w:sz w:val="24"/>
          <w:szCs w:val="24"/>
        </w:rPr>
        <w:t>2.2 Industry Analysis: Porter's Five Forces Model</w:t>
      </w:r>
      <w:bookmarkEnd w:id="8"/>
    </w:p>
    <w:p w14:paraId="0BDA9664" w14:textId="77777777" w:rsidR="001D427C" w:rsidRDefault="001D427C" w:rsidP="001D427C">
      <w:pPr>
        <w:rPr>
          <w:noProof/>
        </w:rPr>
      </w:pPr>
    </w:p>
    <w:p w14:paraId="13810F6E" w14:textId="59CF96D7" w:rsidR="001D427C" w:rsidRPr="001D427C" w:rsidRDefault="001D427C" w:rsidP="001D427C">
      <w:r>
        <w:rPr>
          <w:noProof/>
        </w:rPr>
        <w:lastRenderedPageBreak/>
        <w:drawing>
          <wp:inline distT="0" distB="0" distL="0" distR="0" wp14:anchorId="5DFB1F31" wp14:editId="58325235">
            <wp:extent cx="3979156" cy="359664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orter's Five Forces Analysis of the Bakery-Café Industry - visual selection.png"/>
                    <pic:cNvPicPr/>
                  </pic:nvPicPr>
                  <pic:blipFill rotWithShape="1">
                    <a:blip r:embed="rId14">
                      <a:extLst>
                        <a:ext uri="{28A0092B-C50C-407E-A947-70E740481C1C}">
                          <a14:useLocalDpi xmlns:a14="http://schemas.microsoft.com/office/drawing/2010/main" val="0"/>
                        </a:ext>
                      </a:extLst>
                    </a:blip>
                    <a:srcRect l="5334" t="6032" r="5667" b="8329"/>
                    <a:stretch/>
                  </pic:blipFill>
                  <pic:spPr bwMode="auto">
                    <a:xfrm>
                      <a:off x="0" y="0"/>
                      <a:ext cx="3983778" cy="3600818"/>
                    </a:xfrm>
                    <a:prstGeom prst="rect">
                      <a:avLst/>
                    </a:prstGeom>
                    <a:ln>
                      <a:noFill/>
                    </a:ln>
                    <a:extLst>
                      <a:ext uri="{53640926-AAD7-44D8-BBD7-CCE9431645EC}">
                        <a14:shadowObscured xmlns:a14="http://schemas.microsoft.com/office/drawing/2010/main"/>
                      </a:ext>
                    </a:extLst>
                  </pic:spPr>
                </pic:pic>
              </a:graphicData>
            </a:graphic>
          </wp:inline>
        </w:drawing>
      </w:r>
    </w:p>
    <w:p w14:paraId="2AE86BD2" w14:textId="77777777" w:rsidR="00BF435E" w:rsidRPr="00EA5D55" w:rsidRDefault="00BF435E" w:rsidP="00BF435E">
      <w:pPr>
        <w:rPr>
          <w:rFonts w:ascii="Arial" w:hAnsi="Arial" w:cs="Arial"/>
        </w:rPr>
      </w:pPr>
      <w:r w:rsidRPr="00EA5D55">
        <w:rPr>
          <w:rFonts w:ascii="Arial" w:hAnsi="Arial" w:cs="Arial"/>
        </w:rPr>
        <w:t xml:space="preserve">Porter's Five Forces framework examines the appeal of an industry and the intensity of competition, although it faces critiques for its static nature, limited relevance to fast-changing sectors, and inadequate focus on complementary relationships (Porter, 1980; Grant, 2021).  </w:t>
      </w:r>
    </w:p>
    <w:p w14:paraId="317D3361" w14:textId="77777777" w:rsidR="00BF435E" w:rsidRPr="00EA5D55" w:rsidRDefault="00BF435E" w:rsidP="001D427C">
      <w:pPr>
        <w:pStyle w:val="ListParagraph"/>
        <w:numPr>
          <w:ilvl w:val="0"/>
          <w:numId w:val="31"/>
        </w:numPr>
        <w:rPr>
          <w:rFonts w:ascii="Arial" w:hAnsi="Arial" w:cs="Arial"/>
          <w:b/>
        </w:rPr>
      </w:pPr>
      <w:r w:rsidRPr="00EA5D55">
        <w:rPr>
          <w:rFonts w:ascii="Arial" w:hAnsi="Arial" w:cs="Arial"/>
          <w:b/>
        </w:rPr>
        <w:t xml:space="preserve">Threat of New Entrants: MEDIUM-HIGH  </w:t>
      </w:r>
    </w:p>
    <w:p w14:paraId="2B28D849" w14:textId="77777777" w:rsidR="00BF435E" w:rsidRPr="00EA5D55" w:rsidRDefault="00BF435E" w:rsidP="00BF435E">
      <w:pPr>
        <w:rPr>
          <w:rFonts w:ascii="Arial" w:hAnsi="Arial" w:cs="Arial"/>
        </w:rPr>
      </w:pPr>
      <w:r w:rsidRPr="00EA5D55">
        <w:rPr>
          <w:rFonts w:ascii="Arial" w:hAnsi="Arial" w:cs="Arial"/>
        </w:rPr>
        <w:t xml:space="preserve">The financial requirements for a substantial market entry, estimated between £5-10 million, create moderate barriers related to setting up production facilities, developing retail locations, and investing in cold chain infrastructure. Existing businesses, including well-known international chains and local favorites, enjoy advantages from brand recognition. Established operators benefit from economies of scale in areas such as procurement, production, and distribution. Although regulatory compliance, including FSSAI certification, requires time and expertise, it does not entirely block entry. Access to distribution channels in premium, high-footfall locations is contested by established retailers. Nevertheless, the lack of a dominant value bakery-café player indicates that barriers are relatively low. Success stories among international chains like Starbucks, McDonald's, and Dunkin' highlight market receptivity, which encourages new entrants. Additionally, government policies that promote foreign investment help to reduce political barriers.  </w:t>
      </w:r>
    </w:p>
    <w:p w14:paraId="58FE21A7" w14:textId="77777777" w:rsidR="00BF435E" w:rsidRPr="00EA5D55" w:rsidRDefault="00BF435E" w:rsidP="001D427C">
      <w:pPr>
        <w:pStyle w:val="ListParagraph"/>
        <w:numPr>
          <w:ilvl w:val="0"/>
          <w:numId w:val="31"/>
        </w:numPr>
        <w:rPr>
          <w:rFonts w:ascii="Arial" w:hAnsi="Arial" w:cs="Arial"/>
          <w:b/>
        </w:rPr>
      </w:pPr>
      <w:r w:rsidRPr="00EA5D55">
        <w:rPr>
          <w:rFonts w:ascii="Arial" w:hAnsi="Arial" w:cs="Arial"/>
          <w:b/>
        </w:rPr>
        <w:t xml:space="preserve">Supplier Bargaining Power: MEDIUM  </w:t>
      </w:r>
    </w:p>
    <w:p w14:paraId="285DDD8C" w14:textId="77777777" w:rsidR="00BF435E" w:rsidRPr="00EA5D55" w:rsidRDefault="00BF435E" w:rsidP="00BF435E">
      <w:pPr>
        <w:rPr>
          <w:rFonts w:ascii="Arial" w:hAnsi="Arial" w:cs="Arial"/>
        </w:rPr>
      </w:pPr>
      <w:r w:rsidRPr="00EA5D55">
        <w:rPr>
          <w:rFonts w:ascii="Arial" w:hAnsi="Arial" w:cs="Arial"/>
        </w:rPr>
        <w:t xml:space="preserve">The dynamics of ingredient suppliers introduce moderate complexity. Suppliers of agricultural commodities such as wheat flour, sugar, dairy, and vegetables typically operate in competitive markets, which limits their individual power. However, the need for specialized ingredients for authentic UK recipes may require imports or specific suppliers, increasing dependence on them. The </w:t>
      </w:r>
      <w:r w:rsidRPr="00EA5D55">
        <w:rPr>
          <w:rFonts w:ascii="Arial" w:hAnsi="Arial" w:cs="Arial"/>
        </w:rPr>
        <w:lastRenderedPageBreak/>
        <w:t xml:space="preserve">availability of cold chain logistics providers that meet the quality standards for baked goods remains restricted, thereby concentrating supplier power in this crucial category. Equipment suppliers for European-standard ovens and refrigeration are moderately competitive, although specialization can result in switching costs. The packaging sector, especially in sustainable options, is emerging with a limited number of specialized providers. Contractual arrangements usually benefit large volume purchasers, allowing Greggs to hold negotiating power. There is potential for forward integration, as Greggs could create in-house production for essential ingredients to decrease reliance on suppliers.  </w:t>
      </w:r>
    </w:p>
    <w:p w14:paraId="340905CC" w14:textId="77777777" w:rsidR="00BF435E" w:rsidRPr="00EA5D55" w:rsidRDefault="00BF435E" w:rsidP="001D427C">
      <w:pPr>
        <w:pStyle w:val="ListParagraph"/>
        <w:numPr>
          <w:ilvl w:val="0"/>
          <w:numId w:val="31"/>
        </w:numPr>
        <w:rPr>
          <w:rFonts w:ascii="Arial" w:hAnsi="Arial" w:cs="Arial"/>
          <w:b/>
        </w:rPr>
      </w:pPr>
      <w:r w:rsidRPr="00EA5D55">
        <w:rPr>
          <w:rFonts w:ascii="Arial" w:hAnsi="Arial" w:cs="Arial"/>
          <w:b/>
        </w:rPr>
        <w:t xml:space="preserve">Buyer Bargaining Power: MEDIUM-HIGH  </w:t>
      </w:r>
    </w:p>
    <w:p w14:paraId="72315597" w14:textId="29B9124C" w:rsidR="00BF435E" w:rsidRPr="00EA5D55" w:rsidRDefault="00BF435E" w:rsidP="00BF435E">
      <w:pPr>
        <w:rPr>
          <w:rFonts w:ascii="Arial" w:hAnsi="Arial" w:cs="Arial"/>
        </w:rPr>
      </w:pPr>
      <w:r w:rsidRPr="00EA5D55">
        <w:rPr>
          <w:rFonts w:ascii="Arial" w:hAnsi="Arial" w:cs="Arial"/>
        </w:rPr>
        <w:t>Consumer bargaining power is enhanced through a variety of factors. Price sensitivity is especially acute in the value segment, with consumers ready to switch for perceived better value. Challenges arise in product differentiation as bakery items risk being commoditized due to many available alternatives. The costs of switching providers are nearly nonexistent, allowing for easy transitions. The accessibility of information through digital platforms empowers consumers to make price comparisons, read reviews, and seek alternatives. While individual purchase volumes tend to be small, high cumulative footfall is a driver of profitability. There exists the potential for brand loyalty, demonstrated by successful chains that maintain quality consistency and implement engagement programs. The threat of backward integration is minimal since consumers are unlikely to produce baked goods; however, home cooking remains a primary substitute.</w:t>
      </w:r>
    </w:p>
    <w:p w14:paraId="4BBC72A8" w14:textId="77777777" w:rsidR="00BF435E" w:rsidRPr="00EA5D55" w:rsidRDefault="00BF435E" w:rsidP="001D427C">
      <w:pPr>
        <w:pStyle w:val="ListParagraph"/>
        <w:numPr>
          <w:ilvl w:val="0"/>
          <w:numId w:val="31"/>
        </w:numPr>
        <w:rPr>
          <w:rFonts w:ascii="Arial" w:hAnsi="Arial" w:cs="Arial"/>
          <w:b/>
        </w:rPr>
      </w:pPr>
      <w:r w:rsidRPr="00EA5D55">
        <w:rPr>
          <w:rFonts w:ascii="Arial" w:hAnsi="Arial" w:cs="Arial"/>
          <w:b/>
        </w:rPr>
        <w:t xml:space="preserve">Threat of Substitutes: HIGH  </w:t>
      </w:r>
    </w:p>
    <w:p w14:paraId="17876D5A" w14:textId="77777777" w:rsidR="00BF435E" w:rsidRPr="00EA5D55" w:rsidRDefault="00BF435E" w:rsidP="00BF435E">
      <w:pPr>
        <w:rPr>
          <w:rFonts w:ascii="Arial" w:hAnsi="Arial" w:cs="Arial"/>
        </w:rPr>
      </w:pPr>
      <w:r w:rsidRPr="00EA5D55">
        <w:rPr>
          <w:rFonts w:ascii="Arial" w:hAnsi="Arial" w:cs="Arial"/>
        </w:rPr>
        <w:t xml:space="preserve">The threat of substitutes greatly heightens competition. Conventional breakfast items such as </w:t>
      </w:r>
      <w:proofErr w:type="spellStart"/>
      <w:r w:rsidRPr="00EA5D55">
        <w:rPr>
          <w:rFonts w:ascii="Arial" w:hAnsi="Arial" w:cs="Arial"/>
        </w:rPr>
        <w:t>idli</w:t>
      </w:r>
      <w:proofErr w:type="spellEnd"/>
      <w:r w:rsidRPr="00EA5D55">
        <w:rPr>
          <w:rFonts w:ascii="Arial" w:hAnsi="Arial" w:cs="Arial"/>
        </w:rPr>
        <w:t xml:space="preserve">, </w:t>
      </w:r>
      <w:proofErr w:type="spellStart"/>
      <w:r w:rsidRPr="00EA5D55">
        <w:rPr>
          <w:rFonts w:ascii="Arial" w:hAnsi="Arial" w:cs="Arial"/>
        </w:rPr>
        <w:t>dosa</w:t>
      </w:r>
      <w:proofErr w:type="spellEnd"/>
      <w:r w:rsidRPr="00EA5D55">
        <w:rPr>
          <w:rFonts w:ascii="Arial" w:hAnsi="Arial" w:cs="Arial"/>
        </w:rPr>
        <w:t xml:space="preserve">, paratha, and offerings from street food vendors present authentic alternatives at similar or lower price points with cultural relevance. Quick-service restaurants like McDonald's, KFC, and Subway deliver convenient meals and possess strong brand recognition. Coffeehouse chains including Starbucks, Costa, and Café Coffee Day compete in the beverage and light meal segments. Local bakeries boast a significant community presence, cultivating loyal customer bases with competitive pricing. Food delivery services compile thousands of restaurant choices, heightening competition for meal occasions. Home-cooked meals continue to be a primary substitute, especially in family-oriented cultures, although their popularity is dwindling among working professionals. Sweet shops and traditional confectioners vie for dessert occasions. Health food stores attract consumers who prioritize health. The wide availability of substitutes across various price ranges significantly increases competitive pressure.  </w:t>
      </w:r>
    </w:p>
    <w:p w14:paraId="417AD2C3" w14:textId="77777777" w:rsidR="00BF435E" w:rsidRPr="00EA5D55" w:rsidRDefault="00BF435E" w:rsidP="001D427C">
      <w:pPr>
        <w:pStyle w:val="ListParagraph"/>
        <w:numPr>
          <w:ilvl w:val="0"/>
          <w:numId w:val="31"/>
        </w:numPr>
        <w:rPr>
          <w:rFonts w:ascii="Arial" w:hAnsi="Arial" w:cs="Arial"/>
          <w:b/>
        </w:rPr>
      </w:pPr>
      <w:r w:rsidRPr="00EA5D55">
        <w:rPr>
          <w:rFonts w:ascii="Arial" w:hAnsi="Arial" w:cs="Arial"/>
          <w:b/>
        </w:rPr>
        <w:t xml:space="preserve">Competitive Rivalry: MEDIUM-HIGH  </w:t>
      </w:r>
    </w:p>
    <w:p w14:paraId="3BFFB76A" w14:textId="67E68809" w:rsidR="00BF435E" w:rsidRPr="00EA5D55" w:rsidRDefault="00BF435E" w:rsidP="00BF435E">
      <w:pPr>
        <w:rPr>
          <w:rFonts w:ascii="Arial" w:hAnsi="Arial" w:cs="Arial"/>
        </w:rPr>
      </w:pPr>
      <w:r w:rsidRPr="00EA5D55">
        <w:rPr>
          <w:rFonts w:ascii="Arial" w:hAnsi="Arial" w:cs="Arial"/>
        </w:rPr>
        <w:t xml:space="preserve">The sector is characterized by moderate to </w:t>
      </w:r>
      <w:proofErr w:type="gramStart"/>
      <w:r w:rsidRPr="00EA5D55">
        <w:rPr>
          <w:rFonts w:ascii="Arial" w:hAnsi="Arial" w:cs="Arial"/>
        </w:rPr>
        <w:t>high</w:t>
      </w:r>
      <w:proofErr w:type="gramEnd"/>
      <w:r w:rsidRPr="00EA5D55">
        <w:rPr>
          <w:rFonts w:ascii="Arial" w:hAnsi="Arial" w:cs="Arial"/>
        </w:rPr>
        <w:t xml:space="preserve"> competitive intensity, although fragmentation prevents any single competitor from achieving dominance. Global brands such as Starbucks (with over 370 stores), Dunkin' (44 stores), and Café Coffee Day (500 stores) pose substantial competition, mainly in the premium segment (Euromonitor International, 2024). Regional chains like </w:t>
      </w:r>
      <w:proofErr w:type="spellStart"/>
      <w:r w:rsidRPr="00EA5D55">
        <w:rPr>
          <w:rFonts w:ascii="Arial" w:hAnsi="Arial" w:cs="Arial"/>
        </w:rPr>
        <w:t>Monginis</w:t>
      </w:r>
      <w:proofErr w:type="spellEnd"/>
      <w:r w:rsidRPr="00EA5D55">
        <w:rPr>
          <w:rFonts w:ascii="Arial" w:hAnsi="Arial" w:cs="Arial"/>
        </w:rPr>
        <w:t xml:space="preserve">, Bakers Basket, and Karachi Bakery hold strong local positions with cultural connections. Product differentiation proves difficult due to significant overlap in core offerings. Price competition escalates </w:t>
      </w:r>
      <w:r w:rsidRPr="00EA5D55">
        <w:rPr>
          <w:rFonts w:ascii="Arial" w:hAnsi="Arial" w:cs="Arial"/>
        </w:rPr>
        <w:lastRenderedPageBreak/>
        <w:t>in the value segment, leading to aggressive promotional strategies. Elevated fixed costs in retail operations create pressure to maintain utilization and customer footfall. Exit barriers, including commitments to property and investment in equipment, lead underperforming competitors to continue operating, contributing to oversupply. Market growth rates ranging from 9-10% provide opportunities for multiple players to expand, though competition for premium locations is intensifying. The frequency of brand switching suggests a lack of strong customer loyalty.</w:t>
      </w:r>
    </w:p>
    <w:p w14:paraId="11FD9FD5" w14:textId="77777777" w:rsidR="001D427C" w:rsidRPr="00EA5D55" w:rsidRDefault="001D427C" w:rsidP="00BF435E">
      <w:pPr>
        <w:rPr>
          <w:rFonts w:ascii="Arial" w:hAnsi="Arial" w:cs="Arial"/>
        </w:rPr>
      </w:pPr>
    </w:p>
    <w:p w14:paraId="2C8ACBFB" w14:textId="02A9DE9A" w:rsidR="001D427C" w:rsidRDefault="001D427C" w:rsidP="001D427C">
      <w:pPr>
        <w:pStyle w:val="Heading2"/>
        <w:rPr>
          <w:rFonts w:ascii="Arial" w:hAnsi="Arial" w:cs="Arial"/>
          <w:sz w:val="24"/>
          <w:szCs w:val="24"/>
        </w:rPr>
      </w:pPr>
      <w:bookmarkStart w:id="9" w:name="_Toc215617314"/>
      <w:r w:rsidRPr="00EA5D55">
        <w:rPr>
          <w:rFonts w:ascii="Arial" w:hAnsi="Arial" w:cs="Arial"/>
          <w:sz w:val="24"/>
          <w:szCs w:val="24"/>
        </w:rPr>
        <w:t>2.3 Internal-External Analysis: SWOT Framework</w:t>
      </w:r>
      <w:bookmarkEnd w:id="9"/>
    </w:p>
    <w:p w14:paraId="6AFBD3AF" w14:textId="77777777" w:rsidR="00312BDA" w:rsidRDefault="00312BDA" w:rsidP="00312BDA">
      <w:pPr>
        <w:keepNext/>
      </w:pPr>
      <w:r>
        <w:rPr>
          <w:noProof/>
        </w:rPr>
        <w:drawing>
          <wp:inline distT="0" distB="0" distL="0" distR="0" wp14:anchorId="2ABD8028" wp14:editId="70936B57">
            <wp:extent cx="6858000" cy="3912489"/>
            <wp:effectExtent l="0" t="0" r="0" b="0"/>
            <wp:docPr id="6" name="Picture 6" descr="What a SWOT analysis is and how to conduct one | Miro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 SWOT analysis is and how to conduct one | MiroBlo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58000" cy="3912489"/>
                    </a:xfrm>
                    <a:prstGeom prst="rect">
                      <a:avLst/>
                    </a:prstGeom>
                    <a:noFill/>
                    <a:ln>
                      <a:noFill/>
                    </a:ln>
                  </pic:spPr>
                </pic:pic>
              </a:graphicData>
            </a:graphic>
          </wp:inline>
        </w:drawing>
      </w:r>
    </w:p>
    <w:p w14:paraId="49CD6315" w14:textId="4654B4F7" w:rsidR="00312BDA" w:rsidRPr="00312BDA" w:rsidRDefault="00312BDA" w:rsidP="00312BDA">
      <w:pPr>
        <w:pStyle w:val="Caption"/>
      </w:pPr>
      <w:r>
        <w:t xml:space="preserve">Figure </w:t>
      </w:r>
      <w:fldSimple w:instr=" SEQ Figure \* ARABIC ">
        <w:r w:rsidR="00B93DE9">
          <w:rPr>
            <w:noProof/>
          </w:rPr>
          <w:t>5</w:t>
        </w:r>
      </w:fldSimple>
      <w:r w:rsidRPr="00895C4A">
        <w:t>https://miro.com/blog/what-is-swot-analysis/</w:t>
      </w:r>
    </w:p>
    <w:p w14:paraId="2A97E149" w14:textId="77777777" w:rsidR="001D427C" w:rsidRPr="00EA5D55" w:rsidRDefault="001D427C" w:rsidP="001D427C">
      <w:pPr>
        <w:rPr>
          <w:rFonts w:ascii="Arial" w:hAnsi="Arial" w:cs="Arial"/>
        </w:rPr>
      </w:pPr>
      <w:r w:rsidRPr="00EA5D55">
        <w:rPr>
          <w:rFonts w:ascii="Arial" w:hAnsi="Arial" w:cs="Arial"/>
        </w:rPr>
        <w:t>A SWOT analysis combines an assessment of internal capabilities with an evaluation of the external environment; however, it has faced criticism for being overly simplistic, relying on subjective classifications, and lacking clear guidance for developing strategies (Johnson et al., 2020).</w:t>
      </w:r>
    </w:p>
    <w:p w14:paraId="1FAA7AEC" w14:textId="77777777" w:rsidR="001D427C" w:rsidRPr="00EA5D55" w:rsidRDefault="001D427C" w:rsidP="001D427C">
      <w:pPr>
        <w:rPr>
          <w:rFonts w:ascii="Arial" w:hAnsi="Arial" w:cs="Arial"/>
        </w:rPr>
      </w:pPr>
    </w:p>
    <w:p w14:paraId="60A31642" w14:textId="2671B3C5" w:rsidR="001D427C" w:rsidRPr="00EA5D55" w:rsidRDefault="001D427C" w:rsidP="001D427C">
      <w:pPr>
        <w:pStyle w:val="ListParagraph"/>
        <w:numPr>
          <w:ilvl w:val="0"/>
          <w:numId w:val="31"/>
        </w:numPr>
        <w:rPr>
          <w:rFonts w:ascii="Arial" w:hAnsi="Arial" w:cs="Arial"/>
          <w:b/>
        </w:rPr>
      </w:pPr>
      <w:r w:rsidRPr="00EA5D55">
        <w:rPr>
          <w:rFonts w:ascii="Arial" w:hAnsi="Arial" w:cs="Arial"/>
          <w:b/>
        </w:rPr>
        <w:t>Strengths</w:t>
      </w:r>
    </w:p>
    <w:p w14:paraId="6B99BEBC" w14:textId="77777777" w:rsidR="001D427C" w:rsidRPr="00EA5D55" w:rsidRDefault="001D427C" w:rsidP="001D427C">
      <w:pPr>
        <w:pStyle w:val="ListParagraph"/>
        <w:numPr>
          <w:ilvl w:val="0"/>
          <w:numId w:val="32"/>
        </w:numPr>
        <w:rPr>
          <w:rFonts w:ascii="Arial" w:hAnsi="Arial" w:cs="Arial"/>
        </w:rPr>
      </w:pPr>
      <w:r w:rsidRPr="00EA5D55">
        <w:rPr>
          <w:rFonts w:ascii="Arial" w:hAnsi="Arial" w:cs="Arial"/>
        </w:rPr>
        <w:t xml:space="preserve">A well-established brand with an 85-year history showcasing durability and trustworthiness. </w:t>
      </w:r>
    </w:p>
    <w:p w14:paraId="04372D8F" w14:textId="77777777" w:rsidR="001D427C" w:rsidRPr="00EA5D55" w:rsidRDefault="001D427C" w:rsidP="001D427C">
      <w:pPr>
        <w:pStyle w:val="ListParagraph"/>
        <w:numPr>
          <w:ilvl w:val="0"/>
          <w:numId w:val="32"/>
        </w:numPr>
        <w:rPr>
          <w:rFonts w:ascii="Arial" w:hAnsi="Arial" w:cs="Arial"/>
        </w:rPr>
      </w:pPr>
      <w:r w:rsidRPr="00EA5D55">
        <w:rPr>
          <w:rFonts w:ascii="Arial" w:hAnsi="Arial" w:cs="Arial"/>
        </w:rPr>
        <w:t xml:space="preserve">A strong value proposition offering quality products at reasonable prices that resonate with Indian consumer preferences. </w:t>
      </w:r>
    </w:p>
    <w:p w14:paraId="53DB72C8" w14:textId="77777777" w:rsidR="001D427C" w:rsidRPr="00EA5D55" w:rsidRDefault="001D427C" w:rsidP="001D427C">
      <w:pPr>
        <w:pStyle w:val="ListParagraph"/>
        <w:numPr>
          <w:ilvl w:val="0"/>
          <w:numId w:val="32"/>
        </w:numPr>
        <w:rPr>
          <w:rFonts w:ascii="Arial" w:hAnsi="Arial" w:cs="Arial"/>
        </w:rPr>
      </w:pPr>
      <w:r w:rsidRPr="00EA5D55">
        <w:rPr>
          <w:rFonts w:ascii="Arial" w:hAnsi="Arial" w:cs="Arial"/>
        </w:rPr>
        <w:lastRenderedPageBreak/>
        <w:t xml:space="preserve">Excellence in operations, particularly in production efficiency, supply chain management, and inventory optimization. </w:t>
      </w:r>
    </w:p>
    <w:p w14:paraId="24CF4676" w14:textId="77777777" w:rsidR="001D427C" w:rsidRPr="00EA5D55" w:rsidRDefault="001D427C" w:rsidP="001D427C">
      <w:pPr>
        <w:pStyle w:val="ListParagraph"/>
        <w:numPr>
          <w:ilvl w:val="0"/>
          <w:numId w:val="32"/>
        </w:numPr>
        <w:rPr>
          <w:rFonts w:ascii="Arial" w:hAnsi="Arial" w:cs="Arial"/>
        </w:rPr>
      </w:pPr>
      <w:r w:rsidRPr="00EA5D55">
        <w:rPr>
          <w:rFonts w:ascii="Arial" w:hAnsi="Arial" w:cs="Arial"/>
        </w:rPr>
        <w:t xml:space="preserve">A robust financial status featuring £1.8 billion in revenue, allowing for continued investment in expansion. </w:t>
      </w:r>
    </w:p>
    <w:p w14:paraId="3ECEF49C" w14:textId="77777777" w:rsidR="001D427C" w:rsidRPr="00EA5D55" w:rsidRDefault="001D427C" w:rsidP="001D427C">
      <w:pPr>
        <w:pStyle w:val="ListParagraph"/>
        <w:numPr>
          <w:ilvl w:val="0"/>
          <w:numId w:val="32"/>
        </w:numPr>
        <w:rPr>
          <w:rFonts w:ascii="Arial" w:hAnsi="Arial" w:cs="Arial"/>
        </w:rPr>
      </w:pPr>
      <w:r w:rsidRPr="00EA5D55">
        <w:rPr>
          <w:rFonts w:ascii="Arial" w:hAnsi="Arial" w:cs="Arial"/>
        </w:rPr>
        <w:t xml:space="preserve">Capable product development with a diverse menu covering both sweet and savory options. </w:t>
      </w:r>
    </w:p>
    <w:p w14:paraId="248AD30D" w14:textId="77777777" w:rsidR="001D427C" w:rsidRPr="00EA5D55" w:rsidRDefault="001D427C" w:rsidP="001D427C">
      <w:pPr>
        <w:pStyle w:val="ListParagraph"/>
        <w:numPr>
          <w:ilvl w:val="0"/>
          <w:numId w:val="32"/>
        </w:numPr>
        <w:rPr>
          <w:rFonts w:ascii="Arial" w:hAnsi="Arial" w:cs="Arial"/>
        </w:rPr>
      </w:pPr>
      <w:r w:rsidRPr="00EA5D55">
        <w:rPr>
          <w:rFonts w:ascii="Arial" w:hAnsi="Arial" w:cs="Arial"/>
        </w:rPr>
        <w:t xml:space="preserve">Integration of technology through mobile applications, loyalty programs, and digital ordering systems. </w:t>
      </w:r>
    </w:p>
    <w:p w14:paraId="7CCF4D0C" w14:textId="77777777" w:rsidR="001D427C" w:rsidRPr="00EA5D55" w:rsidRDefault="001D427C" w:rsidP="001D427C">
      <w:pPr>
        <w:pStyle w:val="ListParagraph"/>
        <w:numPr>
          <w:ilvl w:val="0"/>
          <w:numId w:val="32"/>
        </w:numPr>
        <w:rPr>
          <w:rFonts w:ascii="Arial" w:hAnsi="Arial" w:cs="Arial"/>
        </w:rPr>
      </w:pPr>
      <w:r w:rsidRPr="00EA5D55">
        <w:rPr>
          <w:rFonts w:ascii="Arial" w:hAnsi="Arial" w:cs="Arial"/>
        </w:rPr>
        <w:t>Proven scalability reflected in the UK growth from 2,000 to 2,450 stores methodically.</w:t>
      </w:r>
    </w:p>
    <w:p w14:paraId="37CBAF75" w14:textId="77777777" w:rsidR="001D427C" w:rsidRPr="00EA5D55" w:rsidRDefault="001D427C" w:rsidP="001D427C">
      <w:pPr>
        <w:rPr>
          <w:rFonts w:ascii="Arial" w:hAnsi="Arial" w:cs="Arial"/>
        </w:rPr>
      </w:pPr>
    </w:p>
    <w:p w14:paraId="38F9F531" w14:textId="47A9A68A" w:rsidR="001D427C" w:rsidRPr="00EA5D55" w:rsidRDefault="001D427C" w:rsidP="001D427C">
      <w:pPr>
        <w:pStyle w:val="ListParagraph"/>
        <w:numPr>
          <w:ilvl w:val="0"/>
          <w:numId w:val="31"/>
        </w:numPr>
        <w:rPr>
          <w:rFonts w:ascii="Arial" w:hAnsi="Arial" w:cs="Arial"/>
          <w:b/>
        </w:rPr>
      </w:pPr>
      <w:r w:rsidRPr="00EA5D55">
        <w:rPr>
          <w:rFonts w:ascii="Arial" w:hAnsi="Arial" w:cs="Arial"/>
          <w:b/>
        </w:rPr>
        <w:t>Weaknesses</w:t>
      </w:r>
    </w:p>
    <w:p w14:paraId="68402B98" w14:textId="77777777" w:rsidR="001D427C" w:rsidRPr="00EA5D55" w:rsidRDefault="001D427C" w:rsidP="001D427C">
      <w:pPr>
        <w:pStyle w:val="ListParagraph"/>
        <w:numPr>
          <w:ilvl w:val="0"/>
          <w:numId w:val="33"/>
        </w:numPr>
        <w:rPr>
          <w:rFonts w:ascii="Arial" w:hAnsi="Arial" w:cs="Arial"/>
        </w:rPr>
      </w:pPr>
      <w:r w:rsidRPr="00EA5D55">
        <w:rPr>
          <w:rFonts w:ascii="Arial" w:hAnsi="Arial" w:cs="Arial"/>
        </w:rPr>
        <w:t xml:space="preserve">A lack of international experience, resulting in a focus primarily on UK operations and corresponding knowledge deficits. </w:t>
      </w:r>
    </w:p>
    <w:p w14:paraId="00D55B69" w14:textId="77777777" w:rsidR="001D427C" w:rsidRPr="00EA5D55" w:rsidRDefault="001D427C" w:rsidP="001D427C">
      <w:pPr>
        <w:pStyle w:val="ListParagraph"/>
        <w:numPr>
          <w:ilvl w:val="0"/>
          <w:numId w:val="33"/>
        </w:numPr>
        <w:rPr>
          <w:rFonts w:ascii="Arial" w:hAnsi="Arial" w:cs="Arial"/>
        </w:rPr>
      </w:pPr>
      <w:r w:rsidRPr="00EA5D55">
        <w:rPr>
          <w:rFonts w:ascii="Arial" w:hAnsi="Arial" w:cs="Arial"/>
        </w:rPr>
        <w:t xml:space="preserve">Minimal brand awareness in India, requiring significant marketing expenditures. </w:t>
      </w:r>
    </w:p>
    <w:p w14:paraId="142081EC" w14:textId="77777777" w:rsidR="001D427C" w:rsidRPr="00EA5D55" w:rsidRDefault="001D427C" w:rsidP="001D427C">
      <w:pPr>
        <w:pStyle w:val="ListParagraph"/>
        <w:numPr>
          <w:ilvl w:val="0"/>
          <w:numId w:val="33"/>
        </w:numPr>
        <w:rPr>
          <w:rFonts w:ascii="Arial" w:hAnsi="Arial" w:cs="Arial"/>
        </w:rPr>
      </w:pPr>
      <w:r w:rsidRPr="00EA5D55">
        <w:rPr>
          <w:rFonts w:ascii="Arial" w:hAnsi="Arial" w:cs="Arial"/>
        </w:rPr>
        <w:t xml:space="preserve">Uncertainty regarding product-market fit, given that UK menu offerings may not appeal despite modifications. </w:t>
      </w:r>
    </w:p>
    <w:p w14:paraId="3E24E5BF" w14:textId="77777777" w:rsidR="001D427C" w:rsidRPr="00EA5D55" w:rsidRDefault="001D427C" w:rsidP="001D427C">
      <w:pPr>
        <w:pStyle w:val="ListParagraph"/>
        <w:numPr>
          <w:ilvl w:val="0"/>
          <w:numId w:val="33"/>
        </w:numPr>
        <w:rPr>
          <w:rFonts w:ascii="Arial" w:hAnsi="Arial" w:cs="Arial"/>
        </w:rPr>
      </w:pPr>
      <w:r w:rsidRPr="00EA5D55">
        <w:rPr>
          <w:rFonts w:ascii="Arial" w:hAnsi="Arial" w:cs="Arial"/>
        </w:rPr>
        <w:t xml:space="preserve">Inexperience with supply chain challenges in India’s complex logistics landscape. </w:t>
      </w:r>
    </w:p>
    <w:p w14:paraId="288E9968" w14:textId="77777777" w:rsidR="001D427C" w:rsidRPr="00EA5D55" w:rsidRDefault="001D427C" w:rsidP="001D427C">
      <w:pPr>
        <w:pStyle w:val="ListParagraph"/>
        <w:numPr>
          <w:ilvl w:val="0"/>
          <w:numId w:val="33"/>
        </w:numPr>
        <w:rPr>
          <w:rFonts w:ascii="Arial" w:hAnsi="Arial" w:cs="Arial"/>
        </w:rPr>
      </w:pPr>
      <w:r w:rsidRPr="00EA5D55">
        <w:rPr>
          <w:rFonts w:ascii="Arial" w:hAnsi="Arial" w:cs="Arial"/>
        </w:rPr>
        <w:t xml:space="preserve">Initial competitive disadvantages against well-established local and international brands. </w:t>
      </w:r>
    </w:p>
    <w:p w14:paraId="019FF1D1" w14:textId="77777777" w:rsidR="001D427C" w:rsidRPr="00EA5D55" w:rsidRDefault="001D427C" w:rsidP="001D427C">
      <w:pPr>
        <w:pStyle w:val="ListParagraph"/>
        <w:numPr>
          <w:ilvl w:val="0"/>
          <w:numId w:val="33"/>
        </w:numPr>
        <w:rPr>
          <w:rFonts w:ascii="Arial" w:hAnsi="Arial" w:cs="Arial"/>
        </w:rPr>
      </w:pPr>
      <w:r w:rsidRPr="00EA5D55">
        <w:rPr>
          <w:rFonts w:ascii="Arial" w:hAnsi="Arial" w:cs="Arial"/>
        </w:rPr>
        <w:t xml:space="preserve">Cultural differences between British and Indian cuisines necessitating organizational adaptation. </w:t>
      </w:r>
    </w:p>
    <w:p w14:paraId="700C99E4" w14:textId="77777777" w:rsidR="001D427C" w:rsidRPr="00EA5D55" w:rsidRDefault="001D427C" w:rsidP="001D427C">
      <w:pPr>
        <w:pStyle w:val="ListParagraph"/>
        <w:numPr>
          <w:ilvl w:val="0"/>
          <w:numId w:val="33"/>
        </w:numPr>
        <w:rPr>
          <w:rFonts w:ascii="Arial" w:hAnsi="Arial" w:cs="Arial"/>
        </w:rPr>
      </w:pPr>
      <w:r w:rsidRPr="00EA5D55">
        <w:rPr>
          <w:rFonts w:ascii="Arial" w:hAnsi="Arial" w:cs="Arial"/>
        </w:rPr>
        <w:t>Risks associated with premium pricing stemming from the brand's international status.</w:t>
      </w:r>
    </w:p>
    <w:p w14:paraId="2E78BE29" w14:textId="77777777" w:rsidR="001D427C" w:rsidRPr="00EA5D55" w:rsidRDefault="001D427C" w:rsidP="001D427C">
      <w:pPr>
        <w:rPr>
          <w:rFonts w:ascii="Arial" w:hAnsi="Arial" w:cs="Arial"/>
        </w:rPr>
      </w:pPr>
    </w:p>
    <w:p w14:paraId="233B8FF9" w14:textId="5A551707" w:rsidR="001D427C" w:rsidRPr="00EA5D55" w:rsidRDefault="001D427C" w:rsidP="001D427C">
      <w:pPr>
        <w:pStyle w:val="ListParagraph"/>
        <w:numPr>
          <w:ilvl w:val="0"/>
          <w:numId w:val="31"/>
        </w:numPr>
        <w:rPr>
          <w:rFonts w:ascii="Arial" w:hAnsi="Arial" w:cs="Arial"/>
          <w:b/>
        </w:rPr>
      </w:pPr>
      <w:r w:rsidRPr="00EA5D55">
        <w:rPr>
          <w:rFonts w:ascii="Arial" w:hAnsi="Arial" w:cs="Arial"/>
          <w:b/>
        </w:rPr>
        <w:t>Opportunities</w:t>
      </w:r>
    </w:p>
    <w:p w14:paraId="3F0F19DA"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A gap in the value bakery-café market that presents an opportunity for positioning. </w:t>
      </w:r>
    </w:p>
    <w:p w14:paraId="415F843B"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Growth in the breakfast segment as traditional consumption patterns shift towards convenience options. </w:t>
      </w:r>
    </w:p>
    <w:p w14:paraId="0860A294"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A rising middle class projected to add 140 million households by 2030. </w:t>
      </w:r>
    </w:p>
    <w:p w14:paraId="7E49C4C1"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Availability of strategic locations in transport hubs and office buildings. </w:t>
      </w:r>
    </w:p>
    <w:p w14:paraId="6F0E1AC5"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Franchise opportunities that facilitate quick and cost-effective expansion. </w:t>
      </w:r>
    </w:p>
    <w:p w14:paraId="0B25DEBF"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Growing corporate catering potential to serve the expanding office sector. </w:t>
      </w:r>
    </w:p>
    <w:p w14:paraId="46DEFD82"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Utilization of digital channels via delivery services and mobile commerce. </w:t>
      </w:r>
    </w:p>
    <w:p w14:paraId="73B03FF0"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Possibility for product innovation through localization, creating hybrid offerings. </w:t>
      </w:r>
    </w:p>
    <w:p w14:paraId="4B91C09D"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Expansion into tier 2 cities where competition from international players is limited.</w:t>
      </w:r>
    </w:p>
    <w:p w14:paraId="31972C90" w14:textId="77777777" w:rsidR="001D427C" w:rsidRPr="00EA5D55" w:rsidRDefault="001D427C" w:rsidP="001D427C">
      <w:pPr>
        <w:rPr>
          <w:rFonts w:ascii="Arial" w:hAnsi="Arial" w:cs="Arial"/>
        </w:rPr>
      </w:pPr>
    </w:p>
    <w:p w14:paraId="72CB43B1" w14:textId="67D4C06A" w:rsidR="001D427C" w:rsidRPr="00EA5D55" w:rsidRDefault="001D427C" w:rsidP="001D427C">
      <w:pPr>
        <w:pStyle w:val="ListParagraph"/>
        <w:numPr>
          <w:ilvl w:val="0"/>
          <w:numId w:val="31"/>
        </w:numPr>
        <w:rPr>
          <w:rFonts w:ascii="Arial" w:hAnsi="Arial" w:cs="Arial"/>
          <w:b/>
        </w:rPr>
      </w:pPr>
      <w:r w:rsidRPr="00EA5D55">
        <w:rPr>
          <w:rFonts w:ascii="Arial" w:hAnsi="Arial" w:cs="Arial"/>
          <w:b/>
        </w:rPr>
        <w:t>Threats</w:t>
      </w:r>
    </w:p>
    <w:p w14:paraId="7AF0BF9A"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The risk of cultural rejection if localization efforts fail to meet expectations. </w:t>
      </w:r>
    </w:p>
    <w:p w14:paraId="00F38324"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Fierce competition from local bakeries that benefit from community loyalty. </w:t>
      </w:r>
    </w:p>
    <w:p w14:paraId="18FAA9DD"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Complex regulatory environments across different jurisdictional levels. </w:t>
      </w:r>
    </w:p>
    <w:p w14:paraId="63533616"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Potential supply chain disruptions caused by inadequate infrastructure. </w:t>
      </w:r>
    </w:p>
    <w:p w14:paraId="0A4ED52E"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lastRenderedPageBreak/>
        <w:t xml:space="preserve">Economic fluctuations influencing consumer spending habits and currency valuation. </w:t>
      </w:r>
    </w:p>
    <w:p w14:paraId="0D550627"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Food safety issues that could rapidly damage brand reputation. </w:t>
      </w:r>
    </w:p>
    <w:p w14:paraId="11D9C1BD"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Challenges in retaining talent within a competitive labor market. </w:t>
      </w:r>
    </w:p>
    <w:p w14:paraId="69EA32A5"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Possible backlash against Western brands during periods of rising nationalist sentiments. </w:t>
      </w:r>
    </w:p>
    <w:p w14:paraId="58A5CC9D"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Shifts in health trends that could marginalize traditional bakery products. </w:t>
      </w:r>
    </w:p>
    <w:p w14:paraId="2CA8C232" w14:textId="6BA799B8" w:rsidR="001D427C" w:rsidRPr="00EA5D55" w:rsidRDefault="001D427C" w:rsidP="001D427C">
      <w:pPr>
        <w:pStyle w:val="ListParagraph"/>
        <w:numPr>
          <w:ilvl w:val="0"/>
          <w:numId w:val="35"/>
        </w:numPr>
        <w:rPr>
          <w:rFonts w:ascii="Arial" w:hAnsi="Arial" w:cs="Arial"/>
        </w:rPr>
      </w:pPr>
      <w:r w:rsidRPr="00EA5D55">
        <w:rPr>
          <w:rFonts w:ascii="Arial" w:hAnsi="Arial" w:cs="Arial"/>
        </w:rPr>
        <w:t>The possibility of pandemic recurrence affecting customer footfall and discretionary spending.</w:t>
      </w:r>
    </w:p>
    <w:p w14:paraId="28A61DCA" w14:textId="778FCA78" w:rsidR="00A5449F" w:rsidRPr="00EA5D55" w:rsidRDefault="001D427C" w:rsidP="001D427C">
      <w:pPr>
        <w:pStyle w:val="Heading1"/>
        <w:rPr>
          <w:rFonts w:ascii="Arial" w:hAnsi="Arial" w:cs="Arial"/>
          <w:sz w:val="24"/>
          <w:szCs w:val="24"/>
        </w:rPr>
      </w:pPr>
      <w:bookmarkStart w:id="10" w:name="_Toc215617315"/>
      <w:r w:rsidRPr="00EA5D55">
        <w:rPr>
          <w:rFonts w:ascii="Arial" w:hAnsi="Arial" w:cs="Arial"/>
          <w:sz w:val="24"/>
          <w:szCs w:val="24"/>
        </w:rPr>
        <w:t>3: Strategy Development and Formulation</w:t>
      </w:r>
      <w:bookmarkEnd w:id="10"/>
    </w:p>
    <w:p w14:paraId="625766EF" w14:textId="23A87BDF" w:rsidR="001D427C" w:rsidRPr="00EA5D55" w:rsidRDefault="001D427C" w:rsidP="001D427C">
      <w:pPr>
        <w:pStyle w:val="Heading2"/>
        <w:rPr>
          <w:rFonts w:ascii="Arial" w:hAnsi="Arial" w:cs="Arial"/>
          <w:sz w:val="24"/>
          <w:szCs w:val="24"/>
        </w:rPr>
      </w:pPr>
      <w:bookmarkStart w:id="11" w:name="_Toc215617316"/>
      <w:r w:rsidRPr="00EA5D55">
        <w:rPr>
          <w:rFonts w:ascii="Arial" w:hAnsi="Arial" w:cs="Arial"/>
          <w:sz w:val="24"/>
          <w:szCs w:val="24"/>
        </w:rPr>
        <w:t>3.1 Strategic Direction: Market Development via Ansoff Matrix</w:t>
      </w:r>
      <w:bookmarkEnd w:id="11"/>
    </w:p>
    <w:p w14:paraId="11A4E94A" w14:textId="4DE9E432" w:rsidR="001D427C" w:rsidRPr="00EA5D55" w:rsidRDefault="001D427C" w:rsidP="001D427C">
      <w:pPr>
        <w:rPr>
          <w:rFonts w:ascii="Arial" w:hAnsi="Arial" w:cs="Arial"/>
        </w:rPr>
      </w:pPr>
      <w:r w:rsidRPr="00EA5D55">
        <w:rPr>
          <w:rFonts w:ascii="Arial" w:hAnsi="Arial" w:cs="Arial"/>
        </w:rPr>
        <w:t>Utilizing Ansoff's growth strategy matrix, Greggs' expansion into India demonstrates a market development strategy by offering established product categories (baked goods, sandwiches, beverages) in new geographic regions (Ansoff, 1957). This strategy capitalizes on the company's strengths in bakery operations while venturing beyond the saturated UK market, striking a balance between ambitious growth and acceptable risk, as opposed to diversification, which would require both product and market innovation that exceed the company's capabilities. Supporting initiatives for product development include expanding the vegetarian range, introducing Indian-inspired savory items that incorporate local flavors, focusing on regional specialization, offering health-conscious options, and localizing beverages. This combined strategy of market development and product adaptation enhances the risk-return profile.</w:t>
      </w:r>
    </w:p>
    <w:p w14:paraId="20E42FE7" w14:textId="49493985" w:rsidR="001D427C" w:rsidRPr="00EA5D55" w:rsidRDefault="001D427C" w:rsidP="001D427C">
      <w:pPr>
        <w:pStyle w:val="Heading2"/>
        <w:rPr>
          <w:rFonts w:ascii="Arial" w:hAnsi="Arial" w:cs="Arial"/>
          <w:sz w:val="24"/>
          <w:szCs w:val="24"/>
        </w:rPr>
      </w:pPr>
      <w:bookmarkStart w:id="12" w:name="_Toc215617317"/>
      <w:r w:rsidRPr="00EA5D55">
        <w:rPr>
          <w:rFonts w:ascii="Arial" w:hAnsi="Arial" w:cs="Arial"/>
          <w:sz w:val="24"/>
          <w:szCs w:val="24"/>
        </w:rPr>
        <w:t>3.2 Market Entry Mode: Hybrid Model</w:t>
      </w:r>
      <w:bookmarkEnd w:id="12"/>
    </w:p>
    <w:p w14:paraId="193091EA" w14:textId="61D67764" w:rsidR="001D427C" w:rsidRPr="00EA5D55" w:rsidRDefault="001D427C" w:rsidP="003928A1">
      <w:pPr>
        <w:pStyle w:val="ListParagraph"/>
        <w:numPr>
          <w:ilvl w:val="0"/>
          <w:numId w:val="36"/>
        </w:numPr>
        <w:rPr>
          <w:rFonts w:ascii="Arial" w:hAnsi="Arial" w:cs="Arial"/>
          <w:b/>
        </w:rPr>
      </w:pPr>
      <w:r w:rsidRPr="00EA5D55">
        <w:rPr>
          <w:rFonts w:ascii="Arial" w:hAnsi="Arial" w:cs="Arial"/>
          <w:b/>
        </w:rPr>
        <w:t>Phase 1 (Years 1-2): Wholly-Owned Subsidiary</w:t>
      </w:r>
    </w:p>
    <w:p w14:paraId="44A63A6A" w14:textId="2C155908" w:rsidR="003928A1" w:rsidRPr="00EA5D55" w:rsidRDefault="003928A1" w:rsidP="003928A1">
      <w:pPr>
        <w:rPr>
          <w:rFonts w:ascii="Arial" w:hAnsi="Arial" w:cs="Arial"/>
        </w:rPr>
      </w:pPr>
      <w:r w:rsidRPr="00EA5D55">
        <w:rPr>
          <w:rFonts w:ascii="Arial" w:hAnsi="Arial" w:cs="Arial"/>
        </w:rPr>
        <w:t xml:space="preserve">The initial step involves creating a wholly-owned subsidiary that will operate company-owned stores in Bangalore, a city chosen for its technological progress, diverse demographic, openness to global brands, and a well-established expatriate community that can serve as an initial customer base (Hill et al., 2023). This strategy ensures maximum control during the crucial learning stage, promotes quick iterations, helps in building capabilities, and allows for resource concentration. </w:t>
      </w:r>
    </w:p>
    <w:p w14:paraId="7BAF1D01" w14:textId="1E8B7536" w:rsidR="003928A1" w:rsidRPr="00EA5D55" w:rsidRDefault="003928A1" w:rsidP="003928A1">
      <w:pPr>
        <w:rPr>
          <w:rFonts w:ascii="Arial" w:hAnsi="Arial" w:cs="Arial"/>
        </w:rPr>
      </w:pPr>
      <w:r w:rsidRPr="00EA5D55">
        <w:rPr>
          <w:rFonts w:ascii="Arial" w:hAnsi="Arial" w:cs="Arial"/>
        </w:rPr>
        <w:t xml:space="preserve">The pilot initiatives include launching 5-7 flagship stores, crafting an </w:t>
      </w:r>
      <w:proofErr w:type="gramStart"/>
      <w:r w:rsidRPr="00EA5D55">
        <w:rPr>
          <w:rFonts w:ascii="Arial" w:hAnsi="Arial" w:cs="Arial"/>
        </w:rPr>
        <w:t>operations</w:t>
      </w:r>
      <w:proofErr w:type="gramEnd"/>
      <w:r w:rsidRPr="00EA5D55">
        <w:rPr>
          <w:rFonts w:ascii="Arial" w:hAnsi="Arial" w:cs="Arial"/>
        </w:rPr>
        <w:t xml:space="preserve"> manual tailored for India, establishing a local supply chain, testing menu items, implementing technology systems, assembling a management team, and performing market research.</w:t>
      </w:r>
    </w:p>
    <w:p w14:paraId="671C6651" w14:textId="0E2C3E77" w:rsidR="003928A1" w:rsidRPr="00EA5D55" w:rsidRDefault="003928A1" w:rsidP="003928A1">
      <w:pPr>
        <w:pStyle w:val="ListParagraph"/>
        <w:numPr>
          <w:ilvl w:val="0"/>
          <w:numId w:val="36"/>
        </w:numPr>
        <w:rPr>
          <w:rFonts w:ascii="Arial" w:hAnsi="Arial" w:cs="Arial"/>
          <w:b/>
        </w:rPr>
      </w:pPr>
      <w:r w:rsidRPr="00EA5D55">
        <w:rPr>
          <w:rFonts w:ascii="Arial" w:hAnsi="Arial" w:cs="Arial"/>
          <w:b/>
        </w:rPr>
        <w:t>Phase 2 (Years 3-5): Selective Franchising with Flagship Retention</w:t>
      </w:r>
    </w:p>
    <w:p w14:paraId="0A454DBD" w14:textId="4A054772" w:rsidR="003928A1" w:rsidRPr="00EA5D55" w:rsidRDefault="003928A1" w:rsidP="003928A1">
      <w:pPr>
        <w:rPr>
          <w:rFonts w:ascii="Arial" w:eastAsia="Arial" w:hAnsi="Arial" w:cs="Arial"/>
        </w:rPr>
      </w:pPr>
      <w:r w:rsidRPr="00EA5D55">
        <w:rPr>
          <w:rFonts w:ascii="Arial" w:eastAsia="Arial" w:hAnsi="Arial" w:cs="Arial"/>
        </w:rPr>
        <w:t xml:space="preserve">Achieving validated success allows for selective franchising to speed up growth while keeping strategically located company-owned stores. This blended approach enhances capital efficiency, provides insights into local markets, spreads out risk, enables operations in Tier 2 cities, and creates additional revenue sources, all while maintaining brand integrity through flagship locations that showcase operational standards (Euromonitor International, 2024). </w:t>
      </w:r>
    </w:p>
    <w:p w14:paraId="0DF389A1" w14:textId="3B792666" w:rsidR="00A5449F" w:rsidRPr="00EA5D55" w:rsidRDefault="003928A1" w:rsidP="003928A1">
      <w:pPr>
        <w:rPr>
          <w:rFonts w:ascii="Arial" w:eastAsia="Arial" w:hAnsi="Arial" w:cs="Arial"/>
        </w:rPr>
      </w:pPr>
      <w:r w:rsidRPr="00EA5D55">
        <w:rPr>
          <w:rFonts w:ascii="Arial" w:eastAsia="Arial" w:hAnsi="Arial" w:cs="Arial"/>
        </w:rPr>
        <w:t xml:space="preserve">Criteria for potential franchisees include relevant experience in retail or food service, sufficient financial backing, alignment with company values, a willingness to undergo training, access to </w:t>
      </w:r>
      <w:r w:rsidRPr="00EA5D55">
        <w:rPr>
          <w:rFonts w:ascii="Arial" w:eastAsia="Arial" w:hAnsi="Arial" w:cs="Arial"/>
        </w:rPr>
        <w:lastRenderedPageBreak/>
        <w:t>suitable real estate, and avoidance of competing interests. The comprehensive support offered includes training programs, operational assessments, access to supply chains, marketing assistance, provision of technology, and product development initiatives.</w:t>
      </w:r>
    </w:p>
    <w:p w14:paraId="31C2E86E" w14:textId="71661AA9" w:rsidR="003928A1" w:rsidRPr="00EA5D55" w:rsidRDefault="003928A1" w:rsidP="003928A1">
      <w:pPr>
        <w:pStyle w:val="Heading2"/>
        <w:rPr>
          <w:rFonts w:ascii="Arial" w:eastAsia="Arial" w:hAnsi="Arial" w:cs="Arial"/>
          <w:sz w:val="24"/>
          <w:szCs w:val="24"/>
        </w:rPr>
      </w:pPr>
      <w:bookmarkStart w:id="13" w:name="_Toc215617318"/>
      <w:r w:rsidRPr="00EA5D55">
        <w:rPr>
          <w:rFonts w:ascii="Arial" w:hAnsi="Arial" w:cs="Arial"/>
          <w:sz w:val="24"/>
          <w:szCs w:val="24"/>
        </w:rPr>
        <w:t>3.3 Competitive Positioning: Cost Leadership Strategy</w:t>
      </w:r>
      <w:bookmarkEnd w:id="13"/>
    </w:p>
    <w:p w14:paraId="42D595C3" w14:textId="4792BB74" w:rsidR="003928A1" w:rsidRPr="00EA5D55" w:rsidRDefault="003928A1" w:rsidP="003928A1">
      <w:pPr>
        <w:rPr>
          <w:rFonts w:ascii="Arial" w:eastAsia="Arial" w:hAnsi="Arial" w:cs="Arial"/>
        </w:rPr>
      </w:pPr>
      <w:r w:rsidRPr="00EA5D55">
        <w:rPr>
          <w:rFonts w:ascii="Arial" w:eastAsia="Arial" w:hAnsi="Arial" w:cs="Arial"/>
        </w:rPr>
        <w:t xml:space="preserve">Greggs aims for a cost leadership strategy, establishing itself as the value leader in the quality bakery-café market, which aligns with its successful approach in the UK and addresses the price sensitivity in India, while setting itself apart from higher-end competitors (Porter, 1985). To achieve this, it must focus on operational efficiency through centralized production to realize economies of scale, streamlined store designs, effective supply chain management, uniform processes, and the strategic use of technology. </w:t>
      </w:r>
    </w:p>
    <w:p w14:paraId="0A4D3D37" w14:textId="632E1F37" w:rsidR="003928A1" w:rsidRPr="00EA5D55" w:rsidRDefault="003928A1" w:rsidP="003928A1">
      <w:pPr>
        <w:rPr>
          <w:rFonts w:ascii="Arial" w:eastAsia="Arial" w:hAnsi="Arial" w:cs="Arial"/>
        </w:rPr>
      </w:pPr>
      <w:r w:rsidRPr="00EA5D55">
        <w:rPr>
          <w:rFonts w:ascii="Arial" w:eastAsia="Arial" w:hAnsi="Arial" w:cs="Arial"/>
        </w:rPr>
        <w:t xml:space="preserve">The value pricing strategy positions their offerings 20-30% lower than premium brands, while still being 10-20% more than low-quality options: beverages priced at ₹80-120 (compared to Starbucks' ₹200-350), savory dishes at ₹60-100, sweet treats at ₹40-80, and meal combos at ₹130-180. Key factors enabling this include negotiations with suppliers, potential for vertical integration, strategic selection of real estate that prioritizes accessibility over high status, workforce efficiency, and minimization of waste. </w:t>
      </w:r>
    </w:p>
    <w:p w14:paraId="65D2D251" w14:textId="50322924" w:rsidR="00A5449F" w:rsidRPr="00EA5D55" w:rsidRDefault="003928A1" w:rsidP="003928A1">
      <w:pPr>
        <w:rPr>
          <w:rFonts w:ascii="Arial" w:eastAsia="Arial" w:hAnsi="Arial" w:cs="Arial"/>
        </w:rPr>
      </w:pPr>
      <w:r w:rsidRPr="00EA5D55">
        <w:rPr>
          <w:rFonts w:ascii="Arial" w:eastAsia="Arial" w:hAnsi="Arial" w:cs="Arial"/>
        </w:rPr>
        <w:t>To avoid being viewed as a commodity, embedded differentiation ensures consistent quality, innovative products that provide unique fusion options, a brand personality that conveys warmth and approachability, excellence in customer experience, and genuine localization that shows respect for the local culture.</w:t>
      </w:r>
    </w:p>
    <w:p w14:paraId="6EB148B7" w14:textId="125A44FD" w:rsidR="00A5449F" w:rsidRPr="00EA5D55" w:rsidRDefault="003928A1" w:rsidP="003928A1">
      <w:pPr>
        <w:pStyle w:val="Heading2"/>
        <w:rPr>
          <w:rFonts w:ascii="Arial" w:eastAsia="Arial" w:hAnsi="Arial" w:cs="Arial"/>
          <w:sz w:val="24"/>
          <w:szCs w:val="24"/>
        </w:rPr>
      </w:pPr>
      <w:bookmarkStart w:id="14" w:name="_Toc215617319"/>
      <w:r w:rsidRPr="00EA5D55">
        <w:rPr>
          <w:rFonts w:ascii="Arial" w:hAnsi="Arial" w:cs="Arial"/>
          <w:sz w:val="24"/>
          <w:szCs w:val="24"/>
        </w:rPr>
        <w:t>3.4 Strategic Capability Assessment: VRIO Analysis</w:t>
      </w:r>
      <w:bookmarkEnd w:id="14"/>
    </w:p>
    <w:p w14:paraId="15E8AB25" w14:textId="6499DE8A" w:rsidR="003928A1" w:rsidRDefault="003928A1" w:rsidP="003928A1">
      <w:pPr>
        <w:rPr>
          <w:rFonts w:ascii="Arial" w:eastAsia="Arial" w:hAnsi="Arial" w:cs="Arial"/>
        </w:rPr>
      </w:pPr>
      <w:r w:rsidRPr="00EA5D55">
        <w:rPr>
          <w:rFonts w:ascii="Arial" w:eastAsia="Arial" w:hAnsi="Arial" w:cs="Arial"/>
        </w:rPr>
        <w:t xml:space="preserve">The VRIO framework evaluates the potential for sustainable competitive advantage by analyzing resources across the dimensions of Value, Rarity, Imitability, and </w:t>
      </w:r>
      <w:proofErr w:type="spellStart"/>
      <w:r w:rsidRPr="00EA5D55">
        <w:rPr>
          <w:rFonts w:ascii="Arial" w:eastAsia="Arial" w:hAnsi="Arial" w:cs="Arial"/>
        </w:rPr>
        <w:t>Organisation</w:t>
      </w:r>
      <w:proofErr w:type="spellEnd"/>
      <w:r w:rsidRPr="00EA5D55">
        <w:rPr>
          <w:rFonts w:ascii="Arial" w:eastAsia="Arial" w:hAnsi="Arial" w:cs="Arial"/>
        </w:rPr>
        <w:t xml:space="preserve"> (Barney, 1991).  </w:t>
      </w:r>
    </w:p>
    <w:p w14:paraId="09581FBB" w14:textId="77777777" w:rsidR="00B93DE9" w:rsidRDefault="00312BDA" w:rsidP="00B93DE9">
      <w:pPr>
        <w:keepNext/>
      </w:pPr>
      <w:r>
        <w:rPr>
          <w:noProof/>
        </w:rPr>
        <w:drawing>
          <wp:inline distT="0" distB="0" distL="0" distR="0" wp14:anchorId="41AE5576" wp14:editId="5FD6D1B9">
            <wp:extent cx="4983480" cy="2781207"/>
            <wp:effectExtent l="0" t="0" r="7620" b="635"/>
            <wp:docPr id="11" name="Picture 11" descr="VRIO Framework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RIO Framework EXPLAINED with EXAMPLES | B2U"/>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83480" cy="2781207"/>
                    </a:xfrm>
                    <a:prstGeom prst="rect">
                      <a:avLst/>
                    </a:prstGeom>
                    <a:noFill/>
                    <a:ln>
                      <a:noFill/>
                    </a:ln>
                  </pic:spPr>
                </pic:pic>
              </a:graphicData>
            </a:graphic>
          </wp:inline>
        </w:drawing>
      </w:r>
      <w:bookmarkStart w:id="15" w:name="_GoBack"/>
      <w:bookmarkEnd w:id="15"/>
    </w:p>
    <w:p w14:paraId="7DFB4BF1" w14:textId="6DFC0683" w:rsidR="00312BDA" w:rsidRPr="00EA5D55" w:rsidRDefault="00B93DE9" w:rsidP="00B93DE9">
      <w:pPr>
        <w:pStyle w:val="Caption"/>
        <w:rPr>
          <w:rFonts w:ascii="Arial" w:eastAsia="Arial" w:hAnsi="Arial" w:cs="Arial"/>
        </w:rPr>
      </w:pPr>
      <w:r>
        <w:t xml:space="preserve">Figure </w:t>
      </w:r>
      <w:fldSimple w:instr=" SEQ Figure \* ARABIC ">
        <w:r>
          <w:rPr>
            <w:noProof/>
          </w:rPr>
          <w:t>6</w:t>
        </w:r>
      </w:fldSimple>
      <w:r w:rsidRPr="00861153">
        <w:t>https://www.business-to-you.com/vrio-from-firm-resources-to-competitive-advantage/</w:t>
      </w:r>
    </w:p>
    <w:p w14:paraId="26F12885" w14:textId="55F71CEC" w:rsidR="003928A1" w:rsidRPr="001661CA" w:rsidRDefault="003928A1" w:rsidP="001661CA">
      <w:pPr>
        <w:pStyle w:val="ListParagraph"/>
        <w:numPr>
          <w:ilvl w:val="0"/>
          <w:numId w:val="36"/>
        </w:numPr>
        <w:rPr>
          <w:rFonts w:ascii="Arial" w:eastAsia="Arial" w:hAnsi="Arial" w:cs="Arial"/>
        </w:rPr>
      </w:pPr>
      <w:r w:rsidRPr="001661CA">
        <w:rPr>
          <w:rStyle w:val="Strong"/>
          <w:rFonts w:ascii="Arial" w:hAnsi="Arial" w:cs="Arial"/>
        </w:rPr>
        <w:lastRenderedPageBreak/>
        <w:t>Valuable Resources</w:t>
      </w:r>
      <w:r w:rsidRPr="001661CA">
        <w:rPr>
          <w:rFonts w:ascii="Arial" w:hAnsi="Arial" w:cs="Arial"/>
        </w:rPr>
        <w:t>:</w:t>
      </w:r>
    </w:p>
    <w:p w14:paraId="19FA6005" w14:textId="3306CCF2" w:rsidR="003928A1" w:rsidRPr="00EA5D55" w:rsidRDefault="003928A1" w:rsidP="003928A1">
      <w:pPr>
        <w:rPr>
          <w:rFonts w:ascii="Arial" w:eastAsia="Arial" w:hAnsi="Arial" w:cs="Arial"/>
        </w:rPr>
      </w:pPr>
      <w:r w:rsidRPr="00EA5D55">
        <w:rPr>
          <w:rFonts w:ascii="Arial" w:eastAsia="Arial" w:hAnsi="Arial" w:cs="Arial"/>
        </w:rPr>
        <w:t xml:space="preserve">Resources that add value include brand heritage, operational systems, financial assets, expertise in product development, supply chain strengths, and technology platforms that facilitate the delivery of the value proposition, thus creating a competitive edge.  </w:t>
      </w:r>
    </w:p>
    <w:p w14:paraId="79C36A91" w14:textId="1D480027" w:rsidR="003928A1" w:rsidRPr="001661CA" w:rsidRDefault="003928A1" w:rsidP="001661CA">
      <w:pPr>
        <w:pStyle w:val="ListParagraph"/>
        <w:numPr>
          <w:ilvl w:val="0"/>
          <w:numId w:val="36"/>
        </w:numPr>
        <w:rPr>
          <w:rFonts w:ascii="Arial" w:eastAsia="Arial" w:hAnsi="Arial" w:cs="Arial"/>
        </w:rPr>
      </w:pPr>
      <w:r w:rsidRPr="001661CA">
        <w:rPr>
          <w:rStyle w:val="Strong"/>
          <w:rFonts w:ascii="Arial" w:hAnsi="Arial" w:cs="Arial"/>
        </w:rPr>
        <w:t>Rare Resources</w:t>
      </w:r>
      <w:r w:rsidRPr="001661CA">
        <w:rPr>
          <w:rFonts w:ascii="Arial" w:hAnsi="Arial" w:cs="Arial"/>
        </w:rPr>
        <w:t>:</w:t>
      </w:r>
    </w:p>
    <w:p w14:paraId="35424E6C" w14:textId="5CD8E0C9" w:rsidR="003928A1" w:rsidRPr="00EA5D55" w:rsidRDefault="003928A1" w:rsidP="003928A1">
      <w:pPr>
        <w:rPr>
          <w:rFonts w:ascii="Arial" w:eastAsia="Arial" w:hAnsi="Arial" w:cs="Arial"/>
        </w:rPr>
      </w:pPr>
      <w:r w:rsidRPr="00EA5D55">
        <w:rPr>
          <w:rFonts w:ascii="Arial" w:eastAsia="Arial" w:hAnsi="Arial" w:cs="Arial"/>
        </w:rPr>
        <w:t xml:space="preserve">Consist of an integrated bakery-café model that merges fresh production with café service at a competitive price point, consistent quality maintained through systematic measures at scale, a culture focused on value, and sophisticated demand forecasting, which are not commonly found in the fragmented Indian market.  </w:t>
      </w:r>
    </w:p>
    <w:p w14:paraId="59B82BD5" w14:textId="546A733A" w:rsidR="003928A1" w:rsidRPr="001661CA" w:rsidRDefault="003928A1" w:rsidP="001661CA">
      <w:pPr>
        <w:pStyle w:val="ListParagraph"/>
        <w:numPr>
          <w:ilvl w:val="0"/>
          <w:numId w:val="36"/>
        </w:numPr>
        <w:rPr>
          <w:rFonts w:ascii="Arial" w:eastAsia="Arial" w:hAnsi="Arial" w:cs="Arial"/>
        </w:rPr>
      </w:pPr>
      <w:r w:rsidRPr="001661CA">
        <w:rPr>
          <w:rStyle w:val="Strong"/>
          <w:rFonts w:ascii="Arial" w:hAnsi="Arial" w:cs="Arial"/>
        </w:rPr>
        <w:t>Inimitable Capabilities</w:t>
      </w:r>
      <w:r w:rsidRPr="001661CA">
        <w:rPr>
          <w:rFonts w:ascii="Arial" w:hAnsi="Arial" w:cs="Arial"/>
        </w:rPr>
        <w:t>:</w:t>
      </w:r>
    </w:p>
    <w:p w14:paraId="4BC75E53" w14:textId="6AA1F60E" w:rsidR="003928A1" w:rsidRPr="00EA5D55" w:rsidRDefault="003928A1" w:rsidP="003928A1">
      <w:pPr>
        <w:rPr>
          <w:rFonts w:ascii="Arial" w:eastAsia="Arial" w:hAnsi="Arial" w:cs="Arial"/>
        </w:rPr>
      </w:pPr>
      <w:r w:rsidRPr="00EA5D55">
        <w:rPr>
          <w:rFonts w:ascii="Arial" w:eastAsia="Arial" w:hAnsi="Arial" w:cs="Arial"/>
        </w:rPr>
        <w:t xml:space="preserve">Encompass an </w:t>
      </w:r>
      <w:proofErr w:type="spellStart"/>
      <w:r w:rsidRPr="00EA5D55">
        <w:rPr>
          <w:rFonts w:ascii="Arial" w:eastAsia="Arial" w:hAnsi="Arial" w:cs="Arial"/>
        </w:rPr>
        <w:t>organisational</w:t>
      </w:r>
      <w:proofErr w:type="spellEnd"/>
      <w:r w:rsidRPr="00EA5D55">
        <w:rPr>
          <w:rFonts w:ascii="Arial" w:eastAsia="Arial" w:hAnsi="Arial" w:cs="Arial"/>
        </w:rPr>
        <w:t xml:space="preserve"> culture that prioritizes accessibility, cultivated over 85 years, established relationships with suppliers, the credibility of brand positioning, and unique recipes that are challenging to replicate, although operational processes and technology may eventually be copied.  </w:t>
      </w:r>
    </w:p>
    <w:p w14:paraId="5078A3A0" w14:textId="73065F10" w:rsidR="003928A1" w:rsidRPr="001661CA" w:rsidRDefault="003928A1" w:rsidP="001661CA">
      <w:pPr>
        <w:pStyle w:val="ListParagraph"/>
        <w:numPr>
          <w:ilvl w:val="0"/>
          <w:numId w:val="36"/>
        </w:numPr>
        <w:rPr>
          <w:rFonts w:ascii="Arial" w:eastAsia="Arial" w:hAnsi="Arial" w:cs="Arial"/>
        </w:rPr>
      </w:pPr>
      <w:proofErr w:type="spellStart"/>
      <w:r w:rsidRPr="001661CA">
        <w:rPr>
          <w:rStyle w:val="Strong"/>
          <w:rFonts w:ascii="Arial" w:hAnsi="Arial" w:cs="Arial"/>
        </w:rPr>
        <w:t>Organisational</w:t>
      </w:r>
      <w:proofErr w:type="spellEnd"/>
      <w:r w:rsidRPr="001661CA">
        <w:rPr>
          <w:rStyle w:val="Strong"/>
          <w:rFonts w:ascii="Arial" w:hAnsi="Arial" w:cs="Arial"/>
        </w:rPr>
        <w:t xml:space="preserve"> Exploitation</w:t>
      </w:r>
      <w:r w:rsidRPr="001661CA">
        <w:rPr>
          <w:rFonts w:ascii="Arial" w:hAnsi="Arial" w:cs="Arial"/>
        </w:rPr>
        <w:t>:</w:t>
      </w:r>
    </w:p>
    <w:p w14:paraId="3A7A6EDE" w14:textId="07347735" w:rsidR="003928A1" w:rsidRPr="00EA5D55" w:rsidRDefault="003928A1" w:rsidP="003928A1">
      <w:pPr>
        <w:rPr>
          <w:rFonts w:ascii="Arial" w:eastAsia="Arial" w:hAnsi="Arial" w:cs="Arial"/>
        </w:rPr>
      </w:pPr>
      <w:proofErr w:type="spellStart"/>
      <w:r w:rsidRPr="00EA5D55">
        <w:rPr>
          <w:rFonts w:ascii="Arial" w:eastAsia="Arial" w:hAnsi="Arial" w:cs="Arial"/>
        </w:rPr>
        <w:t>Organisational</w:t>
      </w:r>
      <w:proofErr w:type="spellEnd"/>
      <w:r w:rsidRPr="00EA5D55">
        <w:rPr>
          <w:rFonts w:ascii="Arial" w:eastAsia="Arial" w:hAnsi="Arial" w:cs="Arial"/>
        </w:rPr>
        <w:t xml:space="preserve"> exploitation features management systems that allow for coordination, financial management that promotes disciplined capital allocation, quality assurance that upholds standards, and a technology framework that supports operations. However, a lack of international experience and emerging cultural understanding necessitates improvement.  </w:t>
      </w:r>
    </w:p>
    <w:p w14:paraId="02CDED39" w14:textId="27461930" w:rsidR="003928A1" w:rsidRPr="001661CA" w:rsidRDefault="003928A1" w:rsidP="001661CA">
      <w:pPr>
        <w:pStyle w:val="ListParagraph"/>
        <w:numPr>
          <w:ilvl w:val="0"/>
          <w:numId w:val="36"/>
        </w:numPr>
        <w:rPr>
          <w:rFonts w:ascii="Arial" w:eastAsia="Arial" w:hAnsi="Arial" w:cs="Arial"/>
        </w:rPr>
      </w:pPr>
      <w:r w:rsidRPr="001661CA">
        <w:rPr>
          <w:rStyle w:val="Strong"/>
          <w:rFonts w:ascii="Arial" w:hAnsi="Arial" w:cs="Arial"/>
        </w:rPr>
        <w:t>Conclusion</w:t>
      </w:r>
      <w:r w:rsidRPr="001661CA">
        <w:rPr>
          <w:rFonts w:ascii="Arial" w:hAnsi="Arial" w:cs="Arial"/>
        </w:rPr>
        <w:t>:</w:t>
      </w:r>
    </w:p>
    <w:p w14:paraId="2892B17B" w14:textId="763063DF" w:rsidR="00A5449F" w:rsidRPr="00EA5D55" w:rsidRDefault="003928A1" w:rsidP="1BAECB45">
      <w:pPr>
        <w:rPr>
          <w:rFonts w:ascii="Arial" w:eastAsia="Arial" w:hAnsi="Arial" w:cs="Arial"/>
        </w:rPr>
      </w:pPr>
      <w:r w:rsidRPr="00EA5D55">
        <w:rPr>
          <w:rFonts w:ascii="Arial" w:eastAsia="Arial" w:hAnsi="Arial" w:cs="Arial"/>
        </w:rPr>
        <w:t xml:space="preserve">In summary, Greggs holds a temporary competitive advantage due to its valuable operational strengths and financial resources facilitating market entry, alongside a distinctive integrated model that offers differentiation. Nonetheless, limited inimitability and underdeveloped </w:t>
      </w:r>
      <w:proofErr w:type="spellStart"/>
      <w:r w:rsidRPr="00EA5D55">
        <w:rPr>
          <w:rFonts w:ascii="Arial" w:eastAsia="Arial" w:hAnsi="Arial" w:cs="Arial"/>
        </w:rPr>
        <w:t>organisational</w:t>
      </w:r>
      <w:proofErr w:type="spellEnd"/>
      <w:r w:rsidRPr="00EA5D55">
        <w:rPr>
          <w:rFonts w:ascii="Arial" w:eastAsia="Arial" w:hAnsi="Arial" w:cs="Arial"/>
        </w:rPr>
        <w:t xml:space="preserve"> frameworks for international operations suggest that these advantages are temporary rather than enduring (Grant, 2021). To establish a sustained advantage, there is a need to develop capabilities specific to India, which includes understanding local culture, building supply chain partnerships, enhancing brand equity, deepening talent, and fostering continuous innovation.</w:t>
      </w:r>
    </w:p>
    <w:p w14:paraId="50C02A95" w14:textId="557149FD" w:rsidR="00A5449F" w:rsidRPr="00EA5D55" w:rsidRDefault="00EA5D55" w:rsidP="00EA5D55">
      <w:pPr>
        <w:pStyle w:val="Heading2"/>
        <w:rPr>
          <w:rFonts w:ascii="Arial" w:eastAsia="Arial" w:hAnsi="Arial" w:cs="Arial"/>
          <w:sz w:val="24"/>
          <w:szCs w:val="24"/>
        </w:rPr>
      </w:pPr>
      <w:bookmarkStart w:id="16" w:name="_Toc215617320"/>
      <w:r w:rsidRPr="00EA5D55">
        <w:rPr>
          <w:rFonts w:ascii="Arial" w:hAnsi="Arial" w:cs="Arial"/>
          <w:sz w:val="24"/>
          <w:szCs w:val="24"/>
        </w:rPr>
        <w:t>3.5 Implementation Framework</w:t>
      </w:r>
      <w:bookmarkEnd w:id="16"/>
    </w:p>
    <w:p w14:paraId="4CCE049A" w14:textId="77777777" w:rsidR="00EA5D55" w:rsidRPr="00EA5D55" w:rsidRDefault="00EA5D55" w:rsidP="00EA5D55">
      <w:pPr>
        <w:rPr>
          <w:rFonts w:ascii="Arial" w:eastAsia="Arial" w:hAnsi="Arial" w:cs="Arial"/>
        </w:rPr>
      </w:pPr>
      <w:proofErr w:type="spellStart"/>
      <w:r w:rsidRPr="00EA5D55">
        <w:rPr>
          <w:rFonts w:ascii="Arial" w:eastAsia="Arial" w:hAnsi="Arial" w:cs="Arial"/>
          <w:b/>
        </w:rPr>
        <w:t>Organisational</w:t>
      </w:r>
      <w:proofErr w:type="spellEnd"/>
      <w:r w:rsidRPr="00EA5D55">
        <w:rPr>
          <w:rFonts w:ascii="Arial" w:eastAsia="Arial" w:hAnsi="Arial" w:cs="Arial"/>
          <w:b/>
        </w:rPr>
        <w:t xml:space="preserve"> Structure:</w:t>
      </w:r>
      <w:r w:rsidRPr="00EA5D55">
        <w:rPr>
          <w:rFonts w:ascii="Arial" w:eastAsia="Arial" w:hAnsi="Arial" w:cs="Arial"/>
        </w:rPr>
        <w:t xml:space="preserve"> Create Greggs India Private Limited as a fully-owned subsidiary featuring a local board that includes executives from Greggs and independent directors from India. The leadership team consists of a CEO, COO, CMO, CFO, and CHRO for India, along with cluster management at the store level.</w:t>
      </w:r>
    </w:p>
    <w:p w14:paraId="16936229" w14:textId="77777777" w:rsidR="00EA5D55" w:rsidRPr="00EA5D55" w:rsidRDefault="00EA5D55" w:rsidP="00EA5D55">
      <w:pPr>
        <w:rPr>
          <w:rFonts w:ascii="Arial" w:eastAsia="Arial" w:hAnsi="Arial" w:cs="Arial"/>
        </w:rPr>
      </w:pPr>
    </w:p>
    <w:p w14:paraId="2F298D0C" w14:textId="77777777" w:rsidR="00EA5D55" w:rsidRPr="00EA5D55" w:rsidRDefault="00EA5D55" w:rsidP="00EA5D55">
      <w:pPr>
        <w:rPr>
          <w:rFonts w:ascii="Arial" w:eastAsia="Arial" w:hAnsi="Arial" w:cs="Arial"/>
        </w:rPr>
      </w:pPr>
      <w:r w:rsidRPr="00EA5D55">
        <w:rPr>
          <w:rFonts w:ascii="Arial" w:eastAsia="Arial" w:hAnsi="Arial" w:cs="Arial"/>
          <w:b/>
        </w:rPr>
        <w:lastRenderedPageBreak/>
        <w:t>Supply Chain Development:</w:t>
      </w:r>
      <w:r w:rsidRPr="00EA5D55">
        <w:rPr>
          <w:rFonts w:ascii="Arial" w:eastAsia="Arial" w:hAnsi="Arial" w:cs="Arial"/>
        </w:rPr>
        <w:t xml:space="preserve"> Central kitchens in each market will produce baked goods for distribution to ensure uniformity. Collaborate with suppliers for flour, dairy, vegetables, and packaging while implementing cold chain logistics to maintain food safety. Inventory management systems will streamline production and reduce waste, while quality assurance protocols guarantee compliance with FSSAI standards and brand expectations.</w:t>
      </w:r>
    </w:p>
    <w:p w14:paraId="6814CA24" w14:textId="77777777" w:rsidR="00EA5D55" w:rsidRPr="00EA5D55" w:rsidRDefault="00EA5D55" w:rsidP="00EA5D55">
      <w:pPr>
        <w:rPr>
          <w:rFonts w:ascii="Arial" w:eastAsia="Arial" w:hAnsi="Arial" w:cs="Arial"/>
        </w:rPr>
      </w:pPr>
    </w:p>
    <w:p w14:paraId="009BBD8B" w14:textId="77777777" w:rsidR="00EA5D55" w:rsidRPr="00EA5D55" w:rsidRDefault="00EA5D55" w:rsidP="00EA5D55">
      <w:pPr>
        <w:rPr>
          <w:rFonts w:ascii="Arial" w:eastAsia="Arial" w:hAnsi="Arial" w:cs="Arial"/>
        </w:rPr>
      </w:pPr>
      <w:r w:rsidRPr="00EA5D55">
        <w:rPr>
          <w:rFonts w:ascii="Arial" w:eastAsia="Arial" w:hAnsi="Arial" w:cs="Arial"/>
          <w:b/>
        </w:rPr>
        <w:t>Technology Deployment:</w:t>
      </w:r>
      <w:r w:rsidRPr="00EA5D55">
        <w:rPr>
          <w:rFonts w:ascii="Arial" w:eastAsia="Arial" w:hAnsi="Arial" w:cs="Arial"/>
        </w:rPr>
        <w:t xml:space="preserve"> Establish an interconnected system that includes POS systems, a mobile ordering app, a loyalty program, back-office functions, and supply chain management software, ensuring compliance with cybersecurity and data protection regulations.</w:t>
      </w:r>
    </w:p>
    <w:p w14:paraId="71C337A3" w14:textId="77777777" w:rsidR="00EA5D55" w:rsidRPr="00EA5D55" w:rsidRDefault="00EA5D55" w:rsidP="00EA5D55">
      <w:pPr>
        <w:rPr>
          <w:rFonts w:ascii="Arial" w:eastAsia="Arial" w:hAnsi="Arial" w:cs="Arial"/>
        </w:rPr>
      </w:pPr>
    </w:p>
    <w:p w14:paraId="693A669E" w14:textId="77777777" w:rsidR="00EA5D55" w:rsidRPr="00EA5D55" w:rsidRDefault="00EA5D55" w:rsidP="00EA5D55">
      <w:pPr>
        <w:rPr>
          <w:rFonts w:ascii="Arial" w:eastAsia="Arial" w:hAnsi="Arial" w:cs="Arial"/>
        </w:rPr>
      </w:pPr>
      <w:r w:rsidRPr="00EA5D55">
        <w:rPr>
          <w:rFonts w:ascii="Arial" w:eastAsia="Arial" w:hAnsi="Arial" w:cs="Arial"/>
          <w:b/>
        </w:rPr>
        <w:t>Marketing Strategy:</w:t>
      </w:r>
      <w:r w:rsidRPr="00EA5D55">
        <w:rPr>
          <w:rFonts w:ascii="Arial" w:eastAsia="Arial" w:hAnsi="Arial" w:cs="Arial"/>
        </w:rPr>
        <w:t xml:space="preserve"> Utilize a phased strategy, starting with teaser campaigns during the launch phase, followed by grand openings, effective PR, partnerships with influencers, and product sampling. In the growth phase, focus on digital marketing, local area promotions, activating loyalty programs, seasonal campaigns, and partnerships with other brands. Communication will highlight the value proposition, respect for local culture, brand character, and transparency using a mix of 60% digital, 25% outdoor, 10% traditional media, and 5% experiential marketing.</w:t>
      </w:r>
    </w:p>
    <w:p w14:paraId="007FB144" w14:textId="77777777" w:rsidR="00EA5D55" w:rsidRPr="00EA5D55" w:rsidRDefault="00EA5D55" w:rsidP="00EA5D55">
      <w:pPr>
        <w:rPr>
          <w:rFonts w:ascii="Arial" w:eastAsia="Arial" w:hAnsi="Arial" w:cs="Arial"/>
        </w:rPr>
      </w:pPr>
    </w:p>
    <w:p w14:paraId="4F6A0226" w14:textId="0F9075E1" w:rsidR="00A5449F" w:rsidRPr="00EA5D55" w:rsidRDefault="00EA5D55" w:rsidP="00EA5D55">
      <w:pPr>
        <w:rPr>
          <w:rFonts w:ascii="Arial" w:eastAsia="Arial" w:hAnsi="Arial" w:cs="Arial"/>
        </w:rPr>
      </w:pPr>
      <w:r w:rsidRPr="00EA5D55">
        <w:rPr>
          <w:rFonts w:ascii="Arial" w:eastAsia="Arial" w:hAnsi="Arial" w:cs="Arial"/>
          <w:b/>
        </w:rPr>
        <w:t>Talent Management:</w:t>
      </w:r>
      <w:r w:rsidRPr="00EA5D55">
        <w:rPr>
          <w:rFonts w:ascii="Arial" w:eastAsia="Arial" w:hAnsi="Arial" w:cs="Arial"/>
        </w:rPr>
        <w:t xml:space="preserve"> Attract skilled management with competitive salaries and opportunities for growth. For frontline positions, prioritize candidates with a positive attitude and provide thorough training in operations, customer service, organizational culture, and leadership. Offer attractive compensation, performance management, and engagement strategies to enhance employee retention.</w:t>
      </w:r>
    </w:p>
    <w:p w14:paraId="34070517" w14:textId="2DF1D070" w:rsidR="00EA5D55" w:rsidRPr="00EA5D55" w:rsidRDefault="00EA5D55" w:rsidP="00EA5D55">
      <w:pPr>
        <w:pStyle w:val="Heading1"/>
        <w:rPr>
          <w:rFonts w:ascii="Arial" w:hAnsi="Arial" w:cs="Arial"/>
          <w:sz w:val="24"/>
          <w:szCs w:val="24"/>
        </w:rPr>
      </w:pPr>
      <w:bookmarkStart w:id="17" w:name="_Toc215617321"/>
      <w:r w:rsidRPr="00EA5D55">
        <w:rPr>
          <w:rFonts w:ascii="Arial" w:hAnsi="Arial" w:cs="Arial"/>
          <w:sz w:val="24"/>
          <w:szCs w:val="24"/>
        </w:rPr>
        <w:t>4: Performance Evaluation Framework</w:t>
      </w:r>
      <w:bookmarkEnd w:id="17"/>
    </w:p>
    <w:p w14:paraId="30D611A2" w14:textId="1BC438D9" w:rsidR="00EA5D55" w:rsidRPr="00EA5D55" w:rsidRDefault="00EA5D55" w:rsidP="00EA5D55">
      <w:pPr>
        <w:pStyle w:val="Heading2"/>
        <w:rPr>
          <w:rFonts w:ascii="Arial" w:hAnsi="Arial" w:cs="Arial"/>
          <w:sz w:val="24"/>
          <w:szCs w:val="24"/>
        </w:rPr>
      </w:pPr>
      <w:bookmarkStart w:id="18" w:name="_Toc215617322"/>
      <w:r w:rsidRPr="00EA5D55">
        <w:rPr>
          <w:rFonts w:ascii="Arial" w:hAnsi="Arial" w:cs="Arial"/>
          <w:sz w:val="24"/>
          <w:szCs w:val="24"/>
        </w:rPr>
        <w:t>4.1 Balanced Scorecard Framework</w:t>
      </w:r>
      <w:bookmarkEnd w:id="18"/>
    </w:p>
    <w:p w14:paraId="60DD81B1" w14:textId="77777777" w:rsidR="00EA5D55" w:rsidRPr="00EA5D55" w:rsidRDefault="00EA5D55" w:rsidP="00EA5D55">
      <w:pPr>
        <w:rPr>
          <w:rFonts w:ascii="Arial" w:hAnsi="Arial" w:cs="Arial"/>
        </w:rPr>
      </w:pPr>
      <w:r w:rsidRPr="00EA5D55">
        <w:rPr>
          <w:rFonts w:ascii="Arial" w:hAnsi="Arial" w:cs="Arial"/>
        </w:rPr>
        <w:t>The Balanced Scorecard offers a well-rounded performance assessment that aligns actions with strategic goals across four viewpoints, overcoming the shortcomings of conventional financial metrics (Kaplan and Norton, 2001).</w:t>
      </w:r>
    </w:p>
    <w:p w14:paraId="2CC553C5" w14:textId="77777777" w:rsidR="00EA5D55" w:rsidRPr="00EA5D55" w:rsidRDefault="00EA5D55" w:rsidP="00EA5D55">
      <w:pPr>
        <w:rPr>
          <w:rFonts w:ascii="Arial" w:hAnsi="Arial" w:cs="Arial"/>
        </w:rPr>
      </w:pPr>
    </w:p>
    <w:p w14:paraId="292B78B2" w14:textId="77777777" w:rsidR="00EA5D55" w:rsidRPr="00EA5D55" w:rsidRDefault="00EA5D55" w:rsidP="00EA5D55">
      <w:pPr>
        <w:pStyle w:val="ListParagraph"/>
        <w:numPr>
          <w:ilvl w:val="0"/>
          <w:numId w:val="38"/>
        </w:numPr>
        <w:rPr>
          <w:rFonts w:ascii="Arial" w:hAnsi="Arial" w:cs="Arial"/>
          <w:b/>
        </w:rPr>
      </w:pPr>
      <w:r w:rsidRPr="00EA5D55">
        <w:rPr>
          <w:rFonts w:ascii="Arial" w:hAnsi="Arial" w:cs="Arial"/>
          <w:b/>
        </w:rPr>
        <w:t xml:space="preserve">Financial Perspective  </w:t>
      </w:r>
    </w:p>
    <w:p w14:paraId="03C20D20" w14:textId="77777777" w:rsidR="00EA5D55" w:rsidRPr="00EA5D55" w:rsidRDefault="00EA5D55" w:rsidP="00EA5D55">
      <w:pPr>
        <w:rPr>
          <w:rFonts w:ascii="Arial" w:hAnsi="Arial" w:cs="Arial"/>
        </w:rPr>
      </w:pPr>
      <w:r w:rsidRPr="00EA5D55">
        <w:rPr>
          <w:rFonts w:ascii="Arial" w:hAnsi="Arial" w:cs="Arial"/>
          <w:b/>
        </w:rPr>
        <w:t>Goal:</w:t>
      </w:r>
      <w:r w:rsidRPr="00EA5D55">
        <w:rPr>
          <w:rFonts w:ascii="Arial" w:hAnsi="Arial" w:cs="Arial"/>
        </w:rPr>
        <w:t xml:space="preserve"> Attain enduring profitability and an appealing ROI  </w:t>
      </w:r>
    </w:p>
    <w:p w14:paraId="7132C686" w14:textId="186AEBD0" w:rsidR="00EA5D55" w:rsidRPr="00EA5D55" w:rsidRDefault="00EA5D55" w:rsidP="00EA5D55">
      <w:pPr>
        <w:rPr>
          <w:rFonts w:ascii="Arial" w:hAnsi="Arial" w:cs="Arial"/>
          <w:b/>
        </w:rPr>
      </w:pPr>
      <w:r w:rsidRPr="00EA5D55">
        <w:rPr>
          <w:rFonts w:ascii="Arial" w:hAnsi="Arial" w:cs="Arial"/>
          <w:b/>
        </w:rPr>
        <w:t xml:space="preserve">Key Performance Indicators:  </w:t>
      </w:r>
    </w:p>
    <w:p w14:paraId="43F6ED14" w14:textId="2E34E768" w:rsidR="00EA5D55" w:rsidRPr="00EA5D55" w:rsidRDefault="00EA5D55" w:rsidP="00EA5D55">
      <w:pPr>
        <w:pStyle w:val="ListParagraph"/>
        <w:numPr>
          <w:ilvl w:val="1"/>
          <w:numId w:val="37"/>
        </w:numPr>
        <w:rPr>
          <w:rFonts w:ascii="Arial" w:hAnsi="Arial" w:cs="Arial"/>
        </w:rPr>
      </w:pPr>
      <w:r w:rsidRPr="00EA5D55">
        <w:rPr>
          <w:rFonts w:ascii="Arial" w:hAnsi="Arial" w:cs="Arial"/>
        </w:rPr>
        <w:t xml:space="preserve">Revenue growth rate: Over 50% annually (during expansion phase), 15-20% (in mature phase)  </w:t>
      </w:r>
    </w:p>
    <w:p w14:paraId="72F1EF68" w14:textId="68ABC932" w:rsidR="00EA5D55" w:rsidRPr="00EA5D55" w:rsidRDefault="00EA5D55" w:rsidP="00EA5D55">
      <w:pPr>
        <w:pStyle w:val="ListParagraph"/>
        <w:numPr>
          <w:ilvl w:val="1"/>
          <w:numId w:val="37"/>
        </w:numPr>
        <w:rPr>
          <w:rFonts w:ascii="Arial" w:hAnsi="Arial" w:cs="Arial"/>
        </w:rPr>
      </w:pPr>
      <w:r w:rsidRPr="00EA5D55">
        <w:rPr>
          <w:rFonts w:ascii="Arial" w:hAnsi="Arial" w:cs="Arial"/>
        </w:rPr>
        <w:lastRenderedPageBreak/>
        <w:t xml:space="preserve">Store-level profitability: Break-even within 18 months, 15%+ operating margin by the third year  </w:t>
      </w:r>
    </w:p>
    <w:p w14:paraId="467A4C23" w14:textId="33E5B402" w:rsidR="00EA5D55" w:rsidRPr="00EA5D55" w:rsidRDefault="00EA5D55" w:rsidP="00EA5D55">
      <w:pPr>
        <w:pStyle w:val="ListParagraph"/>
        <w:numPr>
          <w:ilvl w:val="1"/>
          <w:numId w:val="37"/>
        </w:numPr>
        <w:rPr>
          <w:rFonts w:ascii="Arial" w:hAnsi="Arial" w:cs="Arial"/>
        </w:rPr>
      </w:pPr>
      <w:r w:rsidRPr="00EA5D55">
        <w:rPr>
          <w:rFonts w:ascii="Arial" w:hAnsi="Arial" w:cs="Arial"/>
        </w:rPr>
        <w:t xml:space="preserve">Return on Investment: 20%+ by the fifth year  </w:t>
      </w:r>
    </w:p>
    <w:p w14:paraId="5CC7AF28" w14:textId="16255D4D" w:rsidR="00EA5D55" w:rsidRPr="00EA5D55" w:rsidRDefault="00EA5D55" w:rsidP="00EA5D55">
      <w:pPr>
        <w:pStyle w:val="ListParagraph"/>
        <w:numPr>
          <w:ilvl w:val="1"/>
          <w:numId w:val="37"/>
        </w:numPr>
        <w:rPr>
          <w:rFonts w:ascii="Arial" w:hAnsi="Arial" w:cs="Arial"/>
        </w:rPr>
      </w:pPr>
      <w:r w:rsidRPr="00EA5D55">
        <w:rPr>
          <w:rFonts w:ascii="Arial" w:hAnsi="Arial" w:cs="Arial"/>
        </w:rPr>
        <w:t xml:space="preserve">Average transaction value: ₹150-200  </w:t>
      </w:r>
    </w:p>
    <w:p w14:paraId="73978691" w14:textId="61D6B368" w:rsidR="00EA5D55" w:rsidRPr="00EA5D55" w:rsidRDefault="00EA5D55" w:rsidP="00EA5D55">
      <w:pPr>
        <w:pStyle w:val="ListParagraph"/>
        <w:numPr>
          <w:ilvl w:val="1"/>
          <w:numId w:val="37"/>
        </w:numPr>
        <w:rPr>
          <w:rFonts w:ascii="Arial" w:hAnsi="Arial" w:cs="Arial"/>
        </w:rPr>
      </w:pPr>
      <w:r w:rsidRPr="00EA5D55">
        <w:rPr>
          <w:rFonts w:ascii="Arial" w:hAnsi="Arial" w:cs="Arial"/>
        </w:rPr>
        <w:t xml:space="preserve">Like-for-like sales growth: 5-8% annually  </w:t>
      </w:r>
    </w:p>
    <w:p w14:paraId="17125E3E" w14:textId="77777777" w:rsidR="00EA5D55" w:rsidRPr="00EA5D55" w:rsidRDefault="00EA5D55" w:rsidP="00EA5D55">
      <w:pPr>
        <w:rPr>
          <w:rFonts w:ascii="Arial" w:hAnsi="Arial" w:cs="Arial"/>
        </w:rPr>
      </w:pPr>
    </w:p>
    <w:p w14:paraId="36B623DA" w14:textId="77777777" w:rsidR="00EA5D55" w:rsidRPr="00EA5D55" w:rsidRDefault="00EA5D55" w:rsidP="00EA5D55">
      <w:pPr>
        <w:pStyle w:val="ListParagraph"/>
        <w:numPr>
          <w:ilvl w:val="0"/>
          <w:numId w:val="39"/>
        </w:numPr>
        <w:rPr>
          <w:rFonts w:ascii="Arial" w:hAnsi="Arial" w:cs="Arial"/>
          <w:b/>
        </w:rPr>
      </w:pPr>
      <w:r w:rsidRPr="00EA5D55">
        <w:rPr>
          <w:rFonts w:ascii="Arial" w:hAnsi="Arial" w:cs="Arial"/>
          <w:b/>
        </w:rPr>
        <w:t xml:space="preserve">Customer Perspective  </w:t>
      </w:r>
    </w:p>
    <w:p w14:paraId="048A25EF" w14:textId="77777777" w:rsidR="00EA5D55" w:rsidRPr="00EA5D55" w:rsidRDefault="00EA5D55" w:rsidP="00EA5D55">
      <w:pPr>
        <w:rPr>
          <w:rFonts w:ascii="Arial" w:hAnsi="Arial" w:cs="Arial"/>
        </w:rPr>
      </w:pPr>
      <w:r w:rsidRPr="00EA5D55">
        <w:rPr>
          <w:rFonts w:ascii="Arial" w:hAnsi="Arial" w:cs="Arial"/>
          <w:b/>
        </w:rPr>
        <w:t>Goal:</w:t>
      </w:r>
      <w:r w:rsidRPr="00EA5D55">
        <w:rPr>
          <w:rFonts w:ascii="Arial" w:hAnsi="Arial" w:cs="Arial"/>
        </w:rPr>
        <w:t xml:space="preserve"> Foster brand preference and loyalty  </w:t>
      </w:r>
    </w:p>
    <w:p w14:paraId="59434F32" w14:textId="031339DB" w:rsidR="00EA5D55" w:rsidRPr="00EA5D55" w:rsidRDefault="00EA5D55" w:rsidP="00EA5D55">
      <w:pPr>
        <w:rPr>
          <w:rFonts w:ascii="Arial" w:hAnsi="Arial" w:cs="Arial"/>
          <w:b/>
        </w:rPr>
      </w:pPr>
      <w:r w:rsidRPr="00EA5D55">
        <w:rPr>
          <w:rFonts w:ascii="Arial" w:hAnsi="Arial" w:cs="Arial"/>
          <w:b/>
        </w:rPr>
        <w:t xml:space="preserve">Key Performance Indicators:  </w:t>
      </w:r>
    </w:p>
    <w:p w14:paraId="064203F7" w14:textId="0C2248FF" w:rsidR="00EA5D55" w:rsidRPr="00EA5D55" w:rsidRDefault="00EA5D55" w:rsidP="00EA5D55">
      <w:pPr>
        <w:pStyle w:val="ListParagraph"/>
        <w:numPr>
          <w:ilvl w:val="1"/>
          <w:numId w:val="41"/>
        </w:numPr>
        <w:rPr>
          <w:rFonts w:ascii="Arial" w:hAnsi="Arial" w:cs="Arial"/>
        </w:rPr>
      </w:pPr>
      <w:r w:rsidRPr="00EA5D55">
        <w:rPr>
          <w:rFonts w:ascii="Arial" w:hAnsi="Arial" w:cs="Arial"/>
        </w:rPr>
        <w:t xml:space="preserve">Brand awareness: Over 60% aided recognition by the third year  </w:t>
      </w:r>
    </w:p>
    <w:p w14:paraId="2D9EC331" w14:textId="1650B100" w:rsidR="00EA5D55" w:rsidRPr="00EA5D55" w:rsidRDefault="00EA5D55" w:rsidP="00EA5D55">
      <w:pPr>
        <w:pStyle w:val="ListParagraph"/>
        <w:numPr>
          <w:ilvl w:val="1"/>
          <w:numId w:val="41"/>
        </w:numPr>
        <w:rPr>
          <w:rFonts w:ascii="Arial" w:hAnsi="Arial" w:cs="Arial"/>
        </w:rPr>
      </w:pPr>
      <w:r w:rsidRPr="00EA5D55">
        <w:rPr>
          <w:rFonts w:ascii="Arial" w:hAnsi="Arial" w:cs="Arial"/>
        </w:rPr>
        <w:t xml:space="preserve">Customer satisfaction: 4.2+ out of 5.0  </w:t>
      </w:r>
    </w:p>
    <w:p w14:paraId="3EB30BF0" w14:textId="5BD7B974" w:rsidR="00EA5D55" w:rsidRPr="00EA5D55" w:rsidRDefault="00EA5D55" w:rsidP="00EA5D55">
      <w:pPr>
        <w:pStyle w:val="ListParagraph"/>
        <w:numPr>
          <w:ilvl w:val="1"/>
          <w:numId w:val="41"/>
        </w:numPr>
        <w:rPr>
          <w:rFonts w:ascii="Arial" w:hAnsi="Arial" w:cs="Arial"/>
        </w:rPr>
      </w:pPr>
      <w:r w:rsidRPr="00EA5D55">
        <w:rPr>
          <w:rFonts w:ascii="Arial" w:hAnsi="Arial" w:cs="Arial"/>
        </w:rPr>
        <w:t xml:space="preserve">Net Promoter Score: 40+ indicating customer advocacy  </w:t>
      </w:r>
    </w:p>
    <w:p w14:paraId="75DDC78F" w14:textId="389A79F3" w:rsidR="00EA5D55" w:rsidRPr="00EA5D55" w:rsidRDefault="00EA5D55" w:rsidP="00EA5D55">
      <w:pPr>
        <w:pStyle w:val="ListParagraph"/>
        <w:numPr>
          <w:ilvl w:val="1"/>
          <w:numId w:val="41"/>
        </w:numPr>
        <w:rPr>
          <w:rFonts w:ascii="Arial" w:hAnsi="Arial" w:cs="Arial"/>
        </w:rPr>
      </w:pPr>
      <w:r w:rsidRPr="00EA5D55">
        <w:rPr>
          <w:rFonts w:ascii="Arial" w:hAnsi="Arial" w:cs="Arial"/>
        </w:rPr>
        <w:t xml:space="preserve">Customer retention: 60%+ monthly repeat customers  </w:t>
      </w:r>
    </w:p>
    <w:p w14:paraId="583D9CD4" w14:textId="381186EF" w:rsidR="00EA5D55" w:rsidRPr="00EA5D55" w:rsidRDefault="00EA5D55" w:rsidP="00EA5D55">
      <w:pPr>
        <w:pStyle w:val="ListParagraph"/>
        <w:numPr>
          <w:ilvl w:val="1"/>
          <w:numId w:val="41"/>
        </w:numPr>
        <w:rPr>
          <w:rFonts w:ascii="Arial" w:hAnsi="Arial" w:cs="Arial"/>
        </w:rPr>
      </w:pPr>
      <w:r w:rsidRPr="00EA5D55">
        <w:rPr>
          <w:rFonts w:ascii="Arial" w:hAnsi="Arial" w:cs="Arial"/>
        </w:rPr>
        <w:t xml:space="preserve">Purchase frequency: 2.5+ visits per month  </w:t>
      </w:r>
    </w:p>
    <w:p w14:paraId="4EB64FCD" w14:textId="5CCD794A" w:rsidR="00EA5D55" w:rsidRPr="00EA5D55" w:rsidRDefault="00EA5D55" w:rsidP="00EA5D55">
      <w:pPr>
        <w:pStyle w:val="ListParagraph"/>
        <w:numPr>
          <w:ilvl w:val="1"/>
          <w:numId w:val="41"/>
        </w:numPr>
        <w:rPr>
          <w:rFonts w:ascii="Arial" w:hAnsi="Arial" w:cs="Arial"/>
        </w:rPr>
      </w:pPr>
      <w:r w:rsidRPr="00EA5D55">
        <w:rPr>
          <w:rFonts w:ascii="Arial" w:hAnsi="Arial" w:cs="Arial"/>
        </w:rPr>
        <w:t xml:space="preserve">Customer acquisition cost: Below ₹200  </w:t>
      </w:r>
    </w:p>
    <w:p w14:paraId="43203CB2" w14:textId="77777777" w:rsidR="00EA5D55" w:rsidRPr="00EA5D55" w:rsidRDefault="00EA5D55" w:rsidP="00EA5D55">
      <w:pPr>
        <w:rPr>
          <w:rFonts w:ascii="Arial" w:hAnsi="Arial" w:cs="Arial"/>
        </w:rPr>
      </w:pPr>
    </w:p>
    <w:p w14:paraId="46C54E9B" w14:textId="77777777" w:rsidR="00EA5D55" w:rsidRPr="00EA5D55" w:rsidRDefault="00EA5D55" w:rsidP="00EA5D55">
      <w:pPr>
        <w:pStyle w:val="ListParagraph"/>
        <w:numPr>
          <w:ilvl w:val="0"/>
          <w:numId w:val="42"/>
        </w:numPr>
        <w:rPr>
          <w:rFonts w:ascii="Arial" w:hAnsi="Arial" w:cs="Arial"/>
          <w:b/>
        </w:rPr>
      </w:pPr>
      <w:r w:rsidRPr="00EA5D55">
        <w:rPr>
          <w:rFonts w:ascii="Arial" w:hAnsi="Arial" w:cs="Arial"/>
          <w:b/>
        </w:rPr>
        <w:t xml:space="preserve">Internal Process Perspective  </w:t>
      </w:r>
    </w:p>
    <w:p w14:paraId="1A657743" w14:textId="77777777" w:rsidR="00EA5D55" w:rsidRPr="00EA5D55" w:rsidRDefault="00EA5D55" w:rsidP="00EA5D55">
      <w:pPr>
        <w:rPr>
          <w:rFonts w:ascii="Arial" w:hAnsi="Arial" w:cs="Arial"/>
        </w:rPr>
      </w:pPr>
      <w:r w:rsidRPr="00EA5D55">
        <w:rPr>
          <w:rFonts w:ascii="Arial" w:hAnsi="Arial" w:cs="Arial"/>
          <w:b/>
        </w:rPr>
        <w:t>Goal:</w:t>
      </w:r>
      <w:r w:rsidRPr="00EA5D55">
        <w:rPr>
          <w:rFonts w:ascii="Arial" w:hAnsi="Arial" w:cs="Arial"/>
        </w:rPr>
        <w:t xml:space="preserve"> Attain operational excellence  </w:t>
      </w:r>
    </w:p>
    <w:p w14:paraId="414F5593" w14:textId="139F33E5" w:rsidR="00EA5D55" w:rsidRPr="00EA5D55" w:rsidRDefault="00EA5D55" w:rsidP="00EA5D55">
      <w:pPr>
        <w:rPr>
          <w:rFonts w:ascii="Arial" w:hAnsi="Arial" w:cs="Arial"/>
          <w:b/>
        </w:rPr>
      </w:pPr>
      <w:r w:rsidRPr="00EA5D55">
        <w:rPr>
          <w:rFonts w:ascii="Arial" w:hAnsi="Arial" w:cs="Arial"/>
          <w:b/>
        </w:rPr>
        <w:t xml:space="preserve">Key Performance Indicators:  </w:t>
      </w:r>
    </w:p>
    <w:p w14:paraId="1B92D1D4" w14:textId="43D980A3" w:rsidR="00EA5D55" w:rsidRPr="00EA5D55" w:rsidRDefault="00EA5D55" w:rsidP="00EA5D55">
      <w:pPr>
        <w:pStyle w:val="ListParagraph"/>
        <w:numPr>
          <w:ilvl w:val="1"/>
          <w:numId w:val="44"/>
        </w:numPr>
        <w:rPr>
          <w:rFonts w:ascii="Arial" w:hAnsi="Arial" w:cs="Arial"/>
        </w:rPr>
      </w:pPr>
      <w:r w:rsidRPr="00EA5D55">
        <w:rPr>
          <w:rFonts w:ascii="Arial" w:hAnsi="Arial" w:cs="Arial"/>
        </w:rPr>
        <w:t xml:space="preserve">Food safety compliance: 100% with no violations  </w:t>
      </w:r>
    </w:p>
    <w:p w14:paraId="6A887B4B" w14:textId="7B41F3C2" w:rsidR="00EA5D55" w:rsidRPr="00EA5D55" w:rsidRDefault="00EA5D55" w:rsidP="00EA5D55">
      <w:pPr>
        <w:pStyle w:val="ListParagraph"/>
        <w:numPr>
          <w:ilvl w:val="1"/>
          <w:numId w:val="44"/>
        </w:numPr>
        <w:rPr>
          <w:rFonts w:ascii="Arial" w:hAnsi="Arial" w:cs="Arial"/>
        </w:rPr>
      </w:pPr>
      <w:r w:rsidRPr="00EA5D55">
        <w:rPr>
          <w:rFonts w:ascii="Arial" w:hAnsi="Arial" w:cs="Arial"/>
        </w:rPr>
        <w:t xml:space="preserve">Product availability: 95%+ of menu items accessible  </w:t>
      </w:r>
    </w:p>
    <w:p w14:paraId="10EEDED1" w14:textId="374311B4" w:rsidR="00EA5D55" w:rsidRPr="00EA5D55" w:rsidRDefault="00EA5D55" w:rsidP="00EA5D55">
      <w:pPr>
        <w:pStyle w:val="ListParagraph"/>
        <w:numPr>
          <w:ilvl w:val="1"/>
          <w:numId w:val="44"/>
        </w:numPr>
        <w:rPr>
          <w:rFonts w:ascii="Arial" w:hAnsi="Arial" w:cs="Arial"/>
        </w:rPr>
      </w:pPr>
      <w:r w:rsidRPr="00EA5D55">
        <w:rPr>
          <w:rFonts w:ascii="Arial" w:hAnsi="Arial" w:cs="Arial"/>
        </w:rPr>
        <w:t xml:space="preserve">Waste percentage: Below 8%  </w:t>
      </w:r>
    </w:p>
    <w:p w14:paraId="36E6A0FD" w14:textId="6619B9E3" w:rsidR="00EA5D55" w:rsidRPr="00EA5D55" w:rsidRDefault="00EA5D55" w:rsidP="00EA5D55">
      <w:pPr>
        <w:pStyle w:val="ListParagraph"/>
        <w:numPr>
          <w:ilvl w:val="1"/>
          <w:numId w:val="44"/>
        </w:numPr>
        <w:rPr>
          <w:rFonts w:ascii="Arial" w:hAnsi="Arial" w:cs="Arial"/>
        </w:rPr>
      </w:pPr>
      <w:r w:rsidRPr="00EA5D55">
        <w:rPr>
          <w:rFonts w:ascii="Arial" w:hAnsi="Arial" w:cs="Arial"/>
        </w:rPr>
        <w:t xml:space="preserve">Cleanliness audit scores: 90%+ across all locations  </w:t>
      </w:r>
    </w:p>
    <w:p w14:paraId="48BAD211" w14:textId="7F94DDD6" w:rsidR="00EA5D55" w:rsidRPr="00EA5D55" w:rsidRDefault="00EA5D55" w:rsidP="00EA5D55">
      <w:pPr>
        <w:pStyle w:val="ListParagraph"/>
        <w:numPr>
          <w:ilvl w:val="1"/>
          <w:numId w:val="44"/>
        </w:numPr>
        <w:rPr>
          <w:rFonts w:ascii="Arial" w:hAnsi="Arial" w:cs="Arial"/>
        </w:rPr>
      </w:pPr>
      <w:r w:rsidRPr="00EA5D55">
        <w:rPr>
          <w:rFonts w:ascii="Arial" w:hAnsi="Arial" w:cs="Arial"/>
        </w:rPr>
        <w:t xml:space="preserve">Speed of service: Under 3 minutes  </w:t>
      </w:r>
    </w:p>
    <w:p w14:paraId="4219ACF1" w14:textId="078A853E" w:rsidR="00EA5D55" w:rsidRPr="00EA5D55" w:rsidRDefault="00EA5D55" w:rsidP="00EA5D55">
      <w:pPr>
        <w:pStyle w:val="ListParagraph"/>
        <w:numPr>
          <w:ilvl w:val="1"/>
          <w:numId w:val="44"/>
        </w:numPr>
        <w:rPr>
          <w:rFonts w:ascii="Arial" w:hAnsi="Arial" w:cs="Arial"/>
        </w:rPr>
      </w:pPr>
      <w:r w:rsidRPr="00EA5D55">
        <w:rPr>
          <w:rFonts w:ascii="Arial" w:hAnsi="Arial" w:cs="Arial"/>
        </w:rPr>
        <w:t xml:space="preserve">Order accuracy: 98%+  </w:t>
      </w:r>
    </w:p>
    <w:p w14:paraId="6E0C806D" w14:textId="7FB65572" w:rsidR="00EA5D55" w:rsidRPr="00EA5D55" w:rsidRDefault="00EA5D55" w:rsidP="00EA5D55">
      <w:pPr>
        <w:pStyle w:val="ListParagraph"/>
        <w:numPr>
          <w:ilvl w:val="1"/>
          <w:numId w:val="44"/>
        </w:numPr>
        <w:rPr>
          <w:rFonts w:ascii="Arial" w:hAnsi="Arial" w:cs="Arial"/>
        </w:rPr>
      </w:pPr>
      <w:r w:rsidRPr="00EA5D55">
        <w:rPr>
          <w:rFonts w:ascii="Arial" w:hAnsi="Arial" w:cs="Arial"/>
        </w:rPr>
        <w:t xml:space="preserve">Supply chain on-time delivery: 95%+  </w:t>
      </w:r>
    </w:p>
    <w:p w14:paraId="70A7BE7F" w14:textId="77777777" w:rsidR="00EA5D55" w:rsidRPr="00EA5D55" w:rsidRDefault="00EA5D55" w:rsidP="00EA5D55">
      <w:pPr>
        <w:rPr>
          <w:rFonts w:ascii="Arial" w:hAnsi="Arial" w:cs="Arial"/>
        </w:rPr>
      </w:pPr>
    </w:p>
    <w:p w14:paraId="6E43F35D" w14:textId="77777777" w:rsidR="00EA5D55" w:rsidRPr="00EA5D55" w:rsidRDefault="00EA5D55" w:rsidP="00EA5D55">
      <w:pPr>
        <w:pStyle w:val="ListParagraph"/>
        <w:numPr>
          <w:ilvl w:val="0"/>
          <w:numId w:val="45"/>
        </w:numPr>
        <w:rPr>
          <w:rFonts w:ascii="Arial" w:hAnsi="Arial" w:cs="Arial"/>
          <w:b/>
        </w:rPr>
      </w:pPr>
      <w:r w:rsidRPr="00EA5D55">
        <w:rPr>
          <w:rFonts w:ascii="Arial" w:hAnsi="Arial" w:cs="Arial"/>
          <w:b/>
        </w:rPr>
        <w:t xml:space="preserve">Learning &amp; Growth Perspective  </w:t>
      </w:r>
    </w:p>
    <w:p w14:paraId="3FDC1FE9" w14:textId="77777777" w:rsidR="00EA5D55" w:rsidRPr="00EA5D55" w:rsidRDefault="00EA5D55" w:rsidP="00EA5D55">
      <w:pPr>
        <w:rPr>
          <w:rFonts w:ascii="Arial" w:hAnsi="Arial" w:cs="Arial"/>
        </w:rPr>
      </w:pPr>
      <w:r w:rsidRPr="00EA5D55">
        <w:rPr>
          <w:rFonts w:ascii="Arial" w:hAnsi="Arial" w:cs="Arial"/>
          <w:b/>
        </w:rPr>
        <w:t>Goal:</w:t>
      </w:r>
      <w:r w:rsidRPr="00EA5D55">
        <w:rPr>
          <w:rFonts w:ascii="Arial" w:hAnsi="Arial" w:cs="Arial"/>
        </w:rPr>
        <w:t xml:space="preserve"> Enhance organizational capabilities  </w:t>
      </w:r>
    </w:p>
    <w:p w14:paraId="5962FC10" w14:textId="5D96878C" w:rsidR="00EA5D55" w:rsidRPr="00EA5D55" w:rsidRDefault="00EA5D55" w:rsidP="00EA5D55">
      <w:pPr>
        <w:rPr>
          <w:rFonts w:ascii="Arial" w:hAnsi="Arial" w:cs="Arial"/>
          <w:b/>
        </w:rPr>
      </w:pPr>
      <w:r w:rsidRPr="00EA5D55">
        <w:rPr>
          <w:rFonts w:ascii="Arial" w:hAnsi="Arial" w:cs="Arial"/>
          <w:b/>
        </w:rPr>
        <w:t xml:space="preserve">Key Performance Indicators:  </w:t>
      </w:r>
    </w:p>
    <w:p w14:paraId="456CE221" w14:textId="781C7112" w:rsidR="00EA5D55" w:rsidRPr="00EA5D55" w:rsidRDefault="00EA5D55" w:rsidP="00EA5D55">
      <w:pPr>
        <w:pStyle w:val="ListParagraph"/>
        <w:numPr>
          <w:ilvl w:val="1"/>
          <w:numId w:val="47"/>
        </w:numPr>
        <w:rPr>
          <w:rFonts w:ascii="Arial" w:hAnsi="Arial" w:cs="Arial"/>
        </w:rPr>
      </w:pPr>
      <w:r w:rsidRPr="00EA5D55">
        <w:rPr>
          <w:rFonts w:ascii="Arial" w:hAnsi="Arial" w:cs="Arial"/>
        </w:rPr>
        <w:t xml:space="preserve">Employee satisfaction: 70%+ engaged workforce  </w:t>
      </w:r>
    </w:p>
    <w:p w14:paraId="7D2BF08A" w14:textId="3490054C" w:rsidR="00EA5D55" w:rsidRPr="00EA5D55" w:rsidRDefault="00EA5D55" w:rsidP="00EA5D55">
      <w:pPr>
        <w:pStyle w:val="ListParagraph"/>
        <w:numPr>
          <w:ilvl w:val="1"/>
          <w:numId w:val="47"/>
        </w:numPr>
        <w:rPr>
          <w:rFonts w:ascii="Arial" w:hAnsi="Arial" w:cs="Arial"/>
        </w:rPr>
      </w:pPr>
      <w:r w:rsidRPr="00EA5D55">
        <w:rPr>
          <w:rFonts w:ascii="Arial" w:hAnsi="Arial" w:cs="Arial"/>
        </w:rPr>
        <w:t xml:space="preserve">Employee retention: 75%+ management, 60%+ frontline staff annually  </w:t>
      </w:r>
    </w:p>
    <w:p w14:paraId="19B7D532" w14:textId="46323DBA" w:rsidR="00EA5D55" w:rsidRPr="00EA5D55" w:rsidRDefault="00EA5D55" w:rsidP="00EA5D55">
      <w:pPr>
        <w:pStyle w:val="ListParagraph"/>
        <w:numPr>
          <w:ilvl w:val="1"/>
          <w:numId w:val="47"/>
        </w:numPr>
        <w:rPr>
          <w:rFonts w:ascii="Arial" w:hAnsi="Arial" w:cs="Arial"/>
        </w:rPr>
      </w:pPr>
      <w:r w:rsidRPr="00EA5D55">
        <w:rPr>
          <w:rFonts w:ascii="Arial" w:hAnsi="Arial" w:cs="Arial"/>
        </w:rPr>
        <w:lastRenderedPageBreak/>
        <w:t xml:space="preserve">Training hours: 40+ hours per employee each year  </w:t>
      </w:r>
    </w:p>
    <w:p w14:paraId="3C7AAAC4" w14:textId="4204F7BD" w:rsidR="00EA5D55" w:rsidRPr="00EA5D55" w:rsidRDefault="00EA5D55" w:rsidP="00EA5D55">
      <w:pPr>
        <w:pStyle w:val="ListParagraph"/>
        <w:numPr>
          <w:ilvl w:val="1"/>
          <w:numId w:val="47"/>
        </w:numPr>
        <w:rPr>
          <w:rFonts w:ascii="Arial" w:hAnsi="Arial" w:cs="Arial"/>
        </w:rPr>
      </w:pPr>
      <w:r w:rsidRPr="00EA5D55">
        <w:rPr>
          <w:rFonts w:ascii="Arial" w:hAnsi="Arial" w:cs="Arial"/>
        </w:rPr>
        <w:t xml:space="preserve">Internal promotion rate: 50%+ for management roles  </w:t>
      </w:r>
    </w:p>
    <w:p w14:paraId="51C593D4" w14:textId="67FD43E3" w:rsidR="00EA5D55" w:rsidRPr="00EA5D55" w:rsidRDefault="00EA5D55" w:rsidP="00EA5D55">
      <w:pPr>
        <w:pStyle w:val="ListParagraph"/>
        <w:numPr>
          <w:ilvl w:val="1"/>
          <w:numId w:val="47"/>
        </w:numPr>
        <w:rPr>
          <w:rFonts w:ascii="Arial" w:hAnsi="Arial" w:cs="Arial"/>
        </w:rPr>
      </w:pPr>
      <w:r w:rsidRPr="00EA5D55">
        <w:rPr>
          <w:rFonts w:ascii="Arial" w:hAnsi="Arial" w:cs="Arial"/>
        </w:rPr>
        <w:t xml:space="preserve">Innovation pipeline: 3-5 new products introduced quarterly  </w:t>
      </w:r>
    </w:p>
    <w:p w14:paraId="4B94BD4B" w14:textId="36BC7FE1" w:rsidR="00EA5D55" w:rsidRPr="00EA5D55" w:rsidRDefault="00EA5D55" w:rsidP="00EA5D55">
      <w:pPr>
        <w:pStyle w:val="Heading2"/>
        <w:rPr>
          <w:rFonts w:ascii="Arial" w:hAnsi="Arial" w:cs="Arial"/>
          <w:sz w:val="24"/>
          <w:szCs w:val="24"/>
        </w:rPr>
      </w:pPr>
      <w:bookmarkStart w:id="19" w:name="_Toc215617323"/>
      <w:r w:rsidRPr="00EA5D55">
        <w:rPr>
          <w:rFonts w:ascii="Arial" w:hAnsi="Arial" w:cs="Arial"/>
          <w:sz w:val="24"/>
          <w:szCs w:val="24"/>
        </w:rPr>
        <w:t>4.2 Triple Bottom Line Integration</w:t>
      </w:r>
      <w:bookmarkEnd w:id="19"/>
    </w:p>
    <w:p w14:paraId="752437ED" w14:textId="77777777" w:rsidR="00EA5D55" w:rsidRPr="00EA5D55" w:rsidRDefault="00EA5D55" w:rsidP="00EA5D55">
      <w:pPr>
        <w:rPr>
          <w:rFonts w:ascii="Arial" w:hAnsi="Arial" w:cs="Arial"/>
        </w:rPr>
      </w:pPr>
      <w:r w:rsidRPr="00EA5D55">
        <w:rPr>
          <w:rFonts w:ascii="Arial" w:hAnsi="Arial" w:cs="Arial"/>
          <w:b/>
        </w:rPr>
        <w:t>Economic Sustainability:</w:t>
      </w:r>
      <w:r w:rsidRPr="00EA5D55">
        <w:rPr>
          <w:rFonts w:ascii="Arial" w:hAnsi="Arial" w:cs="Arial"/>
        </w:rPr>
        <w:t xml:space="preserve"> By the fifth year, we aim to create 500-750 jobs, develop suppliers with an annual expenditure of ₹100-150 crore, contribute to tax revenues, generate economic multiplier effects, and ensure the long-term viability of our operations to deliver value to stakeholders.  </w:t>
      </w:r>
    </w:p>
    <w:p w14:paraId="09827DCE" w14:textId="77777777" w:rsidR="00EA5D55" w:rsidRPr="00EA5D55" w:rsidRDefault="00EA5D55" w:rsidP="00EA5D55">
      <w:pPr>
        <w:rPr>
          <w:rFonts w:ascii="Arial" w:hAnsi="Arial" w:cs="Arial"/>
        </w:rPr>
      </w:pPr>
      <w:r w:rsidRPr="00EA5D55">
        <w:rPr>
          <w:rFonts w:ascii="Arial" w:hAnsi="Arial" w:cs="Arial"/>
          <w:b/>
        </w:rPr>
        <w:t>Social Sustainability:</w:t>
      </w:r>
      <w:r w:rsidRPr="00EA5D55">
        <w:rPr>
          <w:rFonts w:ascii="Arial" w:hAnsi="Arial" w:cs="Arial"/>
        </w:rPr>
        <w:t xml:space="preserve"> We prioritize employee welfare by providing fair wages (25-30% above the minimum), maintaining safe working conditions, offering comprehensive benefits, promoting work-life balance, and ensuring equal opportunities. Our community involvement includes local sourcing, investing in the community, employing locals, and ensuring accessible options for all. For consumers, we focus on nutritional transparency, providing healthier choices, maintaining food safety standards, and offering affordable nutrition.  </w:t>
      </w:r>
    </w:p>
    <w:p w14:paraId="6E21014E" w14:textId="77777777" w:rsidR="00EA5D55" w:rsidRPr="00EA5D55" w:rsidRDefault="00EA5D55" w:rsidP="00EA5D55">
      <w:pPr>
        <w:rPr>
          <w:rFonts w:ascii="Arial" w:hAnsi="Arial" w:cs="Arial"/>
        </w:rPr>
      </w:pPr>
      <w:r w:rsidRPr="00EA5D55">
        <w:rPr>
          <w:rFonts w:ascii="Arial" w:hAnsi="Arial" w:cs="Arial"/>
          <w:b/>
        </w:rPr>
        <w:t>Environmental Sustainability:</w:t>
      </w:r>
      <w:r w:rsidRPr="00EA5D55">
        <w:rPr>
          <w:rFonts w:ascii="Arial" w:hAnsi="Arial" w:cs="Arial"/>
        </w:rPr>
        <w:t xml:space="preserve"> We improve energy efficiency through the use of sophisticated equipment, renewable energy sourcing, optimized store layouts, and monitoring consumption. Waste management strategies include minimizing packaging, reducing food waste, recycling initiatives, and engaging in a circular economy. We also emphasize water conservation, sourcing sustainably from certified suppliers that practice regenerative agriculture, and managing our carbon footprint by monitoring emissions, setting reduction goals, optimizing logistics, and offsetting emissions that are unavoidable.  </w:t>
      </w:r>
    </w:p>
    <w:p w14:paraId="7882B134" w14:textId="033BF364" w:rsidR="00EA5D55" w:rsidRPr="00EA5D55" w:rsidRDefault="00EA5D55" w:rsidP="00EA5D55">
      <w:pPr>
        <w:rPr>
          <w:rFonts w:ascii="Arial" w:hAnsi="Arial" w:cs="Arial"/>
        </w:rPr>
      </w:pPr>
      <w:r w:rsidRPr="00EA5D55">
        <w:rPr>
          <w:rFonts w:ascii="Arial" w:hAnsi="Arial" w:cs="Arial"/>
          <w:b/>
        </w:rPr>
        <w:t>KPIs:</w:t>
      </w:r>
      <w:r w:rsidRPr="00EA5D55">
        <w:rPr>
          <w:rFonts w:ascii="Arial" w:hAnsi="Arial" w:cs="Arial"/>
        </w:rPr>
        <w:t xml:space="preserve"> Metrics include carbon emissions on a per store/transaction basis, aiming for a waste diversion rate of over 75%, ensuring that 50% of ingredients are sustainably sourced by the fifth year, tracking water usage, and assessing supplier sustainability scores.</w:t>
      </w:r>
    </w:p>
    <w:p w14:paraId="33745C2B" w14:textId="3F04EFEF" w:rsidR="00EA5D55" w:rsidRPr="00EA5D55" w:rsidRDefault="00EA5D55" w:rsidP="00EA5D55">
      <w:pPr>
        <w:pStyle w:val="Heading2"/>
        <w:rPr>
          <w:rFonts w:ascii="Arial" w:hAnsi="Arial" w:cs="Arial"/>
          <w:sz w:val="24"/>
          <w:szCs w:val="24"/>
        </w:rPr>
      </w:pPr>
      <w:bookmarkStart w:id="20" w:name="_Toc215617324"/>
      <w:r w:rsidRPr="00EA5D55">
        <w:rPr>
          <w:rFonts w:ascii="Arial" w:hAnsi="Arial" w:cs="Arial"/>
          <w:sz w:val="24"/>
          <w:szCs w:val="24"/>
        </w:rPr>
        <w:t>4.3 Monitoring and Governance Mechanisms</w:t>
      </w:r>
      <w:bookmarkEnd w:id="20"/>
    </w:p>
    <w:p w14:paraId="0244AB7E" w14:textId="257BBAEF" w:rsidR="00EA5D55" w:rsidRPr="00EA5D55" w:rsidRDefault="00EA5D55" w:rsidP="00EA5D55">
      <w:pPr>
        <w:rPr>
          <w:rFonts w:ascii="Arial" w:hAnsi="Arial" w:cs="Arial"/>
        </w:rPr>
      </w:pPr>
      <w:r w:rsidRPr="00EA5D55">
        <w:rPr>
          <w:rFonts w:ascii="Arial" w:hAnsi="Arial" w:cs="Arial"/>
          <w:b/>
        </w:rPr>
        <w:t>Board Governance:</w:t>
      </w:r>
      <w:r w:rsidRPr="00EA5D55">
        <w:rPr>
          <w:rFonts w:ascii="Arial" w:hAnsi="Arial" w:cs="Arial"/>
        </w:rPr>
        <w:t xml:space="preserve"> Quarterly meetings of the board involving representatives from Greggs plc, the India CEO, independent directors, and possibly an independent chairperson to assess strategy, performance, risk management, compliance, and executive pay via audit and risk committees.</w:t>
      </w:r>
    </w:p>
    <w:p w14:paraId="34FC2B3E" w14:textId="16BF3B78" w:rsidR="00EA5D55" w:rsidRPr="00EA5D55" w:rsidRDefault="00EA5D55" w:rsidP="00EA5D55">
      <w:pPr>
        <w:rPr>
          <w:rFonts w:ascii="Arial" w:hAnsi="Arial" w:cs="Arial"/>
        </w:rPr>
      </w:pPr>
      <w:r w:rsidRPr="00EA5D55">
        <w:rPr>
          <w:rFonts w:ascii="Arial" w:hAnsi="Arial" w:cs="Arial"/>
          <w:b/>
        </w:rPr>
        <w:t>Management Governance:</w:t>
      </w:r>
      <w:r w:rsidRPr="00EA5D55">
        <w:rPr>
          <w:rFonts w:ascii="Arial" w:hAnsi="Arial" w:cs="Arial"/>
        </w:rPr>
        <w:t xml:space="preserve"> Weekly meetings for executives, monthly reviews of operations, governance for expansion projects, and functional governance to clarify authority and accountability.</w:t>
      </w:r>
    </w:p>
    <w:p w14:paraId="17544BC9" w14:textId="41591980" w:rsidR="00EA5D55" w:rsidRPr="00EA5D55" w:rsidRDefault="00EA5D55" w:rsidP="00EA5D55">
      <w:pPr>
        <w:rPr>
          <w:rFonts w:ascii="Arial" w:hAnsi="Arial" w:cs="Arial"/>
        </w:rPr>
      </w:pPr>
      <w:r w:rsidRPr="00EA5D55">
        <w:rPr>
          <w:rFonts w:ascii="Arial" w:hAnsi="Arial" w:cs="Arial"/>
          <w:b/>
        </w:rPr>
        <w:t>Internal Controls:</w:t>
      </w:r>
      <w:r w:rsidRPr="00EA5D55">
        <w:rPr>
          <w:rFonts w:ascii="Arial" w:hAnsi="Arial" w:cs="Arial"/>
        </w:rPr>
        <w:t xml:space="preserve"> Financial oversight that includes duty segregation, authorization limits, reconciliation processes, and both internal and external audits. Operational oversight through established procedures, mystery shopping initiatives, food safety compliance, quality assessments, and incident reporting mechanisms. Compliance management involves tracking requirements, training personnel, conducting audits, and maintaining connections with regulatory bodies.</w:t>
      </w:r>
    </w:p>
    <w:p w14:paraId="590E6849" w14:textId="1234121A" w:rsidR="00EA5D55" w:rsidRPr="00EA5D55" w:rsidRDefault="00EA5D55" w:rsidP="00EA5D55">
      <w:pPr>
        <w:rPr>
          <w:rFonts w:ascii="Arial" w:hAnsi="Arial" w:cs="Arial"/>
        </w:rPr>
      </w:pPr>
      <w:r w:rsidRPr="00EA5D55">
        <w:rPr>
          <w:rFonts w:ascii="Arial" w:hAnsi="Arial" w:cs="Arial"/>
          <w:b/>
        </w:rPr>
        <w:lastRenderedPageBreak/>
        <w:t>Performance Monitoring:</w:t>
      </w:r>
      <w:r w:rsidRPr="00EA5D55">
        <w:rPr>
          <w:rFonts w:ascii="Arial" w:hAnsi="Arial" w:cs="Arial"/>
        </w:rPr>
        <w:t xml:space="preserve"> Dashboard systems that aggregate various metrics, exception reports that highlight discrepancies, predictive analytics that estimate future performance, and benchmarking to identify industry best practices.</w:t>
      </w:r>
    </w:p>
    <w:p w14:paraId="3B758CF3" w14:textId="18C3AACA" w:rsidR="00EA5D55" w:rsidRPr="00EA5D55" w:rsidRDefault="00EA5D55" w:rsidP="00EA5D55">
      <w:pPr>
        <w:rPr>
          <w:rFonts w:ascii="Arial" w:hAnsi="Arial" w:cs="Arial"/>
        </w:rPr>
      </w:pPr>
      <w:r w:rsidRPr="00EA5D55">
        <w:rPr>
          <w:rFonts w:ascii="Arial" w:hAnsi="Arial" w:cs="Arial"/>
          <w:b/>
        </w:rPr>
        <w:t>External Accountability:</w:t>
      </w:r>
      <w:r w:rsidRPr="00EA5D55">
        <w:rPr>
          <w:rFonts w:ascii="Arial" w:hAnsi="Arial" w:cs="Arial"/>
        </w:rPr>
        <w:t xml:space="preserve"> Reporting to the parent company, filing regulatory documents, communicating with stakeholders, and managing media relations to maintain a transparent reputation.</w:t>
      </w:r>
    </w:p>
    <w:p w14:paraId="417F508C" w14:textId="1335F373" w:rsidR="00EA5D55" w:rsidRPr="00EA5D55" w:rsidRDefault="00EA5D55" w:rsidP="00EA5D55">
      <w:pPr>
        <w:pStyle w:val="Heading1"/>
        <w:rPr>
          <w:rFonts w:ascii="Arial" w:eastAsia="Arial" w:hAnsi="Arial" w:cs="Arial"/>
          <w:sz w:val="24"/>
          <w:szCs w:val="24"/>
        </w:rPr>
      </w:pPr>
      <w:bookmarkStart w:id="21" w:name="_Toc215617325"/>
      <w:r w:rsidRPr="00EA5D55">
        <w:rPr>
          <w:rFonts w:ascii="Arial" w:hAnsi="Arial" w:cs="Arial"/>
          <w:sz w:val="24"/>
          <w:szCs w:val="24"/>
        </w:rPr>
        <w:t>Conclusion</w:t>
      </w:r>
      <w:bookmarkEnd w:id="21"/>
    </w:p>
    <w:p w14:paraId="1F2D1E1A" w14:textId="77777777" w:rsidR="00EA5D55" w:rsidRPr="00EA5D55" w:rsidRDefault="00EA5D55" w:rsidP="00EA5D55">
      <w:pPr>
        <w:rPr>
          <w:rFonts w:ascii="Arial" w:eastAsia="Arial" w:hAnsi="Arial" w:cs="Arial"/>
        </w:rPr>
      </w:pPr>
      <w:r w:rsidRPr="00EA5D55">
        <w:rPr>
          <w:rFonts w:ascii="Arial" w:eastAsia="Arial" w:hAnsi="Arial" w:cs="Arial"/>
        </w:rPr>
        <w:t xml:space="preserve">Greggs' plan to expand into India represents a strategically sound opportunity for international growth, despite facing considerable challenges. A thorough analysis reveals strong fundamentals propelled by India's demographic advantage, changing consumption trends, and an underserved value market. The phased execution strategy emphasizes pilot validation, capability enhancement, and systematic scaling based on insights, balancing ambition with caution. </w:t>
      </w:r>
    </w:p>
    <w:p w14:paraId="20E8A07E" w14:textId="77777777" w:rsidR="00EA5D55" w:rsidRPr="00EA5D55" w:rsidRDefault="00EA5D55" w:rsidP="00EA5D55">
      <w:pPr>
        <w:rPr>
          <w:rFonts w:ascii="Arial" w:eastAsia="Arial" w:hAnsi="Arial" w:cs="Arial"/>
        </w:rPr>
      </w:pPr>
    </w:p>
    <w:p w14:paraId="1761BB79" w14:textId="77777777" w:rsidR="00EA5D55" w:rsidRPr="00EA5D55" w:rsidRDefault="00EA5D55" w:rsidP="00EA5D55">
      <w:pPr>
        <w:rPr>
          <w:rFonts w:ascii="Arial" w:eastAsia="Arial" w:hAnsi="Arial" w:cs="Arial"/>
        </w:rPr>
      </w:pPr>
      <w:r w:rsidRPr="00EA5D55">
        <w:rPr>
          <w:rFonts w:ascii="Arial" w:eastAsia="Arial" w:hAnsi="Arial" w:cs="Arial"/>
        </w:rPr>
        <w:t xml:space="preserve">Success hinges on operational excellence in areas like operations, supply chain management, talent growth, and brand development. The hybrid entry strategy strikes a balance between control and efficiency, while cost leadership aligns with core strengths and addresses price sensitivity, coupled with significant localization to show cultural respect. The performance framework, which includes Balanced Scorecard metrics, Triple Bottom Line commitments, and strong governance, allows for comprehensive monitoring, ensuring accountability and the ability to make necessary adjustments. </w:t>
      </w:r>
    </w:p>
    <w:p w14:paraId="1B61BF31" w14:textId="77777777" w:rsidR="00EA5D55" w:rsidRPr="00EA5D55" w:rsidRDefault="00EA5D55" w:rsidP="00EA5D55">
      <w:pPr>
        <w:rPr>
          <w:rFonts w:ascii="Arial" w:eastAsia="Arial" w:hAnsi="Arial" w:cs="Arial"/>
        </w:rPr>
      </w:pPr>
    </w:p>
    <w:p w14:paraId="161DA225" w14:textId="0FF0710D" w:rsidR="00EA5D55" w:rsidRPr="00EA5D55" w:rsidRDefault="00EA5D55" w:rsidP="00EA5D55">
      <w:pPr>
        <w:rPr>
          <w:rFonts w:ascii="Arial" w:eastAsia="Arial" w:hAnsi="Arial" w:cs="Arial"/>
        </w:rPr>
      </w:pPr>
      <w:r w:rsidRPr="00EA5D55">
        <w:rPr>
          <w:rFonts w:ascii="Arial" w:eastAsia="Arial" w:hAnsi="Arial" w:cs="Arial"/>
        </w:rPr>
        <w:t>Greggs has the necessary financial resources, operational skills, and strategic vision to achieve success in India, though the outcomes are uncertain and demand ongoing commitment, cultural respect, organizational learning, and adaptability. The potential rewards of entering one of the largest consumer markets in the world justify the investments and risks involved, likely serving as a stepping stone for further expansion in Asia while transitioning the 85-year-old company from a UK-based bakery to an international food retail brand.</w:t>
      </w:r>
    </w:p>
    <w:p w14:paraId="40E8AC4B" w14:textId="39269FE6" w:rsidR="00EA5D55" w:rsidRPr="00EA5D55" w:rsidRDefault="00EA5D55" w:rsidP="1BAECB45">
      <w:pPr>
        <w:rPr>
          <w:rFonts w:ascii="Arial" w:eastAsia="Arial" w:hAnsi="Arial" w:cs="Arial"/>
        </w:rPr>
      </w:pPr>
    </w:p>
    <w:p w14:paraId="19D10E8D" w14:textId="04280274" w:rsidR="00EA5D55" w:rsidRPr="00EA5D55" w:rsidRDefault="00EA5D55" w:rsidP="1BAECB45">
      <w:pPr>
        <w:rPr>
          <w:rFonts w:ascii="Arial" w:eastAsia="Arial" w:hAnsi="Arial" w:cs="Arial"/>
        </w:rPr>
      </w:pPr>
    </w:p>
    <w:p w14:paraId="0DF2DDB5" w14:textId="393019C2" w:rsidR="00EA5D55" w:rsidRPr="00EA5D55" w:rsidRDefault="00EA5D55" w:rsidP="1BAECB45">
      <w:pPr>
        <w:rPr>
          <w:rFonts w:ascii="Arial" w:eastAsia="Arial" w:hAnsi="Arial" w:cs="Arial"/>
        </w:rPr>
      </w:pPr>
    </w:p>
    <w:p w14:paraId="0558F961" w14:textId="41639FCE" w:rsidR="00EA5D55" w:rsidRPr="00EA5D55" w:rsidRDefault="00EA5D55" w:rsidP="1BAECB45">
      <w:pPr>
        <w:rPr>
          <w:rFonts w:ascii="Arial" w:eastAsia="Arial" w:hAnsi="Arial" w:cs="Arial"/>
        </w:rPr>
      </w:pPr>
    </w:p>
    <w:p w14:paraId="25F68A10" w14:textId="7E1B54AF" w:rsidR="00EA5D55" w:rsidRPr="00EA5D55" w:rsidRDefault="00EA5D55" w:rsidP="1BAECB45">
      <w:pPr>
        <w:rPr>
          <w:rFonts w:ascii="Arial" w:eastAsia="Arial" w:hAnsi="Arial" w:cs="Arial"/>
        </w:rPr>
      </w:pPr>
    </w:p>
    <w:p w14:paraId="58EC6DC1" w14:textId="77777777" w:rsidR="00EA5D55" w:rsidRPr="00EA5D55" w:rsidRDefault="00EA5D55" w:rsidP="1BAECB45">
      <w:pPr>
        <w:rPr>
          <w:rFonts w:ascii="Arial" w:eastAsia="Arial" w:hAnsi="Arial" w:cs="Arial"/>
        </w:rPr>
      </w:pPr>
    </w:p>
    <w:p w14:paraId="69231716" w14:textId="6D421628" w:rsidR="00A5449F" w:rsidRPr="00EA5D55" w:rsidRDefault="00A5449F" w:rsidP="00A5449F">
      <w:pPr>
        <w:pStyle w:val="Heading1"/>
        <w:rPr>
          <w:rFonts w:ascii="Arial" w:eastAsia="Arial" w:hAnsi="Arial" w:cs="Arial"/>
          <w:sz w:val="24"/>
          <w:szCs w:val="24"/>
        </w:rPr>
      </w:pPr>
      <w:bookmarkStart w:id="22" w:name="_Toc215617326"/>
      <w:r w:rsidRPr="00EA5D55">
        <w:rPr>
          <w:rFonts w:ascii="Arial" w:eastAsia="Arial" w:hAnsi="Arial" w:cs="Arial"/>
          <w:sz w:val="24"/>
          <w:szCs w:val="24"/>
        </w:rPr>
        <w:lastRenderedPageBreak/>
        <w:t>References</w:t>
      </w:r>
      <w:bookmarkEnd w:id="22"/>
      <w:r w:rsidRPr="00EA5D55">
        <w:rPr>
          <w:rFonts w:ascii="Arial" w:eastAsia="Arial" w:hAnsi="Arial" w:cs="Arial"/>
          <w:sz w:val="24"/>
          <w:szCs w:val="24"/>
        </w:rPr>
        <w:t xml:space="preserve"> </w:t>
      </w:r>
    </w:p>
    <w:p w14:paraId="225C10D0" w14:textId="77777777" w:rsidR="003B0E6C" w:rsidRPr="003B0E6C" w:rsidRDefault="003B0E6C" w:rsidP="003B0E6C">
      <w:pPr>
        <w:pStyle w:val="NormalWeb"/>
        <w:rPr>
          <w:rFonts w:ascii="Arial" w:hAnsi="Arial" w:cs="Arial"/>
        </w:rPr>
      </w:pPr>
      <w:r w:rsidRPr="003B0E6C">
        <w:rPr>
          <w:rFonts w:ascii="Arial" w:hAnsi="Arial" w:cs="Arial"/>
        </w:rPr>
        <w:t xml:space="preserve">Ansoff, H.I., 1957. </w:t>
      </w:r>
      <w:r w:rsidRPr="003B0E6C">
        <w:rPr>
          <w:rStyle w:val="Emphasis"/>
          <w:rFonts w:ascii="Arial" w:eastAsiaTheme="majorEastAsia" w:hAnsi="Arial" w:cs="Arial"/>
        </w:rPr>
        <w:t>Strategies for Diversification</w:t>
      </w:r>
      <w:r w:rsidRPr="003B0E6C">
        <w:rPr>
          <w:rFonts w:ascii="Arial" w:hAnsi="Arial" w:cs="Arial"/>
        </w:rPr>
        <w:t>. Harvard Business Review, 35(5), pp.113–124.</w:t>
      </w:r>
    </w:p>
    <w:p w14:paraId="40FDC3B8" w14:textId="77777777" w:rsidR="003B0E6C" w:rsidRPr="003B0E6C" w:rsidRDefault="003B0E6C" w:rsidP="003B0E6C">
      <w:pPr>
        <w:pStyle w:val="NormalWeb"/>
        <w:rPr>
          <w:rFonts w:ascii="Arial" w:hAnsi="Arial" w:cs="Arial"/>
        </w:rPr>
      </w:pPr>
      <w:r w:rsidRPr="003B0E6C">
        <w:rPr>
          <w:rFonts w:ascii="Arial" w:hAnsi="Arial" w:cs="Arial"/>
        </w:rPr>
        <w:t xml:space="preserve">Barney, J.B., 1991. Firm resources and sustained competitive advantage. </w:t>
      </w:r>
      <w:r w:rsidRPr="003B0E6C">
        <w:rPr>
          <w:rStyle w:val="Emphasis"/>
          <w:rFonts w:ascii="Arial" w:eastAsiaTheme="majorEastAsia" w:hAnsi="Arial" w:cs="Arial"/>
        </w:rPr>
        <w:t>Journal of Management</w:t>
      </w:r>
      <w:r w:rsidRPr="003B0E6C">
        <w:rPr>
          <w:rFonts w:ascii="Arial" w:hAnsi="Arial" w:cs="Arial"/>
        </w:rPr>
        <w:t>, 17(1), pp.99–120.</w:t>
      </w:r>
    </w:p>
    <w:p w14:paraId="624A409C" w14:textId="2FE49696" w:rsidR="003B0E6C" w:rsidRPr="003B0E6C" w:rsidRDefault="003B0E6C" w:rsidP="003B0E6C">
      <w:pPr>
        <w:pStyle w:val="NormalWeb"/>
        <w:rPr>
          <w:rFonts w:ascii="Arial" w:hAnsi="Arial" w:cs="Arial"/>
        </w:rPr>
      </w:pPr>
      <w:r w:rsidRPr="003B0E6C">
        <w:rPr>
          <w:rFonts w:ascii="Arial" w:hAnsi="Arial" w:cs="Arial"/>
        </w:rPr>
        <w:t xml:space="preserve">DCFmodeling.com, 2025. </w:t>
      </w:r>
      <w:r w:rsidRPr="003B0E6C">
        <w:rPr>
          <w:rStyle w:val="Emphasis"/>
          <w:rFonts w:ascii="Arial" w:eastAsiaTheme="majorEastAsia" w:hAnsi="Arial" w:cs="Arial"/>
        </w:rPr>
        <w:t>Greggs PLC Company History and Key Facts</w:t>
      </w:r>
      <w:r w:rsidRPr="003B0E6C">
        <w:rPr>
          <w:rFonts w:ascii="Arial" w:hAnsi="Arial" w:cs="Arial"/>
        </w:rPr>
        <w:t xml:space="preserve">. [online] Available at: </w:t>
      </w:r>
      <w:r w:rsidR="00867823" w:rsidRPr="00867823">
        <w:rPr>
          <w:rFonts w:ascii="Arial" w:hAnsi="Arial" w:cs="Arial"/>
        </w:rPr>
        <w:t>https://dcfmodeling.com/blogs/history/grgl-history-mission-ownership?srsltid=AfmBOooPVdybHqvXceRNu8pFjX7gJVAT3SoxDjqr-ydVjovgjUG4dVeG</w:t>
      </w:r>
      <w:r w:rsidRPr="003B0E6C">
        <w:rPr>
          <w:rFonts w:ascii="Arial" w:hAnsi="Arial" w:cs="Arial"/>
        </w:rPr>
        <w:t xml:space="preserve"> [Accessed December 2025].</w:t>
      </w:r>
    </w:p>
    <w:p w14:paraId="559D878C" w14:textId="77777777" w:rsidR="003B0E6C" w:rsidRPr="003B0E6C" w:rsidRDefault="003B0E6C" w:rsidP="003B0E6C">
      <w:pPr>
        <w:pStyle w:val="NormalWeb"/>
        <w:rPr>
          <w:rFonts w:ascii="Arial" w:hAnsi="Arial" w:cs="Arial"/>
        </w:rPr>
      </w:pPr>
      <w:r w:rsidRPr="003B0E6C">
        <w:rPr>
          <w:rFonts w:ascii="Arial" w:hAnsi="Arial" w:cs="Arial"/>
        </w:rPr>
        <w:t xml:space="preserve">Euromonitor International, 2024. </w:t>
      </w:r>
      <w:r w:rsidRPr="003B0E6C">
        <w:rPr>
          <w:rStyle w:val="Emphasis"/>
          <w:rFonts w:ascii="Arial" w:eastAsiaTheme="majorEastAsia" w:hAnsi="Arial" w:cs="Arial"/>
        </w:rPr>
        <w:t>Foodservice in India</w:t>
      </w:r>
      <w:r w:rsidRPr="003B0E6C">
        <w:rPr>
          <w:rFonts w:ascii="Arial" w:hAnsi="Arial" w:cs="Arial"/>
        </w:rPr>
        <w:t>. London: Euromonitor International.</w:t>
      </w:r>
    </w:p>
    <w:p w14:paraId="1765EEC3" w14:textId="15BA4A48" w:rsidR="003B0E6C" w:rsidRPr="003B0E6C" w:rsidRDefault="003B0E6C" w:rsidP="003B0E6C">
      <w:pPr>
        <w:pStyle w:val="NormalWeb"/>
        <w:rPr>
          <w:rFonts w:ascii="Arial" w:hAnsi="Arial" w:cs="Arial"/>
        </w:rPr>
      </w:pPr>
      <w:r w:rsidRPr="003B0E6C">
        <w:rPr>
          <w:rFonts w:ascii="Arial" w:hAnsi="Arial" w:cs="Arial"/>
        </w:rPr>
        <w:t xml:space="preserve">FSSAI, 2024. </w:t>
      </w:r>
      <w:r w:rsidRPr="003B0E6C">
        <w:rPr>
          <w:rStyle w:val="Emphasis"/>
          <w:rFonts w:ascii="Arial" w:eastAsiaTheme="majorEastAsia" w:hAnsi="Arial" w:cs="Arial"/>
        </w:rPr>
        <w:t>Food Safety and Standards Authority of India: Guidelines and Regulations</w:t>
      </w:r>
      <w:r w:rsidRPr="003B0E6C">
        <w:rPr>
          <w:rFonts w:ascii="Arial" w:hAnsi="Arial" w:cs="Arial"/>
        </w:rPr>
        <w:t xml:space="preserve">. [online] Available at: </w:t>
      </w:r>
      <w:hyperlink r:id="rId17" w:tgtFrame="_new" w:history="1">
        <w:r w:rsidRPr="003B0E6C">
          <w:rPr>
            <w:rStyle w:val="Hyperlink"/>
            <w:rFonts w:ascii="Arial" w:eastAsiaTheme="majorEastAsia" w:hAnsi="Arial" w:cs="Arial"/>
          </w:rPr>
          <w:t>https://www.fssai.gov.in</w:t>
        </w:r>
      </w:hyperlink>
      <w:r w:rsidRPr="003B0E6C">
        <w:rPr>
          <w:rFonts w:ascii="Arial" w:hAnsi="Arial" w:cs="Arial"/>
        </w:rPr>
        <w:t xml:space="preserve"> [Accessed December 2025].</w:t>
      </w:r>
    </w:p>
    <w:p w14:paraId="3C856DB5" w14:textId="77777777" w:rsidR="003B0E6C" w:rsidRPr="003B0E6C" w:rsidRDefault="003B0E6C" w:rsidP="003B0E6C">
      <w:pPr>
        <w:pStyle w:val="NormalWeb"/>
        <w:rPr>
          <w:rFonts w:ascii="Arial" w:hAnsi="Arial" w:cs="Arial"/>
        </w:rPr>
      </w:pPr>
      <w:r w:rsidRPr="003B0E6C">
        <w:rPr>
          <w:rFonts w:ascii="Arial" w:hAnsi="Arial" w:cs="Arial"/>
        </w:rPr>
        <w:t xml:space="preserve">Grant, R.M., 2021. </w:t>
      </w:r>
      <w:r w:rsidRPr="003B0E6C">
        <w:rPr>
          <w:rStyle w:val="Emphasis"/>
          <w:rFonts w:ascii="Arial" w:eastAsiaTheme="majorEastAsia" w:hAnsi="Arial" w:cs="Arial"/>
        </w:rPr>
        <w:t>Contemporary Strategy Analysis: Text and Cases Edition</w:t>
      </w:r>
      <w:r w:rsidRPr="003B0E6C">
        <w:rPr>
          <w:rFonts w:ascii="Arial" w:hAnsi="Arial" w:cs="Arial"/>
        </w:rPr>
        <w:t>. 11th ed. Hoboken: Wiley.</w:t>
      </w:r>
    </w:p>
    <w:p w14:paraId="65CE7B70" w14:textId="77777777" w:rsidR="003B0E6C" w:rsidRPr="003B0E6C" w:rsidRDefault="003B0E6C" w:rsidP="003B0E6C">
      <w:pPr>
        <w:pStyle w:val="NormalWeb"/>
        <w:rPr>
          <w:rFonts w:ascii="Arial" w:hAnsi="Arial" w:cs="Arial"/>
        </w:rPr>
      </w:pPr>
      <w:r w:rsidRPr="003B0E6C">
        <w:rPr>
          <w:rFonts w:ascii="Arial" w:hAnsi="Arial" w:cs="Arial"/>
        </w:rPr>
        <w:t xml:space="preserve">Greggs plc, 2024. </w:t>
      </w:r>
      <w:r w:rsidRPr="003B0E6C">
        <w:rPr>
          <w:rStyle w:val="Emphasis"/>
          <w:rFonts w:ascii="Arial" w:eastAsiaTheme="majorEastAsia" w:hAnsi="Arial" w:cs="Arial"/>
        </w:rPr>
        <w:t>Annual Report 2023</w:t>
      </w:r>
      <w:r w:rsidRPr="003B0E6C">
        <w:rPr>
          <w:rFonts w:ascii="Arial" w:hAnsi="Arial" w:cs="Arial"/>
        </w:rPr>
        <w:t>. Newcastle upon Tyne: Greggs plc.</w:t>
      </w:r>
    </w:p>
    <w:p w14:paraId="3D626ADA" w14:textId="3E1F1CD8" w:rsidR="003B0E6C" w:rsidRPr="003B0E6C" w:rsidRDefault="003B0E6C" w:rsidP="003B0E6C">
      <w:pPr>
        <w:pStyle w:val="NormalWeb"/>
        <w:rPr>
          <w:rFonts w:ascii="Arial" w:hAnsi="Arial" w:cs="Arial"/>
        </w:rPr>
      </w:pPr>
      <w:r w:rsidRPr="003B0E6C">
        <w:rPr>
          <w:rFonts w:ascii="Arial" w:hAnsi="Arial" w:cs="Arial"/>
        </w:rPr>
        <w:t xml:space="preserve">Greggs, 2025. </w:t>
      </w:r>
      <w:r w:rsidRPr="003B0E6C">
        <w:rPr>
          <w:rStyle w:val="Emphasis"/>
          <w:rFonts w:ascii="Arial" w:eastAsiaTheme="majorEastAsia" w:hAnsi="Arial" w:cs="Arial"/>
        </w:rPr>
        <w:t>About Greggs</w:t>
      </w:r>
      <w:r w:rsidRPr="003B0E6C">
        <w:rPr>
          <w:rFonts w:ascii="Arial" w:hAnsi="Arial" w:cs="Arial"/>
        </w:rPr>
        <w:t>. [online] Available at</w:t>
      </w:r>
      <w:r w:rsidR="00867823" w:rsidRPr="00867823">
        <w:t xml:space="preserve"> </w:t>
      </w:r>
      <w:r w:rsidR="00867823" w:rsidRPr="00867823">
        <w:rPr>
          <w:rFonts w:ascii="Arial" w:hAnsi="Arial" w:cs="Arial"/>
        </w:rPr>
        <w:t xml:space="preserve">https://www.greggs.com/ </w:t>
      </w:r>
      <w:r w:rsidRPr="003B0E6C">
        <w:rPr>
          <w:rFonts w:ascii="Arial" w:hAnsi="Arial" w:cs="Arial"/>
        </w:rPr>
        <w:t>[Accessed December 2025].</w:t>
      </w:r>
    </w:p>
    <w:p w14:paraId="03AA0E02" w14:textId="77777777" w:rsidR="003B0E6C" w:rsidRPr="003B0E6C" w:rsidRDefault="003B0E6C" w:rsidP="003B0E6C">
      <w:pPr>
        <w:pStyle w:val="NormalWeb"/>
        <w:rPr>
          <w:rFonts w:ascii="Arial" w:hAnsi="Arial" w:cs="Arial"/>
        </w:rPr>
      </w:pPr>
      <w:r w:rsidRPr="003B0E6C">
        <w:rPr>
          <w:rFonts w:ascii="Arial" w:hAnsi="Arial" w:cs="Arial"/>
        </w:rPr>
        <w:t xml:space="preserve">Hill, C., Jones, G. and Schilling, M., 2023. </w:t>
      </w:r>
      <w:r w:rsidRPr="003B0E6C">
        <w:rPr>
          <w:rStyle w:val="Emphasis"/>
          <w:rFonts w:ascii="Arial" w:eastAsiaTheme="majorEastAsia" w:hAnsi="Arial" w:cs="Arial"/>
        </w:rPr>
        <w:t>Strategic Management: Theory &amp; Cases: An Integrated Approach</w:t>
      </w:r>
      <w:r w:rsidRPr="003B0E6C">
        <w:rPr>
          <w:rFonts w:ascii="Arial" w:hAnsi="Arial" w:cs="Arial"/>
        </w:rPr>
        <w:t>. 13th ed. Boston: Cengage Learning.</w:t>
      </w:r>
    </w:p>
    <w:p w14:paraId="2DE809EA" w14:textId="44FC2837" w:rsidR="003B0E6C" w:rsidRPr="003B0E6C" w:rsidRDefault="003B0E6C" w:rsidP="003B0E6C">
      <w:pPr>
        <w:pStyle w:val="NormalWeb"/>
        <w:rPr>
          <w:rFonts w:ascii="Arial" w:hAnsi="Arial" w:cs="Arial"/>
        </w:rPr>
      </w:pPr>
      <w:r w:rsidRPr="003B0E6C">
        <w:rPr>
          <w:rFonts w:ascii="Arial" w:hAnsi="Arial" w:cs="Arial"/>
        </w:rPr>
        <w:t xml:space="preserve">IBEF, 2024. </w:t>
      </w:r>
      <w:r w:rsidRPr="003B0E6C">
        <w:rPr>
          <w:rStyle w:val="Emphasis"/>
          <w:rFonts w:ascii="Arial" w:eastAsiaTheme="majorEastAsia" w:hAnsi="Arial" w:cs="Arial"/>
        </w:rPr>
        <w:t>Food and Beverage Industry in India</w:t>
      </w:r>
      <w:r w:rsidRPr="003B0E6C">
        <w:rPr>
          <w:rFonts w:ascii="Arial" w:hAnsi="Arial" w:cs="Arial"/>
        </w:rPr>
        <w:t>. [online] Available at: https://www.ibef.org/industry/food-industry-india.aspx [Accessed December 2025].</w:t>
      </w:r>
    </w:p>
    <w:p w14:paraId="39D12FC6" w14:textId="77777777" w:rsidR="003B0E6C" w:rsidRPr="003B0E6C" w:rsidRDefault="003B0E6C" w:rsidP="003B0E6C">
      <w:pPr>
        <w:pStyle w:val="NormalWeb"/>
        <w:rPr>
          <w:rFonts w:ascii="Arial" w:hAnsi="Arial" w:cs="Arial"/>
        </w:rPr>
      </w:pPr>
      <w:r w:rsidRPr="003B0E6C">
        <w:rPr>
          <w:rFonts w:ascii="Arial" w:hAnsi="Arial" w:cs="Arial"/>
        </w:rPr>
        <w:t xml:space="preserve">Johnson, G., Scholes, K. and Whittington, R., 2020. </w:t>
      </w:r>
      <w:r w:rsidRPr="003B0E6C">
        <w:rPr>
          <w:rStyle w:val="Emphasis"/>
          <w:rFonts w:ascii="Arial" w:eastAsiaTheme="majorEastAsia" w:hAnsi="Arial" w:cs="Arial"/>
        </w:rPr>
        <w:t>Exploring Strategy: Text and Cases</w:t>
      </w:r>
      <w:r w:rsidRPr="003B0E6C">
        <w:rPr>
          <w:rFonts w:ascii="Arial" w:hAnsi="Arial" w:cs="Arial"/>
        </w:rPr>
        <w:t>. 12th ed. Harlow: Pearson.</w:t>
      </w:r>
    </w:p>
    <w:p w14:paraId="292289A3" w14:textId="77777777" w:rsidR="003B0E6C" w:rsidRPr="003B0E6C" w:rsidRDefault="003B0E6C" w:rsidP="003B0E6C">
      <w:pPr>
        <w:pStyle w:val="NormalWeb"/>
        <w:rPr>
          <w:rFonts w:ascii="Arial" w:hAnsi="Arial" w:cs="Arial"/>
        </w:rPr>
      </w:pPr>
      <w:r w:rsidRPr="003B0E6C">
        <w:rPr>
          <w:rFonts w:ascii="Arial" w:hAnsi="Arial" w:cs="Arial"/>
        </w:rPr>
        <w:t xml:space="preserve">Kaplan, R.S. and Norton, D.P., 2001. </w:t>
      </w:r>
      <w:r w:rsidRPr="003B0E6C">
        <w:rPr>
          <w:rStyle w:val="Emphasis"/>
          <w:rFonts w:ascii="Arial" w:eastAsiaTheme="majorEastAsia" w:hAnsi="Arial" w:cs="Arial"/>
        </w:rPr>
        <w:t>The Strategy-Focused Organization: How Balanced Scorecard Companies Thrive in the New Business Environment</w:t>
      </w:r>
      <w:r w:rsidRPr="003B0E6C">
        <w:rPr>
          <w:rFonts w:ascii="Arial" w:hAnsi="Arial" w:cs="Arial"/>
        </w:rPr>
        <w:t>. Boston: Harvard Business School Press.</w:t>
      </w:r>
    </w:p>
    <w:p w14:paraId="2D06E95D" w14:textId="7C7F4F34" w:rsidR="003B0E6C" w:rsidRPr="003B0E6C" w:rsidRDefault="003B0E6C" w:rsidP="003B0E6C">
      <w:pPr>
        <w:pStyle w:val="NormalWeb"/>
        <w:rPr>
          <w:rFonts w:ascii="Arial" w:hAnsi="Arial" w:cs="Arial"/>
        </w:rPr>
      </w:pPr>
      <w:r w:rsidRPr="003B0E6C">
        <w:rPr>
          <w:rFonts w:ascii="Arial" w:hAnsi="Arial" w:cs="Arial"/>
        </w:rPr>
        <w:t xml:space="preserve">McKinsey &amp; Company, 2024. </w:t>
      </w:r>
      <w:r w:rsidRPr="003B0E6C">
        <w:rPr>
          <w:rStyle w:val="Emphasis"/>
          <w:rFonts w:ascii="Arial" w:eastAsiaTheme="majorEastAsia" w:hAnsi="Arial" w:cs="Arial"/>
        </w:rPr>
        <w:t>India’s Middle Class: Emerging Consumer Trends</w:t>
      </w:r>
      <w:r w:rsidRPr="003B0E6C">
        <w:rPr>
          <w:rFonts w:ascii="Arial" w:hAnsi="Arial" w:cs="Arial"/>
        </w:rPr>
        <w:t xml:space="preserve">. [online] Available at: </w:t>
      </w:r>
      <w:r w:rsidR="00867823" w:rsidRPr="00867823">
        <w:rPr>
          <w:rFonts w:ascii="Arial" w:hAnsi="Arial" w:cs="Arial"/>
        </w:rPr>
        <w:t>https://www.mckinsey.com/industries/consumer-packaged-goods/our-insights/state-of-consumer-2024</w:t>
      </w:r>
      <w:r w:rsidRPr="003B0E6C">
        <w:rPr>
          <w:rFonts w:ascii="Arial" w:hAnsi="Arial" w:cs="Arial"/>
        </w:rPr>
        <w:t xml:space="preserve"> [Accessed December 2025].</w:t>
      </w:r>
    </w:p>
    <w:p w14:paraId="7D3362A2" w14:textId="56B1EF49" w:rsidR="003B0E6C" w:rsidRPr="003B0E6C" w:rsidRDefault="003B0E6C" w:rsidP="003B0E6C">
      <w:pPr>
        <w:pStyle w:val="NormalWeb"/>
        <w:rPr>
          <w:rFonts w:ascii="Arial" w:hAnsi="Arial" w:cs="Arial"/>
        </w:rPr>
      </w:pPr>
      <w:r w:rsidRPr="003B0E6C">
        <w:rPr>
          <w:rFonts w:ascii="Arial" w:hAnsi="Arial" w:cs="Arial"/>
        </w:rPr>
        <w:t xml:space="preserve">National Restaurant Association of India, 2024. </w:t>
      </w:r>
      <w:r w:rsidRPr="003B0E6C">
        <w:rPr>
          <w:rStyle w:val="Emphasis"/>
          <w:rFonts w:ascii="Arial" w:eastAsiaTheme="majorEastAsia" w:hAnsi="Arial" w:cs="Arial"/>
        </w:rPr>
        <w:t>Bakery and Food Services Market Report</w:t>
      </w:r>
      <w:r w:rsidRPr="003B0E6C">
        <w:rPr>
          <w:rFonts w:ascii="Arial" w:hAnsi="Arial" w:cs="Arial"/>
        </w:rPr>
        <w:t xml:space="preserve">. [online] Available at: </w:t>
      </w:r>
      <w:r w:rsidR="00867823" w:rsidRPr="00867823">
        <w:rPr>
          <w:rFonts w:ascii="Arial" w:hAnsi="Arial" w:cs="Arial"/>
        </w:rPr>
        <w:t xml:space="preserve">https://conference.nrai.org/files/uploads/2024/08/april-june-2024-newsletter.pdf </w:t>
      </w:r>
      <w:r w:rsidRPr="003B0E6C">
        <w:rPr>
          <w:rFonts w:ascii="Arial" w:hAnsi="Arial" w:cs="Arial"/>
        </w:rPr>
        <w:t>[Accessed December 2025].</w:t>
      </w:r>
    </w:p>
    <w:p w14:paraId="375BD67D" w14:textId="77777777" w:rsidR="003B0E6C" w:rsidRPr="003B0E6C" w:rsidRDefault="003B0E6C" w:rsidP="003B0E6C">
      <w:pPr>
        <w:pStyle w:val="NormalWeb"/>
        <w:rPr>
          <w:rFonts w:ascii="Arial" w:hAnsi="Arial" w:cs="Arial"/>
        </w:rPr>
      </w:pPr>
      <w:r w:rsidRPr="003B0E6C">
        <w:rPr>
          <w:rFonts w:ascii="Arial" w:hAnsi="Arial" w:cs="Arial"/>
        </w:rPr>
        <w:t xml:space="preserve">Porter, M.E., 1980. </w:t>
      </w:r>
      <w:r w:rsidRPr="003B0E6C">
        <w:rPr>
          <w:rStyle w:val="Emphasis"/>
          <w:rFonts w:ascii="Arial" w:eastAsiaTheme="majorEastAsia" w:hAnsi="Arial" w:cs="Arial"/>
        </w:rPr>
        <w:t xml:space="preserve">Competitive Strategy: Techniques for </w:t>
      </w:r>
      <w:proofErr w:type="spellStart"/>
      <w:r w:rsidRPr="003B0E6C">
        <w:rPr>
          <w:rStyle w:val="Emphasis"/>
          <w:rFonts w:ascii="Arial" w:eastAsiaTheme="majorEastAsia" w:hAnsi="Arial" w:cs="Arial"/>
        </w:rPr>
        <w:t>Analyzing</w:t>
      </w:r>
      <w:proofErr w:type="spellEnd"/>
      <w:r w:rsidRPr="003B0E6C">
        <w:rPr>
          <w:rStyle w:val="Emphasis"/>
          <w:rFonts w:ascii="Arial" w:eastAsiaTheme="majorEastAsia" w:hAnsi="Arial" w:cs="Arial"/>
        </w:rPr>
        <w:t xml:space="preserve"> Industries and Competitors</w:t>
      </w:r>
      <w:r w:rsidRPr="003B0E6C">
        <w:rPr>
          <w:rFonts w:ascii="Arial" w:hAnsi="Arial" w:cs="Arial"/>
        </w:rPr>
        <w:t>. New York: Free Press.</w:t>
      </w:r>
    </w:p>
    <w:p w14:paraId="59405A24" w14:textId="77777777" w:rsidR="003B0E6C" w:rsidRPr="003B0E6C" w:rsidRDefault="003B0E6C" w:rsidP="003B0E6C">
      <w:pPr>
        <w:pStyle w:val="NormalWeb"/>
        <w:rPr>
          <w:rFonts w:ascii="Arial" w:hAnsi="Arial" w:cs="Arial"/>
        </w:rPr>
      </w:pPr>
      <w:r w:rsidRPr="003B0E6C">
        <w:rPr>
          <w:rFonts w:ascii="Arial" w:hAnsi="Arial" w:cs="Arial"/>
        </w:rPr>
        <w:lastRenderedPageBreak/>
        <w:t xml:space="preserve">Porter, M.E., 1985. </w:t>
      </w:r>
      <w:r w:rsidRPr="003B0E6C">
        <w:rPr>
          <w:rStyle w:val="Emphasis"/>
          <w:rFonts w:ascii="Arial" w:eastAsiaTheme="majorEastAsia" w:hAnsi="Arial" w:cs="Arial"/>
        </w:rPr>
        <w:t>Competitive Advantage: Creating and Sustaining Superior Performance</w:t>
      </w:r>
      <w:r w:rsidRPr="003B0E6C">
        <w:rPr>
          <w:rFonts w:ascii="Arial" w:hAnsi="Arial" w:cs="Arial"/>
        </w:rPr>
        <w:t>. New York: Free Press.</w:t>
      </w:r>
    </w:p>
    <w:p w14:paraId="14CF0407" w14:textId="6C0E1698" w:rsidR="003B0E6C" w:rsidRPr="003B0E6C" w:rsidRDefault="003B0E6C" w:rsidP="003B0E6C">
      <w:pPr>
        <w:pStyle w:val="NormalWeb"/>
        <w:rPr>
          <w:rFonts w:ascii="Arial" w:hAnsi="Arial" w:cs="Arial"/>
        </w:rPr>
      </w:pPr>
      <w:r w:rsidRPr="003B0E6C">
        <w:rPr>
          <w:rFonts w:ascii="Arial" w:hAnsi="Arial" w:cs="Arial"/>
        </w:rPr>
        <w:t xml:space="preserve">PwC India, 2024. </w:t>
      </w:r>
      <w:r w:rsidRPr="003B0E6C">
        <w:rPr>
          <w:rStyle w:val="Emphasis"/>
          <w:rFonts w:ascii="Arial" w:eastAsiaTheme="majorEastAsia" w:hAnsi="Arial" w:cs="Arial"/>
        </w:rPr>
        <w:t>India Food Retail: Urbanization and Changing Consumer Habits</w:t>
      </w:r>
      <w:r w:rsidRPr="003B0E6C">
        <w:rPr>
          <w:rFonts w:ascii="Arial" w:hAnsi="Arial" w:cs="Arial"/>
        </w:rPr>
        <w:t xml:space="preserve">. [online] Available at: </w:t>
      </w:r>
      <w:r w:rsidR="00867823" w:rsidRPr="00867823">
        <w:rPr>
          <w:rFonts w:ascii="Arial" w:hAnsi="Arial" w:cs="Arial"/>
        </w:rPr>
        <w:t xml:space="preserve">https://www.pwc.in/industries/retail-and-consumer/voice-of-the-consumer-survey-2024india-perspective.html </w:t>
      </w:r>
      <w:r w:rsidRPr="003B0E6C">
        <w:rPr>
          <w:rFonts w:ascii="Arial" w:hAnsi="Arial" w:cs="Arial"/>
        </w:rPr>
        <w:t>[Accessed December 2025].</w:t>
      </w:r>
    </w:p>
    <w:p w14:paraId="64DA3810" w14:textId="77777777" w:rsidR="003B0E6C" w:rsidRPr="003B0E6C" w:rsidRDefault="003B0E6C" w:rsidP="003B0E6C">
      <w:pPr>
        <w:pStyle w:val="NormalWeb"/>
        <w:rPr>
          <w:rFonts w:ascii="Arial" w:hAnsi="Arial" w:cs="Arial"/>
        </w:rPr>
      </w:pPr>
      <w:proofErr w:type="spellStart"/>
      <w:r w:rsidRPr="003B0E6C">
        <w:rPr>
          <w:rFonts w:ascii="Arial" w:hAnsi="Arial" w:cs="Arial"/>
        </w:rPr>
        <w:t>Sachitanand</w:t>
      </w:r>
      <w:proofErr w:type="spellEnd"/>
      <w:r w:rsidRPr="003B0E6C">
        <w:rPr>
          <w:rFonts w:ascii="Arial" w:hAnsi="Arial" w:cs="Arial"/>
        </w:rPr>
        <w:t xml:space="preserve">, S., 2024. </w:t>
      </w:r>
      <w:r w:rsidRPr="003B0E6C">
        <w:rPr>
          <w:rStyle w:val="Emphasis"/>
          <w:rFonts w:ascii="Arial" w:eastAsiaTheme="majorEastAsia" w:hAnsi="Arial" w:cs="Arial"/>
        </w:rPr>
        <w:t>Competitive Landscape of Bakeries in India</w:t>
      </w:r>
      <w:r w:rsidRPr="003B0E6C">
        <w:rPr>
          <w:rFonts w:ascii="Arial" w:hAnsi="Arial" w:cs="Arial"/>
        </w:rPr>
        <w:t xml:space="preserve">. </w:t>
      </w:r>
      <w:r w:rsidRPr="003B0E6C">
        <w:rPr>
          <w:rStyle w:val="Emphasis"/>
          <w:rFonts w:ascii="Arial" w:eastAsiaTheme="majorEastAsia" w:hAnsi="Arial" w:cs="Arial"/>
        </w:rPr>
        <w:t>Business Today</w:t>
      </w:r>
      <w:r w:rsidRPr="003B0E6C">
        <w:rPr>
          <w:rFonts w:ascii="Arial" w:hAnsi="Arial" w:cs="Arial"/>
        </w:rPr>
        <w:t>, 35(4), pp.22–28.</w:t>
      </w:r>
    </w:p>
    <w:p w14:paraId="22A5AE82" w14:textId="7DFB5491" w:rsidR="003B0E6C" w:rsidRPr="003B0E6C" w:rsidRDefault="003B0E6C" w:rsidP="003B0E6C">
      <w:pPr>
        <w:pStyle w:val="NormalWeb"/>
        <w:rPr>
          <w:rFonts w:ascii="Arial" w:hAnsi="Arial" w:cs="Arial"/>
        </w:rPr>
      </w:pPr>
      <w:r w:rsidRPr="003B0E6C">
        <w:rPr>
          <w:rFonts w:ascii="Arial" w:hAnsi="Arial" w:cs="Arial"/>
        </w:rPr>
        <w:t xml:space="preserve">Statista, 2024. </w:t>
      </w:r>
      <w:r w:rsidRPr="003B0E6C">
        <w:rPr>
          <w:rStyle w:val="Emphasis"/>
          <w:rFonts w:ascii="Arial" w:eastAsiaTheme="majorEastAsia" w:hAnsi="Arial" w:cs="Arial"/>
        </w:rPr>
        <w:t>Digital Payments and UPI Transactions in India</w:t>
      </w:r>
      <w:r w:rsidRPr="003B0E6C">
        <w:rPr>
          <w:rFonts w:ascii="Arial" w:hAnsi="Arial" w:cs="Arial"/>
        </w:rPr>
        <w:t>. [online] Available at: https://www.statista.com/search/?q=digital+payment+&amp;Search=&amp;p=1 [Accessed December 2025].</w:t>
      </w:r>
    </w:p>
    <w:p w14:paraId="49246BE5" w14:textId="4515DD0F" w:rsidR="003B0E6C" w:rsidRPr="003B0E6C" w:rsidRDefault="003B0E6C" w:rsidP="003B0E6C">
      <w:pPr>
        <w:pStyle w:val="NormalWeb"/>
        <w:rPr>
          <w:rFonts w:ascii="Arial" w:hAnsi="Arial" w:cs="Arial"/>
        </w:rPr>
      </w:pPr>
      <w:r w:rsidRPr="003B0E6C">
        <w:rPr>
          <w:rFonts w:ascii="Arial" w:hAnsi="Arial" w:cs="Arial"/>
        </w:rPr>
        <w:t xml:space="preserve">Wikipedia, 2025. </w:t>
      </w:r>
      <w:r w:rsidRPr="003B0E6C">
        <w:rPr>
          <w:rStyle w:val="Emphasis"/>
          <w:rFonts w:ascii="Arial" w:eastAsiaTheme="majorEastAsia" w:hAnsi="Arial" w:cs="Arial"/>
        </w:rPr>
        <w:t>Greggs</w:t>
      </w:r>
      <w:r w:rsidRPr="003B0E6C">
        <w:rPr>
          <w:rFonts w:ascii="Arial" w:hAnsi="Arial" w:cs="Arial"/>
        </w:rPr>
        <w:t xml:space="preserve">. [online] Available at: </w:t>
      </w:r>
      <w:hyperlink r:id="rId18" w:tgtFrame="_new" w:history="1">
        <w:r w:rsidRPr="003B0E6C">
          <w:rPr>
            <w:rStyle w:val="Hyperlink"/>
            <w:rFonts w:ascii="Arial" w:eastAsiaTheme="majorEastAsia" w:hAnsi="Arial" w:cs="Arial"/>
          </w:rPr>
          <w:t>https://en.wikipedia.org/wiki/Greggs</w:t>
        </w:r>
      </w:hyperlink>
      <w:r w:rsidRPr="003B0E6C">
        <w:rPr>
          <w:rFonts w:ascii="Arial" w:hAnsi="Arial" w:cs="Arial"/>
        </w:rPr>
        <w:t xml:space="preserve"> [Accessed December 2025].</w:t>
      </w:r>
    </w:p>
    <w:p w14:paraId="154C12A6" w14:textId="73C5953B" w:rsidR="003B0E6C" w:rsidRPr="003B0E6C" w:rsidRDefault="003B0E6C" w:rsidP="003B0E6C">
      <w:pPr>
        <w:pStyle w:val="NormalWeb"/>
        <w:rPr>
          <w:rFonts w:ascii="Arial" w:hAnsi="Arial" w:cs="Arial"/>
        </w:rPr>
      </w:pPr>
      <w:r w:rsidRPr="003B0E6C">
        <w:rPr>
          <w:rFonts w:ascii="Arial" w:hAnsi="Arial" w:cs="Arial"/>
        </w:rPr>
        <w:t xml:space="preserve">World Bank, 2024. </w:t>
      </w:r>
      <w:r w:rsidRPr="003B0E6C">
        <w:rPr>
          <w:rStyle w:val="Emphasis"/>
          <w:rFonts w:ascii="Arial" w:eastAsiaTheme="majorEastAsia" w:hAnsi="Arial" w:cs="Arial"/>
        </w:rPr>
        <w:t>India Economic Overview</w:t>
      </w:r>
      <w:r w:rsidRPr="003B0E6C">
        <w:rPr>
          <w:rFonts w:ascii="Arial" w:hAnsi="Arial" w:cs="Arial"/>
        </w:rPr>
        <w:t xml:space="preserve">. [online] Available at: </w:t>
      </w:r>
      <w:hyperlink r:id="rId19" w:tgtFrame="_new" w:history="1">
        <w:r w:rsidRPr="003B0E6C">
          <w:rPr>
            <w:rStyle w:val="Hyperlink"/>
            <w:rFonts w:ascii="Arial" w:eastAsiaTheme="majorEastAsia" w:hAnsi="Arial" w:cs="Arial"/>
          </w:rPr>
          <w:t>https://www.worldbank.org/en/country/india/overview</w:t>
        </w:r>
      </w:hyperlink>
      <w:r w:rsidRPr="003B0E6C">
        <w:rPr>
          <w:rFonts w:ascii="Arial" w:hAnsi="Arial" w:cs="Arial"/>
        </w:rPr>
        <w:t xml:space="preserve"> [Accessed December 2025].</w:t>
      </w:r>
    </w:p>
    <w:p w14:paraId="227437B5" w14:textId="1FB41BE1" w:rsidR="003B0E6C" w:rsidRPr="003B0E6C" w:rsidRDefault="003B0E6C" w:rsidP="003B0E6C">
      <w:pPr>
        <w:pStyle w:val="NormalWeb"/>
        <w:rPr>
          <w:rFonts w:ascii="Arial" w:hAnsi="Arial" w:cs="Arial"/>
        </w:rPr>
      </w:pPr>
      <w:r w:rsidRPr="003B0E6C">
        <w:rPr>
          <w:rFonts w:ascii="Arial" w:hAnsi="Arial" w:cs="Arial"/>
        </w:rPr>
        <w:t xml:space="preserve">Company-Histories.com, 2025. </w:t>
      </w:r>
      <w:r w:rsidRPr="003B0E6C">
        <w:rPr>
          <w:rStyle w:val="Emphasis"/>
          <w:rFonts w:ascii="Arial" w:eastAsiaTheme="majorEastAsia" w:hAnsi="Arial" w:cs="Arial"/>
        </w:rPr>
        <w:t>Greggs PLC History</w:t>
      </w:r>
      <w:r w:rsidRPr="003B0E6C">
        <w:rPr>
          <w:rFonts w:ascii="Arial" w:hAnsi="Arial" w:cs="Arial"/>
        </w:rPr>
        <w:t xml:space="preserve">. [online] Available at: </w:t>
      </w:r>
      <w:hyperlink r:id="rId20" w:tgtFrame="_new" w:history="1">
        <w:r w:rsidRPr="003B0E6C">
          <w:rPr>
            <w:rStyle w:val="Hyperlink"/>
            <w:rFonts w:ascii="Arial" w:eastAsiaTheme="majorEastAsia" w:hAnsi="Arial" w:cs="Arial"/>
          </w:rPr>
          <w:t>https://www.company-histories.com/Greggs-PLC-Company-History.html</w:t>
        </w:r>
      </w:hyperlink>
      <w:r w:rsidRPr="003B0E6C">
        <w:rPr>
          <w:rFonts w:ascii="Arial" w:hAnsi="Arial" w:cs="Arial"/>
        </w:rPr>
        <w:t xml:space="preserve"> [Accessed December 2025].</w:t>
      </w:r>
    </w:p>
    <w:p w14:paraId="1B58EF2D" w14:textId="77777777" w:rsidR="00A5449F" w:rsidRPr="00A5449F" w:rsidRDefault="00A5449F" w:rsidP="00A5449F"/>
    <w:sectPr w:rsidR="00A5449F" w:rsidRPr="00A5449F">
      <w:headerReference w:type="default" r:id="rId21"/>
      <w:footerReference w:type="default" r:id="rId22"/>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A17771" w14:textId="77777777" w:rsidR="00864262" w:rsidRDefault="00864262">
      <w:pPr>
        <w:spacing w:after="0" w:line="240" w:lineRule="auto"/>
      </w:pPr>
      <w:r>
        <w:separator/>
      </w:r>
    </w:p>
  </w:endnote>
  <w:endnote w:type="continuationSeparator" w:id="0">
    <w:p w14:paraId="533834AA" w14:textId="77777777" w:rsidR="00864262" w:rsidRDefault="008642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600"/>
      <w:gridCol w:w="3600"/>
      <w:gridCol w:w="3600"/>
    </w:tblGrid>
    <w:tr w:rsidR="00BF435E" w14:paraId="4F2740D3" w14:textId="77777777" w:rsidTr="329A9ABD">
      <w:trPr>
        <w:trHeight w:val="300"/>
      </w:trPr>
      <w:tc>
        <w:tcPr>
          <w:tcW w:w="3600" w:type="dxa"/>
        </w:tcPr>
        <w:p w14:paraId="3ED64CBD" w14:textId="2383F9A5" w:rsidR="00BF435E" w:rsidRDefault="00BF435E" w:rsidP="329A9ABD">
          <w:pPr>
            <w:pStyle w:val="Header"/>
            <w:ind w:left="-115"/>
          </w:pPr>
        </w:p>
      </w:tc>
      <w:tc>
        <w:tcPr>
          <w:tcW w:w="3600" w:type="dxa"/>
        </w:tcPr>
        <w:p w14:paraId="33713AB3" w14:textId="593D7D48" w:rsidR="00BF435E" w:rsidRDefault="00BF435E" w:rsidP="329A9ABD">
          <w:pPr>
            <w:pStyle w:val="Header"/>
            <w:jc w:val="center"/>
          </w:pPr>
        </w:p>
      </w:tc>
      <w:tc>
        <w:tcPr>
          <w:tcW w:w="3600" w:type="dxa"/>
        </w:tcPr>
        <w:p w14:paraId="51E1B26E" w14:textId="40FB9456" w:rsidR="00BF435E" w:rsidRDefault="00BF435E" w:rsidP="329A9ABD">
          <w:pPr>
            <w:pStyle w:val="Header"/>
            <w:ind w:right="-115"/>
            <w:jc w:val="right"/>
          </w:pPr>
          <w:r>
            <w:fldChar w:fldCharType="begin"/>
          </w:r>
          <w:r>
            <w:instrText>PAGE</w:instrText>
          </w:r>
          <w:r>
            <w:fldChar w:fldCharType="separate"/>
          </w:r>
          <w:r>
            <w:rPr>
              <w:noProof/>
            </w:rPr>
            <w:t>1</w:t>
          </w:r>
          <w:r>
            <w:fldChar w:fldCharType="end"/>
          </w:r>
        </w:p>
      </w:tc>
    </w:tr>
  </w:tbl>
  <w:p w14:paraId="37DE92C0" w14:textId="73A97274" w:rsidR="00BF435E" w:rsidRDefault="00BF435E" w:rsidP="329A9A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121D57" w14:textId="77777777" w:rsidR="00864262" w:rsidRDefault="00864262">
      <w:pPr>
        <w:spacing w:after="0" w:line="240" w:lineRule="auto"/>
      </w:pPr>
      <w:r>
        <w:separator/>
      </w:r>
    </w:p>
  </w:footnote>
  <w:footnote w:type="continuationSeparator" w:id="0">
    <w:p w14:paraId="2B9937F8" w14:textId="77777777" w:rsidR="00864262" w:rsidRDefault="008642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600"/>
      <w:gridCol w:w="3600"/>
      <w:gridCol w:w="3600"/>
    </w:tblGrid>
    <w:tr w:rsidR="00BF435E" w14:paraId="614F1F62" w14:textId="77777777" w:rsidTr="329A9ABD">
      <w:trPr>
        <w:trHeight w:val="300"/>
      </w:trPr>
      <w:tc>
        <w:tcPr>
          <w:tcW w:w="3600" w:type="dxa"/>
        </w:tcPr>
        <w:p w14:paraId="2B82F2BA" w14:textId="36F76FF9" w:rsidR="00BF435E" w:rsidRDefault="00BF435E" w:rsidP="329A9ABD">
          <w:pPr>
            <w:pStyle w:val="Header"/>
            <w:ind w:left="-115"/>
          </w:pPr>
        </w:p>
      </w:tc>
      <w:tc>
        <w:tcPr>
          <w:tcW w:w="3600" w:type="dxa"/>
        </w:tcPr>
        <w:p w14:paraId="2AEA95FB" w14:textId="5B1DA421" w:rsidR="00BF435E" w:rsidRDefault="00BF435E" w:rsidP="329A9ABD">
          <w:pPr>
            <w:pStyle w:val="Header"/>
            <w:jc w:val="center"/>
          </w:pPr>
        </w:p>
      </w:tc>
      <w:tc>
        <w:tcPr>
          <w:tcW w:w="3600" w:type="dxa"/>
        </w:tcPr>
        <w:p w14:paraId="7E8B337A" w14:textId="1B5EE2FB" w:rsidR="00BF435E" w:rsidRDefault="00BF435E" w:rsidP="329A9ABD">
          <w:pPr>
            <w:pStyle w:val="Header"/>
            <w:ind w:right="-115"/>
            <w:jc w:val="right"/>
          </w:pPr>
        </w:p>
      </w:tc>
    </w:tr>
  </w:tbl>
  <w:p w14:paraId="7BF16718" w14:textId="09622D3D" w:rsidR="00BF435E" w:rsidRDefault="00BF435E" w:rsidP="329A9A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6DCD5"/>
    <w:multiLevelType w:val="hybridMultilevel"/>
    <w:tmpl w:val="BD807112"/>
    <w:lvl w:ilvl="0" w:tplc="2FBC96A8">
      <w:start w:val="1"/>
      <w:numFmt w:val="bullet"/>
      <w:lvlText w:val=""/>
      <w:lvlJc w:val="left"/>
      <w:pPr>
        <w:ind w:left="720" w:hanging="360"/>
      </w:pPr>
      <w:rPr>
        <w:rFonts w:ascii="Symbol" w:hAnsi="Symbol" w:hint="default"/>
      </w:rPr>
    </w:lvl>
    <w:lvl w:ilvl="1" w:tplc="5352DF0C">
      <w:start w:val="1"/>
      <w:numFmt w:val="bullet"/>
      <w:lvlText w:val="o"/>
      <w:lvlJc w:val="left"/>
      <w:pPr>
        <w:ind w:left="1440" w:hanging="360"/>
      </w:pPr>
      <w:rPr>
        <w:rFonts w:ascii="Courier New" w:hAnsi="Courier New" w:hint="default"/>
      </w:rPr>
    </w:lvl>
    <w:lvl w:ilvl="2" w:tplc="58149118">
      <w:start w:val="1"/>
      <w:numFmt w:val="bullet"/>
      <w:lvlText w:val=""/>
      <w:lvlJc w:val="left"/>
      <w:pPr>
        <w:ind w:left="2160" w:hanging="360"/>
      </w:pPr>
      <w:rPr>
        <w:rFonts w:ascii="Wingdings" w:hAnsi="Wingdings" w:hint="default"/>
      </w:rPr>
    </w:lvl>
    <w:lvl w:ilvl="3" w:tplc="A96E511A">
      <w:start w:val="1"/>
      <w:numFmt w:val="bullet"/>
      <w:lvlText w:val=""/>
      <w:lvlJc w:val="left"/>
      <w:pPr>
        <w:ind w:left="2880" w:hanging="360"/>
      </w:pPr>
      <w:rPr>
        <w:rFonts w:ascii="Symbol" w:hAnsi="Symbol" w:hint="default"/>
      </w:rPr>
    </w:lvl>
    <w:lvl w:ilvl="4" w:tplc="DABE5B74">
      <w:start w:val="1"/>
      <w:numFmt w:val="bullet"/>
      <w:lvlText w:val="o"/>
      <w:lvlJc w:val="left"/>
      <w:pPr>
        <w:ind w:left="3600" w:hanging="360"/>
      </w:pPr>
      <w:rPr>
        <w:rFonts w:ascii="Courier New" w:hAnsi="Courier New" w:hint="default"/>
      </w:rPr>
    </w:lvl>
    <w:lvl w:ilvl="5" w:tplc="D09C7728">
      <w:start w:val="1"/>
      <w:numFmt w:val="bullet"/>
      <w:lvlText w:val=""/>
      <w:lvlJc w:val="left"/>
      <w:pPr>
        <w:ind w:left="4320" w:hanging="360"/>
      </w:pPr>
      <w:rPr>
        <w:rFonts w:ascii="Wingdings" w:hAnsi="Wingdings" w:hint="default"/>
      </w:rPr>
    </w:lvl>
    <w:lvl w:ilvl="6" w:tplc="C89209A8">
      <w:start w:val="1"/>
      <w:numFmt w:val="bullet"/>
      <w:lvlText w:val=""/>
      <w:lvlJc w:val="left"/>
      <w:pPr>
        <w:ind w:left="5040" w:hanging="360"/>
      </w:pPr>
      <w:rPr>
        <w:rFonts w:ascii="Symbol" w:hAnsi="Symbol" w:hint="default"/>
      </w:rPr>
    </w:lvl>
    <w:lvl w:ilvl="7" w:tplc="CB1A335E">
      <w:start w:val="1"/>
      <w:numFmt w:val="bullet"/>
      <w:lvlText w:val="o"/>
      <w:lvlJc w:val="left"/>
      <w:pPr>
        <w:ind w:left="5760" w:hanging="360"/>
      </w:pPr>
      <w:rPr>
        <w:rFonts w:ascii="Courier New" w:hAnsi="Courier New" w:hint="default"/>
      </w:rPr>
    </w:lvl>
    <w:lvl w:ilvl="8" w:tplc="248C708E">
      <w:start w:val="1"/>
      <w:numFmt w:val="bullet"/>
      <w:lvlText w:val=""/>
      <w:lvlJc w:val="left"/>
      <w:pPr>
        <w:ind w:left="6480" w:hanging="360"/>
      </w:pPr>
      <w:rPr>
        <w:rFonts w:ascii="Wingdings" w:hAnsi="Wingdings" w:hint="default"/>
      </w:rPr>
    </w:lvl>
  </w:abstractNum>
  <w:abstractNum w:abstractNumId="1" w15:restartNumberingAfterBreak="0">
    <w:nsid w:val="0F4F294A"/>
    <w:multiLevelType w:val="hybridMultilevel"/>
    <w:tmpl w:val="61765CFC"/>
    <w:lvl w:ilvl="0" w:tplc="94C4CD14">
      <w:start w:val="1"/>
      <w:numFmt w:val="bullet"/>
      <w:lvlText w:val=""/>
      <w:lvlJc w:val="left"/>
      <w:pPr>
        <w:ind w:left="720" w:hanging="360"/>
      </w:pPr>
      <w:rPr>
        <w:rFonts w:ascii="Symbol" w:hAnsi="Symbol" w:hint="default"/>
      </w:rPr>
    </w:lvl>
    <w:lvl w:ilvl="1" w:tplc="36F8427E">
      <w:start w:val="1"/>
      <w:numFmt w:val="bullet"/>
      <w:lvlText w:val="o"/>
      <w:lvlJc w:val="left"/>
      <w:pPr>
        <w:ind w:left="1440" w:hanging="360"/>
      </w:pPr>
      <w:rPr>
        <w:rFonts w:ascii="Courier New" w:hAnsi="Courier New" w:hint="default"/>
      </w:rPr>
    </w:lvl>
    <w:lvl w:ilvl="2" w:tplc="624C6F5E">
      <w:start w:val="1"/>
      <w:numFmt w:val="bullet"/>
      <w:lvlText w:val=""/>
      <w:lvlJc w:val="left"/>
      <w:pPr>
        <w:ind w:left="2160" w:hanging="360"/>
      </w:pPr>
      <w:rPr>
        <w:rFonts w:ascii="Wingdings" w:hAnsi="Wingdings" w:hint="default"/>
      </w:rPr>
    </w:lvl>
    <w:lvl w:ilvl="3" w:tplc="CF324404">
      <w:start w:val="1"/>
      <w:numFmt w:val="bullet"/>
      <w:lvlText w:val=""/>
      <w:lvlJc w:val="left"/>
      <w:pPr>
        <w:ind w:left="2880" w:hanging="360"/>
      </w:pPr>
      <w:rPr>
        <w:rFonts w:ascii="Symbol" w:hAnsi="Symbol" w:hint="default"/>
      </w:rPr>
    </w:lvl>
    <w:lvl w:ilvl="4" w:tplc="B10ED1B8">
      <w:start w:val="1"/>
      <w:numFmt w:val="bullet"/>
      <w:lvlText w:val="o"/>
      <w:lvlJc w:val="left"/>
      <w:pPr>
        <w:ind w:left="3600" w:hanging="360"/>
      </w:pPr>
      <w:rPr>
        <w:rFonts w:ascii="Courier New" w:hAnsi="Courier New" w:hint="default"/>
      </w:rPr>
    </w:lvl>
    <w:lvl w:ilvl="5" w:tplc="2618BEF6">
      <w:start w:val="1"/>
      <w:numFmt w:val="bullet"/>
      <w:lvlText w:val=""/>
      <w:lvlJc w:val="left"/>
      <w:pPr>
        <w:ind w:left="4320" w:hanging="360"/>
      </w:pPr>
      <w:rPr>
        <w:rFonts w:ascii="Wingdings" w:hAnsi="Wingdings" w:hint="default"/>
      </w:rPr>
    </w:lvl>
    <w:lvl w:ilvl="6" w:tplc="742639D0">
      <w:start w:val="1"/>
      <w:numFmt w:val="bullet"/>
      <w:lvlText w:val=""/>
      <w:lvlJc w:val="left"/>
      <w:pPr>
        <w:ind w:left="5040" w:hanging="360"/>
      </w:pPr>
      <w:rPr>
        <w:rFonts w:ascii="Symbol" w:hAnsi="Symbol" w:hint="default"/>
      </w:rPr>
    </w:lvl>
    <w:lvl w:ilvl="7" w:tplc="4C8E5922">
      <w:start w:val="1"/>
      <w:numFmt w:val="bullet"/>
      <w:lvlText w:val="o"/>
      <w:lvlJc w:val="left"/>
      <w:pPr>
        <w:ind w:left="5760" w:hanging="360"/>
      </w:pPr>
      <w:rPr>
        <w:rFonts w:ascii="Courier New" w:hAnsi="Courier New" w:hint="default"/>
      </w:rPr>
    </w:lvl>
    <w:lvl w:ilvl="8" w:tplc="DE82D22C">
      <w:start w:val="1"/>
      <w:numFmt w:val="bullet"/>
      <w:lvlText w:val=""/>
      <w:lvlJc w:val="left"/>
      <w:pPr>
        <w:ind w:left="6480" w:hanging="360"/>
      </w:pPr>
      <w:rPr>
        <w:rFonts w:ascii="Wingdings" w:hAnsi="Wingdings" w:hint="default"/>
      </w:rPr>
    </w:lvl>
  </w:abstractNum>
  <w:abstractNum w:abstractNumId="2" w15:restartNumberingAfterBreak="0">
    <w:nsid w:val="11379966"/>
    <w:multiLevelType w:val="hybridMultilevel"/>
    <w:tmpl w:val="1C50AF1A"/>
    <w:lvl w:ilvl="0" w:tplc="16F86826">
      <w:start w:val="1"/>
      <w:numFmt w:val="bullet"/>
      <w:lvlText w:val=""/>
      <w:lvlJc w:val="left"/>
      <w:pPr>
        <w:ind w:left="720" w:hanging="360"/>
      </w:pPr>
      <w:rPr>
        <w:rFonts w:ascii="Symbol" w:hAnsi="Symbol" w:hint="default"/>
      </w:rPr>
    </w:lvl>
    <w:lvl w:ilvl="1" w:tplc="DEBC8650">
      <w:start w:val="1"/>
      <w:numFmt w:val="bullet"/>
      <w:lvlText w:val="o"/>
      <w:lvlJc w:val="left"/>
      <w:pPr>
        <w:ind w:left="1440" w:hanging="360"/>
      </w:pPr>
      <w:rPr>
        <w:rFonts w:ascii="Courier New" w:hAnsi="Courier New" w:hint="default"/>
      </w:rPr>
    </w:lvl>
    <w:lvl w:ilvl="2" w:tplc="1DBAA8F8">
      <w:start w:val="1"/>
      <w:numFmt w:val="bullet"/>
      <w:lvlText w:val=""/>
      <w:lvlJc w:val="left"/>
      <w:pPr>
        <w:ind w:left="2160" w:hanging="360"/>
      </w:pPr>
      <w:rPr>
        <w:rFonts w:ascii="Wingdings" w:hAnsi="Wingdings" w:hint="default"/>
      </w:rPr>
    </w:lvl>
    <w:lvl w:ilvl="3" w:tplc="9F14631A">
      <w:start w:val="1"/>
      <w:numFmt w:val="bullet"/>
      <w:lvlText w:val=""/>
      <w:lvlJc w:val="left"/>
      <w:pPr>
        <w:ind w:left="2880" w:hanging="360"/>
      </w:pPr>
      <w:rPr>
        <w:rFonts w:ascii="Symbol" w:hAnsi="Symbol" w:hint="default"/>
      </w:rPr>
    </w:lvl>
    <w:lvl w:ilvl="4" w:tplc="66869634">
      <w:start w:val="1"/>
      <w:numFmt w:val="bullet"/>
      <w:lvlText w:val="o"/>
      <w:lvlJc w:val="left"/>
      <w:pPr>
        <w:ind w:left="3600" w:hanging="360"/>
      </w:pPr>
      <w:rPr>
        <w:rFonts w:ascii="Courier New" w:hAnsi="Courier New" w:hint="default"/>
      </w:rPr>
    </w:lvl>
    <w:lvl w:ilvl="5" w:tplc="DF74EB3A">
      <w:start w:val="1"/>
      <w:numFmt w:val="bullet"/>
      <w:lvlText w:val=""/>
      <w:lvlJc w:val="left"/>
      <w:pPr>
        <w:ind w:left="4320" w:hanging="360"/>
      </w:pPr>
      <w:rPr>
        <w:rFonts w:ascii="Wingdings" w:hAnsi="Wingdings" w:hint="default"/>
      </w:rPr>
    </w:lvl>
    <w:lvl w:ilvl="6" w:tplc="B55AE6A8">
      <w:start w:val="1"/>
      <w:numFmt w:val="bullet"/>
      <w:lvlText w:val=""/>
      <w:lvlJc w:val="left"/>
      <w:pPr>
        <w:ind w:left="5040" w:hanging="360"/>
      </w:pPr>
      <w:rPr>
        <w:rFonts w:ascii="Symbol" w:hAnsi="Symbol" w:hint="default"/>
      </w:rPr>
    </w:lvl>
    <w:lvl w:ilvl="7" w:tplc="5BC2AE58">
      <w:start w:val="1"/>
      <w:numFmt w:val="bullet"/>
      <w:lvlText w:val="o"/>
      <w:lvlJc w:val="left"/>
      <w:pPr>
        <w:ind w:left="5760" w:hanging="360"/>
      </w:pPr>
      <w:rPr>
        <w:rFonts w:ascii="Courier New" w:hAnsi="Courier New" w:hint="default"/>
      </w:rPr>
    </w:lvl>
    <w:lvl w:ilvl="8" w:tplc="07AA50FE">
      <w:start w:val="1"/>
      <w:numFmt w:val="bullet"/>
      <w:lvlText w:val=""/>
      <w:lvlJc w:val="left"/>
      <w:pPr>
        <w:ind w:left="6480" w:hanging="360"/>
      </w:pPr>
      <w:rPr>
        <w:rFonts w:ascii="Wingdings" w:hAnsi="Wingdings" w:hint="default"/>
      </w:rPr>
    </w:lvl>
  </w:abstractNum>
  <w:abstractNum w:abstractNumId="3" w15:restartNumberingAfterBreak="0">
    <w:nsid w:val="1D1F1D87"/>
    <w:multiLevelType w:val="hybridMultilevel"/>
    <w:tmpl w:val="3A5A17D2"/>
    <w:lvl w:ilvl="0" w:tplc="33D28C28">
      <w:start w:val="1"/>
      <w:numFmt w:val="bullet"/>
      <w:lvlText w:val=""/>
      <w:lvlJc w:val="left"/>
      <w:pPr>
        <w:ind w:left="720" w:hanging="360"/>
      </w:pPr>
      <w:rPr>
        <w:rFonts w:ascii="Symbol" w:hAnsi="Symbol" w:hint="default"/>
      </w:rPr>
    </w:lvl>
    <w:lvl w:ilvl="1" w:tplc="860885B2">
      <w:start w:val="1"/>
      <w:numFmt w:val="bullet"/>
      <w:lvlText w:val="o"/>
      <w:lvlJc w:val="left"/>
      <w:pPr>
        <w:ind w:left="1440" w:hanging="360"/>
      </w:pPr>
      <w:rPr>
        <w:rFonts w:ascii="Courier New" w:hAnsi="Courier New" w:hint="default"/>
      </w:rPr>
    </w:lvl>
    <w:lvl w:ilvl="2" w:tplc="877AD288">
      <w:start w:val="1"/>
      <w:numFmt w:val="bullet"/>
      <w:lvlText w:val=""/>
      <w:lvlJc w:val="left"/>
      <w:pPr>
        <w:ind w:left="2160" w:hanging="360"/>
      </w:pPr>
      <w:rPr>
        <w:rFonts w:ascii="Wingdings" w:hAnsi="Wingdings" w:hint="default"/>
      </w:rPr>
    </w:lvl>
    <w:lvl w:ilvl="3" w:tplc="3BE896A6">
      <w:start w:val="1"/>
      <w:numFmt w:val="bullet"/>
      <w:lvlText w:val=""/>
      <w:lvlJc w:val="left"/>
      <w:pPr>
        <w:ind w:left="2880" w:hanging="360"/>
      </w:pPr>
      <w:rPr>
        <w:rFonts w:ascii="Symbol" w:hAnsi="Symbol" w:hint="default"/>
      </w:rPr>
    </w:lvl>
    <w:lvl w:ilvl="4" w:tplc="E9002186">
      <w:start w:val="1"/>
      <w:numFmt w:val="bullet"/>
      <w:lvlText w:val="o"/>
      <w:lvlJc w:val="left"/>
      <w:pPr>
        <w:ind w:left="3600" w:hanging="360"/>
      </w:pPr>
      <w:rPr>
        <w:rFonts w:ascii="Courier New" w:hAnsi="Courier New" w:hint="default"/>
      </w:rPr>
    </w:lvl>
    <w:lvl w:ilvl="5" w:tplc="7D964BE4">
      <w:start w:val="1"/>
      <w:numFmt w:val="bullet"/>
      <w:lvlText w:val=""/>
      <w:lvlJc w:val="left"/>
      <w:pPr>
        <w:ind w:left="4320" w:hanging="360"/>
      </w:pPr>
      <w:rPr>
        <w:rFonts w:ascii="Wingdings" w:hAnsi="Wingdings" w:hint="default"/>
      </w:rPr>
    </w:lvl>
    <w:lvl w:ilvl="6" w:tplc="F09AC416">
      <w:start w:val="1"/>
      <w:numFmt w:val="bullet"/>
      <w:lvlText w:val=""/>
      <w:lvlJc w:val="left"/>
      <w:pPr>
        <w:ind w:left="5040" w:hanging="360"/>
      </w:pPr>
      <w:rPr>
        <w:rFonts w:ascii="Symbol" w:hAnsi="Symbol" w:hint="default"/>
      </w:rPr>
    </w:lvl>
    <w:lvl w:ilvl="7" w:tplc="2E828F54">
      <w:start w:val="1"/>
      <w:numFmt w:val="bullet"/>
      <w:lvlText w:val="o"/>
      <w:lvlJc w:val="left"/>
      <w:pPr>
        <w:ind w:left="5760" w:hanging="360"/>
      </w:pPr>
      <w:rPr>
        <w:rFonts w:ascii="Courier New" w:hAnsi="Courier New" w:hint="default"/>
      </w:rPr>
    </w:lvl>
    <w:lvl w:ilvl="8" w:tplc="08480F2A">
      <w:start w:val="1"/>
      <w:numFmt w:val="bullet"/>
      <w:lvlText w:val=""/>
      <w:lvlJc w:val="left"/>
      <w:pPr>
        <w:ind w:left="6480" w:hanging="360"/>
      </w:pPr>
      <w:rPr>
        <w:rFonts w:ascii="Wingdings" w:hAnsi="Wingdings" w:hint="default"/>
      </w:rPr>
    </w:lvl>
  </w:abstractNum>
  <w:abstractNum w:abstractNumId="4" w15:restartNumberingAfterBreak="0">
    <w:nsid w:val="1DB90AB9"/>
    <w:multiLevelType w:val="hybridMultilevel"/>
    <w:tmpl w:val="D542BBFE"/>
    <w:lvl w:ilvl="0" w:tplc="7A687EEA">
      <w:start w:val="1"/>
      <w:numFmt w:val="bullet"/>
      <w:lvlText w:val=""/>
      <w:lvlJc w:val="left"/>
      <w:pPr>
        <w:ind w:left="720" w:hanging="360"/>
      </w:pPr>
      <w:rPr>
        <w:rFonts w:ascii="Symbol" w:hAnsi="Symbol" w:hint="default"/>
      </w:rPr>
    </w:lvl>
    <w:lvl w:ilvl="1" w:tplc="3FC6071A">
      <w:start w:val="1"/>
      <w:numFmt w:val="bullet"/>
      <w:lvlText w:val="o"/>
      <w:lvlJc w:val="left"/>
      <w:pPr>
        <w:ind w:left="1440" w:hanging="360"/>
      </w:pPr>
      <w:rPr>
        <w:rFonts w:ascii="Courier New" w:hAnsi="Courier New" w:hint="default"/>
      </w:rPr>
    </w:lvl>
    <w:lvl w:ilvl="2" w:tplc="ED44E1F6">
      <w:start w:val="1"/>
      <w:numFmt w:val="bullet"/>
      <w:lvlText w:val=""/>
      <w:lvlJc w:val="left"/>
      <w:pPr>
        <w:ind w:left="2160" w:hanging="360"/>
      </w:pPr>
      <w:rPr>
        <w:rFonts w:ascii="Wingdings" w:hAnsi="Wingdings" w:hint="default"/>
      </w:rPr>
    </w:lvl>
    <w:lvl w:ilvl="3" w:tplc="35BE2446">
      <w:start w:val="1"/>
      <w:numFmt w:val="bullet"/>
      <w:lvlText w:val=""/>
      <w:lvlJc w:val="left"/>
      <w:pPr>
        <w:ind w:left="2880" w:hanging="360"/>
      </w:pPr>
      <w:rPr>
        <w:rFonts w:ascii="Symbol" w:hAnsi="Symbol" w:hint="default"/>
      </w:rPr>
    </w:lvl>
    <w:lvl w:ilvl="4" w:tplc="F6885838">
      <w:start w:val="1"/>
      <w:numFmt w:val="bullet"/>
      <w:lvlText w:val="o"/>
      <w:lvlJc w:val="left"/>
      <w:pPr>
        <w:ind w:left="3600" w:hanging="360"/>
      </w:pPr>
      <w:rPr>
        <w:rFonts w:ascii="Courier New" w:hAnsi="Courier New" w:hint="default"/>
      </w:rPr>
    </w:lvl>
    <w:lvl w:ilvl="5" w:tplc="ECECA64A">
      <w:start w:val="1"/>
      <w:numFmt w:val="bullet"/>
      <w:lvlText w:val=""/>
      <w:lvlJc w:val="left"/>
      <w:pPr>
        <w:ind w:left="4320" w:hanging="360"/>
      </w:pPr>
      <w:rPr>
        <w:rFonts w:ascii="Wingdings" w:hAnsi="Wingdings" w:hint="default"/>
      </w:rPr>
    </w:lvl>
    <w:lvl w:ilvl="6" w:tplc="E144AD5E">
      <w:start w:val="1"/>
      <w:numFmt w:val="bullet"/>
      <w:lvlText w:val=""/>
      <w:lvlJc w:val="left"/>
      <w:pPr>
        <w:ind w:left="5040" w:hanging="360"/>
      </w:pPr>
      <w:rPr>
        <w:rFonts w:ascii="Symbol" w:hAnsi="Symbol" w:hint="default"/>
      </w:rPr>
    </w:lvl>
    <w:lvl w:ilvl="7" w:tplc="6F3CC052">
      <w:start w:val="1"/>
      <w:numFmt w:val="bullet"/>
      <w:lvlText w:val="o"/>
      <w:lvlJc w:val="left"/>
      <w:pPr>
        <w:ind w:left="5760" w:hanging="360"/>
      </w:pPr>
      <w:rPr>
        <w:rFonts w:ascii="Courier New" w:hAnsi="Courier New" w:hint="default"/>
      </w:rPr>
    </w:lvl>
    <w:lvl w:ilvl="8" w:tplc="97C27F4C">
      <w:start w:val="1"/>
      <w:numFmt w:val="bullet"/>
      <w:lvlText w:val=""/>
      <w:lvlJc w:val="left"/>
      <w:pPr>
        <w:ind w:left="6480" w:hanging="360"/>
      </w:pPr>
      <w:rPr>
        <w:rFonts w:ascii="Wingdings" w:hAnsi="Wingdings" w:hint="default"/>
      </w:rPr>
    </w:lvl>
  </w:abstractNum>
  <w:abstractNum w:abstractNumId="5" w15:restartNumberingAfterBreak="0">
    <w:nsid w:val="20CB3907"/>
    <w:multiLevelType w:val="hybridMultilevel"/>
    <w:tmpl w:val="15F8489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1D10AD4"/>
    <w:multiLevelType w:val="hybridMultilevel"/>
    <w:tmpl w:val="5BE84534"/>
    <w:lvl w:ilvl="0" w:tplc="54D6084C">
      <w:start w:val="3"/>
      <w:numFmt w:val="decimal"/>
      <w:lvlText w:val="%1."/>
      <w:lvlJc w:val="left"/>
      <w:pPr>
        <w:ind w:left="720" w:hanging="360"/>
      </w:pPr>
    </w:lvl>
    <w:lvl w:ilvl="1" w:tplc="9F646DBE">
      <w:start w:val="1"/>
      <w:numFmt w:val="lowerLetter"/>
      <w:lvlText w:val="%2."/>
      <w:lvlJc w:val="left"/>
      <w:pPr>
        <w:ind w:left="1440" w:hanging="360"/>
      </w:pPr>
    </w:lvl>
    <w:lvl w:ilvl="2" w:tplc="AFB2C89E">
      <w:start w:val="1"/>
      <w:numFmt w:val="lowerRoman"/>
      <w:lvlText w:val="%3."/>
      <w:lvlJc w:val="right"/>
      <w:pPr>
        <w:ind w:left="2160" w:hanging="180"/>
      </w:pPr>
    </w:lvl>
    <w:lvl w:ilvl="3" w:tplc="FCF6261C">
      <w:start w:val="1"/>
      <w:numFmt w:val="decimal"/>
      <w:lvlText w:val="%4."/>
      <w:lvlJc w:val="left"/>
      <w:pPr>
        <w:ind w:left="2880" w:hanging="360"/>
      </w:pPr>
    </w:lvl>
    <w:lvl w:ilvl="4" w:tplc="7F76447A">
      <w:start w:val="1"/>
      <w:numFmt w:val="lowerLetter"/>
      <w:lvlText w:val="%5."/>
      <w:lvlJc w:val="left"/>
      <w:pPr>
        <w:ind w:left="3600" w:hanging="360"/>
      </w:pPr>
    </w:lvl>
    <w:lvl w:ilvl="5" w:tplc="6290A368">
      <w:start w:val="1"/>
      <w:numFmt w:val="lowerRoman"/>
      <w:lvlText w:val="%6."/>
      <w:lvlJc w:val="right"/>
      <w:pPr>
        <w:ind w:left="4320" w:hanging="180"/>
      </w:pPr>
    </w:lvl>
    <w:lvl w:ilvl="6" w:tplc="4510C3D6">
      <w:start w:val="1"/>
      <w:numFmt w:val="decimal"/>
      <w:lvlText w:val="%7."/>
      <w:lvlJc w:val="left"/>
      <w:pPr>
        <w:ind w:left="5040" w:hanging="360"/>
      </w:pPr>
    </w:lvl>
    <w:lvl w:ilvl="7" w:tplc="7A325B9E">
      <w:start w:val="1"/>
      <w:numFmt w:val="lowerLetter"/>
      <w:lvlText w:val="%8."/>
      <w:lvlJc w:val="left"/>
      <w:pPr>
        <w:ind w:left="5760" w:hanging="360"/>
      </w:pPr>
    </w:lvl>
    <w:lvl w:ilvl="8" w:tplc="0F9E967A">
      <w:start w:val="1"/>
      <w:numFmt w:val="lowerRoman"/>
      <w:lvlText w:val="%9."/>
      <w:lvlJc w:val="right"/>
      <w:pPr>
        <w:ind w:left="6480" w:hanging="180"/>
      </w:pPr>
    </w:lvl>
  </w:abstractNum>
  <w:abstractNum w:abstractNumId="7" w15:restartNumberingAfterBreak="0">
    <w:nsid w:val="271505D4"/>
    <w:multiLevelType w:val="hybridMultilevel"/>
    <w:tmpl w:val="7462445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8441403"/>
    <w:multiLevelType w:val="hybridMultilevel"/>
    <w:tmpl w:val="41780BCE"/>
    <w:lvl w:ilvl="0" w:tplc="208C081A">
      <w:start w:val="1"/>
      <w:numFmt w:val="bullet"/>
      <w:lvlText w:val=""/>
      <w:lvlJc w:val="left"/>
      <w:pPr>
        <w:ind w:left="720" w:hanging="360"/>
      </w:pPr>
      <w:rPr>
        <w:rFonts w:ascii="Symbol" w:hAnsi="Symbol" w:hint="default"/>
      </w:rPr>
    </w:lvl>
    <w:lvl w:ilvl="1" w:tplc="45FA0462">
      <w:start w:val="1"/>
      <w:numFmt w:val="bullet"/>
      <w:lvlText w:val="o"/>
      <w:lvlJc w:val="left"/>
      <w:pPr>
        <w:ind w:left="1440" w:hanging="360"/>
      </w:pPr>
      <w:rPr>
        <w:rFonts w:ascii="Courier New" w:hAnsi="Courier New" w:hint="default"/>
      </w:rPr>
    </w:lvl>
    <w:lvl w:ilvl="2" w:tplc="9DF2CBF6">
      <w:start w:val="1"/>
      <w:numFmt w:val="bullet"/>
      <w:lvlText w:val=""/>
      <w:lvlJc w:val="left"/>
      <w:pPr>
        <w:ind w:left="2160" w:hanging="360"/>
      </w:pPr>
      <w:rPr>
        <w:rFonts w:ascii="Wingdings" w:hAnsi="Wingdings" w:hint="default"/>
      </w:rPr>
    </w:lvl>
    <w:lvl w:ilvl="3" w:tplc="2AE86070">
      <w:start w:val="1"/>
      <w:numFmt w:val="bullet"/>
      <w:lvlText w:val=""/>
      <w:lvlJc w:val="left"/>
      <w:pPr>
        <w:ind w:left="2880" w:hanging="360"/>
      </w:pPr>
      <w:rPr>
        <w:rFonts w:ascii="Symbol" w:hAnsi="Symbol" w:hint="default"/>
      </w:rPr>
    </w:lvl>
    <w:lvl w:ilvl="4" w:tplc="11680C82">
      <w:start w:val="1"/>
      <w:numFmt w:val="bullet"/>
      <w:lvlText w:val="o"/>
      <w:lvlJc w:val="left"/>
      <w:pPr>
        <w:ind w:left="3600" w:hanging="360"/>
      </w:pPr>
      <w:rPr>
        <w:rFonts w:ascii="Courier New" w:hAnsi="Courier New" w:hint="default"/>
      </w:rPr>
    </w:lvl>
    <w:lvl w:ilvl="5" w:tplc="26166B60">
      <w:start w:val="1"/>
      <w:numFmt w:val="bullet"/>
      <w:lvlText w:val=""/>
      <w:lvlJc w:val="left"/>
      <w:pPr>
        <w:ind w:left="4320" w:hanging="360"/>
      </w:pPr>
      <w:rPr>
        <w:rFonts w:ascii="Wingdings" w:hAnsi="Wingdings" w:hint="default"/>
      </w:rPr>
    </w:lvl>
    <w:lvl w:ilvl="6" w:tplc="C0761C62">
      <w:start w:val="1"/>
      <w:numFmt w:val="bullet"/>
      <w:lvlText w:val=""/>
      <w:lvlJc w:val="left"/>
      <w:pPr>
        <w:ind w:left="5040" w:hanging="360"/>
      </w:pPr>
      <w:rPr>
        <w:rFonts w:ascii="Symbol" w:hAnsi="Symbol" w:hint="default"/>
      </w:rPr>
    </w:lvl>
    <w:lvl w:ilvl="7" w:tplc="395E1E92">
      <w:start w:val="1"/>
      <w:numFmt w:val="bullet"/>
      <w:lvlText w:val="o"/>
      <w:lvlJc w:val="left"/>
      <w:pPr>
        <w:ind w:left="5760" w:hanging="360"/>
      </w:pPr>
      <w:rPr>
        <w:rFonts w:ascii="Courier New" w:hAnsi="Courier New" w:hint="default"/>
      </w:rPr>
    </w:lvl>
    <w:lvl w:ilvl="8" w:tplc="0C7C68E8">
      <w:start w:val="1"/>
      <w:numFmt w:val="bullet"/>
      <w:lvlText w:val=""/>
      <w:lvlJc w:val="left"/>
      <w:pPr>
        <w:ind w:left="6480" w:hanging="360"/>
      </w:pPr>
      <w:rPr>
        <w:rFonts w:ascii="Wingdings" w:hAnsi="Wingdings" w:hint="default"/>
      </w:rPr>
    </w:lvl>
  </w:abstractNum>
  <w:abstractNum w:abstractNumId="9" w15:restartNumberingAfterBreak="0">
    <w:nsid w:val="293F59C0"/>
    <w:multiLevelType w:val="hybridMultilevel"/>
    <w:tmpl w:val="0BBEFCC0"/>
    <w:lvl w:ilvl="0" w:tplc="E206996E">
      <w:start w:val="1"/>
      <w:numFmt w:val="bullet"/>
      <w:lvlText w:val=""/>
      <w:lvlJc w:val="left"/>
      <w:pPr>
        <w:ind w:left="720" w:hanging="360"/>
      </w:pPr>
      <w:rPr>
        <w:rFonts w:ascii="Symbol" w:hAnsi="Symbol" w:hint="default"/>
      </w:rPr>
    </w:lvl>
    <w:lvl w:ilvl="1" w:tplc="A2B8D83C">
      <w:start w:val="1"/>
      <w:numFmt w:val="bullet"/>
      <w:lvlText w:val="o"/>
      <w:lvlJc w:val="left"/>
      <w:pPr>
        <w:ind w:left="1440" w:hanging="360"/>
      </w:pPr>
      <w:rPr>
        <w:rFonts w:ascii="Courier New" w:hAnsi="Courier New" w:hint="default"/>
      </w:rPr>
    </w:lvl>
    <w:lvl w:ilvl="2" w:tplc="0EA2A656">
      <w:start w:val="1"/>
      <w:numFmt w:val="bullet"/>
      <w:lvlText w:val=""/>
      <w:lvlJc w:val="left"/>
      <w:pPr>
        <w:ind w:left="2160" w:hanging="360"/>
      </w:pPr>
      <w:rPr>
        <w:rFonts w:ascii="Wingdings" w:hAnsi="Wingdings" w:hint="default"/>
      </w:rPr>
    </w:lvl>
    <w:lvl w:ilvl="3" w:tplc="B7C218B2">
      <w:start w:val="1"/>
      <w:numFmt w:val="bullet"/>
      <w:lvlText w:val=""/>
      <w:lvlJc w:val="left"/>
      <w:pPr>
        <w:ind w:left="2880" w:hanging="360"/>
      </w:pPr>
      <w:rPr>
        <w:rFonts w:ascii="Symbol" w:hAnsi="Symbol" w:hint="default"/>
      </w:rPr>
    </w:lvl>
    <w:lvl w:ilvl="4" w:tplc="A686DC3C">
      <w:start w:val="1"/>
      <w:numFmt w:val="bullet"/>
      <w:lvlText w:val="o"/>
      <w:lvlJc w:val="left"/>
      <w:pPr>
        <w:ind w:left="3600" w:hanging="360"/>
      </w:pPr>
      <w:rPr>
        <w:rFonts w:ascii="Courier New" w:hAnsi="Courier New" w:hint="default"/>
      </w:rPr>
    </w:lvl>
    <w:lvl w:ilvl="5" w:tplc="8744C1E4">
      <w:start w:val="1"/>
      <w:numFmt w:val="bullet"/>
      <w:lvlText w:val=""/>
      <w:lvlJc w:val="left"/>
      <w:pPr>
        <w:ind w:left="4320" w:hanging="360"/>
      </w:pPr>
      <w:rPr>
        <w:rFonts w:ascii="Wingdings" w:hAnsi="Wingdings" w:hint="default"/>
      </w:rPr>
    </w:lvl>
    <w:lvl w:ilvl="6" w:tplc="BABEB952">
      <w:start w:val="1"/>
      <w:numFmt w:val="bullet"/>
      <w:lvlText w:val=""/>
      <w:lvlJc w:val="left"/>
      <w:pPr>
        <w:ind w:left="5040" w:hanging="360"/>
      </w:pPr>
      <w:rPr>
        <w:rFonts w:ascii="Symbol" w:hAnsi="Symbol" w:hint="default"/>
      </w:rPr>
    </w:lvl>
    <w:lvl w:ilvl="7" w:tplc="F8E2BD9A">
      <w:start w:val="1"/>
      <w:numFmt w:val="bullet"/>
      <w:lvlText w:val="o"/>
      <w:lvlJc w:val="left"/>
      <w:pPr>
        <w:ind w:left="5760" w:hanging="360"/>
      </w:pPr>
      <w:rPr>
        <w:rFonts w:ascii="Courier New" w:hAnsi="Courier New" w:hint="default"/>
      </w:rPr>
    </w:lvl>
    <w:lvl w:ilvl="8" w:tplc="368AAFF4">
      <w:start w:val="1"/>
      <w:numFmt w:val="bullet"/>
      <w:lvlText w:val=""/>
      <w:lvlJc w:val="left"/>
      <w:pPr>
        <w:ind w:left="6480" w:hanging="360"/>
      </w:pPr>
      <w:rPr>
        <w:rFonts w:ascii="Wingdings" w:hAnsi="Wingdings" w:hint="default"/>
      </w:rPr>
    </w:lvl>
  </w:abstractNum>
  <w:abstractNum w:abstractNumId="10" w15:restartNumberingAfterBreak="0">
    <w:nsid w:val="2AC2CF5F"/>
    <w:multiLevelType w:val="hybridMultilevel"/>
    <w:tmpl w:val="CB88A682"/>
    <w:lvl w:ilvl="0" w:tplc="5DDE8A40">
      <w:start w:val="1"/>
      <w:numFmt w:val="bullet"/>
      <w:lvlText w:val=""/>
      <w:lvlJc w:val="left"/>
      <w:pPr>
        <w:ind w:left="720" w:hanging="360"/>
      </w:pPr>
      <w:rPr>
        <w:rFonts w:ascii="Symbol" w:hAnsi="Symbol" w:hint="default"/>
      </w:rPr>
    </w:lvl>
    <w:lvl w:ilvl="1" w:tplc="63007A28">
      <w:start w:val="1"/>
      <w:numFmt w:val="bullet"/>
      <w:lvlText w:val="o"/>
      <w:lvlJc w:val="left"/>
      <w:pPr>
        <w:ind w:left="1440" w:hanging="360"/>
      </w:pPr>
      <w:rPr>
        <w:rFonts w:ascii="Courier New" w:hAnsi="Courier New" w:hint="default"/>
      </w:rPr>
    </w:lvl>
    <w:lvl w:ilvl="2" w:tplc="F774D644">
      <w:start w:val="1"/>
      <w:numFmt w:val="bullet"/>
      <w:lvlText w:val=""/>
      <w:lvlJc w:val="left"/>
      <w:pPr>
        <w:ind w:left="2160" w:hanging="360"/>
      </w:pPr>
      <w:rPr>
        <w:rFonts w:ascii="Wingdings" w:hAnsi="Wingdings" w:hint="default"/>
      </w:rPr>
    </w:lvl>
    <w:lvl w:ilvl="3" w:tplc="B030D8CA">
      <w:start w:val="1"/>
      <w:numFmt w:val="bullet"/>
      <w:lvlText w:val=""/>
      <w:lvlJc w:val="left"/>
      <w:pPr>
        <w:ind w:left="2880" w:hanging="360"/>
      </w:pPr>
      <w:rPr>
        <w:rFonts w:ascii="Symbol" w:hAnsi="Symbol" w:hint="default"/>
      </w:rPr>
    </w:lvl>
    <w:lvl w:ilvl="4" w:tplc="5150F746">
      <w:start w:val="1"/>
      <w:numFmt w:val="bullet"/>
      <w:lvlText w:val="o"/>
      <w:lvlJc w:val="left"/>
      <w:pPr>
        <w:ind w:left="3600" w:hanging="360"/>
      </w:pPr>
      <w:rPr>
        <w:rFonts w:ascii="Courier New" w:hAnsi="Courier New" w:hint="default"/>
      </w:rPr>
    </w:lvl>
    <w:lvl w:ilvl="5" w:tplc="E75C3AD6">
      <w:start w:val="1"/>
      <w:numFmt w:val="bullet"/>
      <w:lvlText w:val=""/>
      <w:lvlJc w:val="left"/>
      <w:pPr>
        <w:ind w:left="4320" w:hanging="360"/>
      </w:pPr>
      <w:rPr>
        <w:rFonts w:ascii="Wingdings" w:hAnsi="Wingdings" w:hint="default"/>
      </w:rPr>
    </w:lvl>
    <w:lvl w:ilvl="6" w:tplc="B4FEEA1C">
      <w:start w:val="1"/>
      <w:numFmt w:val="bullet"/>
      <w:lvlText w:val=""/>
      <w:lvlJc w:val="left"/>
      <w:pPr>
        <w:ind w:left="5040" w:hanging="360"/>
      </w:pPr>
      <w:rPr>
        <w:rFonts w:ascii="Symbol" w:hAnsi="Symbol" w:hint="default"/>
      </w:rPr>
    </w:lvl>
    <w:lvl w:ilvl="7" w:tplc="B65A1284">
      <w:start w:val="1"/>
      <w:numFmt w:val="bullet"/>
      <w:lvlText w:val="o"/>
      <w:lvlJc w:val="left"/>
      <w:pPr>
        <w:ind w:left="5760" w:hanging="360"/>
      </w:pPr>
      <w:rPr>
        <w:rFonts w:ascii="Courier New" w:hAnsi="Courier New" w:hint="default"/>
      </w:rPr>
    </w:lvl>
    <w:lvl w:ilvl="8" w:tplc="92F8E0B0">
      <w:start w:val="1"/>
      <w:numFmt w:val="bullet"/>
      <w:lvlText w:val=""/>
      <w:lvlJc w:val="left"/>
      <w:pPr>
        <w:ind w:left="6480" w:hanging="360"/>
      </w:pPr>
      <w:rPr>
        <w:rFonts w:ascii="Wingdings" w:hAnsi="Wingdings" w:hint="default"/>
      </w:rPr>
    </w:lvl>
  </w:abstractNum>
  <w:abstractNum w:abstractNumId="11" w15:restartNumberingAfterBreak="0">
    <w:nsid w:val="319E3F09"/>
    <w:multiLevelType w:val="hybridMultilevel"/>
    <w:tmpl w:val="FCF84E5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20B11B1"/>
    <w:multiLevelType w:val="hybridMultilevel"/>
    <w:tmpl w:val="CA50FA0C"/>
    <w:lvl w:ilvl="0" w:tplc="40090001">
      <w:start w:val="1"/>
      <w:numFmt w:val="bullet"/>
      <w:lvlText w:val=""/>
      <w:lvlJc w:val="left"/>
      <w:pPr>
        <w:ind w:left="720" w:hanging="360"/>
      </w:pPr>
      <w:rPr>
        <w:rFonts w:ascii="Symbol" w:hAnsi="Symbol" w:hint="default"/>
      </w:rPr>
    </w:lvl>
    <w:lvl w:ilvl="1" w:tplc="40090001">
      <w:start w:val="1"/>
      <w:numFmt w:val="bullet"/>
      <w:lvlText w:val=""/>
      <w:lvlJc w:val="left"/>
      <w:pPr>
        <w:ind w:left="1440" w:hanging="360"/>
      </w:pPr>
      <w:rPr>
        <w:rFonts w:ascii="Symbol" w:hAnsi="Symbo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2A7FC76"/>
    <w:multiLevelType w:val="hybridMultilevel"/>
    <w:tmpl w:val="1B6C5FBE"/>
    <w:lvl w:ilvl="0" w:tplc="5EF8BDBC">
      <w:start w:val="4"/>
      <w:numFmt w:val="decimal"/>
      <w:lvlText w:val="%1."/>
      <w:lvlJc w:val="left"/>
      <w:pPr>
        <w:ind w:left="720" w:hanging="360"/>
      </w:pPr>
    </w:lvl>
    <w:lvl w:ilvl="1" w:tplc="8068B5BE">
      <w:start w:val="1"/>
      <w:numFmt w:val="lowerLetter"/>
      <w:lvlText w:val="%2."/>
      <w:lvlJc w:val="left"/>
      <w:pPr>
        <w:ind w:left="1440" w:hanging="360"/>
      </w:pPr>
    </w:lvl>
    <w:lvl w:ilvl="2" w:tplc="C664A1BE">
      <w:start w:val="1"/>
      <w:numFmt w:val="lowerRoman"/>
      <w:lvlText w:val="%3."/>
      <w:lvlJc w:val="right"/>
      <w:pPr>
        <w:ind w:left="2160" w:hanging="180"/>
      </w:pPr>
    </w:lvl>
    <w:lvl w:ilvl="3" w:tplc="83781360">
      <w:start w:val="1"/>
      <w:numFmt w:val="decimal"/>
      <w:lvlText w:val="%4."/>
      <w:lvlJc w:val="left"/>
      <w:pPr>
        <w:ind w:left="2880" w:hanging="360"/>
      </w:pPr>
    </w:lvl>
    <w:lvl w:ilvl="4" w:tplc="C756AEA0">
      <w:start w:val="1"/>
      <w:numFmt w:val="lowerLetter"/>
      <w:lvlText w:val="%5."/>
      <w:lvlJc w:val="left"/>
      <w:pPr>
        <w:ind w:left="3600" w:hanging="360"/>
      </w:pPr>
    </w:lvl>
    <w:lvl w:ilvl="5" w:tplc="B8BCACF4">
      <w:start w:val="1"/>
      <w:numFmt w:val="lowerRoman"/>
      <w:lvlText w:val="%6."/>
      <w:lvlJc w:val="right"/>
      <w:pPr>
        <w:ind w:left="4320" w:hanging="180"/>
      </w:pPr>
    </w:lvl>
    <w:lvl w:ilvl="6" w:tplc="89A62800">
      <w:start w:val="1"/>
      <w:numFmt w:val="decimal"/>
      <w:lvlText w:val="%7."/>
      <w:lvlJc w:val="left"/>
      <w:pPr>
        <w:ind w:left="5040" w:hanging="360"/>
      </w:pPr>
    </w:lvl>
    <w:lvl w:ilvl="7" w:tplc="EE864FE2">
      <w:start w:val="1"/>
      <w:numFmt w:val="lowerLetter"/>
      <w:lvlText w:val="%8."/>
      <w:lvlJc w:val="left"/>
      <w:pPr>
        <w:ind w:left="5760" w:hanging="360"/>
      </w:pPr>
    </w:lvl>
    <w:lvl w:ilvl="8" w:tplc="2AE88E02">
      <w:start w:val="1"/>
      <w:numFmt w:val="lowerRoman"/>
      <w:lvlText w:val="%9."/>
      <w:lvlJc w:val="right"/>
      <w:pPr>
        <w:ind w:left="6480" w:hanging="180"/>
      </w:pPr>
    </w:lvl>
  </w:abstractNum>
  <w:abstractNum w:abstractNumId="14" w15:restartNumberingAfterBreak="0">
    <w:nsid w:val="331437C0"/>
    <w:multiLevelType w:val="hybridMultilevel"/>
    <w:tmpl w:val="DD3A901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470959A"/>
    <w:multiLevelType w:val="hybridMultilevel"/>
    <w:tmpl w:val="BEA8BAAC"/>
    <w:lvl w:ilvl="0" w:tplc="D4705584">
      <w:start w:val="1"/>
      <w:numFmt w:val="bullet"/>
      <w:lvlText w:val=""/>
      <w:lvlJc w:val="left"/>
      <w:pPr>
        <w:ind w:left="720" w:hanging="360"/>
      </w:pPr>
      <w:rPr>
        <w:rFonts w:ascii="Symbol" w:hAnsi="Symbol" w:hint="default"/>
      </w:rPr>
    </w:lvl>
    <w:lvl w:ilvl="1" w:tplc="05A00F18">
      <w:start w:val="1"/>
      <w:numFmt w:val="bullet"/>
      <w:lvlText w:val="o"/>
      <w:lvlJc w:val="left"/>
      <w:pPr>
        <w:ind w:left="1440" w:hanging="360"/>
      </w:pPr>
      <w:rPr>
        <w:rFonts w:ascii="Courier New" w:hAnsi="Courier New" w:hint="default"/>
      </w:rPr>
    </w:lvl>
    <w:lvl w:ilvl="2" w:tplc="768651DE">
      <w:start w:val="1"/>
      <w:numFmt w:val="bullet"/>
      <w:lvlText w:val=""/>
      <w:lvlJc w:val="left"/>
      <w:pPr>
        <w:ind w:left="2160" w:hanging="360"/>
      </w:pPr>
      <w:rPr>
        <w:rFonts w:ascii="Wingdings" w:hAnsi="Wingdings" w:hint="default"/>
      </w:rPr>
    </w:lvl>
    <w:lvl w:ilvl="3" w:tplc="14F08C54">
      <w:start w:val="1"/>
      <w:numFmt w:val="bullet"/>
      <w:lvlText w:val=""/>
      <w:lvlJc w:val="left"/>
      <w:pPr>
        <w:ind w:left="2880" w:hanging="360"/>
      </w:pPr>
      <w:rPr>
        <w:rFonts w:ascii="Symbol" w:hAnsi="Symbol" w:hint="default"/>
      </w:rPr>
    </w:lvl>
    <w:lvl w:ilvl="4" w:tplc="D67605AE">
      <w:start w:val="1"/>
      <w:numFmt w:val="bullet"/>
      <w:lvlText w:val="o"/>
      <w:lvlJc w:val="left"/>
      <w:pPr>
        <w:ind w:left="3600" w:hanging="360"/>
      </w:pPr>
      <w:rPr>
        <w:rFonts w:ascii="Courier New" w:hAnsi="Courier New" w:hint="default"/>
      </w:rPr>
    </w:lvl>
    <w:lvl w:ilvl="5" w:tplc="53FC4642">
      <w:start w:val="1"/>
      <w:numFmt w:val="bullet"/>
      <w:lvlText w:val=""/>
      <w:lvlJc w:val="left"/>
      <w:pPr>
        <w:ind w:left="4320" w:hanging="360"/>
      </w:pPr>
      <w:rPr>
        <w:rFonts w:ascii="Wingdings" w:hAnsi="Wingdings" w:hint="default"/>
      </w:rPr>
    </w:lvl>
    <w:lvl w:ilvl="6" w:tplc="AC142A4C">
      <w:start w:val="1"/>
      <w:numFmt w:val="bullet"/>
      <w:lvlText w:val=""/>
      <w:lvlJc w:val="left"/>
      <w:pPr>
        <w:ind w:left="5040" w:hanging="360"/>
      </w:pPr>
      <w:rPr>
        <w:rFonts w:ascii="Symbol" w:hAnsi="Symbol" w:hint="default"/>
      </w:rPr>
    </w:lvl>
    <w:lvl w:ilvl="7" w:tplc="1F4C2298">
      <w:start w:val="1"/>
      <w:numFmt w:val="bullet"/>
      <w:lvlText w:val="o"/>
      <w:lvlJc w:val="left"/>
      <w:pPr>
        <w:ind w:left="5760" w:hanging="360"/>
      </w:pPr>
      <w:rPr>
        <w:rFonts w:ascii="Courier New" w:hAnsi="Courier New" w:hint="default"/>
      </w:rPr>
    </w:lvl>
    <w:lvl w:ilvl="8" w:tplc="83D61EC6">
      <w:start w:val="1"/>
      <w:numFmt w:val="bullet"/>
      <w:lvlText w:val=""/>
      <w:lvlJc w:val="left"/>
      <w:pPr>
        <w:ind w:left="6480" w:hanging="360"/>
      </w:pPr>
      <w:rPr>
        <w:rFonts w:ascii="Wingdings" w:hAnsi="Wingdings" w:hint="default"/>
      </w:rPr>
    </w:lvl>
  </w:abstractNum>
  <w:abstractNum w:abstractNumId="16" w15:restartNumberingAfterBreak="0">
    <w:nsid w:val="3838B4A6"/>
    <w:multiLevelType w:val="hybridMultilevel"/>
    <w:tmpl w:val="971A6BF8"/>
    <w:lvl w:ilvl="0" w:tplc="72F0ECC2">
      <w:start w:val="1"/>
      <w:numFmt w:val="decimal"/>
      <w:lvlText w:val="%1."/>
      <w:lvlJc w:val="left"/>
      <w:pPr>
        <w:ind w:left="720" w:hanging="360"/>
      </w:pPr>
    </w:lvl>
    <w:lvl w:ilvl="1" w:tplc="981CEF4E">
      <w:start w:val="1"/>
      <w:numFmt w:val="lowerLetter"/>
      <w:lvlText w:val="%2."/>
      <w:lvlJc w:val="left"/>
      <w:pPr>
        <w:ind w:left="1440" w:hanging="360"/>
      </w:pPr>
    </w:lvl>
    <w:lvl w:ilvl="2" w:tplc="240C5386">
      <w:start w:val="1"/>
      <w:numFmt w:val="lowerRoman"/>
      <w:lvlText w:val="%3."/>
      <w:lvlJc w:val="right"/>
      <w:pPr>
        <w:ind w:left="2160" w:hanging="180"/>
      </w:pPr>
    </w:lvl>
    <w:lvl w:ilvl="3" w:tplc="A61AE0F2">
      <w:start w:val="1"/>
      <w:numFmt w:val="decimal"/>
      <w:lvlText w:val="%4."/>
      <w:lvlJc w:val="left"/>
      <w:pPr>
        <w:ind w:left="2880" w:hanging="360"/>
      </w:pPr>
    </w:lvl>
    <w:lvl w:ilvl="4" w:tplc="2B6E828A">
      <w:start w:val="1"/>
      <w:numFmt w:val="lowerLetter"/>
      <w:lvlText w:val="%5."/>
      <w:lvlJc w:val="left"/>
      <w:pPr>
        <w:ind w:left="3600" w:hanging="360"/>
      </w:pPr>
    </w:lvl>
    <w:lvl w:ilvl="5" w:tplc="59E4DF8A">
      <w:start w:val="1"/>
      <w:numFmt w:val="lowerRoman"/>
      <w:lvlText w:val="%6."/>
      <w:lvlJc w:val="right"/>
      <w:pPr>
        <w:ind w:left="4320" w:hanging="180"/>
      </w:pPr>
    </w:lvl>
    <w:lvl w:ilvl="6" w:tplc="6218B18A">
      <w:start w:val="1"/>
      <w:numFmt w:val="decimal"/>
      <w:lvlText w:val="%7."/>
      <w:lvlJc w:val="left"/>
      <w:pPr>
        <w:ind w:left="5040" w:hanging="360"/>
      </w:pPr>
    </w:lvl>
    <w:lvl w:ilvl="7" w:tplc="98C42ADA">
      <w:start w:val="1"/>
      <w:numFmt w:val="lowerLetter"/>
      <w:lvlText w:val="%8."/>
      <w:lvlJc w:val="left"/>
      <w:pPr>
        <w:ind w:left="5760" w:hanging="360"/>
      </w:pPr>
    </w:lvl>
    <w:lvl w:ilvl="8" w:tplc="5C56AC9A">
      <w:start w:val="1"/>
      <w:numFmt w:val="lowerRoman"/>
      <w:lvlText w:val="%9."/>
      <w:lvlJc w:val="right"/>
      <w:pPr>
        <w:ind w:left="6480" w:hanging="180"/>
      </w:pPr>
    </w:lvl>
  </w:abstractNum>
  <w:abstractNum w:abstractNumId="17" w15:restartNumberingAfterBreak="0">
    <w:nsid w:val="392E91D1"/>
    <w:multiLevelType w:val="hybridMultilevel"/>
    <w:tmpl w:val="B6A0A46E"/>
    <w:lvl w:ilvl="0" w:tplc="BE24F9BA">
      <w:start w:val="1"/>
      <w:numFmt w:val="bullet"/>
      <w:lvlText w:val=""/>
      <w:lvlJc w:val="left"/>
      <w:pPr>
        <w:ind w:left="720" w:hanging="360"/>
      </w:pPr>
      <w:rPr>
        <w:rFonts w:ascii="Symbol" w:hAnsi="Symbol" w:hint="default"/>
      </w:rPr>
    </w:lvl>
    <w:lvl w:ilvl="1" w:tplc="DCFAE236">
      <w:start w:val="1"/>
      <w:numFmt w:val="bullet"/>
      <w:lvlText w:val="o"/>
      <w:lvlJc w:val="left"/>
      <w:pPr>
        <w:ind w:left="1440" w:hanging="360"/>
      </w:pPr>
      <w:rPr>
        <w:rFonts w:ascii="Courier New" w:hAnsi="Courier New" w:hint="default"/>
      </w:rPr>
    </w:lvl>
    <w:lvl w:ilvl="2" w:tplc="CF929428">
      <w:start w:val="1"/>
      <w:numFmt w:val="bullet"/>
      <w:lvlText w:val=""/>
      <w:lvlJc w:val="left"/>
      <w:pPr>
        <w:ind w:left="2160" w:hanging="360"/>
      </w:pPr>
      <w:rPr>
        <w:rFonts w:ascii="Wingdings" w:hAnsi="Wingdings" w:hint="default"/>
      </w:rPr>
    </w:lvl>
    <w:lvl w:ilvl="3" w:tplc="489870D6">
      <w:start w:val="1"/>
      <w:numFmt w:val="bullet"/>
      <w:lvlText w:val=""/>
      <w:lvlJc w:val="left"/>
      <w:pPr>
        <w:ind w:left="2880" w:hanging="360"/>
      </w:pPr>
      <w:rPr>
        <w:rFonts w:ascii="Symbol" w:hAnsi="Symbol" w:hint="default"/>
      </w:rPr>
    </w:lvl>
    <w:lvl w:ilvl="4" w:tplc="55F88FCE">
      <w:start w:val="1"/>
      <w:numFmt w:val="bullet"/>
      <w:lvlText w:val="o"/>
      <w:lvlJc w:val="left"/>
      <w:pPr>
        <w:ind w:left="3600" w:hanging="360"/>
      </w:pPr>
      <w:rPr>
        <w:rFonts w:ascii="Courier New" w:hAnsi="Courier New" w:hint="default"/>
      </w:rPr>
    </w:lvl>
    <w:lvl w:ilvl="5" w:tplc="3BF0FA80">
      <w:start w:val="1"/>
      <w:numFmt w:val="bullet"/>
      <w:lvlText w:val=""/>
      <w:lvlJc w:val="left"/>
      <w:pPr>
        <w:ind w:left="4320" w:hanging="360"/>
      </w:pPr>
      <w:rPr>
        <w:rFonts w:ascii="Wingdings" w:hAnsi="Wingdings" w:hint="default"/>
      </w:rPr>
    </w:lvl>
    <w:lvl w:ilvl="6" w:tplc="B4B06D06">
      <w:start w:val="1"/>
      <w:numFmt w:val="bullet"/>
      <w:lvlText w:val=""/>
      <w:lvlJc w:val="left"/>
      <w:pPr>
        <w:ind w:left="5040" w:hanging="360"/>
      </w:pPr>
      <w:rPr>
        <w:rFonts w:ascii="Symbol" w:hAnsi="Symbol" w:hint="default"/>
      </w:rPr>
    </w:lvl>
    <w:lvl w:ilvl="7" w:tplc="1A0A3306">
      <w:start w:val="1"/>
      <w:numFmt w:val="bullet"/>
      <w:lvlText w:val="o"/>
      <w:lvlJc w:val="left"/>
      <w:pPr>
        <w:ind w:left="5760" w:hanging="360"/>
      </w:pPr>
      <w:rPr>
        <w:rFonts w:ascii="Courier New" w:hAnsi="Courier New" w:hint="default"/>
      </w:rPr>
    </w:lvl>
    <w:lvl w:ilvl="8" w:tplc="E25A5D14">
      <w:start w:val="1"/>
      <w:numFmt w:val="bullet"/>
      <w:lvlText w:val=""/>
      <w:lvlJc w:val="left"/>
      <w:pPr>
        <w:ind w:left="6480" w:hanging="360"/>
      </w:pPr>
      <w:rPr>
        <w:rFonts w:ascii="Wingdings" w:hAnsi="Wingdings" w:hint="default"/>
      </w:rPr>
    </w:lvl>
  </w:abstractNum>
  <w:abstractNum w:abstractNumId="18" w15:restartNumberingAfterBreak="0">
    <w:nsid w:val="3DB34771"/>
    <w:multiLevelType w:val="hybridMultilevel"/>
    <w:tmpl w:val="D88ABDD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0297343"/>
    <w:multiLevelType w:val="hybridMultilevel"/>
    <w:tmpl w:val="B61845CA"/>
    <w:lvl w:ilvl="0" w:tplc="C1847DA4">
      <w:start w:val="1"/>
      <w:numFmt w:val="bullet"/>
      <w:lvlText w:val=""/>
      <w:lvlJc w:val="left"/>
      <w:pPr>
        <w:ind w:left="720" w:hanging="360"/>
      </w:pPr>
      <w:rPr>
        <w:rFonts w:ascii="Symbol" w:hAnsi="Symbol" w:hint="default"/>
      </w:rPr>
    </w:lvl>
    <w:lvl w:ilvl="1" w:tplc="A2FAD3C4">
      <w:start w:val="1"/>
      <w:numFmt w:val="bullet"/>
      <w:lvlText w:val="o"/>
      <w:lvlJc w:val="left"/>
      <w:pPr>
        <w:ind w:left="1440" w:hanging="360"/>
      </w:pPr>
      <w:rPr>
        <w:rFonts w:ascii="Courier New" w:hAnsi="Courier New" w:hint="default"/>
      </w:rPr>
    </w:lvl>
    <w:lvl w:ilvl="2" w:tplc="A0382B9E">
      <w:start w:val="1"/>
      <w:numFmt w:val="bullet"/>
      <w:lvlText w:val=""/>
      <w:lvlJc w:val="left"/>
      <w:pPr>
        <w:ind w:left="2160" w:hanging="360"/>
      </w:pPr>
      <w:rPr>
        <w:rFonts w:ascii="Wingdings" w:hAnsi="Wingdings" w:hint="default"/>
      </w:rPr>
    </w:lvl>
    <w:lvl w:ilvl="3" w:tplc="CA72F866">
      <w:start w:val="1"/>
      <w:numFmt w:val="bullet"/>
      <w:lvlText w:val=""/>
      <w:lvlJc w:val="left"/>
      <w:pPr>
        <w:ind w:left="2880" w:hanging="360"/>
      </w:pPr>
      <w:rPr>
        <w:rFonts w:ascii="Symbol" w:hAnsi="Symbol" w:hint="default"/>
      </w:rPr>
    </w:lvl>
    <w:lvl w:ilvl="4" w:tplc="12DA9E52">
      <w:start w:val="1"/>
      <w:numFmt w:val="bullet"/>
      <w:lvlText w:val="o"/>
      <w:lvlJc w:val="left"/>
      <w:pPr>
        <w:ind w:left="3600" w:hanging="360"/>
      </w:pPr>
      <w:rPr>
        <w:rFonts w:ascii="Courier New" w:hAnsi="Courier New" w:hint="default"/>
      </w:rPr>
    </w:lvl>
    <w:lvl w:ilvl="5" w:tplc="2B74632A">
      <w:start w:val="1"/>
      <w:numFmt w:val="bullet"/>
      <w:lvlText w:val=""/>
      <w:lvlJc w:val="left"/>
      <w:pPr>
        <w:ind w:left="4320" w:hanging="360"/>
      </w:pPr>
      <w:rPr>
        <w:rFonts w:ascii="Wingdings" w:hAnsi="Wingdings" w:hint="default"/>
      </w:rPr>
    </w:lvl>
    <w:lvl w:ilvl="6" w:tplc="C41CF1A8">
      <w:start w:val="1"/>
      <w:numFmt w:val="bullet"/>
      <w:lvlText w:val=""/>
      <w:lvlJc w:val="left"/>
      <w:pPr>
        <w:ind w:left="5040" w:hanging="360"/>
      </w:pPr>
      <w:rPr>
        <w:rFonts w:ascii="Symbol" w:hAnsi="Symbol" w:hint="default"/>
      </w:rPr>
    </w:lvl>
    <w:lvl w:ilvl="7" w:tplc="7B7CA646">
      <w:start w:val="1"/>
      <w:numFmt w:val="bullet"/>
      <w:lvlText w:val="o"/>
      <w:lvlJc w:val="left"/>
      <w:pPr>
        <w:ind w:left="5760" w:hanging="360"/>
      </w:pPr>
      <w:rPr>
        <w:rFonts w:ascii="Courier New" w:hAnsi="Courier New" w:hint="default"/>
      </w:rPr>
    </w:lvl>
    <w:lvl w:ilvl="8" w:tplc="5B149EA6">
      <w:start w:val="1"/>
      <w:numFmt w:val="bullet"/>
      <w:lvlText w:val=""/>
      <w:lvlJc w:val="left"/>
      <w:pPr>
        <w:ind w:left="6480" w:hanging="360"/>
      </w:pPr>
      <w:rPr>
        <w:rFonts w:ascii="Wingdings" w:hAnsi="Wingdings" w:hint="default"/>
      </w:rPr>
    </w:lvl>
  </w:abstractNum>
  <w:abstractNum w:abstractNumId="20" w15:restartNumberingAfterBreak="0">
    <w:nsid w:val="4CE36E4E"/>
    <w:multiLevelType w:val="hybridMultilevel"/>
    <w:tmpl w:val="7BE0AB9C"/>
    <w:lvl w:ilvl="0" w:tplc="17EC17F0">
      <w:start w:val="1"/>
      <w:numFmt w:val="bullet"/>
      <w:lvlText w:val=""/>
      <w:lvlJc w:val="left"/>
      <w:pPr>
        <w:ind w:left="720" w:hanging="360"/>
      </w:pPr>
      <w:rPr>
        <w:rFonts w:ascii="Symbol" w:hAnsi="Symbol" w:hint="default"/>
      </w:rPr>
    </w:lvl>
    <w:lvl w:ilvl="1" w:tplc="C284D562">
      <w:start w:val="1"/>
      <w:numFmt w:val="bullet"/>
      <w:lvlText w:val="o"/>
      <w:lvlJc w:val="left"/>
      <w:pPr>
        <w:ind w:left="1440" w:hanging="360"/>
      </w:pPr>
      <w:rPr>
        <w:rFonts w:ascii="Courier New" w:hAnsi="Courier New" w:hint="default"/>
      </w:rPr>
    </w:lvl>
    <w:lvl w:ilvl="2" w:tplc="A07AE976">
      <w:start w:val="1"/>
      <w:numFmt w:val="bullet"/>
      <w:lvlText w:val=""/>
      <w:lvlJc w:val="left"/>
      <w:pPr>
        <w:ind w:left="2160" w:hanging="360"/>
      </w:pPr>
      <w:rPr>
        <w:rFonts w:ascii="Wingdings" w:hAnsi="Wingdings" w:hint="default"/>
      </w:rPr>
    </w:lvl>
    <w:lvl w:ilvl="3" w:tplc="1130A88E">
      <w:start w:val="1"/>
      <w:numFmt w:val="bullet"/>
      <w:lvlText w:val=""/>
      <w:lvlJc w:val="left"/>
      <w:pPr>
        <w:ind w:left="2880" w:hanging="360"/>
      </w:pPr>
      <w:rPr>
        <w:rFonts w:ascii="Symbol" w:hAnsi="Symbol" w:hint="default"/>
      </w:rPr>
    </w:lvl>
    <w:lvl w:ilvl="4" w:tplc="033094C2">
      <w:start w:val="1"/>
      <w:numFmt w:val="bullet"/>
      <w:lvlText w:val="o"/>
      <w:lvlJc w:val="left"/>
      <w:pPr>
        <w:ind w:left="3600" w:hanging="360"/>
      </w:pPr>
      <w:rPr>
        <w:rFonts w:ascii="Courier New" w:hAnsi="Courier New" w:hint="default"/>
      </w:rPr>
    </w:lvl>
    <w:lvl w:ilvl="5" w:tplc="4DBA41D0">
      <w:start w:val="1"/>
      <w:numFmt w:val="bullet"/>
      <w:lvlText w:val=""/>
      <w:lvlJc w:val="left"/>
      <w:pPr>
        <w:ind w:left="4320" w:hanging="360"/>
      </w:pPr>
      <w:rPr>
        <w:rFonts w:ascii="Wingdings" w:hAnsi="Wingdings" w:hint="default"/>
      </w:rPr>
    </w:lvl>
    <w:lvl w:ilvl="6" w:tplc="163C5F54">
      <w:start w:val="1"/>
      <w:numFmt w:val="bullet"/>
      <w:lvlText w:val=""/>
      <w:lvlJc w:val="left"/>
      <w:pPr>
        <w:ind w:left="5040" w:hanging="360"/>
      </w:pPr>
      <w:rPr>
        <w:rFonts w:ascii="Symbol" w:hAnsi="Symbol" w:hint="default"/>
      </w:rPr>
    </w:lvl>
    <w:lvl w:ilvl="7" w:tplc="B080BFAA">
      <w:start w:val="1"/>
      <w:numFmt w:val="bullet"/>
      <w:lvlText w:val="o"/>
      <w:lvlJc w:val="left"/>
      <w:pPr>
        <w:ind w:left="5760" w:hanging="360"/>
      </w:pPr>
      <w:rPr>
        <w:rFonts w:ascii="Courier New" w:hAnsi="Courier New" w:hint="default"/>
      </w:rPr>
    </w:lvl>
    <w:lvl w:ilvl="8" w:tplc="56DED8D2">
      <w:start w:val="1"/>
      <w:numFmt w:val="bullet"/>
      <w:lvlText w:val=""/>
      <w:lvlJc w:val="left"/>
      <w:pPr>
        <w:ind w:left="6480" w:hanging="360"/>
      </w:pPr>
      <w:rPr>
        <w:rFonts w:ascii="Wingdings" w:hAnsi="Wingdings" w:hint="default"/>
      </w:rPr>
    </w:lvl>
  </w:abstractNum>
  <w:abstractNum w:abstractNumId="21" w15:restartNumberingAfterBreak="0">
    <w:nsid w:val="4D09F39D"/>
    <w:multiLevelType w:val="hybridMultilevel"/>
    <w:tmpl w:val="6FE06A9A"/>
    <w:lvl w:ilvl="0" w:tplc="F536B87E">
      <w:start w:val="1"/>
      <w:numFmt w:val="bullet"/>
      <w:lvlText w:val=""/>
      <w:lvlJc w:val="left"/>
      <w:pPr>
        <w:ind w:left="720" w:hanging="360"/>
      </w:pPr>
      <w:rPr>
        <w:rFonts w:ascii="Symbol" w:hAnsi="Symbol" w:hint="default"/>
      </w:rPr>
    </w:lvl>
    <w:lvl w:ilvl="1" w:tplc="436CF492">
      <w:start w:val="1"/>
      <w:numFmt w:val="bullet"/>
      <w:lvlText w:val="o"/>
      <w:lvlJc w:val="left"/>
      <w:pPr>
        <w:ind w:left="1440" w:hanging="360"/>
      </w:pPr>
      <w:rPr>
        <w:rFonts w:ascii="Courier New" w:hAnsi="Courier New" w:hint="default"/>
      </w:rPr>
    </w:lvl>
    <w:lvl w:ilvl="2" w:tplc="1F2A12E0">
      <w:start w:val="1"/>
      <w:numFmt w:val="bullet"/>
      <w:lvlText w:val=""/>
      <w:lvlJc w:val="left"/>
      <w:pPr>
        <w:ind w:left="2160" w:hanging="360"/>
      </w:pPr>
      <w:rPr>
        <w:rFonts w:ascii="Wingdings" w:hAnsi="Wingdings" w:hint="default"/>
      </w:rPr>
    </w:lvl>
    <w:lvl w:ilvl="3" w:tplc="72603286">
      <w:start w:val="1"/>
      <w:numFmt w:val="bullet"/>
      <w:lvlText w:val=""/>
      <w:lvlJc w:val="left"/>
      <w:pPr>
        <w:ind w:left="2880" w:hanging="360"/>
      </w:pPr>
      <w:rPr>
        <w:rFonts w:ascii="Symbol" w:hAnsi="Symbol" w:hint="default"/>
      </w:rPr>
    </w:lvl>
    <w:lvl w:ilvl="4" w:tplc="C1A444C2">
      <w:start w:val="1"/>
      <w:numFmt w:val="bullet"/>
      <w:lvlText w:val="o"/>
      <w:lvlJc w:val="left"/>
      <w:pPr>
        <w:ind w:left="3600" w:hanging="360"/>
      </w:pPr>
      <w:rPr>
        <w:rFonts w:ascii="Courier New" w:hAnsi="Courier New" w:hint="default"/>
      </w:rPr>
    </w:lvl>
    <w:lvl w:ilvl="5" w:tplc="2534AC8C">
      <w:start w:val="1"/>
      <w:numFmt w:val="bullet"/>
      <w:lvlText w:val=""/>
      <w:lvlJc w:val="left"/>
      <w:pPr>
        <w:ind w:left="4320" w:hanging="360"/>
      </w:pPr>
      <w:rPr>
        <w:rFonts w:ascii="Wingdings" w:hAnsi="Wingdings" w:hint="default"/>
      </w:rPr>
    </w:lvl>
    <w:lvl w:ilvl="6" w:tplc="0C78AACC">
      <w:start w:val="1"/>
      <w:numFmt w:val="bullet"/>
      <w:lvlText w:val=""/>
      <w:lvlJc w:val="left"/>
      <w:pPr>
        <w:ind w:left="5040" w:hanging="360"/>
      </w:pPr>
      <w:rPr>
        <w:rFonts w:ascii="Symbol" w:hAnsi="Symbol" w:hint="default"/>
      </w:rPr>
    </w:lvl>
    <w:lvl w:ilvl="7" w:tplc="0062156A">
      <w:start w:val="1"/>
      <w:numFmt w:val="bullet"/>
      <w:lvlText w:val="o"/>
      <w:lvlJc w:val="left"/>
      <w:pPr>
        <w:ind w:left="5760" w:hanging="360"/>
      </w:pPr>
      <w:rPr>
        <w:rFonts w:ascii="Courier New" w:hAnsi="Courier New" w:hint="default"/>
      </w:rPr>
    </w:lvl>
    <w:lvl w:ilvl="8" w:tplc="F3DCE058">
      <w:start w:val="1"/>
      <w:numFmt w:val="bullet"/>
      <w:lvlText w:val=""/>
      <w:lvlJc w:val="left"/>
      <w:pPr>
        <w:ind w:left="6480" w:hanging="360"/>
      </w:pPr>
      <w:rPr>
        <w:rFonts w:ascii="Wingdings" w:hAnsi="Wingdings" w:hint="default"/>
      </w:rPr>
    </w:lvl>
  </w:abstractNum>
  <w:abstractNum w:abstractNumId="22" w15:restartNumberingAfterBreak="0">
    <w:nsid w:val="4E35F904"/>
    <w:multiLevelType w:val="hybridMultilevel"/>
    <w:tmpl w:val="B526FEE8"/>
    <w:lvl w:ilvl="0" w:tplc="A0FC746C">
      <w:start w:val="1"/>
      <w:numFmt w:val="decimal"/>
      <w:lvlText w:val="%1."/>
      <w:lvlJc w:val="left"/>
      <w:pPr>
        <w:ind w:left="720" w:hanging="360"/>
      </w:pPr>
    </w:lvl>
    <w:lvl w:ilvl="1" w:tplc="C3F88066">
      <w:start w:val="1"/>
      <w:numFmt w:val="lowerLetter"/>
      <w:lvlText w:val="%2."/>
      <w:lvlJc w:val="left"/>
      <w:pPr>
        <w:ind w:left="1440" w:hanging="360"/>
      </w:pPr>
    </w:lvl>
    <w:lvl w:ilvl="2" w:tplc="4B94F4C2">
      <w:start w:val="1"/>
      <w:numFmt w:val="lowerRoman"/>
      <w:lvlText w:val="%3."/>
      <w:lvlJc w:val="right"/>
      <w:pPr>
        <w:ind w:left="2160" w:hanging="180"/>
      </w:pPr>
    </w:lvl>
    <w:lvl w:ilvl="3" w:tplc="5C8A86CC">
      <w:start w:val="1"/>
      <w:numFmt w:val="decimal"/>
      <w:lvlText w:val="%4."/>
      <w:lvlJc w:val="left"/>
      <w:pPr>
        <w:ind w:left="2880" w:hanging="360"/>
      </w:pPr>
    </w:lvl>
    <w:lvl w:ilvl="4" w:tplc="D7CC3502">
      <w:start w:val="1"/>
      <w:numFmt w:val="lowerLetter"/>
      <w:lvlText w:val="%5."/>
      <w:lvlJc w:val="left"/>
      <w:pPr>
        <w:ind w:left="3600" w:hanging="360"/>
      </w:pPr>
    </w:lvl>
    <w:lvl w:ilvl="5" w:tplc="0FCC6048">
      <w:start w:val="1"/>
      <w:numFmt w:val="lowerRoman"/>
      <w:lvlText w:val="%6."/>
      <w:lvlJc w:val="right"/>
      <w:pPr>
        <w:ind w:left="4320" w:hanging="180"/>
      </w:pPr>
    </w:lvl>
    <w:lvl w:ilvl="6" w:tplc="02D05DD8">
      <w:start w:val="1"/>
      <w:numFmt w:val="decimal"/>
      <w:lvlText w:val="%7."/>
      <w:lvlJc w:val="left"/>
      <w:pPr>
        <w:ind w:left="5040" w:hanging="360"/>
      </w:pPr>
    </w:lvl>
    <w:lvl w:ilvl="7" w:tplc="ADDEC8C0">
      <w:start w:val="1"/>
      <w:numFmt w:val="lowerLetter"/>
      <w:lvlText w:val="%8."/>
      <w:lvlJc w:val="left"/>
      <w:pPr>
        <w:ind w:left="5760" w:hanging="360"/>
      </w:pPr>
    </w:lvl>
    <w:lvl w:ilvl="8" w:tplc="F0404FE0">
      <w:start w:val="1"/>
      <w:numFmt w:val="lowerRoman"/>
      <w:lvlText w:val="%9."/>
      <w:lvlJc w:val="right"/>
      <w:pPr>
        <w:ind w:left="6480" w:hanging="180"/>
      </w:pPr>
    </w:lvl>
  </w:abstractNum>
  <w:abstractNum w:abstractNumId="23" w15:restartNumberingAfterBreak="0">
    <w:nsid w:val="4E655D3B"/>
    <w:multiLevelType w:val="hybridMultilevel"/>
    <w:tmpl w:val="40A0BF14"/>
    <w:lvl w:ilvl="0" w:tplc="F094E316">
      <w:start w:val="2"/>
      <w:numFmt w:val="decimal"/>
      <w:lvlText w:val="%1."/>
      <w:lvlJc w:val="left"/>
      <w:pPr>
        <w:ind w:left="720" w:hanging="360"/>
      </w:pPr>
    </w:lvl>
    <w:lvl w:ilvl="1" w:tplc="75302A14">
      <w:start w:val="1"/>
      <w:numFmt w:val="lowerLetter"/>
      <w:lvlText w:val="%2."/>
      <w:lvlJc w:val="left"/>
      <w:pPr>
        <w:ind w:left="1440" w:hanging="360"/>
      </w:pPr>
    </w:lvl>
    <w:lvl w:ilvl="2" w:tplc="BEA44D16">
      <w:start w:val="1"/>
      <w:numFmt w:val="lowerRoman"/>
      <w:lvlText w:val="%3."/>
      <w:lvlJc w:val="right"/>
      <w:pPr>
        <w:ind w:left="2160" w:hanging="180"/>
      </w:pPr>
    </w:lvl>
    <w:lvl w:ilvl="3" w:tplc="D430EC8C">
      <w:start w:val="1"/>
      <w:numFmt w:val="decimal"/>
      <w:lvlText w:val="%4."/>
      <w:lvlJc w:val="left"/>
      <w:pPr>
        <w:ind w:left="2880" w:hanging="360"/>
      </w:pPr>
    </w:lvl>
    <w:lvl w:ilvl="4" w:tplc="79BED104">
      <w:start w:val="1"/>
      <w:numFmt w:val="lowerLetter"/>
      <w:lvlText w:val="%5."/>
      <w:lvlJc w:val="left"/>
      <w:pPr>
        <w:ind w:left="3600" w:hanging="360"/>
      </w:pPr>
    </w:lvl>
    <w:lvl w:ilvl="5" w:tplc="1FBE3074">
      <w:start w:val="1"/>
      <w:numFmt w:val="lowerRoman"/>
      <w:lvlText w:val="%6."/>
      <w:lvlJc w:val="right"/>
      <w:pPr>
        <w:ind w:left="4320" w:hanging="180"/>
      </w:pPr>
    </w:lvl>
    <w:lvl w:ilvl="6" w:tplc="363605A8">
      <w:start w:val="1"/>
      <w:numFmt w:val="decimal"/>
      <w:lvlText w:val="%7."/>
      <w:lvlJc w:val="left"/>
      <w:pPr>
        <w:ind w:left="5040" w:hanging="360"/>
      </w:pPr>
    </w:lvl>
    <w:lvl w:ilvl="7" w:tplc="65D62DCC">
      <w:start w:val="1"/>
      <w:numFmt w:val="lowerLetter"/>
      <w:lvlText w:val="%8."/>
      <w:lvlJc w:val="left"/>
      <w:pPr>
        <w:ind w:left="5760" w:hanging="360"/>
      </w:pPr>
    </w:lvl>
    <w:lvl w:ilvl="8" w:tplc="5BDA3088">
      <w:start w:val="1"/>
      <w:numFmt w:val="lowerRoman"/>
      <w:lvlText w:val="%9."/>
      <w:lvlJc w:val="right"/>
      <w:pPr>
        <w:ind w:left="6480" w:hanging="180"/>
      </w:pPr>
    </w:lvl>
  </w:abstractNum>
  <w:abstractNum w:abstractNumId="24" w15:restartNumberingAfterBreak="0">
    <w:nsid w:val="4FE0CB63"/>
    <w:multiLevelType w:val="hybridMultilevel"/>
    <w:tmpl w:val="B94E8656"/>
    <w:lvl w:ilvl="0" w:tplc="376CA71C">
      <w:start w:val="1"/>
      <w:numFmt w:val="decimal"/>
      <w:lvlText w:val="%1."/>
      <w:lvlJc w:val="left"/>
      <w:pPr>
        <w:ind w:left="720" w:hanging="360"/>
      </w:pPr>
    </w:lvl>
    <w:lvl w:ilvl="1" w:tplc="913AFCB8">
      <w:start w:val="1"/>
      <w:numFmt w:val="lowerLetter"/>
      <w:lvlText w:val="%2."/>
      <w:lvlJc w:val="left"/>
      <w:pPr>
        <w:ind w:left="1440" w:hanging="360"/>
      </w:pPr>
    </w:lvl>
    <w:lvl w:ilvl="2" w:tplc="B5F29DB4">
      <w:start w:val="1"/>
      <w:numFmt w:val="lowerRoman"/>
      <w:lvlText w:val="%3."/>
      <w:lvlJc w:val="right"/>
      <w:pPr>
        <w:ind w:left="2160" w:hanging="180"/>
      </w:pPr>
    </w:lvl>
    <w:lvl w:ilvl="3" w:tplc="6D0E542A">
      <w:start w:val="1"/>
      <w:numFmt w:val="decimal"/>
      <w:lvlText w:val="%4."/>
      <w:lvlJc w:val="left"/>
      <w:pPr>
        <w:ind w:left="2880" w:hanging="360"/>
      </w:pPr>
    </w:lvl>
    <w:lvl w:ilvl="4" w:tplc="56DA82E6">
      <w:start w:val="1"/>
      <w:numFmt w:val="lowerLetter"/>
      <w:lvlText w:val="%5."/>
      <w:lvlJc w:val="left"/>
      <w:pPr>
        <w:ind w:left="3600" w:hanging="360"/>
      </w:pPr>
    </w:lvl>
    <w:lvl w:ilvl="5" w:tplc="18C250AA">
      <w:start w:val="1"/>
      <w:numFmt w:val="lowerRoman"/>
      <w:lvlText w:val="%6."/>
      <w:lvlJc w:val="right"/>
      <w:pPr>
        <w:ind w:left="4320" w:hanging="180"/>
      </w:pPr>
    </w:lvl>
    <w:lvl w:ilvl="6" w:tplc="FDAAE8FC">
      <w:start w:val="1"/>
      <w:numFmt w:val="decimal"/>
      <w:lvlText w:val="%7."/>
      <w:lvlJc w:val="left"/>
      <w:pPr>
        <w:ind w:left="5040" w:hanging="360"/>
      </w:pPr>
    </w:lvl>
    <w:lvl w:ilvl="7" w:tplc="94FE3E90">
      <w:start w:val="1"/>
      <w:numFmt w:val="lowerLetter"/>
      <w:lvlText w:val="%8."/>
      <w:lvlJc w:val="left"/>
      <w:pPr>
        <w:ind w:left="5760" w:hanging="360"/>
      </w:pPr>
    </w:lvl>
    <w:lvl w:ilvl="8" w:tplc="8B90B38C">
      <w:start w:val="1"/>
      <w:numFmt w:val="lowerRoman"/>
      <w:lvlText w:val="%9."/>
      <w:lvlJc w:val="right"/>
      <w:pPr>
        <w:ind w:left="6480" w:hanging="180"/>
      </w:pPr>
    </w:lvl>
  </w:abstractNum>
  <w:abstractNum w:abstractNumId="25" w15:restartNumberingAfterBreak="0">
    <w:nsid w:val="518D5BEA"/>
    <w:multiLevelType w:val="hybridMultilevel"/>
    <w:tmpl w:val="CF7082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39069C0"/>
    <w:multiLevelType w:val="hybridMultilevel"/>
    <w:tmpl w:val="48124082"/>
    <w:lvl w:ilvl="0" w:tplc="140C8C28">
      <w:start w:val="1"/>
      <w:numFmt w:val="bullet"/>
      <w:lvlText w:val=""/>
      <w:lvlJc w:val="left"/>
      <w:pPr>
        <w:ind w:left="720" w:hanging="360"/>
      </w:pPr>
      <w:rPr>
        <w:rFonts w:ascii="Symbol" w:hAnsi="Symbol" w:hint="default"/>
      </w:rPr>
    </w:lvl>
    <w:lvl w:ilvl="1" w:tplc="3E6AE9B0">
      <w:start w:val="1"/>
      <w:numFmt w:val="bullet"/>
      <w:lvlText w:val="o"/>
      <w:lvlJc w:val="left"/>
      <w:pPr>
        <w:ind w:left="1440" w:hanging="360"/>
      </w:pPr>
      <w:rPr>
        <w:rFonts w:ascii="Courier New" w:hAnsi="Courier New" w:hint="default"/>
      </w:rPr>
    </w:lvl>
    <w:lvl w:ilvl="2" w:tplc="98580D38">
      <w:start w:val="1"/>
      <w:numFmt w:val="bullet"/>
      <w:lvlText w:val=""/>
      <w:lvlJc w:val="left"/>
      <w:pPr>
        <w:ind w:left="2160" w:hanging="360"/>
      </w:pPr>
      <w:rPr>
        <w:rFonts w:ascii="Wingdings" w:hAnsi="Wingdings" w:hint="default"/>
      </w:rPr>
    </w:lvl>
    <w:lvl w:ilvl="3" w:tplc="9A702CAA">
      <w:start w:val="1"/>
      <w:numFmt w:val="bullet"/>
      <w:lvlText w:val=""/>
      <w:lvlJc w:val="left"/>
      <w:pPr>
        <w:ind w:left="2880" w:hanging="360"/>
      </w:pPr>
      <w:rPr>
        <w:rFonts w:ascii="Symbol" w:hAnsi="Symbol" w:hint="default"/>
      </w:rPr>
    </w:lvl>
    <w:lvl w:ilvl="4" w:tplc="C0AE7220">
      <w:start w:val="1"/>
      <w:numFmt w:val="bullet"/>
      <w:lvlText w:val="o"/>
      <w:lvlJc w:val="left"/>
      <w:pPr>
        <w:ind w:left="3600" w:hanging="360"/>
      </w:pPr>
      <w:rPr>
        <w:rFonts w:ascii="Courier New" w:hAnsi="Courier New" w:hint="default"/>
      </w:rPr>
    </w:lvl>
    <w:lvl w:ilvl="5" w:tplc="D37A8B20">
      <w:start w:val="1"/>
      <w:numFmt w:val="bullet"/>
      <w:lvlText w:val=""/>
      <w:lvlJc w:val="left"/>
      <w:pPr>
        <w:ind w:left="4320" w:hanging="360"/>
      </w:pPr>
      <w:rPr>
        <w:rFonts w:ascii="Wingdings" w:hAnsi="Wingdings" w:hint="default"/>
      </w:rPr>
    </w:lvl>
    <w:lvl w:ilvl="6" w:tplc="B8E48CBA">
      <w:start w:val="1"/>
      <w:numFmt w:val="bullet"/>
      <w:lvlText w:val=""/>
      <w:lvlJc w:val="left"/>
      <w:pPr>
        <w:ind w:left="5040" w:hanging="360"/>
      </w:pPr>
      <w:rPr>
        <w:rFonts w:ascii="Symbol" w:hAnsi="Symbol" w:hint="default"/>
      </w:rPr>
    </w:lvl>
    <w:lvl w:ilvl="7" w:tplc="38707CC6">
      <w:start w:val="1"/>
      <w:numFmt w:val="bullet"/>
      <w:lvlText w:val="o"/>
      <w:lvlJc w:val="left"/>
      <w:pPr>
        <w:ind w:left="5760" w:hanging="360"/>
      </w:pPr>
      <w:rPr>
        <w:rFonts w:ascii="Courier New" w:hAnsi="Courier New" w:hint="default"/>
      </w:rPr>
    </w:lvl>
    <w:lvl w:ilvl="8" w:tplc="2CC4C41C">
      <w:start w:val="1"/>
      <w:numFmt w:val="bullet"/>
      <w:lvlText w:val=""/>
      <w:lvlJc w:val="left"/>
      <w:pPr>
        <w:ind w:left="6480" w:hanging="360"/>
      </w:pPr>
      <w:rPr>
        <w:rFonts w:ascii="Wingdings" w:hAnsi="Wingdings" w:hint="default"/>
      </w:rPr>
    </w:lvl>
  </w:abstractNum>
  <w:abstractNum w:abstractNumId="27" w15:restartNumberingAfterBreak="0">
    <w:nsid w:val="55A0175B"/>
    <w:multiLevelType w:val="hybridMultilevel"/>
    <w:tmpl w:val="8AF2E9B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8017232"/>
    <w:multiLevelType w:val="hybridMultilevel"/>
    <w:tmpl w:val="6F2A093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581F2A88"/>
    <w:multiLevelType w:val="hybridMultilevel"/>
    <w:tmpl w:val="1AE41972"/>
    <w:lvl w:ilvl="0" w:tplc="A1C463B8">
      <w:start w:val="1"/>
      <w:numFmt w:val="bullet"/>
      <w:lvlText w:val=""/>
      <w:lvlJc w:val="left"/>
      <w:pPr>
        <w:ind w:left="720" w:hanging="360"/>
      </w:pPr>
      <w:rPr>
        <w:rFonts w:ascii="Symbol" w:hAnsi="Symbol" w:hint="default"/>
      </w:rPr>
    </w:lvl>
    <w:lvl w:ilvl="1" w:tplc="F14EDF3C">
      <w:start w:val="1"/>
      <w:numFmt w:val="bullet"/>
      <w:lvlText w:val="o"/>
      <w:lvlJc w:val="left"/>
      <w:pPr>
        <w:ind w:left="1440" w:hanging="360"/>
      </w:pPr>
      <w:rPr>
        <w:rFonts w:ascii="Courier New" w:hAnsi="Courier New" w:hint="default"/>
      </w:rPr>
    </w:lvl>
    <w:lvl w:ilvl="2" w:tplc="A802DA3E">
      <w:start w:val="1"/>
      <w:numFmt w:val="bullet"/>
      <w:lvlText w:val=""/>
      <w:lvlJc w:val="left"/>
      <w:pPr>
        <w:ind w:left="2160" w:hanging="360"/>
      </w:pPr>
      <w:rPr>
        <w:rFonts w:ascii="Wingdings" w:hAnsi="Wingdings" w:hint="default"/>
      </w:rPr>
    </w:lvl>
    <w:lvl w:ilvl="3" w:tplc="2EA24C54">
      <w:start w:val="1"/>
      <w:numFmt w:val="bullet"/>
      <w:lvlText w:val=""/>
      <w:lvlJc w:val="left"/>
      <w:pPr>
        <w:ind w:left="2880" w:hanging="360"/>
      </w:pPr>
      <w:rPr>
        <w:rFonts w:ascii="Symbol" w:hAnsi="Symbol" w:hint="default"/>
      </w:rPr>
    </w:lvl>
    <w:lvl w:ilvl="4" w:tplc="C428DD4C">
      <w:start w:val="1"/>
      <w:numFmt w:val="bullet"/>
      <w:lvlText w:val="o"/>
      <w:lvlJc w:val="left"/>
      <w:pPr>
        <w:ind w:left="3600" w:hanging="360"/>
      </w:pPr>
      <w:rPr>
        <w:rFonts w:ascii="Courier New" w:hAnsi="Courier New" w:hint="default"/>
      </w:rPr>
    </w:lvl>
    <w:lvl w:ilvl="5" w:tplc="391C740C">
      <w:start w:val="1"/>
      <w:numFmt w:val="bullet"/>
      <w:lvlText w:val=""/>
      <w:lvlJc w:val="left"/>
      <w:pPr>
        <w:ind w:left="4320" w:hanging="360"/>
      </w:pPr>
      <w:rPr>
        <w:rFonts w:ascii="Wingdings" w:hAnsi="Wingdings" w:hint="default"/>
      </w:rPr>
    </w:lvl>
    <w:lvl w:ilvl="6" w:tplc="86A04374">
      <w:start w:val="1"/>
      <w:numFmt w:val="bullet"/>
      <w:lvlText w:val=""/>
      <w:lvlJc w:val="left"/>
      <w:pPr>
        <w:ind w:left="5040" w:hanging="360"/>
      </w:pPr>
      <w:rPr>
        <w:rFonts w:ascii="Symbol" w:hAnsi="Symbol" w:hint="default"/>
      </w:rPr>
    </w:lvl>
    <w:lvl w:ilvl="7" w:tplc="4A180508">
      <w:start w:val="1"/>
      <w:numFmt w:val="bullet"/>
      <w:lvlText w:val="o"/>
      <w:lvlJc w:val="left"/>
      <w:pPr>
        <w:ind w:left="5760" w:hanging="360"/>
      </w:pPr>
      <w:rPr>
        <w:rFonts w:ascii="Courier New" w:hAnsi="Courier New" w:hint="default"/>
      </w:rPr>
    </w:lvl>
    <w:lvl w:ilvl="8" w:tplc="8640E64C">
      <w:start w:val="1"/>
      <w:numFmt w:val="bullet"/>
      <w:lvlText w:val=""/>
      <w:lvlJc w:val="left"/>
      <w:pPr>
        <w:ind w:left="6480" w:hanging="360"/>
      </w:pPr>
      <w:rPr>
        <w:rFonts w:ascii="Wingdings" w:hAnsi="Wingdings" w:hint="default"/>
      </w:rPr>
    </w:lvl>
  </w:abstractNum>
  <w:abstractNum w:abstractNumId="30" w15:restartNumberingAfterBreak="0">
    <w:nsid w:val="5AC32E9D"/>
    <w:multiLevelType w:val="hybridMultilevel"/>
    <w:tmpl w:val="DABE39A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C7C4D82"/>
    <w:multiLevelType w:val="hybridMultilevel"/>
    <w:tmpl w:val="417A6698"/>
    <w:lvl w:ilvl="0" w:tplc="395AB860">
      <w:start w:val="1"/>
      <w:numFmt w:val="bullet"/>
      <w:lvlText w:val=""/>
      <w:lvlJc w:val="left"/>
      <w:pPr>
        <w:ind w:left="720" w:hanging="360"/>
      </w:pPr>
      <w:rPr>
        <w:rFonts w:ascii="Symbol" w:hAnsi="Symbol" w:hint="default"/>
      </w:rPr>
    </w:lvl>
    <w:lvl w:ilvl="1" w:tplc="B302D39A">
      <w:start w:val="1"/>
      <w:numFmt w:val="bullet"/>
      <w:lvlText w:val="o"/>
      <w:lvlJc w:val="left"/>
      <w:pPr>
        <w:ind w:left="1440" w:hanging="360"/>
      </w:pPr>
      <w:rPr>
        <w:rFonts w:ascii="Courier New" w:hAnsi="Courier New" w:hint="default"/>
      </w:rPr>
    </w:lvl>
    <w:lvl w:ilvl="2" w:tplc="4E52F7B4">
      <w:start w:val="1"/>
      <w:numFmt w:val="bullet"/>
      <w:lvlText w:val=""/>
      <w:lvlJc w:val="left"/>
      <w:pPr>
        <w:ind w:left="2160" w:hanging="360"/>
      </w:pPr>
      <w:rPr>
        <w:rFonts w:ascii="Wingdings" w:hAnsi="Wingdings" w:hint="default"/>
      </w:rPr>
    </w:lvl>
    <w:lvl w:ilvl="3" w:tplc="4FB06DC2">
      <w:start w:val="1"/>
      <w:numFmt w:val="bullet"/>
      <w:lvlText w:val=""/>
      <w:lvlJc w:val="left"/>
      <w:pPr>
        <w:ind w:left="2880" w:hanging="360"/>
      </w:pPr>
      <w:rPr>
        <w:rFonts w:ascii="Symbol" w:hAnsi="Symbol" w:hint="default"/>
      </w:rPr>
    </w:lvl>
    <w:lvl w:ilvl="4" w:tplc="225CA482">
      <w:start w:val="1"/>
      <w:numFmt w:val="bullet"/>
      <w:lvlText w:val="o"/>
      <w:lvlJc w:val="left"/>
      <w:pPr>
        <w:ind w:left="3600" w:hanging="360"/>
      </w:pPr>
      <w:rPr>
        <w:rFonts w:ascii="Courier New" w:hAnsi="Courier New" w:hint="default"/>
      </w:rPr>
    </w:lvl>
    <w:lvl w:ilvl="5" w:tplc="BFE683EA">
      <w:start w:val="1"/>
      <w:numFmt w:val="bullet"/>
      <w:lvlText w:val=""/>
      <w:lvlJc w:val="left"/>
      <w:pPr>
        <w:ind w:left="4320" w:hanging="360"/>
      </w:pPr>
      <w:rPr>
        <w:rFonts w:ascii="Wingdings" w:hAnsi="Wingdings" w:hint="default"/>
      </w:rPr>
    </w:lvl>
    <w:lvl w:ilvl="6" w:tplc="3E5A52CC">
      <w:start w:val="1"/>
      <w:numFmt w:val="bullet"/>
      <w:lvlText w:val=""/>
      <w:lvlJc w:val="left"/>
      <w:pPr>
        <w:ind w:left="5040" w:hanging="360"/>
      </w:pPr>
      <w:rPr>
        <w:rFonts w:ascii="Symbol" w:hAnsi="Symbol" w:hint="default"/>
      </w:rPr>
    </w:lvl>
    <w:lvl w:ilvl="7" w:tplc="C1824FB4">
      <w:start w:val="1"/>
      <w:numFmt w:val="bullet"/>
      <w:lvlText w:val="o"/>
      <w:lvlJc w:val="left"/>
      <w:pPr>
        <w:ind w:left="5760" w:hanging="360"/>
      </w:pPr>
      <w:rPr>
        <w:rFonts w:ascii="Courier New" w:hAnsi="Courier New" w:hint="default"/>
      </w:rPr>
    </w:lvl>
    <w:lvl w:ilvl="8" w:tplc="0152FE66">
      <w:start w:val="1"/>
      <w:numFmt w:val="bullet"/>
      <w:lvlText w:val=""/>
      <w:lvlJc w:val="left"/>
      <w:pPr>
        <w:ind w:left="6480" w:hanging="360"/>
      </w:pPr>
      <w:rPr>
        <w:rFonts w:ascii="Wingdings" w:hAnsi="Wingdings" w:hint="default"/>
      </w:rPr>
    </w:lvl>
  </w:abstractNum>
  <w:abstractNum w:abstractNumId="32" w15:restartNumberingAfterBreak="0">
    <w:nsid w:val="5D827F20"/>
    <w:multiLevelType w:val="hybridMultilevel"/>
    <w:tmpl w:val="6094673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5F1A3DAE"/>
    <w:multiLevelType w:val="hybridMultilevel"/>
    <w:tmpl w:val="0BBA4016"/>
    <w:lvl w:ilvl="0" w:tplc="40090001">
      <w:start w:val="1"/>
      <w:numFmt w:val="bullet"/>
      <w:lvlText w:val=""/>
      <w:lvlJc w:val="left"/>
      <w:pPr>
        <w:ind w:left="720" w:hanging="360"/>
      </w:pPr>
      <w:rPr>
        <w:rFonts w:ascii="Symbol" w:hAnsi="Symbol" w:hint="default"/>
      </w:rPr>
    </w:lvl>
    <w:lvl w:ilvl="1" w:tplc="40090001">
      <w:start w:val="1"/>
      <w:numFmt w:val="bullet"/>
      <w:lvlText w:val=""/>
      <w:lvlJc w:val="left"/>
      <w:pPr>
        <w:ind w:left="1440" w:hanging="360"/>
      </w:pPr>
      <w:rPr>
        <w:rFonts w:ascii="Symbol" w:hAnsi="Symbo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33EDF63"/>
    <w:multiLevelType w:val="hybridMultilevel"/>
    <w:tmpl w:val="95C04A12"/>
    <w:lvl w:ilvl="0" w:tplc="16F07E92">
      <w:start w:val="1"/>
      <w:numFmt w:val="bullet"/>
      <w:lvlText w:val=""/>
      <w:lvlJc w:val="left"/>
      <w:pPr>
        <w:ind w:left="720" w:hanging="360"/>
      </w:pPr>
      <w:rPr>
        <w:rFonts w:ascii="Symbol" w:hAnsi="Symbol" w:hint="default"/>
      </w:rPr>
    </w:lvl>
    <w:lvl w:ilvl="1" w:tplc="06E26D72">
      <w:start w:val="1"/>
      <w:numFmt w:val="bullet"/>
      <w:lvlText w:val="o"/>
      <w:lvlJc w:val="left"/>
      <w:pPr>
        <w:ind w:left="1440" w:hanging="360"/>
      </w:pPr>
      <w:rPr>
        <w:rFonts w:ascii="Courier New" w:hAnsi="Courier New" w:hint="default"/>
      </w:rPr>
    </w:lvl>
    <w:lvl w:ilvl="2" w:tplc="461AC5A6">
      <w:start w:val="1"/>
      <w:numFmt w:val="bullet"/>
      <w:lvlText w:val=""/>
      <w:lvlJc w:val="left"/>
      <w:pPr>
        <w:ind w:left="2160" w:hanging="360"/>
      </w:pPr>
      <w:rPr>
        <w:rFonts w:ascii="Wingdings" w:hAnsi="Wingdings" w:hint="default"/>
      </w:rPr>
    </w:lvl>
    <w:lvl w:ilvl="3" w:tplc="05A293DA">
      <w:start w:val="1"/>
      <w:numFmt w:val="bullet"/>
      <w:lvlText w:val=""/>
      <w:lvlJc w:val="left"/>
      <w:pPr>
        <w:ind w:left="2880" w:hanging="360"/>
      </w:pPr>
      <w:rPr>
        <w:rFonts w:ascii="Symbol" w:hAnsi="Symbol" w:hint="default"/>
      </w:rPr>
    </w:lvl>
    <w:lvl w:ilvl="4" w:tplc="901859B6">
      <w:start w:val="1"/>
      <w:numFmt w:val="bullet"/>
      <w:lvlText w:val="o"/>
      <w:lvlJc w:val="left"/>
      <w:pPr>
        <w:ind w:left="3600" w:hanging="360"/>
      </w:pPr>
      <w:rPr>
        <w:rFonts w:ascii="Courier New" w:hAnsi="Courier New" w:hint="default"/>
      </w:rPr>
    </w:lvl>
    <w:lvl w:ilvl="5" w:tplc="EC8658EE">
      <w:start w:val="1"/>
      <w:numFmt w:val="bullet"/>
      <w:lvlText w:val=""/>
      <w:lvlJc w:val="left"/>
      <w:pPr>
        <w:ind w:left="4320" w:hanging="360"/>
      </w:pPr>
      <w:rPr>
        <w:rFonts w:ascii="Wingdings" w:hAnsi="Wingdings" w:hint="default"/>
      </w:rPr>
    </w:lvl>
    <w:lvl w:ilvl="6" w:tplc="31A4EE60">
      <w:start w:val="1"/>
      <w:numFmt w:val="bullet"/>
      <w:lvlText w:val=""/>
      <w:lvlJc w:val="left"/>
      <w:pPr>
        <w:ind w:left="5040" w:hanging="360"/>
      </w:pPr>
      <w:rPr>
        <w:rFonts w:ascii="Symbol" w:hAnsi="Symbol" w:hint="default"/>
      </w:rPr>
    </w:lvl>
    <w:lvl w:ilvl="7" w:tplc="75E2EB8A">
      <w:start w:val="1"/>
      <w:numFmt w:val="bullet"/>
      <w:lvlText w:val="o"/>
      <w:lvlJc w:val="left"/>
      <w:pPr>
        <w:ind w:left="5760" w:hanging="360"/>
      </w:pPr>
      <w:rPr>
        <w:rFonts w:ascii="Courier New" w:hAnsi="Courier New" w:hint="default"/>
      </w:rPr>
    </w:lvl>
    <w:lvl w:ilvl="8" w:tplc="986E5AFE">
      <w:start w:val="1"/>
      <w:numFmt w:val="bullet"/>
      <w:lvlText w:val=""/>
      <w:lvlJc w:val="left"/>
      <w:pPr>
        <w:ind w:left="6480" w:hanging="360"/>
      </w:pPr>
      <w:rPr>
        <w:rFonts w:ascii="Wingdings" w:hAnsi="Wingdings" w:hint="default"/>
      </w:rPr>
    </w:lvl>
  </w:abstractNum>
  <w:abstractNum w:abstractNumId="35" w15:restartNumberingAfterBreak="0">
    <w:nsid w:val="63572995"/>
    <w:multiLevelType w:val="hybridMultilevel"/>
    <w:tmpl w:val="A14C512E"/>
    <w:lvl w:ilvl="0" w:tplc="E3105CA6">
      <w:start w:val="1"/>
      <w:numFmt w:val="bullet"/>
      <w:lvlText w:val=""/>
      <w:lvlJc w:val="left"/>
      <w:pPr>
        <w:ind w:left="720" w:hanging="360"/>
      </w:pPr>
      <w:rPr>
        <w:rFonts w:ascii="Symbol" w:hAnsi="Symbol" w:hint="default"/>
      </w:rPr>
    </w:lvl>
    <w:lvl w:ilvl="1" w:tplc="B866A064">
      <w:start w:val="1"/>
      <w:numFmt w:val="bullet"/>
      <w:lvlText w:val="o"/>
      <w:lvlJc w:val="left"/>
      <w:pPr>
        <w:ind w:left="1440" w:hanging="360"/>
      </w:pPr>
      <w:rPr>
        <w:rFonts w:ascii="Courier New" w:hAnsi="Courier New" w:hint="default"/>
      </w:rPr>
    </w:lvl>
    <w:lvl w:ilvl="2" w:tplc="CE12098C">
      <w:start w:val="1"/>
      <w:numFmt w:val="bullet"/>
      <w:lvlText w:val=""/>
      <w:lvlJc w:val="left"/>
      <w:pPr>
        <w:ind w:left="2160" w:hanging="360"/>
      </w:pPr>
      <w:rPr>
        <w:rFonts w:ascii="Wingdings" w:hAnsi="Wingdings" w:hint="default"/>
      </w:rPr>
    </w:lvl>
    <w:lvl w:ilvl="3" w:tplc="7BC82B88">
      <w:start w:val="1"/>
      <w:numFmt w:val="bullet"/>
      <w:lvlText w:val=""/>
      <w:lvlJc w:val="left"/>
      <w:pPr>
        <w:ind w:left="2880" w:hanging="360"/>
      </w:pPr>
      <w:rPr>
        <w:rFonts w:ascii="Symbol" w:hAnsi="Symbol" w:hint="default"/>
      </w:rPr>
    </w:lvl>
    <w:lvl w:ilvl="4" w:tplc="5C9E7D4E">
      <w:start w:val="1"/>
      <w:numFmt w:val="bullet"/>
      <w:lvlText w:val="o"/>
      <w:lvlJc w:val="left"/>
      <w:pPr>
        <w:ind w:left="3600" w:hanging="360"/>
      </w:pPr>
      <w:rPr>
        <w:rFonts w:ascii="Courier New" w:hAnsi="Courier New" w:hint="default"/>
      </w:rPr>
    </w:lvl>
    <w:lvl w:ilvl="5" w:tplc="BCEC5402">
      <w:start w:val="1"/>
      <w:numFmt w:val="bullet"/>
      <w:lvlText w:val=""/>
      <w:lvlJc w:val="left"/>
      <w:pPr>
        <w:ind w:left="4320" w:hanging="360"/>
      </w:pPr>
      <w:rPr>
        <w:rFonts w:ascii="Wingdings" w:hAnsi="Wingdings" w:hint="default"/>
      </w:rPr>
    </w:lvl>
    <w:lvl w:ilvl="6" w:tplc="4BF45C9E">
      <w:start w:val="1"/>
      <w:numFmt w:val="bullet"/>
      <w:lvlText w:val=""/>
      <w:lvlJc w:val="left"/>
      <w:pPr>
        <w:ind w:left="5040" w:hanging="360"/>
      </w:pPr>
      <w:rPr>
        <w:rFonts w:ascii="Symbol" w:hAnsi="Symbol" w:hint="default"/>
      </w:rPr>
    </w:lvl>
    <w:lvl w:ilvl="7" w:tplc="8D047E64">
      <w:start w:val="1"/>
      <w:numFmt w:val="bullet"/>
      <w:lvlText w:val="o"/>
      <w:lvlJc w:val="left"/>
      <w:pPr>
        <w:ind w:left="5760" w:hanging="360"/>
      </w:pPr>
      <w:rPr>
        <w:rFonts w:ascii="Courier New" w:hAnsi="Courier New" w:hint="default"/>
      </w:rPr>
    </w:lvl>
    <w:lvl w:ilvl="8" w:tplc="4338340A">
      <w:start w:val="1"/>
      <w:numFmt w:val="bullet"/>
      <w:lvlText w:val=""/>
      <w:lvlJc w:val="left"/>
      <w:pPr>
        <w:ind w:left="6480" w:hanging="360"/>
      </w:pPr>
      <w:rPr>
        <w:rFonts w:ascii="Wingdings" w:hAnsi="Wingdings" w:hint="default"/>
      </w:rPr>
    </w:lvl>
  </w:abstractNum>
  <w:abstractNum w:abstractNumId="36" w15:restartNumberingAfterBreak="0">
    <w:nsid w:val="640B4189"/>
    <w:multiLevelType w:val="hybridMultilevel"/>
    <w:tmpl w:val="DFEE66D4"/>
    <w:lvl w:ilvl="0" w:tplc="40090001">
      <w:start w:val="1"/>
      <w:numFmt w:val="bullet"/>
      <w:lvlText w:val=""/>
      <w:lvlJc w:val="left"/>
      <w:pPr>
        <w:ind w:left="720" w:hanging="360"/>
      </w:pPr>
      <w:rPr>
        <w:rFonts w:ascii="Symbol" w:hAnsi="Symbol" w:hint="default"/>
      </w:rPr>
    </w:lvl>
    <w:lvl w:ilvl="1" w:tplc="40090001">
      <w:start w:val="1"/>
      <w:numFmt w:val="bullet"/>
      <w:lvlText w:val=""/>
      <w:lvlJc w:val="left"/>
      <w:pPr>
        <w:ind w:left="1440" w:hanging="360"/>
      </w:pPr>
      <w:rPr>
        <w:rFonts w:ascii="Symbol" w:hAnsi="Symbo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652B5D5D"/>
    <w:multiLevelType w:val="hybridMultilevel"/>
    <w:tmpl w:val="043CE3C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654BD507"/>
    <w:multiLevelType w:val="hybridMultilevel"/>
    <w:tmpl w:val="E138B588"/>
    <w:lvl w:ilvl="0" w:tplc="CC86E0E2">
      <w:start w:val="1"/>
      <w:numFmt w:val="bullet"/>
      <w:lvlText w:val=""/>
      <w:lvlJc w:val="left"/>
      <w:pPr>
        <w:ind w:left="720" w:hanging="360"/>
      </w:pPr>
      <w:rPr>
        <w:rFonts w:ascii="Symbol" w:hAnsi="Symbol" w:hint="default"/>
      </w:rPr>
    </w:lvl>
    <w:lvl w:ilvl="1" w:tplc="C77C6570">
      <w:start w:val="1"/>
      <w:numFmt w:val="bullet"/>
      <w:lvlText w:val="o"/>
      <w:lvlJc w:val="left"/>
      <w:pPr>
        <w:ind w:left="1440" w:hanging="360"/>
      </w:pPr>
      <w:rPr>
        <w:rFonts w:ascii="Courier New" w:hAnsi="Courier New" w:hint="default"/>
      </w:rPr>
    </w:lvl>
    <w:lvl w:ilvl="2" w:tplc="E6F87410">
      <w:start w:val="1"/>
      <w:numFmt w:val="bullet"/>
      <w:lvlText w:val=""/>
      <w:lvlJc w:val="left"/>
      <w:pPr>
        <w:ind w:left="2160" w:hanging="360"/>
      </w:pPr>
      <w:rPr>
        <w:rFonts w:ascii="Wingdings" w:hAnsi="Wingdings" w:hint="default"/>
      </w:rPr>
    </w:lvl>
    <w:lvl w:ilvl="3" w:tplc="0E482356">
      <w:start w:val="1"/>
      <w:numFmt w:val="bullet"/>
      <w:lvlText w:val=""/>
      <w:lvlJc w:val="left"/>
      <w:pPr>
        <w:ind w:left="2880" w:hanging="360"/>
      </w:pPr>
      <w:rPr>
        <w:rFonts w:ascii="Symbol" w:hAnsi="Symbol" w:hint="default"/>
      </w:rPr>
    </w:lvl>
    <w:lvl w:ilvl="4" w:tplc="FF1A3AD0">
      <w:start w:val="1"/>
      <w:numFmt w:val="bullet"/>
      <w:lvlText w:val="o"/>
      <w:lvlJc w:val="left"/>
      <w:pPr>
        <w:ind w:left="3600" w:hanging="360"/>
      </w:pPr>
      <w:rPr>
        <w:rFonts w:ascii="Courier New" w:hAnsi="Courier New" w:hint="default"/>
      </w:rPr>
    </w:lvl>
    <w:lvl w:ilvl="5" w:tplc="85BA9894">
      <w:start w:val="1"/>
      <w:numFmt w:val="bullet"/>
      <w:lvlText w:val=""/>
      <w:lvlJc w:val="left"/>
      <w:pPr>
        <w:ind w:left="4320" w:hanging="360"/>
      </w:pPr>
      <w:rPr>
        <w:rFonts w:ascii="Wingdings" w:hAnsi="Wingdings" w:hint="default"/>
      </w:rPr>
    </w:lvl>
    <w:lvl w:ilvl="6" w:tplc="E7BA9060">
      <w:start w:val="1"/>
      <w:numFmt w:val="bullet"/>
      <w:lvlText w:val=""/>
      <w:lvlJc w:val="left"/>
      <w:pPr>
        <w:ind w:left="5040" w:hanging="360"/>
      </w:pPr>
      <w:rPr>
        <w:rFonts w:ascii="Symbol" w:hAnsi="Symbol" w:hint="default"/>
      </w:rPr>
    </w:lvl>
    <w:lvl w:ilvl="7" w:tplc="1FE04776">
      <w:start w:val="1"/>
      <w:numFmt w:val="bullet"/>
      <w:lvlText w:val="o"/>
      <w:lvlJc w:val="left"/>
      <w:pPr>
        <w:ind w:left="5760" w:hanging="360"/>
      </w:pPr>
      <w:rPr>
        <w:rFonts w:ascii="Courier New" w:hAnsi="Courier New" w:hint="default"/>
      </w:rPr>
    </w:lvl>
    <w:lvl w:ilvl="8" w:tplc="09DEED78">
      <w:start w:val="1"/>
      <w:numFmt w:val="bullet"/>
      <w:lvlText w:val=""/>
      <w:lvlJc w:val="left"/>
      <w:pPr>
        <w:ind w:left="6480" w:hanging="360"/>
      </w:pPr>
      <w:rPr>
        <w:rFonts w:ascii="Wingdings" w:hAnsi="Wingdings" w:hint="default"/>
      </w:rPr>
    </w:lvl>
  </w:abstractNum>
  <w:abstractNum w:abstractNumId="39" w15:restartNumberingAfterBreak="0">
    <w:nsid w:val="66251E0F"/>
    <w:multiLevelType w:val="hybridMultilevel"/>
    <w:tmpl w:val="2220A8DE"/>
    <w:lvl w:ilvl="0" w:tplc="B57E1B82">
      <w:start w:val="1"/>
      <w:numFmt w:val="decimal"/>
      <w:lvlText w:val="%1."/>
      <w:lvlJc w:val="left"/>
      <w:pPr>
        <w:ind w:left="720" w:hanging="360"/>
      </w:pPr>
    </w:lvl>
    <w:lvl w:ilvl="1" w:tplc="BBBA48C2">
      <w:start w:val="1"/>
      <w:numFmt w:val="lowerLetter"/>
      <w:lvlText w:val="%2."/>
      <w:lvlJc w:val="left"/>
      <w:pPr>
        <w:ind w:left="1440" w:hanging="360"/>
      </w:pPr>
    </w:lvl>
    <w:lvl w:ilvl="2" w:tplc="C41AA0D8">
      <w:start w:val="1"/>
      <w:numFmt w:val="lowerRoman"/>
      <w:lvlText w:val="%3."/>
      <w:lvlJc w:val="right"/>
      <w:pPr>
        <w:ind w:left="2160" w:hanging="180"/>
      </w:pPr>
    </w:lvl>
    <w:lvl w:ilvl="3" w:tplc="E7D0DCB6">
      <w:start w:val="1"/>
      <w:numFmt w:val="decimal"/>
      <w:lvlText w:val="%4."/>
      <w:lvlJc w:val="left"/>
      <w:pPr>
        <w:ind w:left="2880" w:hanging="360"/>
      </w:pPr>
    </w:lvl>
    <w:lvl w:ilvl="4" w:tplc="F3C44B50">
      <w:start w:val="1"/>
      <w:numFmt w:val="lowerLetter"/>
      <w:lvlText w:val="%5."/>
      <w:lvlJc w:val="left"/>
      <w:pPr>
        <w:ind w:left="3600" w:hanging="360"/>
      </w:pPr>
    </w:lvl>
    <w:lvl w:ilvl="5" w:tplc="8FE6DC3E">
      <w:start w:val="1"/>
      <w:numFmt w:val="lowerRoman"/>
      <w:lvlText w:val="%6."/>
      <w:lvlJc w:val="right"/>
      <w:pPr>
        <w:ind w:left="4320" w:hanging="180"/>
      </w:pPr>
    </w:lvl>
    <w:lvl w:ilvl="6" w:tplc="C3A2A96E">
      <w:start w:val="1"/>
      <w:numFmt w:val="decimal"/>
      <w:lvlText w:val="%7."/>
      <w:lvlJc w:val="left"/>
      <w:pPr>
        <w:ind w:left="5040" w:hanging="360"/>
      </w:pPr>
    </w:lvl>
    <w:lvl w:ilvl="7" w:tplc="661CC0AC">
      <w:start w:val="1"/>
      <w:numFmt w:val="lowerLetter"/>
      <w:lvlText w:val="%8."/>
      <w:lvlJc w:val="left"/>
      <w:pPr>
        <w:ind w:left="5760" w:hanging="360"/>
      </w:pPr>
    </w:lvl>
    <w:lvl w:ilvl="8" w:tplc="1826E4EC">
      <w:start w:val="1"/>
      <w:numFmt w:val="lowerRoman"/>
      <w:lvlText w:val="%9."/>
      <w:lvlJc w:val="right"/>
      <w:pPr>
        <w:ind w:left="6480" w:hanging="180"/>
      </w:pPr>
    </w:lvl>
  </w:abstractNum>
  <w:abstractNum w:abstractNumId="40" w15:restartNumberingAfterBreak="0">
    <w:nsid w:val="6DD907D6"/>
    <w:multiLevelType w:val="hybridMultilevel"/>
    <w:tmpl w:val="714E26C2"/>
    <w:lvl w:ilvl="0" w:tplc="2FE24C0E">
      <w:start w:val="1"/>
      <w:numFmt w:val="bullet"/>
      <w:lvlText w:val=""/>
      <w:lvlJc w:val="left"/>
      <w:pPr>
        <w:ind w:left="720" w:hanging="360"/>
      </w:pPr>
      <w:rPr>
        <w:rFonts w:ascii="Symbol" w:hAnsi="Symbol" w:hint="default"/>
      </w:rPr>
    </w:lvl>
    <w:lvl w:ilvl="1" w:tplc="0AA49C6A">
      <w:start w:val="1"/>
      <w:numFmt w:val="bullet"/>
      <w:lvlText w:val="o"/>
      <w:lvlJc w:val="left"/>
      <w:pPr>
        <w:ind w:left="1440" w:hanging="360"/>
      </w:pPr>
      <w:rPr>
        <w:rFonts w:ascii="Courier New" w:hAnsi="Courier New" w:hint="default"/>
      </w:rPr>
    </w:lvl>
    <w:lvl w:ilvl="2" w:tplc="3A50A1B2">
      <w:start w:val="1"/>
      <w:numFmt w:val="bullet"/>
      <w:lvlText w:val=""/>
      <w:lvlJc w:val="left"/>
      <w:pPr>
        <w:ind w:left="2160" w:hanging="360"/>
      </w:pPr>
      <w:rPr>
        <w:rFonts w:ascii="Wingdings" w:hAnsi="Wingdings" w:hint="default"/>
      </w:rPr>
    </w:lvl>
    <w:lvl w:ilvl="3" w:tplc="C452203C">
      <w:start w:val="1"/>
      <w:numFmt w:val="bullet"/>
      <w:lvlText w:val=""/>
      <w:lvlJc w:val="left"/>
      <w:pPr>
        <w:ind w:left="2880" w:hanging="360"/>
      </w:pPr>
      <w:rPr>
        <w:rFonts w:ascii="Symbol" w:hAnsi="Symbol" w:hint="default"/>
      </w:rPr>
    </w:lvl>
    <w:lvl w:ilvl="4" w:tplc="E8360CD8">
      <w:start w:val="1"/>
      <w:numFmt w:val="bullet"/>
      <w:lvlText w:val="o"/>
      <w:lvlJc w:val="left"/>
      <w:pPr>
        <w:ind w:left="3600" w:hanging="360"/>
      </w:pPr>
      <w:rPr>
        <w:rFonts w:ascii="Courier New" w:hAnsi="Courier New" w:hint="default"/>
      </w:rPr>
    </w:lvl>
    <w:lvl w:ilvl="5" w:tplc="14A46028">
      <w:start w:val="1"/>
      <w:numFmt w:val="bullet"/>
      <w:lvlText w:val=""/>
      <w:lvlJc w:val="left"/>
      <w:pPr>
        <w:ind w:left="4320" w:hanging="360"/>
      </w:pPr>
      <w:rPr>
        <w:rFonts w:ascii="Wingdings" w:hAnsi="Wingdings" w:hint="default"/>
      </w:rPr>
    </w:lvl>
    <w:lvl w:ilvl="6" w:tplc="41ACCAD6">
      <w:start w:val="1"/>
      <w:numFmt w:val="bullet"/>
      <w:lvlText w:val=""/>
      <w:lvlJc w:val="left"/>
      <w:pPr>
        <w:ind w:left="5040" w:hanging="360"/>
      </w:pPr>
      <w:rPr>
        <w:rFonts w:ascii="Symbol" w:hAnsi="Symbol" w:hint="default"/>
      </w:rPr>
    </w:lvl>
    <w:lvl w:ilvl="7" w:tplc="27CE5190">
      <w:start w:val="1"/>
      <w:numFmt w:val="bullet"/>
      <w:lvlText w:val="o"/>
      <w:lvlJc w:val="left"/>
      <w:pPr>
        <w:ind w:left="5760" w:hanging="360"/>
      </w:pPr>
      <w:rPr>
        <w:rFonts w:ascii="Courier New" w:hAnsi="Courier New" w:hint="default"/>
      </w:rPr>
    </w:lvl>
    <w:lvl w:ilvl="8" w:tplc="96D4EBE0">
      <w:start w:val="1"/>
      <w:numFmt w:val="bullet"/>
      <w:lvlText w:val=""/>
      <w:lvlJc w:val="left"/>
      <w:pPr>
        <w:ind w:left="6480" w:hanging="360"/>
      </w:pPr>
      <w:rPr>
        <w:rFonts w:ascii="Wingdings" w:hAnsi="Wingdings" w:hint="default"/>
      </w:rPr>
    </w:lvl>
  </w:abstractNum>
  <w:abstractNum w:abstractNumId="41" w15:restartNumberingAfterBreak="0">
    <w:nsid w:val="73C52A4D"/>
    <w:multiLevelType w:val="hybridMultilevel"/>
    <w:tmpl w:val="191250D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74594ED4"/>
    <w:multiLevelType w:val="hybridMultilevel"/>
    <w:tmpl w:val="9EF8FE60"/>
    <w:lvl w:ilvl="0" w:tplc="40090001">
      <w:start w:val="1"/>
      <w:numFmt w:val="bullet"/>
      <w:lvlText w:val=""/>
      <w:lvlJc w:val="left"/>
      <w:pPr>
        <w:ind w:left="720" w:hanging="360"/>
      </w:pPr>
      <w:rPr>
        <w:rFonts w:ascii="Symbol" w:hAnsi="Symbol" w:hint="default"/>
      </w:rPr>
    </w:lvl>
    <w:lvl w:ilvl="1" w:tplc="40090001">
      <w:start w:val="1"/>
      <w:numFmt w:val="bullet"/>
      <w:lvlText w:val=""/>
      <w:lvlJc w:val="left"/>
      <w:pPr>
        <w:ind w:left="1440" w:hanging="360"/>
      </w:pPr>
      <w:rPr>
        <w:rFonts w:ascii="Symbol" w:hAnsi="Symbo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93F32B8"/>
    <w:multiLevelType w:val="hybridMultilevel"/>
    <w:tmpl w:val="7D3AB480"/>
    <w:lvl w:ilvl="0" w:tplc="40090001">
      <w:start w:val="1"/>
      <w:numFmt w:val="bullet"/>
      <w:lvlText w:val=""/>
      <w:lvlJc w:val="left"/>
      <w:pPr>
        <w:ind w:left="720" w:hanging="360"/>
      </w:pPr>
      <w:rPr>
        <w:rFonts w:ascii="Symbol" w:hAnsi="Symbol" w:hint="default"/>
      </w:rPr>
    </w:lvl>
    <w:lvl w:ilvl="1" w:tplc="2278C406">
      <w:numFmt w:val="bullet"/>
      <w:lvlText w:val="-"/>
      <w:lvlJc w:val="left"/>
      <w:pPr>
        <w:ind w:left="1440" w:hanging="360"/>
      </w:pPr>
      <w:rPr>
        <w:rFonts w:ascii="Aptos" w:eastAsiaTheme="minorEastAsia" w:hAnsi="Aptos" w:cstheme="minorBidi"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7B6F21E5"/>
    <w:multiLevelType w:val="hybridMultilevel"/>
    <w:tmpl w:val="5AAE1E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5" w15:restartNumberingAfterBreak="0">
    <w:nsid w:val="7B8E6B63"/>
    <w:multiLevelType w:val="hybridMultilevel"/>
    <w:tmpl w:val="1736DE64"/>
    <w:lvl w:ilvl="0" w:tplc="6012002A">
      <w:start w:val="1"/>
      <w:numFmt w:val="bullet"/>
      <w:lvlText w:val=""/>
      <w:lvlJc w:val="left"/>
      <w:pPr>
        <w:ind w:left="720" w:hanging="360"/>
      </w:pPr>
      <w:rPr>
        <w:rFonts w:ascii="Symbol" w:hAnsi="Symbol" w:hint="default"/>
      </w:rPr>
    </w:lvl>
    <w:lvl w:ilvl="1" w:tplc="81FAF92A">
      <w:start w:val="1"/>
      <w:numFmt w:val="bullet"/>
      <w:lvlText w:val="o"/>
      <w:lvlJc w:val="left"/>
      <w:pPr>
        <w:ind w:left="1440" w:hanging="360"/>
      </w:pPr>
      <w:rPr>
        <w:rFonts w:ascii="Courier New" w:hAnsi="Courier New" w:hint="default"/>
      </w:rPr>
    </w:lvl>
    <w:lvl w:ilvl="2" w:tplc="86B687EC">
      <w:start w:val="1"/>
      <w:numFmt w:val="bullet"/>
      <w:lvlText w:val=""/>
      <w:lvlJc w:val="left"/>
      <w:pPr>
        <w:ind w:left="2160" w:hanging="360"/>
      </w:pPr>
      <w:rPr>
        <w:rFonts w:ascii="Wingdings" w:hAnsi="Wingdings" w:hint="default"/>
      </w:rPr>
    </w:lvl>
    <w:lvl w:ilvl="3" w:tplc="0B645E28">
      <w:start w:val="1"/>
      <w:numFmt w:val="bullet"/>
      <w:lvlText w:val=""/>
      <w:lvlJc w:val="left"/>
      <w:pPr>
        <w:ind w:left="2880" w:hanging="360"/>
      </w:pPr>
      <w:rPr>
        <w:rFonts w:ascii="Symbol" w:hAnsi="Symbol" w:hint="default"/>
      </w:rPr>
    </w:lvl>
    <w:lvl w:ilvl="4" w:tplc="830AA378">
      <w:start w:val="1"/>
      <w:numFmt w:val="bullet"/>
      <w:lvlText w:val="o"/>
      <w:lvlJc w:val="left"/>
      <w:pPr>
        <w:ind w:left="3600" w:hanging="360"/>
      </w:pPr>
      <w:rPr>
        <w:rFonts w:ascii="Courier New" w:hAnsi="Courier New" w:hint="default"/>
      </w:rPr>
    </w:lvl>
    <w:lvl w:ilvl="5" w:tplc="C3E6D60E">
      <w:start w:val="1"/>
      <w:numFmt w:val="bullet"/>
      <w:lvlText w:val=""/>
      <w:lvlJc w:val="left"/>
      <w:pPr>
        <w:ind w:left="4320" w:hanging="360"/>
      </w:pPr>
      <w:rPr>
        <w:rFonts w:ascii="Wingdings" w:hAnsi="Wingdings" w:hint="default"/>
      </w:rPr>
    </w:lvl>
    <w:lvl w:ilvl="6" w:tplc="8ACC2EA4">
      <w:start w:val="1"/>
      <w:numFmt w:val="bullet"/>
      <w:lvlText w:val=""/>
      <w:lvlJc w:val="left"/>
      <w:pPr>
        <w:ind w:left="5040" w:hanging="360"/>
      </w:pPr>
      <w:rPr>
        <w:rFonts w:ascii="Symbol" w:hAnsi="Symbol" w:hint="default"/>
      </w:rPr>
    </w:lvl>
    <w:lvl w:ilvl="7" w:tplc="9E0A639C">
      <w:start w:val="1"/>
      <w:numFmt w:val="bullet"/>
      <w:lvlText w:val="o"/>
      <w:lvlJc w:val="left"/>
      <w:pPr>
        <w:ind w:left="5760" w:hanging="360"/>
      </w:pPr>
      <w:rPr>
        <w:rFonts w:ascii="Courier New" w:hAnsi="Courier New" w:hint="default"/>
      </w:rPr>
    </w:lvl>
    <w:lvl w:ilvl="8" w:tplc="ACB2D2A0">
      <w:start w:val="1"/>
      <w:numFmt w:val="bullet"/>
      <w:lvlText w:val=""/>
      <w:lvlJc w:val="left"/>
      <w:pPr>
        <w:ind w:left="6480" w:hanging="360"/>
      </w:pPr>
      <w:rPr>
        <w:rFonts w:ascii="Wingdings" w:hAnsi="Wingdings" w:hint="default"/>
      </w:rPr>
    </w:lvl>
  </w:abstractNum>
  <w:abstractNum w:abstractNumId="46" w15:restartNumberingAfterBreak="0">
    <w:nsid w:val="7DCBB4B0"/>
    <w:multiLevelType w:val="hybridMultilevel"/>
    <w:tmpl w:val="0E065DBE"/>
    <w:lvl w:ilvl="0" w:tplc="D9DEBF24">
      <w:start w:val="1"/>
      <w:numFmt w:val="bullet"/>
      <w:lvlText w:val=""/>
      <w:lvlJc w:val="left"/>
      <w:pPr>
        <w:ind w:left="720" w:hanging="360"/>
      </w:pPr>
      <w:rPr>
        <w:rFonts w:ascii="Symbol" w:hAnsi="Symbol" w:hint="default"/>
      </w:rPr>
    </w:lvl>
    <w:lvl w:ilvl="1" w:tplc="7570DB02">
      <w:start w:val="1"/>
      <w:numFmt w:val="bullet"/>
      <w:lvlText w:val="o"/>
      <w:lvlJc w:val="left"/>
      <w:pPr>
        <w:ind w:left="1440" w:hanging="360"/>
      </w:pPr>
      <w:rPr>
        <w:rFonts w:ascii="Courier New" w:hAnsi="Courier New" w:hint="default"/>
      </w:rPr>
    </w:lvl>
    <w:lvl w:ilvl="2" w:tplc="71207808">
      <w:start w:val="1"/>
      <w:numFmt w:val="bullet"/>
      <w:lvlText w:val=""/>
      <w:lvlJc w:val="left"/>
      <w:pPr>
        <w:ind w:left="2160" w:hanging="360"/>
      </w:pPr>
      <w:rPr>
        <w:rFonts w:ascii="Wingdings" w:hAnsi="Wingdings" w:hint="default"/>
      </w:rPr>
    </w:lvl>
    <w:lvl w:ilvl="3" w:tplc="64FEE128">
      <w:start w:val="1"/>
      <w:numFmt w:val="bullet"/>
      <w:lvlText w:val=""/>
      <w:lvlJc w:val="left"/>
      <w:pPr>
        <w:ind w:left="2880" w:hanging="360"/>
      </w:pPr>
      <w:rPr>
        <w:rFonts w:ascii="Symbol" w:hAnsi="Symbol" w:hint="default"/>
      </w:rPr>
    </w:lvl>
    <w:lvl w:ilvl="4" w:tplc="6CF21B60">
      <w:start w:val="1"/>
      <w:numFmt w:val="bullet"/>
      <w:lvlText w:val="o"/>
      <w:lvlJc w:val="left"/>
      <w:pPr>
        <w:ind w:left="3600" w:hanging="360"/>
      </w:pPr>
      <w:rPr>
        <w:rFonts w:ascii="Courier New" w:hAnsi="Courier New" w:hint="default"/>
      </w:rPr>
    </w:lvl>
    <w:lvl w:ilvl="5" w:tplc="A90A9466">
      <w:start w:val="1"/>
      <w:numFmt w:val="bullet"/>
      <w:lvlText w:val=""/>
      <w:lvlJc w:val="left"/>
      <w:pPr>
        <w:ind w:left="4320" w:hanging="360"/>
      </w:pPr>
      <w:rPr>
        <w:rFonts w:ascii="Wingdings" w:hAnsi="Wingdings" w:hint="default"/>
      </w:rPr>
    </w:lvl>
    <w:lvl w:ilvl="6" w:tplc="891C95EA">
      <w:start w:val="1"/>
      <w:numFmt w:val="bullet"/>
      <w:lvlText w:val=""/>
      <w:lvlJc w:val="left"/>
      <w:pPr>
        <w:ind w:left="5040" w:hanging="360"/>
      </w:pPr>
      <w:rPr>
        <w:rFonts w:ascii="Symbol" w:hAnsi="Symbol" w:hint="default"/>
      </w:rPr>
    </w:lvl>
    <w:lvl w:ilvl="7" w:tplc="E0B03C8C">
      <w:start w:val="1"/>
      <w:numFmt w:val="bullet"/>
      <w:lvlText w:val="o"/>
      <w:lvlJc w:val="left"/>
      <w:pPr>
        <w:ind w:left="5760" w:hanging="360"/>
      </w:pPr>
      <w:rPr>
        <w:rFonts w:ascii="Courier New" w:hAnsi="Courier New" w:hint="default"/>
      </w:rPr>
    </w:lvl>
    <w:lvl w:ilvl="8" w:tplc="2E0E5D7C">
      <w:start w:val="1"/>
      <w:numFmt w:val="bullet"/>
      <w:lvlText w:val=""/>
      <w:lvlJc w:val="left"/>
      <w:pPr>
        <w:ind w:left="6480" w:hanging="360"/>
      </w:pPr>
      <w:rPr>
        <w:rFonts w:ascii="Wingdings" w:hAnsi="Wingdings" w:hint="default"/>
      </w:rPr>
    </w:lvl>
  </w:abstractNum>
  <w:num w:numId="1">
    <w:abstractNumId w:val="46"/>
  </w:num>
  <w:num w:numId="2">
    <w:abstractNumId w:val="10"/>
  </w:num>
  <w:num w:numId="3">
    <w:abstractNumId w:val="40"/>
  </w:num>
  <w:num w:numId="4">
    <w:abstractNumId w:val="34"/>
  </w:num>
  <w:num w:numId="5">
    <w:abstractNumId w:val="2"/>
  </w:num>
  <w:num w:numId="6">
    <w:abstractNumId w:val="21"/>
  </w:num>
  <w:num w:numId="7">
    <w:abstractNumId w:val="31"/>
  </w:num>
  <w:num w:numId="8">
    <w:abstractNumId w:val="26"/>
  </w:num>
  <w:num w:numId="9">
    <w:abstractNumId w:val="45"/>
  </w:num>
  <w:num w:numId="10">
    <w:abstractNumId w:val="15"/>
  </w:num>
  <w:num w:numId="11">
    <w:abstractNumId w:val="38"/>
  </w:num>
  <w:num w:numId="12">
    <w:abstractNumId w:val="4"/>
  </w:num>
  <w:num w:numId="13">
    <w:abstractNumId w:val="9"/>
  </w:num>
  <w:num w:numId="14">
    <w:abstractNumId w:val="17"/>
  </w:num>
  <w:num w:numId="15">
    <w:abstractNumId w:val="3"/>
  </w:num>
  <w:num w:numId="16">
    <w:abstractNumId w:val="8"/>
  </w:num>
  <w:num w:numId="17">
    <w:abstractNumId w:val="29"/>
  </w:num>
  <w:num w:numId="18">
    <w:abstractNumId w:val="22"/>
  </w:num>
  <w:num w:numId="19">
    <w:abstractNumId w:val="16"/>
  </w:num>
  <w:num w:numId="20">
    <w:abstractNumId w:val="13"/>
  </w:num>
  <w:num w:numId="21">
    <w:abstractNumId w:val="6"/>
  </w:num>
  <w:num w:numId="22">
    <w:abstractNumId w:val="23"/>
  </w:num>
  <w:num w:numId="23">
    <w:abstractNumId w:val="39"/>
  </w:num>
  <w:num w:numId="24">
    <w:abstractNumId w:val="19"/>
  </w:num>
  <w:num w:numId="25">
    <w:abstractNumId w:val="0"/>
  </w:num>
  <w:num w:numId="26">
    <w:abstractNumId w:val="1"/>
  </w:num>
  <w:num w:numId="27">
    <w:abstractNumId w:val="20"/>
  </w:num>
  <w:num w:numId="28">
    <w:abstractNumId w:val="35"/>
  </w:num>
  <w:num w:numId="29">
    <w:abstractNumId w:val="24"/>
  </w:num>
  <w:num w:numId="30">
    <w:abstractNumId w:val="25"/>
  </w:num>
  <w:num w:numId="31">
    <w:abstractNumId w:val="43"/>
  </w:num>
  <w:num w:numId="32">
    <w:abstractNumId w:val="11"/>
  </w:num>
  <w:num w:numId="33">
    <w:abstractNumId w:val="7"/>
  </w:num>
  <w:num w:numId="34">
    <w:abstractNumId w:val="37"/>
  </w:num>
  <w:num w:numId="35">
    <w:abstractNumId w:val="32"/>
  </w:num>
  <w:num w:numId="36">
    <w:abstractNumId w:val="44"/>
  </w:num>
  <w:num w:numId="37">
    <w:abstractNumId w:val="36"/>
  </w:num>
  <w:num w:numId="38">
    <w:abstractNumId w:val="14"/>
  </w:num>
  <w:num w:numId="39">
    <w:abstractNumId w:val="30"/>
  </w:num>
  <w:num w:numId="40">
    <w:abstractNumId w:val="41"/>
  </w:num>
  <w:num w:numId="41">
    <w:abstractNumId w:val="12"/>
  </w:num>
  <w:num w:numId="42">
    <w:abstractNumId w:val="5"/>
  </w:num>
  <w:num w:numId="43">
    <w:abstractNumId w:val="28"/>
  </w:num>
  <w:num w:numId="44">
    <w:abstractNumId w:val="42"/>
  </w:num>
  <w:num w:numId="45">
    <w:abstractNumId w:val="18"/>
  </w:num>
  <w:num w:numId="46">
    <w:abstractNumId w:val="27"/>
  </w:num>
  <w:num w:numId="4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7E5E4E"/>
    <w:rsid w:val="001661CA"/>
    <w:rsid w:val="001D427C"/>
    <w:rsid w:val="00254274"/>
    <w:rsid w:val="00312BDA"/>
    <w:rsid w:val="003928A1"/>
    <w:rsid w:val="003B0E6C"/>
    <w:rsid w:val="00516521"/>
    <w:rsid w:val="00575567"/>
    <w:rsid w:val="00632154"/>
    <w:rsid w:val="0065037A"/>
    <w:rsid w:val="007F41A1"/>
    <w:rsid w:val="00864262"/>
    <w:rsid w:val="00867823"/>
    <w:rsid w:val="008A5354"/>
    <w:rsid w:val="00A5449F"/>
    <w:rsid w:val="00B93DE9"/>
    <w:rsid w:val="00BF435E"/>
    <w:rsid w:val="00CC6D2C"/>
    <w:rsid w:val="00DA0213"/>
    <w:rsid w:val="00EA5D55"/>
    <w:rsid w:val="00EF1B7A"/>
    <w:rsid w:val="00F038A7"/>
    <w:rsid w:val="00F27439"/>
    <w:rsid w:val="00FC5988"/>
    <w:rsid w:val="00FD7C93"/>
    <w:rsid w:val="014005DB"/>
    <w:rsid w:val="017C889B"/>
    <w:rsid w:val="01B4CE1B"/>
    <w:rsid w:val="024B406E"/>
    <w:rsid w:val="0286C650"/>
    <w:rsid w:val="02BD3943"/>
    <w:rsid w:val="034DE150"/>
    <w:rsid w:val="0392E7E6"/>
    <w:rsid w:val="03FFCF2C"/>
    <w:rsid w:val="04120BE7"/>
    <w:rsid w:val="044379FD"/>
    <w:rsid w:val="04593278"/>
    <w:rsid w:val="0484EA6D"/>
    <w:rsid w:val="04D6B5C0"/>
    <w:rsid w:val="04FD81F9"/>
    <w:rsid w:val="0501AF8E"/>
    <w:rsid w:val="050DAFBC"/>
    <w:rsid w:val="055740D2"/>
    <w:rsid w:val="05B77B4C"/>
    <w:rsid w:val="063AB9B5"/>
    <w:rsid w:val="063F1143"/>
    <w:rsid w:val="065CF84D"/>
    <w:rsid w:val="06DB8CA6"/>
    <w:rsid w:val="071FF1BD"/>
    <w:rsid w:val="07AFF707"/>
    <w:rsid w:val="08C9EE79"/>
    <w:rsid w:val="08F44C99"/>
    <w:rsid w:val="08F96260"/>
    <w:rsid w:val="094CBAFB"/>
    <w:rsid w:val="0972E501"/>
    <w:rsid w:val="097F0326"/>
    <w:rsid w:val="0A17A069"/>
    <w:rsid w:val="0A53CC78"/>
    <w:rsid w:val="0AC0F596"/>
    <w:rsid w:val="0B1FAC4C"/>
    <w:rsid w:val="0B48B42D"/>
    <w:rsid w:val="0C4AE844"/>
    <w:rsid w:val="0D0515C5"/>
    <w:rsid w:val="0D0C986C"/>
    <w:rsid w:val="0D5A0BE7"/>
    <w:rsid w:val="0DB0EE94"/>
    <w:rsid w:val="0E2D2E3C"/>
    <w:rsid w:val="0E37B46B"/>
    <w:rsid w:val="0E83172D"/>
    <w:rsid w:val="0E9D7BB5"/>
    <w:rsid w:val="0EB64469"/>
    <w:rsid w:val="0FD29FB6"/>
    <w:rsid w:val="0FE2DA74"/>
    <w:rsid w:val="1077B0E8"/>
    <w:rsid w:val="108EA9AA"/>
    <w:rsid w:val="10B6F89E"/>
    <w:rsid w:val="10B7B9AA"/>
    <w:rsid w:val="1128DC56"/>
    <w:rsid w:val="1155A62D"/>
    <w:rsid w:val="119318A1"/>
    <w:rsid w:val="1197F3CD"/>
    <w:rsid w:val="11BB3C58"/>
    <w:rsid w:val="11F391D0"/>
    <w:rsid w:val="1205BED6"/>
    <w:rsid w:val="122D4AFA"/>
    <w:rsid w:val="127035AA"/>
    <w:rsid w:val="12AA633F"/>
    <w:rsid w:val="138BB606"/>
    <w:rsid w:val="14268FE7"/>
    <w:rsid w:val="148BF86A"/>
    <w:rsid w:val="14E242D0"/>
    <w:rsid w:val="15993AF8"/>
    <w:rsid w:val="15A21226"/>
    <w:rsid w:val="164AB948"/>
    <w:rsid w:val="165B8EE5"/>
    <w:rsid w:val="168237CD"/>
    <w:rsid w:val="16B8D54F"/>
    <w:rsid w:val="1721D586"/>
    <w:rsid w:val="172D876D"/>
    <w:rsid w:val="17B69F0A"/>
    <w:rsid w:val="18F9A803"/>
    <w:rsid w:val="18FB5D0E"/>
    <w:rsid w:val="19507C6D"/>
    <w:rsid w:val="1951A151"/>
    <w:rsid w:val="1A24F67B"/>
    <w:rsid w:val="1A584EBB"/>
    <w:rsid w:val="1ADC634A"/>
    <w:rsid w:val="1AE7FF96"/>
    <w:rsid w:val="1B063E16"/>
    <w:rsid w:val="1BAECB45"/>
    <w:rsid w:val="1BE6CB0F"/>
    <w:rsid w:val="1CA4528A"/>
    <w:rsid w:val="1D64235C"/>
    <w:rsid w:val="1E125509"/>
    <w:rsid w:val="1E6F1A48"/>
    <w:rsid w:val="1E894A03"/>
    <w:rsid w:val="1F346614"/>
    <w:rsid w:val="1F4FB249"/>
    <w:rsid w:val="1F6008DD"/>
    <w:rsid w:val="1FA5036F"/>
    <w:rsid w:val="1FC5441D"/>
    <w:rsid w:val="1FD1A493"/>
    <w:rsid w:val="1FDD5213"/>
    <w:rsid w:val="20100CC8"/>
    <w:rsid w:val="202D4F65"/>
    <w:rsid w:val="20FCEFE6"/>
    <w:rsid w:val="2157E90E"/>
    <w:rsid w:val="21B37A5F"/>
    <w:rsid w:val="220D82CD"/>
    <w:rsid w:val="2240C977"/>
    <w:rsid w:val="2241B288"/>
    <w:rsid w:val="225A64A0"/>
    <w:rsid w:val="22995949"/>
    <w:rsid w:val="229AA335"/>
    <w:rsid w:val="23E7FDA8"/>
    <w:rsid w:val="24AADEB7"/>
    <w:rsid w:val="24B2082A"/>
    <w:rsid w:val="24D27EC5"/>
    <w:rsid w:val="24E9851C"/>
    <w:rsid w:val="257D7B81"/>
    <w:rsid w:val="263BC14D"/>
    <w:rsid w:val="270B32C2"/>
    <w:rsid w:val="279FF163"/>
    <w:rsid w:val="27A61B66"/>
    <w:rsid w:val="28888F04"/>
    <w:rsid w:val="28912133"/>
    <w:rsid w:val="289765E0"/>
    <w:rsid w:val="28B7CAF4"/>
    <w:rsid w:val="28EAA7B8"/>
    <w:rsid w:val="29662504"/>
    <w:rsid w:val="29D01C76"/>
    <w:rsid w:val="29E7D9DC"/>
    <w:rsid w:val="2A4495D7"/>
    <w:rsid w:val="2A5F81E4"/>
    <w:rsid w:val="2AD9B84C"/>
    <w:rsid w:val="2B1A5658"/>
    <w:rsid w:val="2BFB3845"/>
    <w:rsid w:val="2C567D60"/>
    <w:rsid w:val="2CB90671"/>
    <w:rsid w:val="2D2A485A"/>
    <w:rsid w:val="2D4EECDD"/>
    <w:rsid w:val="2D67E440"/>
    <w:rsid w:val="2DD41811"/>
    <w:rsid w:val="2E195A56"/>
    <w:rsid w:val="2E35F863"/>
    <w:rsid w:val="2EB0C846"/>
    <w:rsid w:val="2EDA387B"/>
    <w:rsid w:val="2F138575"/>
    <w:rsid w:val="2F5DD873"/>
    <w:rsid w:val="2F7547D0"/>
    <w:rsid w:val="2FDD5E16"/>
    <w:rsid w:val="2FFC2B1C"/>
    <w:rsid w:val="302FED0C"/>
    <w:rsid w:val="305F2C71"/>
    <w:rsid w:val="30CCBC0B"/>
    <w:rsid w:val="30F74B03"/>
    <w:rsid w:val="31C3DA6B"/>
    <w:rsid w:val="31F78B97"/>
    <w:rsid w:val="329A9ABD"/>
    <w:rsid w:val="333897E3"/>
    <w:rsid w:val="347A677B"/>
    <w:rsid w:val="347FA21C"/>
    <w:rsid w:val="34F8B914"/>
    <w:rsid w:val="357D7ABF"/>
    <w:rsid w:val="359208BD"/>
    <w:rsid w:val="35ADF470"/>
    <w:rsid w:val="3630B701"/>
    <w:rsid w:val="366D5EBF"/>
    <w:rsid w:val="3748B9C6"/>
    <w:rsid w:val="3759FE95"/>
    <w:rsid w:val="37851502"/>
    <w:rsid w:val="379137AE"/>
    <w:rsid w:val="37954EDF"/>
    <w:rsid w:val="37C4DF2D"/>
    <w:rsid w:val="3822571B"/>
    <w:rsid w:val="38BAD532"/>
    <w:rsid w:val="38CEC163"/>
    <w:rsid w:val="3942DA99"/>
    <w:rsid w:val="39C2AD70"/>
    <w:rsid w:val="39CCC999"/>
    <w:rsid w:val="39D34B8F"/>
    <w:rsid w:val="3A70C0C5"/>
    <w:rsid w:val="3A97357F"/>
    <w:rsid w:val="3AB17E8A"/>
    <w:rsid w:val="3B2198F7"/>
    <w:rsid w:val="3B370685"/>
    <w:rsid w:val="3B87CC44"/>
    <w:rsid w:val="3B924248"/>
    <w:rsid w:val="3CBC6480"/>
    <w:rsid w:val="3CC503F7"/>
    <w:rsid w:val="3D319736"/>
    <w:rsid w:val="3D3E04FF"/>
    <w:rsid w:val="3DB1EE40"/>
    <w:rsid w:val="3DCB032E"/>
    <w:rsid w:val="3E2EABBB"/>
    <w:rsid w:val="3E577CAB"/>
    <w:rsid w:val="3E5D1284"/>
    <w:rsid w:val="3F8FD21B"/>
    <w:rsid w:val="40A80A26"/>
    <w:rsid w:val="40D82E1A"/>
    <w:rsid w:val="417776E1"/>
    <w:rsid w:val="4192C651"/>
    <w:rsid w:val="419C49C9"/>
    <w:rsid w:val="42D3EE6D"/>
    <w:rsid w:val="433CF1C3"/>
    <w:rsid w:val="4357697F"/>
    <w:rsid w:val="4379BCDD"/>
    <w:rsid w:val="43BD2FAE"/>
    <w:rsid w:val="43EB8DB5"/>
    <w:rsid w:val="444BD7BB"/>
    <w:rsid w:val="44539B41"/>
    <w:rsid w:val="45436971"/>
    <w:rsid w:val="455916D0"/>
    <w:rsid w:val="455ABCF5"/>
    <w:rsid w:val="458EE4A8"/>
    <w:rsid w:val="45C4CB08"/>
    <w:rsid w:val="45D59C09"/>
    <w:rsid w:val="46013DCD"/>
    <w:rsid w:val="46187397"/>
    <w:rsid w:val="461A7360"/>
    <w:rsid w:val="46714337"/>
    <w:rsid w:val="4675BE63"/>
    <w:rsid w:val="474E3ECC"/>
    <w:rsid w:val="476A7A54"/>
    <w:rsid w:val="47CE9B6C"/>
    <w:rsid w:val="47CF3A6E"/>
    <w:rsid w:val="48270A26"/>
    <w:rsid w:val="486EBFF8"/>
    <w:rsid w:val="49F0B192"/>
    <w:rsid w:val="4A2358CA"/>
    <w:rsid w:val="4A6F5EA7"/>
    <w:rsid w:val="4AD3B7EA"/>
    <w:rsid w:val="4B917751"/>
    <w:rsid w:val="4B9C8730"/>
    <w:rsid w:val="4C0791A3"/>
    <w:rsid w:val="4C9FEBEC"/>
    <w:rsid w:val="4CA7DF9D"/>
    <w:rsid w:val="4CCC7EDC"/>
    <w:rsid w:val="4D92EBE3"/>
    <w:rsid w:val="4E11F536"/>
    <w:rsid w:val="4E237D0F"/>
    <w:rsid w:val="4E2E3EB1"/>
    <w:rsid w:val="4EC230D0"/>
    <w:rsid w:val="4EE3570F"/>
    <w:rsid w:val="4F1031B4"/>
    <w:rsid w:val="4F1173EE"/>
    <w:rsid w:val="50C39CFF"/>
    <w:rsid w:val="515EA568"/>
    <w:rsid w:val="517198DC"/>
    <w:rsid w:val="51B24542"/>
    <w:rsid w:val="523341C4"/>
    <w:rsid w:val="5252FAF8"/>
    <w:rsid w:val="52FB937C"/>
    <w:rsid w:val="53406CBA"/>
    <w:rsid w:val="537137E1"/>
    <w:rsid w:val="53D7487F"/>
    <w:rsid w:val="55A01EA2"/>
    <w:rsid w:val="55D9FA05"/>
    <w:rsid w:val="5605E465"/>
    <w:rsid w:val="561CF916"/>
    <w:rsid w:val="56550267"/>
    <w:rsid w:val="56864AAC"/>
    <w:rsid w:val="577075C9"/>
    <w:rsid w:val="582087DB"/>
    <w:rsid w:val="585F4574"/>
    <w:rsid w:val="587E5E4E"/>
    <w:rsid w:val="59122C39"/>
    <w:rsid w:val="5919FDE6"/>
    <w:rsid w:val="5983AF43"/>
    <w:rsid w:val="59B7D510"/>
    <w:rsid w:val="5A20E3E6"/>
    <w:rsid w:val="5A292936"/>
    <w:rsid w:val="5AB6CC82"/>
    <w:rsid w:val="5B9F9E93"/>
    <w:rsid w:val="5BA2DD86"/>
    <w:rsid w:val="5C0F3564"/>
    <w:rsid w:val="5C1953EA"/>
    <w:rsid w:val="5CB239FB"/>
    <w:rsid w:val="5CFEDA18"/>
    <w:rsid w:val="5DD47231"/>
    <w:rsid w:val="5E4C3409"/>
    <w:rsid w:val="5E634311"/>
    <w:rsid w:val="5E7D2D0F"/>
    <w:rsid w:val="5EE278E9"/>
    <w:rsid w:val="5F23A7C7"/>
    <w:rsid w:val="5F2CE50C"/>
    <w:rsid w:val="5F4BA7E1"/>
    <w:rsid w:val="5FE67257"/>
    <w:rsid w:val="607CD38F"/>
    <w:rsid w:val="60A8BB84"/>
    <w:rsid w:val="60DE7620"/>
    <w:rsid w:val="610EF5DC"/>
    <w:rsid w:val="6178451D"/>
    <w:rsid w:val="617AC806"/>
    <w:rsid w:val="61D173C7"/>
    <w:rsid w:val="61EBD40B"/>
    <w:rsid w:val="62C5C08A"/>
    <w:rsid w:val="631465A5"/>
    <w:rsid w:val="6337ECBE"/>
    <w:rsid w:val="638CABB3"/>
    <w:rsid w:val="63940793"/>
    <w:rsid w:val="63F524EE"/>
    <w:rsid w:val="64A43A34"/>
    <w:rsid w:val="64BFC03D"/>
    <w:rsid w:val="654FC5E8"/>
    <w:rsid w:val="656F0480"/>
    <w:rsid w:val="658388A2"/>
    <w:rsid w:val="65D9EF37"/>
    <w:rsid w:val="667766E5"/>
    <w:rsid w:val="668F2BEA"/>
    <w:rsid w:val="6692E3CF"/>
    <w:rsid w:val="673F677D"/>
    <w:rsid w:val="67F7B3CA"/>
    <w:rsid w:val="689B4874"/>
    <w:rsid w:val="689E7682"/>
    <w:rsid w:val="68AC2D3C"/>
    <w:rsid w:val="696D0202"/>
    <w:rsid w:val="696F309A"/>
    <w:rsid w:val="69AF07E2"/>
    <w:rsid w:val="69F62E9F"/>
    <w:rsid w:val="6A6B8459"/>
    <w:rsid w:val="6A74E040"/>
    <w:rsid w:val="6ACB2910"/>
    <w:rsid w:val="6ACBCCBF"/>
    <w:rsid w:val="6B036799"/>
    <w:rsid w:val="6B18CED0"/>
    <w:rsid w:val="6B1FB975"/>
    <w:rsid w:val="6B99952D"/>
    <w:rsid w:val="6BAEC44C"/>
    <w:rsid w:val="6CB396CA"/>
    <w:rsid w:val="6CB8EF88"/>
    <w:rsid w:val="6D42AB55"/>
    <w:rsid w:val="6DD9EB45"/>
    <w:rsid w:val="6EA068A6"/>
    <w:rsid w:val="6ED82761"/>
    <w:rsid w:val="6F1D641A"/>
    <w:rsid w:val="6F5ACF3C"/>
    <w:rsid w:val="700B7E4F"/>
    <w:rsid w:val="706E6AE4"/>
    <w:rsid w:val="71123D0C"/>
    <w:rsid w:val="7186DD42"/>
    <w:rsid w:val="71E6EDCA"/>
    <w:rsid w:val="71F49B2F"/>
    <w:rsid w:val="726EBC6C"/>
    <w:rsid w:val="72D5C1E3"/>
    <w:rsid w:val="72DC8671"/>
    <w:rsid w:val="7343ED6C"/>
    <w:rsid w:val="73A85131"/>
    <w:rsid w:val="74947F86"/>
    <w:rsid w:val="74DCA07D"/>
    <w:rsid w:val="74F43ACC"/>
    <w:rsid w:val="76061504"/>
    <w:rsid w:val="763CF9DD"/>
    <w:rsid w:val="76A3B253"/>
    <w:rsid w:val="770CAFA3"/>
    <w:rsid w:val="773BC5FF"/>
    <w:rsid w:val="77947315"/>
    <w:rsid w:val="77C18171"/>
    <w:rsid w:val="77DD73A0"/>
    <w:rsid w:val="7845100B"/>
    <w:rsid w:val="78601BD2"/>
    <w:rsid w:val="78B77167"/>
    <w:rsid w:val="7978C630"/>
    <w:rsid w:val="7A5CD8DC"/>
    <w:rsid w:val="7AD90F60"/>
    <w:rsid w:val="7B3B46D6"/>
    <w:rsid w:val="7B7B939E"/>
    <w:rsid w:val="7C3E72FF"/>
    <w:rsid w:val="7CCE2086"/>
    <w:rsid w:val="7D0BE4FE"/>
    <w:rsid w:val="7EF62560"/>
    <w:rsid w:val="7EFBEAFD"/>
    <w:rsid w:val="7F310E09"/>
    <w:rsid w:val="7F94AD91"/>
    <w:rsid w:val="7FB441C8"/>
    <w:rsid w:val="7FE024B1"/>
    <w:rsid w:val="7FE264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CDBDB"/>
  <w15:chartTrackingRefBased/>
  <w15:docId w15:val="{AFC5C02D-F793-4250-90FB-1646CB27A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329A9ABD"/>
    <w:pPr>
      <w:tabs>
        <w:tab w:val="center" w:pos="4680"/>
        <w:tab w:val="right" w:pos="9360"/>
      </w:tabs>
      <w:spacing w:after="0" w:line="240" w:lineRule="auto"/>
    </w:pPr>
  </w:style>
  <w:style w:type="paragraph" w:styleId="Footer">
    <w:name w:val="footer"/>
    <w:basedOn w:val="Normal"/>
    <w:uiPriority w:val="99"/>
    <w:unhideWhenUsed/>
    <w:rsid w:val="329A9ABD"/>
    <w:pPr>
      <w:tabs>
        <w:tab w:val="center" w:pos="4680"/>
        <w:tab w:val="right" w:pos="9360"/>
      </w:tabs>
      <w:spacing w:after="0" w:line="240" w:lineRule="auto"/>
    </w:pPr>
  </w:style>
  <w:style w:type="paragraph" w:styleId="ListParagraph">
    <w:name w:val="List Paragraph"/>
    <w:basedOn w:val="Normal"/>
    <w:uiPriority w:val="34"/>
    <w:qFormat/>
    <w:rsid w:val="329A9ABD"/>
    <w:pPr>
      <w:ind w:left="720"/>
      <w:contextualSpacing/>
    </w:pPr>
  </w:style>
  <w:style w:type="paragraph" w:styleId="TOC1">
    <w:name w:val="toc 1"/>
    <w:basedOn w:val="Normal"/>
    <w:next w:val="Normal"/>
    <w:uiPriority w:val="39"/>
    <w:unhideWhenUsed/>
    <w:rsid w:val="329A9ABD"/>
    <w:pPr>
      <w:spacing w:after="100"/>
    </w:pPr>
  </w:style>
  <w:style w:type="character" w:styleId="Hyperlink">
    <w:name w:val="Hyperlink"/>
    <w:basedOn w:val="DefaultParagraphFont"/>
    <w:uiPriority w:val="99"/>
    <w:unhideWhenUsed/>
    <w:rsid w:val="329A9ABD"/>
    <w:rPr>
      <w:color w:val="467886"/>
      <w:u w:val="single"/>
    </w:rPr>
  </w:style>
  <w:style w:type="paragraph" w:styleId="TOC2">
    <w:name w:val="toc 2"/>
    <w:basedOn w:val="Normal"/>
    <w:next w:val="Normal"/>
    <w:uiPriority w:val="39"/>
    <w:unhideWhenUsed/>
    <w:rsid w:val="329A9ABD"/>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A5449F"/>
    <w:pPr>
      <w:spacing w:before="100" w:beforeAutospacing="1" w:after="100" w:afterAutospacing="1" w:line="240" w:lineRule="auto"/>
    </w:pPr>
    <w:rPr>
      <w:rFonts w:ascii="Times New Roman" w:eastAsia="Times New Roman" w:hAnsi="Times New Roman" w:cs="Times New Roman"/>
      <w:lang w:val="en-IN" w:eastAsia="en-IN"/>
    </w:rPr>
  </w:style>
  <w:style w:type="paragraph" w:styleId="Caption">
    <w:name w:val="caption"/>
    <w:basedOn w:val="Normal"/>
    <w:next w:val="Normal"/>
    <w:uiPriority w:val="35"/>
    <w:unhideWhenUsed/>
    <w:qFormat/>
    <w:rsid w:val="008A5354"/>
    <w:pPr>
      <w:spacing w:after="200" w:line="240" w:lineRule="auto"/>
    </w:pPr>
    <w:rPr>
      <w:i/>
      <w:iCs/>
      <w:color w:val="0E2841" w:themeColor="text2"/>
      <w:sz w:val="18"/>
      <w:szCs w:val="18"/>
    </w:rPr>
  </w:style>
  <w:style w:type="paragraph" w:customStyle="1" w:styleId="font-claude-response-body">
    <w:name w:val="font-claude-response-body"/>
    <w:basedOn w:val="Normal"/>
    <w:rsid w:val="008A5354"/>
    <w:pPr>
      <w:spacing w:before="100" w:beforeAutospacing="1" w:after="100" w:afterAutospacing="1" w:line="240" w:lineRule="auto"/>
    </w:pPr>
    <w:rPr>
      <w:rFonts w:ascii="Times New Roman" w:eastAsia="Times New Roman" w:hAnsi="Times New Roman" w:cs="Times New Roman"/>
      <w:lang w:val="en-IN" w:eastAsia="en-IN"/>
    </w:rPr>
  </w:style>
  <w:style w:type="character" w:styleId="Emphasis">
    <w:name w:val="Emphasis"/>
    <w:basedOn w:val="DefaultParagraphFont"/>
    <w:uiPriority w:val="20"/>
    <w:qFormat/>
    <w:rsid w:val="008A5354"/>
    <w:rPr>
      <w:i/>
      <w:iCs/>
    </w:rPr>
  </w:style>
  <w:style w:type="character" w:styleId="Strong">
    <w:name w:val="Strong"/>
    <w:basedOn w:val="DefaultParagraphFont"/>
    <w:uiPriority w:val="22"/>
    <w:qFormat/>
    <w:rsid w:val="003928A1"/>
    <w:rPr>
      <w:b/>
      <w:bCs/>
    </w:rPr>
  </w:style>
  <w:style w:type="character" w:styleId="FollowedHyperlink">
    <w:name w:val="FollowedHyperlink"/>
    <w:basedOn w:val="DefaultParagraphFont"/>
    <w:uiPriority w:val="99"/>
    <w:semiHidden/>
    <w:unhideWhenUsed/>
    <w:rsid w:val="0051652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590039">
      <w:bodyDiv w:val="1"/>
      <w:marLeft w:val="0"/>
      <w:marRight w:val="0"/>
      <w:marTop w:val="0"/>
      <w:marBottom w:val="0"/>
      <w:divBdr>
        <w:top w:val="none" w:sz="0" w:space="0" w:color="auto"/>
        <w:left w:val="none" w:sz="0" w:space="0" w:color="auto"/>
        <w:bottom w:val="none" w:sz="0" w:space="0" w:color="auto"/>
        <w:right w:val="none" w:sz="0" w:space="0" w:color="auto"/>
      </w:divBdr>
    </w:div>
    <w:div w:id="68381885">
      <w:bodyDiv w:val="1"/>
      <w:marLeft w:val="0"/>
      <w:marRight w:val="0"/>
      <w:marTop w:val="0"/>
      <w:marBottom w:val="0"/>
      <w:divBdr>
        <w:top w:val="none" w:sz="0" w:space="0" w:color="auto"/>
        <w:left w:val="none" w:sz="0" w:space="0" w:color="auto"/>
        <w:bottom w:val="none" w:sz="0" w:space="0" w:color="auto"/>
        <w:right w:val="none" w:sz="0" w:space="0" w:color="auto"/>
      </w:divBdr>
    </w:div>
    <w:div w:id="183053835">
      <w:bodyDiv w:val="1"/>
      <w:marLeft w:val="0"/>
      <w:marRight w:val="0"/>
      <w:marTop w:val="0"/>
      <w:marBottom w:val="0"/>
      <w:divBdr>
        <w:top w:val="none" w:sz="0" w:space="0" w:color="auto"/>
        <w:left w:val="none" w:sz="0" w:space="0" w:color="auto"/>
        <w:bottom w:val="none" w:sz="0" w:space="0" w:color="auto"/>
        <w:right w:val="none" w:sz="0" w:space="0" w:color="auto"/>
      </w:divBdr>
    </w:div>
    <w:div w:id="298266795">
      <w:bodyDiv w:val="1"/>
      <w:marLeft w:val="0"/>
      <w:marRight w:val="0"/>
      <w:marTop w:val="0"/>
      <w:marBottom w:val="0"/>
      <w:divBdr>
        <w:top w:val="none" w:sz="0" w:space="0" w:color="auto"/>
        <w:left w:val="none" w:sz="0" w:space="0" w:color="auto"/>
        <w:bottom w:val="none" w:sz="0" w:space="0" w:color="auto"/>
        <w:right w:val="none" w:sz="0" w:space="0" w:color="auto"/>
      </w:divBdr>
    </w:div>
    <w:div w:id="518204739">
      <w:bodyDiv w:val="1"/>
      <w:marLeft w:val="0"/>
      <w:marRight w:val="0"/>
      <w:marTop w:val="0"/>
      <w:marBottom w:val="0"/>
      <w:divBdr>
        <w:top w:val="none" w:sz="0" w:space="0" w:color="auto"/>
        <w:left w:val="none" w:sz="0" w:space="0" w:color="auto"/>
        <w:bottom w:val="none" w:sz="0" w:space="0" w:color="auto"/>
        <w:right w:val="none" w:sz="0" w:space="0" w:color="auto"/>
      </w:divBdr>
    </w:div>
    <w:div w:id="1077674900">
      <w:bodyDiv w:val="1"/>
      <w:marLeft w:val="0"/>
      <w:marRight w:val="0"/>
      <w:marTop w:val="0"/>
      <w:marBottom w:val="0"/>
      <w:divBdr>
        <w:top w:val="none" w:sz="0" w:space="0" w:color="auto"/>
        <w:left w:val="none" w:sz="0" w:space="0" w:color="auto"/>
        <w:bottom w:val="none" w:sz="0" w:space="0" w:color="auto"/>
        <w:right w:val="none" w:sz="0" w:space="0" w:color="auto"/>
      </w:divBdr>
    </w:div>
    <w:div w:id="1922327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en.wikipedia.org/wiki/Gregg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ssai.gov.in"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ompany-histories.com/Greggs-PLC-Company-Histor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worldbank.org/en/country/india/overview"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FE829BD-6017-493F-B0C2-C73B1556A7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TotalTime>
  <Pages>22</Pages>
  <Words>6790</Words>
  <Characters>38703</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Meetkumar Babulal Prajapati (2432308)</dc:creator>
  <cp:keywords/>
  <dc:description/>
  <cp:lastModifiedBy>LENOVO</cp:lastModifiedBy>
  <cp:revision>13</cp:revision>
  <dcterms:created xsi:type="dcterms:W3CDTF">2025-06-25T14:45:00Z</dcterms:created>
  <dcterms:modified xsi:type="dcterms:W3CDTF">2025-12-04T18:22:00Z</dcterms:modified>
</cp:coreProperties>
</file>