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EF21647" w:rsidP="7EF21647" w:rsidRDefault="7EF21647" w14:paraId="17E6ED7D" w14:textId="12BAFABC">
      <w:pPr>
        <w:pStyle w:val="Title"/>
        <w:jc w:val="center"/>
        <w:rPr>
          <w:noProof w:val="0"/>
          <w:sz w:val="144"/>
          <w:szCs w:val="144"/>
          <w:lang w:val="en-US"/>
        </w:rPr>
      </w:pPr>
    </w:p>
    <w:p w:rsidR="7EF21647" w:rsidP="7EF21647" w:rsidRDefault="7EF21647" w14:paraId="677C6B1B" w14:textId="735D5FD5">
      <w:pPr>
        <w:pStyle w:val="Title"/>
        <w:jc w:val="center"/>
        <w:rPr>
          <w:noProof w:val="0"/>
          <w:sz w:val="144"/>
          <w:szCs w:val="144"/>
          <w:lang w:val="en-US"/>
        </w:rPr>
      </w:pPr>
    </w:p>
    <w:p w:rsidR="599EC278" w:rsidP="7EF21647" w:rsidRDefault="599EC278" w14:paraId="03FA4AA7" w14:textId="2B39891B">
      <w:pPr>
        <w:pStyle w:val="Title"/>
        <w:jc w:val="center"/>
        <w:rPr>
          <w:rFonts w:ascii="Aptos" w:hAnsi="Aptos" w:eastAsia="Aptos" w:cs="Aptos"/>
          <w:b w:val="1"/>
          <w:bCs w:val="1"/>
          <w:noProof w:val="0"/>
          <w:sz w:val="144"/>
          <w:szCs w:val="144"/>
          <w:lang w:val="en-US"/>
        </w:rPr>
      </w:pPr>
      <w:r w:rsidRPr="7EF21647" w:rsidR="599EC278">
        <w:rPr>
          <w:b w:val="1"/>
          <w:bCs w:val="1"/>
          <w:noProof w:val="0"/>
          <w:sz w:val="144"/>
          <w:szCs w:val="144"/>
          <w:lang w:val="en-US"/>
        </w:rPr>
        <w:t xml:space="preserve">Assignment 2: </w:t>
      </w:r>
      <w:r w:rsidRPr="7EF21647" w:rsidR="599EC278">
        <w:rPr>
          <w:b w:val="1"/>
          <w:bCs w:val="1"/>
          <w:noProof w:val="0"/>
          <w:sz w:val="144"/>
          <w:szCs w:val="144"/>
          <w:lang w:val="en-US"/>
        </w:rPr>
        <w:t>Written Task</w:t>
      </w:r>
    </w:p>
    <w:p w:rsidR="7EF21647" w:rsidP="7EF21647" w:rsidRDefault="7EF21647" w14:paraId="5CB7EB34" w14:textId="0D8AB983">
      <w:pPr>
        <w:pStyle w:val="Normal"/>
        <w:rPr>
          <w:noProof w:val="0"/>
          <w:lang w:val="en-US"/>
        </w:rPr>
      </w:pPr>
    </w:p>
    <w:p w:rsidR="7EF21647" w:rsidP="7EF21647" w:rsidRDefault="7EF21647" w14:paraId="0FC68078" w14:textId="1AD36FA7">
      <w:pPr>
        <w:pStyle w:val="Normal"/>
        <w:rPr>
          <w:noProof w:val="0"/>
          <w:lang w:val="en-US"/>
        </w:rPr>
      </w:pPr>
    </w:p>
    <w:p w:rsidR="7EF21647" w:rsidP="7EF21647" w:rsidRDefault="7EF21647" w14:paraId="1F15B6CD" w14:textId="6C18D263">
      <w:pPr>
        <w:pStyle w:val="Normal"/>
        <w:rPr>
          <w:noProof w:val="0"/>
          <w:lang w:val="en-US"/>
        </w:rPr>
      </w:pPr>
    </w:p>
    <w:p w:rsidR="7EF21647" w:rsidP="7EF21647" w:rsidRDefault="7EF21647" w14:paraId="6CC0D535" w14:textId="576DA37A">
      <w:pPr>
        <w:pStyle w:val="Normal"/>
        <w:rPr>
          <w:noProof w:val="0"/>
          <w:lang w:val="en-US"/>
        </w:rPr>
      </w:pPr>
    </w:p>
    <w:p w:rsidR="7EF21647" w:rsidP="7EF21647" w:rsidRDefault="7EF21647" w14:paraId="2B0F232C" w14:textId="0F5685DC">
      <w:pPr>
        <w:pStyle w:val="Normal"/>
        <w:rPr>
          <w:noProof w:val="0"/>
          <w:lang w:val="en-US"/>
        </w:rPr>
      </w:pPr>
    </w:p>
    <w:p w:rsidR="7EF21647" w:rsidP="7EF21647" w:rsidRDefault="7EF21647" w14:paraId="1E64AD5B" w14:textId="1B2F8D1A">
      <w:pPr>
        <w:pStyle w:val="Normal"/>
        <w:rPr>
          <w:noProof w:val="0"/>
          <w:lang w:val="en-US"/>
        </w:rPr>
      </w:pPr>
    </w:p>
    <w:p w:rsidR="7EF21647" w:rsidP="7EF21647" w:rsidRDefault="7EF21647" w14:paraId="4A83401A" w14:textId="59C0B6D6">
      <w:pPr>
        <w:pStyle w:val="Normal"/>
        <w:rPr>
          <w:noProof w:val="0"/>
          <w:lang w:val="en-US"/>
        </w:rPr>
      </w:pPr>
    </w:p>
    <w:p w:rsidR="7EF21647" w:rsidP="7EF21647" w:rsidRDefault="7EF21647" w14:paraId="5D562E67" w14:textId="20D034D6">
      <w:pPr>
        <w:pStyle w:val="Normal"/>
        <w:rPr>
          <w:noProof w:val="0"/>
          <w:lang w:val="en-US"/>
        </w:rPr>
      </w:pPr>
    </w:p>
    <w:p w:rsidR="7EF21647" w:rsidP="7EF21647" w:rsidRDefault="7EF21647" w14:paraId="2A23E0A9" w14:textId="4A208E91">
      <w:pPr>
        <w:pStyle w:val="Normal"/>
        <w:rPr>
          <w:noProof w:val="0"/>
          <w:lang w:val="en-US"/>
        </w:rPr>
      </w:pPr>
    </w:p>
    <w:p w:rsidR="7EF21647" w:rsidP="7EF21647" w:rsidRDefault="7EF21647" w14:paraId="3B619FCE" w14:textId="228F3238">
      <w:pPr>
        <w:pStyle w:val="Normal"/>
        <w:rPr>
          <w:noProof w:val="0"/>
          <w:lang w:val="en-US"/>
        </w:rPr>
      </w:pPr>
    </w:p>
    <w:p w:rsidR="7EF21647" w:rsidP="7EF21647" w:rsidRDefault="7EF21647" w14:paraId="54B961DA" w14:textId="581555AB">
      <w:pPr>
        <w:pStyle w:val="Normal"/>
        <w:rPr>
          <w:noProof w:val="0"/>
          <w:lang w:val="en-US"/>
        </w:rPr>
      </w:pPr>
    </w:p>
    <w:p w:rsidR="7EF21647" w:rsidP="7EF21647" w:rsidRDefault="7EF21647" w14:paraId="4D9C835F" w14:textId="73FA5D7D">
      <w:pPr>
        <w:pStyle w:val="Normal"/>
        <w:rPr>
          <w:noProof w:val="0"/>
          <w:lang w:val="en-US"/>
        </w:rPr>
      </w:pPr>
    </w:p>
    <w:p w:rsidR="7EF21647" w:rsidP="0797FD4F" w:rsidRDefault="7EF21647" w14:paraId="6610CDF0" w14:textId="598E4C5D">
      <w:pPr/>
      <w:r>
        <w:br w:type="page"/>
      </w:r>
    </w:p>
    <w:p w:rsidR="7EF21647" w:rsidP="0797FD4F" w:rsidRDefault="7EF21647" w14:paraId="06D09FD5" w14:textId="49166B47">
      <w:pPr>
        <w:pStyle w:val="Heading3"/>
        <w:spacing w:before="281" w:beforeAutospacing="off" w:after="281" w:afterAutospacing="off"/>
        <w:rPr>
          <w:rFonts w:ascii="Arial" w:hAnsi="Arial" w:eastAsia="Arial" w:cs="Arial"/>
          <w:b w:val="1"/>
          <w:bCs w:val="1"/>
          <w:noProof w:val="0"/>
          <w:color w:val="auto"/>
          <w:sz w:val="22"/>
          <w:szCs w:val="22"/>
          <w:lang w:val="en-US"/>
        </w:rPr>
      </w:pPr>
      <w:r w:rsidRPr="0797FD4F" w:rsidR="18CA7430">
        <w:rPr>
          <w:rFonts w:ascii="Arial" w:hAnsi="Arial" w:eastAsia="Arial" w:cs="Arial"/>
          <w:b w:val="1"/>
          <w:bCs w:val="1"/>
          <w:noProof w:val="0"/>
          <w:color w:val="auto"/>
          <w:sz w:val="22"/>
          <w:szCs w:val="22"/>
          <w:lang w:val="en-US"/>
        </w:rPr>
        <w:t>Introduction</w:t>
      </w:r>
    </w:p>
    <w:p w:rsidR="7EF21647" w:rsidP="0797FD4F" w:rsidRDefault="7EF21647" w14:paraId="4686A80B" w14:textId="5A47FE23">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Later life is a stage often characterised by physical decline, cognitive changes, and major social transitions. For many people aged 65 and above, moving into a dementia care home involves profound adjustments, including a loss of independence and familiar surroundings. These transitions can trigger feelings of anxiety, confusion, and grief. In this context, health and social care professionals play a vital role in promoting not only physical health but also psychological wellbeing and a sense of identity (NICE, 2018).</w:t>
      </w:r>
    </w:p>
    <w:p w:rsidR="7EF21647" w:rsidP="0797FD4F" w:rsidRDefault="7EF21647" w14:paraId="6721B16E" w14:textId="06286A62">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Understanding how people think, feel, and behave in older adulthood can be strengthened through the application of psychological theory. This report explores how </w:t>
      </w:r>
      <w:r w:rsidRPr="0797FD4F" w:rsidR="18CA7430">
        <w:rPr>
          <w:rFonts w:ascii="Arial" w:hAnsi="Arial" w:eastAsia="Arial" w:cs="Arial"/>
          <w:b w:val="1"/>
          <w:bCs w:val="1"/>
          <w:noProof w:val="0"/>
          <w:color w:val="auto"/>
          <w:sz w:val="22"/>
          <w:szCs w:val="22"/>
          <w:lang w:val="en-US"/>
        </w:rPr>
        <w:t>Erikson’s Psychosocial Theory of Development</w:t>
      </w:r>
      <w:r w:rsidRPr="0797FD4F" w:rsidR="18CA7430">
        <w:rPr>
          <w:rFonts w:ascii="Arial" w:hAnsi="Arial" w:eastAsia="Arial" w:cs="Arial"/>
          <w:noProof w:val="0"/>
          <w:color w:val="auto"/>
          <w:sz w:val="22"/>
          <w:szCs w:val="22"/>
          <w:lang w:val="en-US"/>
        </w:rPr>
        <w:t xml:space="preserve"> and </w:t>
      </w:r>
      <w:r w:rsidRPr="0797FD4F" w:rsidR="18CA7430">
        <w:rPr>
          <w:rFonts w:ascii="Arial" w:hAnsi="Arial" w:eastAsia="Arial" w:cs="Arial"/>
          <w:b w:val="1"/>
          <w:bCs w:val="1"/>
          <w:noProof w:val="0"/>
          <w:color w:val="auto"/>
          <w:sz w:val="22"/>
          <w:szCs w:val="22"/>
          <w:lang w:val="en-US"/>
        </w:rPr>
        <w:t>Bandura’s Social Learning Theory</w:t>
      </w:r>
      <w:r w:rsidRPr="0797FD4F" w:rsidR="18CA7430">
        <w:rPr>
          <w:rFonts w:ascii="Arial" w:hAnsi="Arial" w:eastAsia="Arial" w:cs="Arial"/>
          <w:noProof w:val="0"/>
          <w:color w:val="auto"/>
          <w:sz w:val="22"/>
          <w:szCs w:val="22"/>
          <w:lang w:val="en-US"/>
        </w:rPr>
        <w:t xml:space="preserve"> can inform practice in dementia care. Each theory offers valuable insights into how professionals can support residents in </w:t>
      </w:r>
      <w:r w:rsidRPr="0797FD4F" w:rsidR="18CA7430">
        <w:rPr>
          <w:rFonts w:ascii="Arial" w:hAnsi="Arial" w:eastAsia="Arial" w:cs="Arial"/>
          <w:noProof w:val="0"/>
          <w:color w:val="auto"/>
          <w:sz w:val="22"/>
          <w:szCs w:val="22"/>
          <w:lang w:val="en-US"/>
        </w:rPr>
        <w:t>maintaining</w:t>
      </w:r>
      <w:r w:rsidRPr="0797FD4F" w:rsidR="18CA7430">
        <w:rPr>
          <w:rFonts w:ascii="Arial" w:hAnsi="Arial" w:eastAsia="Arial" w:cs="Arial"/>
          <w:noProof w:val="0"/>
          <w:color w:val="auto"/>
          <w:sz w:val="22"/>
          <w:szCs w:val="22"/>
          <w:lang w:val="en-US"/>
        </w:rPr>
        <w:t xml:space="preserve"> dignity, identity, and emotional stability. The discussion examines the theoretical background, practical applications, </w:t>
      </w:r>
      <w:r w:rsidRPr="0797FD4F" w:rsidR="18CA7430">
        <w:rPr>
          <w:rFonts w:ascii="Arial" w:hAnsi="Arial" w:eastAsia="Arial" w:cs="Arial"/>
          <w:noProof w:val="0"/>
          <w:color w:val="auto"/>
          <w:sz w:val="22"/>
          <w:szCs w:val="22"/>
          <w:lang w:val="en-US"/>
        </w:rPr>
        <w:t>common challenges</w:t>
      </w:r>
      <w:r w:rsidRPr="0797FD4F" w:rsidR="18CA7430">
        <w:rPr>
          <w:rFonts w:ascii="Arial" w:hAnsi="Arial" w:eastAsia="Arial" w:cs="Arial"/>
          <w:noProof w:val="0"/>
          <w:color w:val="auto"/>
          <w:sz w:val="22"/>
          <w:szCs w:val="22"/>
          <w:lang w:val="en-US"/>
        </w:rPr>
        <w:t>, and strategies to overcome them, with the aim of promoting evidence-based, person-</w:t>
      </w:r>
      <w:r w:rsidRPr="0797FD4F" w:rsidR="18CA7430">
        <w:rPr>
          <w:rFonts w:ascii="Arial" w:hAnsi="Arial" w:eastAsia="Arial" w:cs="Arial"/>
          <w:noProof w:val="0"/>
          <w:color w:val="auto"/>
          <w:sz w:val="22"/>
          <w:szCs w:val="22"/>
          <w:lang w:val="en-US"/>
        </w:rPr>
        <w:t>centred</w:t>
      </w:r>
      <w:r w:rsidRPr="0797FD4F" w:rsidR="18CA7430">
        <w:rPr>
          <w:rFonts w:ascii="Arial" w:hAnsi="Arial" w:eastAsia="Arial" w:cs="Arial"/>
          <w:noProof w:val="0"/>
          <w:color w:val="auto"/>
          <w:sz w:val="22"/>
          <w:szCs w:val="22"/>
          <w:lang w:val="en-US"/>
        </w:rPr>
        <w:t xml:space="preserve"> support for older adults living with dementia.</w:t>
      </w:r>
    </w:p>
    <w:p w:rsidR="7EF21647" w:rsidP="0797FD4F" w:rsidRDefault="7EF21647" w14:paraId="3AE64D3D" w14:textId="7672BCD6">
      <w:pPr>
        <w:pStyle w:val="Heading3"/>
        <w:spacing w:before="281" w:beforeAutospacing="off" w:after="281" w:afterAutospacing="off"/>
        <w:rPr>
          <w:rFonts w:ascii="Arial" w:hAnsi="Arial" w:eastAsia="Arial" w:cs="Arial"/>
          <w:b w:val="1"/>
          <w:bCs w:val="1"/>
          <w:noProof w:val="0"/>
          <w:color w:val="auto"/>
          <w:sz w:val="22"/>
          <w:szCs w:val="22"/>
          <w:lang w:val="en-US"/>
        </w:rPr>
      </w:pPr>
      <w:r w:rsidRPr="0797FD4F" w:rsidR="18CA7430">
        <w:rPr>
          <w:rFonts w:ascii="Arial" w:hAnsi="Arial" w:eastAsia="Arial" w:cs="Arial"/>
          <w:b w:val="1"/>
          <w:bCs w:val="1"/>
          <w:noProof w:val="0"/>
          <w:color w:val="auto"/>
          <w:sz w:val="22"/>
          <w:szCs w:val="22"/>
          <w:lang w:val="en-US"/>
        </w:rPr>
        <w:t>Erikson’s Psychosocial Theory of Development</w:t>
      </w:r>
    </w:p>
    <w:p w:rsidR="7EF21647" w:rsidP="0797FD4F" w:rsidRDefault="7EF21647" w14:paraId="0D08D958" w14:textId="6CAC60E6">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Erik Erikson (1950) proposed that human development unfolds across eight psychosocial stages, each involving a key conflict between two opposing emotional forces. The final stage, </w:t>
      </w:r>
      <w:r w:rsidRPr="0797FD4F" w:rsidR="18CA7430">
        <w:rPr>
          <w:rFonts w:ascii="Arial" w:hAnsi="Arial" w:eastAsia="Arial" w:cs="Arial"/>
          <w:b w:val="1"/>
          <w:bCs w:val="1"/>
          <w:noProof w:val="0"/>
          <w:color w:val="auto"/>
          <w:sz w:val="22"/>
          <w:szCs w:val="22"/>
          <w:lang w:val="en-US"/>
        </w:rPr>
        <w:t>Integrity versus Despair</w:t>
      </w:r>
      <w:r w:rsidRPr="0797FD4F" w:rsidR="18CA7430">
        <w:rPr>
          <w:rFonts w:ascii="Arial" w:hAnsi="Arial" w:eastAsia="Arial" w:cs="Arial"/>
          <w:noProof w:val="0"/>
          <w:color w:val="auto"/>
          <w:sz w:val="22"/>
          <w:szCs w:val="22"/>
          <w:lang w:val="en-US"/>
        </w:rPr>
        <w:t>, occurs during late adulthood. At this stage, individuals look back on their life achievements and failures, evaluating whether they have lived meaningfully. Successful resolution leads to a sense of integrity, wisdom, and acceptance of one’s life course. Conversely, failure to find meaning may lead to despair, regret, and fear of death (McLeod, 2023).</w:t>
      </w:r>
    </w:p>
    <w:p w:rsidR="7EF21647" w:rsidP="0797FD4F" w:rsidRDefault="7EF21647" w14:paraId="00B81A1C" w14:textId="5CD73F54">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Erikson argued that older adults derive psychological stability by maintaining a coherent life narrative. For people with dementia, however, this coherence can be disrupted due to memory loss and confusion (Papalia and Feldman, 2021). The inability to recall or link past experiences may trigger frustration, sadness, or behavioural distress. Care professionals can use Erikson’s framework to understand that such emotional reactions often stem from unresolved psychosocial conflict rather than simply cognitive impairment.</w:t>
      </w:r>
    </w:p>
    <w:p w:rsidR="7EF21647" w:rsidP="0797FD4F" w:rsidRDefault="7EF21647" w14:paraId="1F446D5F" w14:textId="7D28378A">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One way to apply Erikson’s theory in dementia care is through </w:t>
      </w:r>
      <w:r w:rsidRPr="0797FD4F" w:rsidR="18CA7430">
        <w:rPr>
          <w:rFonts w:ascii="Arial" w:hAnsi="Arial" w:eastAsia="Arial" w:cs="Arial"/>
          <w:b w:val="1"/>
          <w:bCs w:val="1"/>
          <w:noProof w:val="0"/>
          <w:color w:val="auto"/>
          <w:sz w:val="22"/>
          <w:szCs w:val="22"/>
          <w:lang w:val="en-US"/>
        </w:rPr>
        <w:t>reminiscence therapy</w:t>
      </w:r>
      <w:r w:rsidRPr="0797FD4F" w:rsidR="18CA7430">
        <w:rPr>
          <w:rFonts w:ascii="Arial" w:hAnsi="Arial" w:eastAsia="Arial" w:cs="Arial"/>
          <w:noProof w:val="0"/>
          <w:color w:val="auto"/>
          <w:sz w:val="22"/>
          <w:szCs w:val="22"/>
          <w:lang w:val="en-US"/>
        </w:rPr>
        <w:t>, which encourages residents to revisit meaningful life events through sensory cues like photographs, music, or scents. Westerhof and Bohlmeijer (2014) found that reminiscence activities foster self-continuity, enhance mood, and reduce symptoms of depression among older adults. In practice, a carer might invite a resident to share memories while listening to familiar songs from their youth, which can restore a sense of identity and belonging.</w:t>
      </w:r>
    </w:p>
    <w:p w:rsidR="7EF21647" w:rsidP="0797FD4F" w:rsidRDefault="7EF21647" w14:paraId="70882E1D" w14:textId="488A7696">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Another approach consistent with Erikson’s theory is </w:t>
      </w:r>
      <w:r w:rsidRPr="0797FD4F" w:rsidR="18CA7430">
        <w:rPr>
          <w:rFonts w:ascii="Arial" w:hAnsi="Arial" w:eastAsia="Arial" w:cs="Arial"/>
          <w:b w:val="1"/>
          <w:bCs w:val="1"/>
          <w:noProof w:val="0"/>
          <w:color w:val="auto"/>
          <w:sz w:val="22"/>
          <w:szCs w:val="22"/>
          <w:lang w:val="en-US"/>
        </w:rPr>
        <w:t>validation therapy</w:t>
      </w:r>
      <w:r w:rsidRPr="0797FD4F" w:rsidR="18CA7430">
        <w:rPr>
          <w:rFonts w:ascii="Arial" w:hAnsi="Arial" w:eastAsia="Arial" w:cs="Arial"/>
          <w:noProof w:val="0"/>
          <w:color w:val="auto"/>
          <w:sz w:val="22"/>
          <w:szCs w:val="22"/>
          <w:lang w:val="en-US"/>
        </w:rPr>
        <w:t>, developed by Feil (1993). Feil observed that older adults with dementia often express unresolved emotions through confusion or agitation. By validating their feelings instead of correcting inaccuracies, carers can reduce distress and improve trust. For instance, responding empathetically to a resident waiting for a deceased spouse (“You must miss him very much”) acknowledges the underlying emotion and promotes calmness.</w:t>
      </w:r>
    </w:p>
    <w:p w:rsidR="7EF21647" w:rsidP="0797FD4F" w:rsidRDefault="7EF21647" w14:paraId="737EF0C1" w14:textId="4389BFFB">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However, implementing these techniques can be challenging. Time constraints, staff shortages, and lack of training often prevent consistent psychosocial engagement (Brooker and Latham, 2015). Additionally, advanced dementia may limit residents’ ability to </w:t>
      </w:r>
      <w:r w:rsidRPr="0797FD4F" w:rsidR="18CA7430">
        <w:rPr>
          <w:rFonts w:ascii="Arial" w:hAnsi="Arial" w:eastAsia="Arial" w:cs="Arial"/>
          <w:noProof w:val="0"/>
          <w:color w:val="auto"/>
          <w:sz w:val="22"/>
          <w:szCs w:val="22"/>
          <w:lang w:val="en-US"/>
        </w:rPr>
        <w:t>verbalise</w:t>
      </w:r>
      <w:r w:rsidRPr="0797FD4F" w:rsidR="18CA7430">
        <w:rPr>
          <w:rFonts w:ascii="Arial" w:hAnsi="Arial" w:eastAsia="Arial" w:cs="Arial"/>
          <w:noProof w:val="0"/>
          <w:color w:val="auto"/>
          <w:sz w:val="22"/>
          <w:szCs w:val="22"/>
          <w:lang w:val="en-US"/>
        </w:rPr>
        <w:t xml:space="preserve"> memories. To address this, staff can embed </w:t>
      </w:r>
      <w:r w:rsidRPr="0797FD4F" w:rsidR="18CA7430">
        <w:rPr>
          <w:rFonts w:ascii="Arial" w:hAnsi="Arial" w:eastAsia="Arial" w:cs="Arial"/>
          <w:b w:val="1"/>
          <w:bCs w:val="1"/>
          <w:noProof w:val="0"/>
          <w:color w:val="auto"/>
          <w:sz w:val="22"/>
          <w:szCs w:val="22"/>
          <w:lang w:val="en-US"/>
        </w:rPr>
        <w:t>micro-reminiscence</w:t>
      </w:r>
      <w:r w:rsidRPr="0797FD4F" w:rsidR="18CA7430">
        <w:rPr>
          <w:rFonts w:ascii="Arial" w:hAnsi="Arial" w:eastAsia="Arial" w:cs="Arial"/>
          <w:noProof w:val="0"/>
          <w:color w:val="auto"/>
          <w:sz w:val="22"/>
          <w:szCs w:val="22"/>
          <w:lang w:val="en-US"/>
        </w:rPr>
        <w:t xml:space="preserve">—brief memory triggers during routine care, such as discussing a </w:t>
      </w:r>
      <w:r w:rsidRPr="0797FD4F" w:rsidR="18CA7430">
        <w:rPr>
          <w:rFonts w:ascii="Arial" w:hAnsi="Arial" w:eastAsia="Arial" w:cs="Arial"/>
          <w:noProof w:val="0"/>
          <w:color w:val="auto"/>
          <w:sz w:val="22"/>
          <w:szCs w:val="22"/>
          <w:lang w:val="en-US"/>
        </w:rPr>
        <w:t>favourite</w:t>
      </w:r>
      <w:r w:rsidRPr="0797FD4F" w:rsidR="18CA7430">
        <w:rPr>
          <w:rFonts w:ascii="Arial" w:hAnsi="Arial" w:eastAsia="Arial" w:cs="Arial"/>
          <w:noProof w:val="0"/>
          <w:color w:val="auto"/>
          <w:sz w:val="22"/>
          <w:szCs w:val="22"/>
          <w:lang w:val="en-US"/>
        </w:rPr>
        <w:t xml:space="preserve"> film or holiday destination—into daily interactions. Staff training in communication and empathy is also critical to ensure psychological approaches are used sensitively and effectively (NICE, 2018).</w:t>
      </w:r>
    </w:p>
    <w:p w:rsidR="7EF21647" w:rsidP="0797FD4F" w:rsidRDefault="7EF21647" w14:paraId="00766C8B" w14:textId="1BDA5CDB">
      <w:pPr>
        <w:pStyle w:val="Heading3"/>
        <w:spacing w:before="281" w:beforeAutospacing="off" w:after="281" w:afterAutospacing="off"/>
        <w:rPr>
          <w:rFonts w:ascii="Arial" w:hAnsi="Arial" w:eastAsia="Arial" w:cs="Arial"/>
          <w:b w:val="1"/>
          <w:bCs w:val="1"/>
          <w:noProof w:val="0"/>
          <w:color w:val="auto"/>
          <w:sz w:val="22"/>
          <w:szCs w:val="22"/>
          <w:lang w:val="en-US"/>
        </w:rPr>
      </w:pPr>
      <w:r w:rsidRPr="0797FD4F" w:rsidR="18CA7430">
        <w:rPr>
          <w:rFonts w:ascii="Arial" w:hAnsi="Arial" w:eastAsia="Arial" w:cs="Arial"/>
          <w:b w:val="1"/>
          <w:bCs w:val="1"/>
          <w:noProof w:val="0"/>
          <w:color w:val="auto"/>
          <w:sz w:val="22"/>
          <w:szCs w:val="22"/>
          <w:lang w:val="en-US"/>
        </w:rPr>
        <w:t>Challenges and Critical Evaluation of Erikson’s Model</w:t>
      </w:r>
    </w:p>
    <w:p w:rsidR="7EF21647" w:rsidP="0797FD4F" w:rsidRDefault="7EF21647" w14:paraId="4AAD330F" w14:textId="2A0F2618">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While Erikson’s theory provides valuable guidance, some scholars argue it overemphasises Western cultural notions of “life review” and individual achievement (Hamachek, 1990). In multicultural care homes, residents may value collective family roles or spirituality more than personal accomplishments. Care professionals should therefore adapt interventions to reflect individual values and cultural backgrounds.</w:t>
      </w:r>
    </w:p>
    <w:p w:rsidR="7EF21647" w:rsidP="0797FD4F" w:rsidRDefault="7EF21647" w14:paraId="5894BDF1" w14:textId="542ABB1C">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Another limitation is that Erikson’s model is linear and may not fully account for the cyclical or fluctuating nature of dementia. A person might experience moments of clarity (integrity) followed by confusion (despair). This means professionals must adopt a flexible, moment-to-moment approach, reinforcing positive emotions whenever possible.</w:t>
      </w:r>
    </w:p>
    <w:p w:rsidR="7EF21647" w:rsidP="0797FD4F" w:rsidRDefault="7EF21647" w14:paraId="5801B288" w14:textId="2BA11E79">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Despite these critiques, Erikson’s model </w:t>
      </w:r>
      <w:r w:rsidRPr="0797FD4F" w:rsidR="18CA7430">
        <w:rPr>
          <w:rFonts w:ascii="Arial" w:hAnsi="Arial" w:eastAsia="Arial" w:cs="Arial"/>
          <w:noProof w:val="0"/>
          <w:color w:val="auto"/>
          <w:sz w:val="22"/>
          <w:szCs w:val="22"/>
          <w:lang w:val="en-US"/>
        </w:rPr>
        <w:t>remains</w:t>
      </w:r>
      <w:r w:rsidRPr="0797FD4F" w:rsidR="18CA7430">
        <w:rPr>
          <w:rFonts w:ascii="Arial" w:hAnsi="Arial" w:eastAsia="Arial" w:cs="Arial"/>
          <w:noProof w:val="0"/>
          <w:color w:val="auto"/>
          <w:sz w:val="22"/>
          <w:szCs w:val="22"/>
          <w:lang w:val="en-US"/>
        </w:rPr>
        <w:t xml:space="preserve"> a powerful framework for understanding emotional needs in later life. It encourages carers to treat residents as whole individuals with life stories, rather than as patients defined solely by disease.</w:t>
      </w:r>
    </w:p>
    <w:p w:rsidR="7EF21647" w:rsidP="0797FD4F" w:rsidRDefault="7EF21647" w14:paraId="6B216A3B" w14:textId="64D17E83">
      <w:pPr>
        <w:pStyle w:val="Heading3"/>
        <w:spacing w:before="281" w:beforeAutospacing="off" w:after="281" w:afterAutospacing="off"/>
        <w:rPr>
          <w:rFonts w:ascii="Arial" w:hAnsi="Arial" w:eastAsia="Arial" w:cs="Arial"/>
          <w:b w:val="1"/>
          <w:bCs w:val="1"/>
          <w:noProof w:val="0"/>
          <w:color w:val="auto"/>
          <w:sz w:val="22"/>
          <w:szCs w:val="22"/>
          <w:lang w:val="en-US"/>
        </w:rPr>
      </w:pPr>
      <w:r w:rsidRPr="0797FD4F" w:rsidR="18CA7430">
        <w:rPr>
          <w:rFonts w:ascii="Arial" w:hAnsi="Arial" w:eastAsia="Arial" w:cs="Arial"/>
          <w:b w:val="1"/>
          <w:bCs w:val="1"/>
          <w:noProof w:val="0"/>
          <w:color w:val="auto"/>
          <w:sz w:val="22"/>
          <w:szCs w:val="22"/>
          <w:lang w:val="en-US"/>
        </w:rPr>
        <w:t>Bandura’s Social Learning Theory</w:t>
      </w:r>
    </w:p>
    <w:p w:rsidR="7EF21647" w:rsidP="0797FD4F" w:rsidRDefault="7EF21647" w14:paraId="3BFD339D" w14:textId="44DBC2A7">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Albert Bandura (1977) proposed that much of human behaviour is learned through </w:t>
      </w:r>
      <w:r w:rsidRPr="0797FD4F" w:rsidR="18CA7430">
        <w:rPr>
          <w:rFonts w:ascii="Arial" w:hAnsi="Arial" w:eastAsia="Arial" w:cs="Arial"/>
          <w:b w:val="1"/>
          <w:bCs w:val="1"/>
          <w:noProof w:val="0"/>
          <w:color w:val="auto"/>
          <w:sz w:val="22"/>
          <w:szCs w:val="22"/>
          <w:lang w:val="en-US"/>
        </w:rPr>
        <w:t>observation, imitation, and modelling</w:t>
      </w:r>
      <w:r w:rsidRPr="0797FD4F" w:rsidR="18CA7430">
        <w:rPr>
          <w:rFonts w:ascii="Arial" w:hAnsi="Arial" w:eastAsia="Arial" w:cs="Arial"/>
          <w:noProof w:val="0"/>
          <w:color w:val="auto"/>
          <w:sz w:val="22"/>
          <w:szCs w:val="22"/>
          <w:lang w:val="en-US"/>
        </w:rPr>
        <w:t xml:space="preserve"> within a social environment. Learning occurs not only through direct experience but also by observing others and noting the consequences of their actions. This involves four main processes: </w:t>
      </w:r>
      <w:r w:rsidRPr="0797FD4F" w:rsidR="18CA7430">
        <w:rPr>
          <w:rFonts w:ascii="Arial" w:hAnsi="Arial" w:eastAsia="Arial" w:cs="Arial"/>
          <w:b w:val="1"/>
          <w:bCs w:val="1"/>
          <w:noProof w:val="0"/>
          <w:color w:val="auto"/>
          <w:sz w:val="22"/>
          <w:szCs w:val="22"/>
          <w:lang w:val="en-US"/>
        </w:rPr>
        <w:t>attention, retention, reproduction, and motivation</w:t>
      </w:r>
      <w:r w:rsidRPr="0797FD4F" w:rsidR="18CA7430">
        <w:rPr>
          <w:rFonts w:ascii="Arial" w:hAnsi="Arial" w:eastAsia="Arial" w:cs="Arial"/>
          <w:noProof w:val="0"/>
          <w:color w:val="auto"/>
          <w:sz w:val="22"/>
          <w:szCs w:val="22"/>
          <w:lang w:val="en-US"/>
        </w:rPr>
        <w:t xml:space="preserve"> (Bandura, 1986).</w:t>
      </w:r>
    </w:p>
    <w:p w:rsidR="7EF21647" w:rsidP="0797FD4F" w:rsidRDefault="7EF21647" w14:paraId="29D11F9B" w14:textId="3FB25DC2">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In dementia care homes, this theory is particularly relevant because residents constantly observe staff and other residents. The way carers communicate, express emotions, and manage stress provides behavioural models for residents to imitate. For example, calm, reassuring communication by staff can lead to reduced agitation among residents, as they unconsciously mirror the emotional tone (Brooker and Latham, 2015).</w:t>
      </w:r>
    </w:p>
    <w:p w:rsidR="7EF21647" w:rsidP="0797FD4F" w:rsidRDefault="7EF21647" w14:paraId="62402DE1" w14:textId="3710965A">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Bandura’s concept of </w:t>
      </w:r>
      <w:r w:rsidRPr="0797FD4F" w:rsidR="18CA7430">
        <w:rPr>
          <w:rFonts w:ascii="Arial" w:hAnsi="Arial" w:eastAsia="Arial" w:cs="Arial"/>
          <w:b w:val="1"/>
          <w:bCs w:val="1"/>
          <w:noProof w:val="0"/>
          <w:color w:val="auto"/>
          <w:sz w:val="22"/>
          <w:szCs w:val="22"/>
          <w:lang w:val="en-US"/>
        </w:rPr>
        <w:t>self-efficacy</w:t>
      </w:r>
      <w:r w:rsidRPr="0797FD4F" w:rsidR="18CA7430">
        <w:rPr>
          <w:rFonts w:ascii="Arial" w:hAnsi="Arial" w:eastAsia="Arial" w:cs="Arial"/>
          <w:noProof w:val="0"/>
          <w:color w:val="auto"/>
          <w:sz w:val="22"/>
          <w:szCs w:val="22"/>
          <w:lang w:val="en-US"/>
        </w:rPr>
        <w:t>—a person’s belief in their ability to perform tasks—is also highly applicable. Dementia can undermine confidence and increase dependency. Encouraging residents to engage in manageable activities, such as folding towels or watering plants, can promote feelings of competence and purpose. Akhondzadeh et al. (2022) found that older adults with higher self-efficacy report greater life satisfaction and lower anxiety.</w:t>
      </w:r>
    </w:p>
    <w:p w:rsidR="7EF21647" w:rsidP="0797FD4F" w:rsidRDefault="7EF21647" w14:paraId="35192984" w14:textId="05968B69">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Social Learning Theory also underlines the value of </w:t>
      </w:r>
      <w:r w:rsidRPr="0797FD4F" w:rsidR="18CA7430">
        <w:rPr>
          <w:rFonts w:ascii="Arial" w:hAnsi="Arial" w:eastAsia="Arial" w:cs="Arial"/>
          <w:b w:val="1"/>
          <w:bCs w:val="1"/>
          <w:noProof w:val="0"/>
          <w:color w:val="auto"/>
          <w:sz w:val="22"/>
          <w:szCs w:val="22"/>
          <w:lang w:val="en-US"/>
        </w:rPr>
        <w:t>peer learning</w:t>
      </w:r>
      <w:r w:rsidRPr="0797FD4F" w:rsidR="18CA7430">
        <w:rPr>
          <w:rFonts w:ascii="Arial" w:hAnsi="Arial" w:eastAsia="Arial" w:cs="Arial"/>
          <w:noProof w:val="0"/>
          <w:color w:val="auto"/>
          <w:sz w:val="22"/>
          <w:szCs w:val="22"/>
          <w:lang w:val="en-US"/>
        </w:rPr>
        <w:t>. Group activities, such as chair-based exercises, cooking sessions, or singing groups, enable residents to learn through imitation and social reinforcement. As Chen et al. (2020) note, shared participation reduces loneliness and enhances mental stimulation, both essential for cognitive and emotional wellbeing.</w:t>
      </w:r>
    </w:p>
    <w:p w:rsidR="7EF21647" w:rsidP="0797FD4F" w:rsidRDefault="7EF21647" w14:paraId="13C18345" w14:textId="6AF311BE">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However, dementia affects cognitive processes essential for learning—such as attention and memory retention (Papalia and Feldman, 2021). Staff must therefore use repetition, visual prompts, and consistent routines to reinforce positive behaviours. For instance, demonstrating deep-breathing exercises regularly helps residents internalise calm responses during moments of stress.</w:t>
      </w:r>
    </w:p>
    <w:p w:rsidR="7EF21647" w:rsidP="0797FD4F" w:rsidRDefault="7EF21647" w14:paraId="7B3D21A9" w14:textId="128C9D04">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Importantly, Bandura’s theory applies equally to staff teams. Junior carers often learn by </w:t>
      </w:r>
      <w:r w:rsidRPr="0797FD4F" w:rsidR="18CA7430">
        <w:rPr>
          <w:rFonts w:ascii="Arial" w:hAnsi="Arial" w:eastAsia="Arial" w:cs="Arial"/>
          <w:noProof w:val="0"/>
          <w:color w:val="auto"/>
          <w:sz w:val="22"/>
          <w:szCs w:val="22"/>
          <w:lang w:val="en-US"/>
        </w:rPr>
        <w:t>observing</w:t>
      </w:r>
      <w:r w:rsidRPr="0797FD4F" w:rsidR="18CA7430">
        <w:rPr>
          <w:rFonts w:ascii="Arial" w:hAnsi="Arial" w:eastAsia="Arial" w:cs="Arial"/>
          <w:noProof w:val="0"/>
          <w:color w:val="auto"/>
          <w:sz w:val="22"/>
          <w:szCs w:val="22"/>
          <w:lang w:val="en-US"/>
        </w:rPr>
        <w:t xml:space="preserve"> experienced colleagues. Creating a culture of reflective practice, where staff </w:t>
      </w:r>
      <w:r w:rsidRPr="0797FD4F" w:rsidR="18CA7430">
        <w:rPr>
          <w:rFonts w:ascii="Arial" w:hAnsi="Arial" w:eastAsia="Arial" w:cs="Arial"/>
          <w:noProof w:val="0"/>
          <w:color w:val="auto"/>
          <w:sz w:val="22"/>
          <w:szCs w:val="22"/>
          <w:lang w:val="en-US"/>
        </w:rPr>
        <w:t>observe</w:t>
      </w:r>
      <w:r w:rsidRPr="0797FD4F" w:rsidR="18CA7430">
        <w:rPr>
          <w:rFonts w:ascii="Arial" w:hAnsi="Arial" w:eastAsia="Arial" w:cs="Arial"/>
          <w:noProof w:val="0"/>
          <w:color w:val="auto"/>
          <w:sz w:val="22"/>
          <w:szCs w:val="22"/>
          <w:lang w:val="en-US"/>
        </w:rPr>
        <w:t xml:space="preserve">, discuss, and model compassionate </w:t>
      </w:r>
      <w:r w:rsidRPr="0797FD4F" w:rsidR="18CA7430">
        <w:rPr>
          <w:rFonts w:ascii="Arial" w:hAnsi="Arial" w:eastAsia="Arial" w:cs="Arial"/>
          <w:noProof w:val="0"/>
          <w:color w:val="auto"/>
          <w:sz w:val="22"/>
          <w:szCs w:val="22"/>
          <w:lang w:val="en-US"/>
        </w:rPr>
        <w:t>behaviour</w:t>
      </w:r>
      <w:r w:rsidRPr="0797FD4F" w:rsidR="18CA7430">
        <w:rPr>
          <w:rFonts w:ascii="Arial" w:hAnsi="Arial" w:eastAsia="Arial" w:cs="Arial"/>
          <w:noProof w:val="0"/>
          <w:color w:val="auto"/>
          <w:sz w:val="22"/>
          <w:szCs w:val="22"/>
          <w:lang w:val="en-US"/>
        </w:rPr>
        <w:t>, strengthens overall care quality (NHS England, 2021).</w:t>
      </w:r>
    </w:p>
    <w:p w:rsidR="7EF21647" w:rsidP="0797FD4F" w:rsidRDefault="7EF21647" w14:paraId="1E9CADC3" w14:textId="26126492">
      <w:pPr>
        <w:pStyle w:val="Heading3"/>
        <w:spacing w:before="281" w:beforeAutospacing="off" w:after="281" w:afterAutospacing="off"/>
        <w:rPr>
          <w:rFonts w:ascii="Arial" w:hAnsi="Arial" w:eastAsia="Arial" w:cs="Arial"/>
          <w:b w:val="1"/>
          <w:bCs w:val="1"/>
          <w:noProof w:val="0"/>
          <w:color w:val="auto"/>
          <w:sz w:val="22"/>
          <w:szCs w:val="22"/>
          <w:lang w:val="en-US"/>
        </w:rPr>
      </w:pPr>
      <w:r w:rsidRPr="0797FD4F" w:rsidR="18CA7430">
        <w:rPr>
          <w:rFonts w:ascii="Arial" w:hAnsi="Arial" w:eastAsia="Arial" w:cs="Arial"/>
          <w:b w:val="1"/>
          <w:bCs w:val="1"/>
          <w:noProof w:val="0"/>
          <w:color w:val="auto"/>
          <w:sz w:val="22"/>
          <w:szCs w:val="22"/>
          <w:lang w:val="en-US"/>
        </w:rPr>
        <w:t>Challenges and Critical Evaluation of Bandura’s Model</w:t>
      </w:r>
    </w:p>
    <w:p w:rsidR="7EF21647" w:rsidP="0797FD4F" w:rsidRDefault="7EF21647" w14:paraId="5FA982EA" w14:textId="7E1EC3B0">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One limitation of applying Bandura’s model to dementia care is that cognitive decline can reduce residents’ capacity to observe or remember behavioural models. According to Clark (2020), repetitive reinforcement and visual aids are essential for sustaining learning in individuals with memory loss. Another challenge is ensuring consistency across staff teams—if carers model different behaviours or emotional tones, residents may become confused or anxious.</w:t>
      </w:r>
    </w:p>
    <w:p w:rsidR="7EF21647" w:rsidP="0797FD4F" w:rsidRDefault="7EF21647" w14:paraId="139F1D2A" w14:textId="54AE3912">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Furthermore, excessive reliance on imitation may overlook the individuality of residents. Not all </w:t>
      </w:r>
      <w:r w:rsidRPr="0797FD4F" w:rsidR="18CA7430">
        <w:rPr>
          <w:rFonts w:ascii="Arial" w:hAnsi="Arial" w:eastAsia="Arial" w:cs="Arial"/>
          <w:noProof w:val="0"/>
          <w:color w:val="auto"/>
          <w:sz w:val="22"/>
          <w:szCs w:val="22"/>
          <w:lang w:val="en-US"/>
        </w:rPr>
        <w:t>behaviours</w:t>
      </w:r>
      <w:r w:rsidRPr="0797FD4F" w:rsidR="18CA7430">
        <w:rPr>
          <w:rFonts w:ascii="Arial" w:hAnsi="Arial" w:eastAsia="Arial" w:cs="Arial"/>
          <w:noProof w:val="0"/>
          <w:color w:val="auto"/>
          <w:sz w:val="22"/>
          <w:szCs w:val="22"/>
          <w:lang w:val="en-US"/>
        </w:rPr>
        <w:t xml:space="preserve"> can or should be shaped by modelling; professionals must balance encouragement with respect for autonomy and choice (</w:t>
      </w:r>
      <w:r w:rsidRPr="0797FD4F" w:rsidR="18CA7430">
        <w:rPr>
          <w:rFonts w:ascii="Arial" w:hAnsi="Arial" w:eastAsia="Arial" w:cs="Arial"/>
          <w:noProof w:val="0"/>
          <w:color w:val="auto"/>
          <w:sz w:val="22"/>
          <w:szCs w:val="22"/>
          <w:lang w:val="en-US"/>
        </w:rPr>
        <w:t>Kitwood</w:t>
      </w:r>
      <w:r w:rsidRPr="0797FD4F" w:rsidR="18CA7430">
        <w:rPr>
          <w:rFonts w:ascii="Arial" w:hAnsi="Arial" w:eastAsia="Arial" w:cs="Arial"/>
          <w:noProof w:val="0"/>
          <w:color w:val="auto"/>
          <w:sz w:val="22"/>
          <w:szCs w:val="22"/>
          <w:lang w:val="en-US"/>
        </w:rPr>
        <w:t>, 1997). This highlights the importance of person-</w:t>
      </w:r>
      <w:r w:rsidRPr="0797FD4F" w:rsidR="18CA7430">
        <w:rPr>
          <w:rFonts w:ascii="Arial" w:hAnsi="Arial" w:eastAsia="Arial" w:cs="Arial"/>
          <w:noProof w:val="0"/>
          <w:color w:val="auto"/>
          <w:sz w:val="22"/>
          <w:szCs w:val="22"/>
          <w:lang w:val="en-US"/>
        </w:rPr>
        <w:t>centred</w:t>
      </w:r>
      <w:r w:rsidRPr="0797FD4F" w:rsidR="18CA7430">
        <w:rPr>
          <w:rFonts w:ascii="Arial" w:hAnsi="Arial" w:eastAsia="Arial" w:cs="Arial"/>
          <w:noProof w:val="0"/>
          <w:color w:val="auto"/>
          <w:sz w:val="22"/>
          <w:szCs w:val="22"/>
          <w:lang w:val="en-US"/>
        </w:rPr>
        <w:t xml:space="preserve"> values alongside psychological theory.</w:t>
      </w:r>
    </w:p>
    <w:p w:rsidR="7EF21647" w:rsidP="0797FD4F" w:rsidRDefault="7EF21647" w14:paraId="60BF91EB" w14:textId="58B0F65E">
      <w:pPr>
        <w:pStyle w:val="Heading3"/>
        <w:spacing w:before="281" w:beforeAutospacing="off" w:after="281" w:afterAutospacing="off"/>
        <w:rPr>
          <w:rFonts w:ascii="Arial" w:hAnsi="Arial" w:eastAsia="Arial" w:cs="Arial"/>
          <w:b w:val="1"/>
          <w:bCs w:val="1"/>
          <w:noProof w:val="0"/>
          <w:color w:val="auto"/>
          <w:sz w:val="22"/>
          <w:szCs w:val="22"/>
          <w:lang w:val="en-US"/>
        </w:rPr>
      </w:pPr>
      <w:r w:rsidRPr="0797FD4F" w:rsidR="18CA7430">
        <w:rPr>
          <w:rFonts w:ascii="Arial" w:hAnsi="Arial" w:eastAsia="Arial" w:cs="Arial"/>
          <w:b w:val="1"/>
          <w:bCs w:val="1"/>
          <w:noProof w:val="0"/>
          <w:color w:val="auto"/>
          <w:sz w:val="22"/>
          <w:szCs w:val="22"/>
          <w:lang w:val="en-US"/>
        </w:rPr>
        <w:t>Application in Health and Social Care Practice</w:t>
      </w:r>
    </w:p>
    <w:p w:rsidR="7EF21647" w:rsidP="0797FD4F" w:rsidRDefault="7EF21647" w14:paraId="35E1D5B2" w14:textId="3AAD7146">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Integrating Erikson’s and Bandura’s frameworks provides a balanced approach to dementia care. Erikson’s model addresses emotional and existential needs, while Bandura’s focuses on behavioural and environmental influences. Used together, they promote holistic care that values both inner wellbeing and outward behaviour.</w:t>
      </w:r>
    </w:p>
    <w:p w:rsidR="7EF21647" w:rsidP="0797FD4F" w:rsidRDefault="7EF21647" w14:paraId="79B11A64" w14:textId="76B69790">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In practice, professionals can design </w:t>
      </w:r>
      <w:r w:rsidRPr="0797FD4F" w:rsidR="18CA7430">
        <w:rPr>
          <w:rFonts w:ascii="Arial" w:hAnsi="Arial" w:eastAsia="Arial" w:cs="Arial"/>
          <w:b w:val="1"/>
          <w:bCs w:val="1"/>
          <w:noProof w:val="0"/>
          <w:color w:val="auto"/>
          <w:sz w:val="22"/>
          <w:szCs w:val="22"/>
          <w:lang w:val="en-US"/>
        </w:rPr>
        <w:t>combined interventions</w:t>
      </w:r>
      <w:r w:rsidRPr="0797FD4F" w:rsidR="18CA7430">
        <w:rPr>
          <w:rFonts w:ascii="Arial" w:hAnsi="Arial" w:eastAsia="Arial" w:cs="Arial"/>
          <w:noProof w:val="0"/>
          <w:color w:val="auto"/>
          <w:sz w:val="22"/>
          <w:szCs w:val="22"/>
          <w:lang w:val="en-US"/>
        </w:rPr>
        <w:t>. For example, a weekly “Memory Café” can use reminiscence (Erikson) to evoke positive memories, followed by collaborative activities (Bandura) that encourage social learning. Residents observe peers and staff interacting respectfully, reinforcing social confidence and self-worth.</w:t>
      </w:r>
    </w:p>
    <w:p w:rsidR="7EF21647" w:rsidP="0797FD4F" w:rsidRDefault="7EF21647" w14:paraId="5D2F9DF7" w14:textId="559128A1">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Care planning can also draw on both models. Using Erikson’s approach, staff can identify residents showing signs of despair—such as withdrawal or hopelessness—and create interventions that promote meaning and purpose. Bandura’s principles can guide behavioural support strategies, using modelling and reinforcement to manage anxiety or agitation effectively.</w:t>
      </w:r>
    </w:p>
    <w:p w:rsidR="7EF21647" w:rsidP="0797FD4F" w:rsidRDefault="7EF21647" w14:paraId="33A9F95F" w14:textId="1C66FA1E">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Challenges include time pressures, limited resources, and varying staff skills. To address these, managers should provide </w:t>
      </w:r>
      <w:r w:rsidRPr="0797FD4F" w:rsidR="18CA7430">
        <w:rPr>
          <w:rFonts w:ascii="Arial" w:hAnsi="Arial" w:eastAsia="Arial" w:cs="Arial"/>
          <w:b w:val="1"/>
          <w:bCs w:val="1"/>
          <w:noProof w:val="0"/>
          <w:color w:val="auto"/>
          <w:sz w:val="22"/>
          <w:szCs w:val="22"/>
          <w:lang w:val="en-US"/>
        </w:rPr>
        <w:t>ongoing psychological training</w:t>
      </w:r>
      <w:r w:rsidRPr="0797FD4F" w:rsidR="18CA7430">
        <w:rPr>
          <w:rFonts w:ascii="Arial" w:hAnsi="Arial" w:eastAsia="Arial" w:cs="Arial"/>
          <w:noProof w:val="0"/>
          <w:color w:val="auto"/>
          <w:sz w:val="22"/>
          <w:szCs w:val="22"/>
          <w:lang w:val="en-US"/>
        </w:rPr>
        <w:t xml:space="preserve">, encourage </w:t>
      </w:r>
      <w:r w:rsidRPr="0797FD4F" w:rsidR="18CA7430">
        <w:rPr>
          <w:rFonts w:ascii="Arial" w:hAnsi="Arial" w:eastAsia="Arial" w:cs="Arial"/>
          <w:b w:val="1"/>
          <w:bCs w:val="1"/>
          <w:noProof w:val="0"/>
          <w:color w:val="auto"/>
          <w:sz w:val="22"/>
          <w:szCs w:val="22"/>
          <w:lang w:val="en-US"/>
        </w:rPr>
        <w:t>team reflection</w:t>
      </w:r>
      <w:r w:rsidRPr="0797FD4F" w:rsidR="18CA7430">
        <w:rPr>
          <w:rFonts w:ascii="Arial" w:hAnsi="Arial" w:eastAsia="Arial" w:cs="Arial"/>
          <w:noProof w:val="0"/>
          <w:color w:val="auto"/>
          <w:sz w:val="22"/>
          <w:szCs w:val="22"/>
          <w:lang w:val="en-US"/>
        </w:rPr>
        <w:t xml:space="preserve">, and allocate </w:t>
      </w:r>
      <w:r w:rsidRPr="0797FD4F" w:rsidR="18CA7430">
        <w:rPr>
          <w:rFonts w:ascii="Arial" w:hAnsi="Arial" w:eastAsia="Arial" w:cs="Arial"/>
          <w:b w:val="1"/>
          <w:bCs w:val="1"/>
          <w:noProof w:val="0"/>
          <w:color w:val="auto"/>
          <w:sz w:val="22"/>
          <w:szCs w:val="22"/>
          <w:lang w:val="en-US"/>
        </w:rPr>
        <w:t>protected time</w:t>
      </w:r>
      <w:r w:rsidRPr="0797FD4F" w:rsidR="18CA7430">
        <w:rPr>
          <w:rFonts w:ascii="Arial" w:hAnsi="Arial" w:eastAsia="Arial" w:cs="Arial"/>
          <w:noProof w:val="0"/>
          <w:color w:val="auto"/>
          <w:sz w:val="22"/>
          <w:szCs w:val="22"/>
          <w:lang w:val="en-US"/>
        </w:rPr>
        <w:t xml:space="preserve"> for psychosocial interventions. Evidence shows that psychologically informed care improves both resident outcomes and staff morale (NHS England, 2021).</w:t>
      </w:r>
    </w:p>
    <w:p w:rsidR="7EF21647" w:rsidP="0797FD4F" w:rsidRDefault="7EF21647" w14:paraId="40E93587" w14:textId="5EFAF1E6">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Ethically, interventions must </w:t>
      </w:r>
      <w:r w:rsidRPr="0797FD4F" w:rsidR="18CA7430">
        <w:rPr>
          <w:rFonts w:ascii="Arial" w:hAnsi="Arial" w:eastAsia="Arial" w:cs="Arial"/>
          <w:noProof w:val="0"/>
          <w:color w:val="auto"/>
          <w:sz w:val="22"/>
          <w:szCs w:val="22"/>
          <w:lang w:val="en-US"/>
        </w:rPr>
        <w:t>maintain</w:t>
      </w:r>
      <w:r w:rsidRPr="0797FD4F" w:rsidR="18CA7430">
        <w:rPr>
          <w:rFonts w:ascii="Arial" w:hAnsi="Arial" w:eastAsia="Arial" w:cs="Arial"/>
          <w:noProof w:val="0"/>
          <w:color w:val="auto"/>
          <w:sz w:val="22"/>
          <w:szCs w:val="22"/>
          <w:lang w:val="en-US"/>
        </w:rPr>
        <w:t xml:space="preserve"> residents’ autonomy and dignity. </w:t>
      </w:r>
      <w:r w:rsidRPr="0797FD4F" w:rsidR="18CA7430">
        <w:rPr>
          <w:rFonts w:ascii="Arial" w:hAnsi="Arial" w:eastAsia="Arial" w:cs="Arial"/>
          <w:noProof w:val="0"/>
          <w:color w:val="auto"/>
          <w:sz w:val="22"/>
          <w:szCs w:val="22"/>
          <w:lang w:val="en-US"/>
        </w:rPr>
        <w:t>Kitwood</w:t>
      </w:r>
      <w:r w:rsidRPr="0797FD4F" w:rsidR="18CA7430">
        <w:rPr>
          <w:rFonts w:ascii="Arial" w:hAnsi="Arial" w:eastAsia="Arial" w:cs="Arial"/>
          <w:noProof w:val="0"/>
          <w:color w:val="auto"/>
          <w:sz w:val="22"/>
          <w:szCs w:val="22"/>
          <w:lang w:val="en-US"/>
        </w:rPr>
        <w:t xml:space="preserve"> (1997) </w:t>
      </w:r>
      <w:r w:rsidRPr="0797FD4F" w:rsidR="18CA7430">
        <w:rPr>
          <w:rFonts w:ascii="Arial" w:hAnsi="Arial" w:eastAsia="Arial" w:cs="Arial"/>
          <w:noProof w:val="0"/>
          <w:color w:val="auto"/>
          <w:sz w:val="22"/>
          <w:szCs w:val="22"/>
          <w:lang w:val="en-US"/>
        </w:rPr>
        <w:t>emphasises</w:t>
      </w:r>
      <w:r w:rsidRPr="0797FD4F" w:rsidR="18CA7430">
        <w:rPr>
          <w:rFonts w:ascii="Arial" w:hAnsi="Arial" w:eastAsia="Arial" w:cs="Arial"/>
          <w:noProof w:val="0"/>
          <w:color w:val="auto"/>
          <w:sz w:val="22"/>
          <w:szCs w:val="22"/>
          <w:lang w:val="en-US"/>
        </w:rPr>
        <w:t xml:space="preserve"> that personhood </w:t>
      </w:r>
      <w:r w:rsidRPr="0797FD4F" w:rsidR="18CA7430">
        <w:rPr>
          <w:rFonts w:ascii="Arial" w:hAnsi="Arial" w:eastAsia="Arial" w:cs="Arial"/>
          <w:noProof w:val="0"/>
          <w:color w:val="auto"/>
          <w:sz w:val="22"/>
          <w:szCs w:val="22"/>
          <w:lang w:val="en-US"/>
        </w:rPr>
        <w:t>remains</w:t>
      </w:r>
      <w:r w:rsidRPr="0797FD4F" w:rsidR="18CA7430">
        <w:rPr>
          <w:rFonts w:ascii="Arial" w:hAnsi="Arial" w:eastAsia="Arial" w:cs="Arial"/>
          <w:noProof w:val="0"/>
          <w:color w:val="auto"/>
          <w:sz w:val="22"/>
          <w:szCs w:val="22"/>
          <w:lang w:val="en-US"/>
        </w:rPr>
        <w:t xml:space="preserve"> central even in advanced dementia, and every interaction should affirm the individual’s value. Cultural sensitivity is also essential: activities and communication styles should reflect residents’ life histories and identities (NICE, 2018).</w:t>
      </w:r>
    </w:p>
    <w:p w:rsidR="7EF21647" w:rsidP="0797FD4F" w:rsidRDefault="7EF21647" w14:paraId="33D326FE" w14:textId="24AE4A5A">
      <w:pPr>
        <w:pStyle w:val="Heading3"/>
        <w:spacing w:before="281" w:beforeAutospacing="off" w:after="281" w:afterAutospacing="off"/>
        <w:rPr>
          <w:rFonts w:ascii="Arial" w:hAnsi="Arial" w:eastAsia="Arial" w:cs="Arial"/>
          <w:b w:val="1"/>
          <w:bCs w:val="1"/>
          <w:noProof w:val="0"/>
          <w:color w:val="auto"/>
          <w:sz w:val="22"/>
          <w:szCs w:val="22"/>
          <w:lang w:val="en-US"/>
        </w:rPr>
      </w:pPr>
      <w:r w:rsidRPr="0797FD4F" w:rsidR="18CA7430">
        <w:rPr>
          <w:rFonts w:ascii="Arial" w:hAnsi="Arial" w:eastAsia="Arial" w:cs="Arial"/>
          <w:b w:val="1"/>
          <w:bCs w:val="1"/>
          <w:noProof w:val="0"/>
          <w:color w:val="auto"/>
          <w:sz w:val="22"/>
          <w:szCs w:val="22"/>
          <w:lang w:val="en-US"/>
        </w:rPr>
        <w:t>Conclusion</w:t>
      </w:r>
    </w:p>
    <w:p w:rsidR="7EF21647" w:rsidP="0797FD4F" w:rsidRDefault="7EF21647" w14:paraId="64C03403" w14:textId="3679848D">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Psychological theories provide essential frameworks for understanding and supporting older adults living with dementia. Erikson’s Psychosocial Theory highlights the importance of meaning, reflection, and emotional integrity, while Bandura’s Social Learning Theory demonstrates how modelling and self-efficacy influence behaviour and confidence. When applied together, these frameworks guide professionals toward compassionate, person-centred care that enhances both emotional and behavioural wellbeing.</w:t>
      </w:r>
    </w:p>
    <w:p w:rsidR="7EF21647" w:rsidP="0797FD4F" w:rsidRDefault="7EF21647" w14:paraId="3F415CC7" w14:textId="26EEC350">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Although challenges such as time constraints and cognitive decline exist, strategies like reminiscence therapy, validation, repetition, and reflective staff practice can make these theories practical and effective. Grounding daily care in psychological understanding not only improves residents’ quality of life but also fosters empathy, resilience, and professional growth among caregivers.</w:t>
      </w:r>
    </w:p>
    <w:p w:rsidR="7EF21647" w:rsidP="0797FD4F" w:rsidRDefault="7EF21647" w14:paraId="3FC3E876" w14:textId="396DAC41">
      <w:pPr>
        <w:rPr>
          <w:rFonts w:ascii="Arial" w:hAnsi="Arial" w:eastAsia="Arial" w:cs="Arial"/>
          <w:color w:val="auto"/>
          <w:sz w:val="22"/>
          <w:szCs w:val="22"/>
        </w:rPr>
      </w:pPr>
    </w:p>
    <w:p w:rsidR="7EF21647" w:rsidP="0797FD4F" w:rsidRDefault="7EF21647" w14:paraId="0C585DB5" w14:textId="7AF2853B">
      <w:pPr>
        <w:rPr>
          <w:rFonts w:ascii="Arial" w:hAnsi="Arial" w:eastAsia="Arial" w:cs="Arial"/>
          <w:color w:val="auto"/>
          <w:sz w:val="22"/>
          <w:szCs w:val="22"/>
        </w:rPr>
      </w:pPr>
    </w:p>
    <w:p w:rsidR="7EF21647" w:rsidP="0797FD4F" w:rsidRDefault="7EF21647" w14:paraId="46722F6A" w14:textId="234A09A9">
      <w:pPr>
        <w:rPr>
          <w:rFonts w:ascii="Arial" w:hAnsi="Arial" w:eastAsia="Arial" w:cs="Arial"/>
          <w:color w:val="auto"/>
          <w:sz w:val="22"/>
          <w:szCs w:val="22"/>
        </w:rPr>
      </w:pPr>
    </w:p>
    <w:p w:rsidR="7EF21647" w:rsidP="0797FD4F" w:rsidRDefault="7EF21647" w14:paraId="60C04AA1" w14:textId="745F85A8">
      <w:pPr>
        <w:rPr>
          <w:rFonts w:ascii="Arial" w:hAnsi="Arial" w:eastAsia="Arial" w:cs="Arial"/>
          <w:color w:val="auto"/>
          <w:sz w:val="22"/>
          <w:szCs w:val="22"/>
        </w:rPr>
      </w:pPr>
    </w:p>
    <w:p w:rsidR="7EF21647" w:rsidP="0797FD4F" w:rsidRDefault="7EF21647" w14:paraId="018C0A7D" w14:textId="1BADD3B4">
      <w:pPr>
        <w:rPr>
          <w:rFonts w:ascii="Arial" w:hAnsi="Arial" w:eastAsia="Arial" w:cs="Arial"/>
          <w:color w:val="auto"/>
          <w:sz w:val="22"/>
          <w:szCs w:val="22"/>
        </w:rPr>
      </w:pPr>
    </w:p>
    <w:p w:rsidR="7EF21647" w:rsidP="0797FD4F" w:rsidRDefault="7EF21647" w14:paraId="12ED7B54" w14:textId="1CCD8B5B">
      <w:pPr>
        <w:rPr>
          <w:rFonts w:ascii="Arial" w:hAnsi="Arial" w:eastAsia="Arial" w:cs="Arial"/>
          <w:color w:val="auto"/>
          <w:sz w:val="22"/>
          <w:szCs w:val="22"/>
        </w:rPr>
      </w:pPr>
    </w:p>
    <w:p w:rsidR="7EF21647" w:rsidP="0797FD4F" w:rsidRDefault="7EF21647" w14:paraId="1CA61192" w14:textId="743BC5DA">
      <w:pPr>
        <w:pStyle w:val="Heading3"/>
        <w:spacing w:before="281" w:beforeAutospacing="off" w:after="281" w:afterAutospacing="off"/>
        <w:rPr>
          <w:rFonts w:ascii="Arial" w:hAnsi="Arial" w:eastAsia="Arial" w:cs="Arial"/>
          <w:b w:val="1"/>
          <w:bCs w:val="1"/>
          <w:noProof w:val="0"/>
          <w:color w:val="auto"/>
          <w:sz w:val="22"/>
          <w:szCs w:val="22"/>
          <w:lang w:val="en-US"/>
        </w:rPr>
      </w:pPr>
      <w:r w:rsidRPr="0797FD4F" w:rsidR="18CA7430">
        <w:rPr>
          <w:rFonts w:ascii="Arial" w:hAnsi="Arial" w:eastAsia="Arial" w:cs="Arial"/>
          <w:b w:val="1"/>
          <w:bCs w:val="1"/>
          <w:noProof w:val="0"/>
          <w:color w:val="auto"/>
          <w:sz w:val="22"/>
          <w:szCs w:val="22"/>
          <w:lang w:val="en-US"/>
        </w:rPr>
        <w:t>References (UWTSD Harvard Style)</w:t>
      </w:r>
    </w:p>
    <w:p w:rsidR="7EF21647" w:rsidP="0797FD4F" w:rsidRDefault="7EF21647" w14:paraId="2CA4ACD5" w14:textId="6721A049">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Akhondzadeh, S., Rezaei, F. and Mohammadi, M. (2022) ‘Social participation and mental health in elderly populations: a review’, </w:t>
      </w:r>
      <w:r w:rsidRPr="0797FD4F" w:rsidR="18CA7430">
        <w:rPr>
          <w:rFonts w:ascii="Arial" w:hAnsi="Arial" w:eastAsia="Arial" w:cs="Arial"/>
          <w:i w:val="1"/>
          <w:iCs w:val="1"/>
          <w:noProof w:val="0"/>
          <w:color w:val="auto"/>
          <w:sz w:val="22"/>
          <w:szCs w:val="22"/>
          <w:lang w:val="en-US"/>
        </w:rPr>
        <w:t>Aging &amp; Mental Health</w:t>
      </w:r>
      <w:r w:rsidRPr="0797FD4F" w:rsidR="18CA7430">
        <w:rPr>
          <w:rFonts w:ascii="Arial" w:hAnsi="Arial" w:eastAsia="Arial" w:cs="Arial"/>
          <w:noProof w:val="0"/>
          <w:color w:val="auto"/>
          <w:sz w:val="22"/>
          <w:szCs w:val="22"/>
          <w:lang w:val="en-US"/>
        </w:rPr>
        <w:t>, 26(8), pp. 1342–1350.</w:t>
      </w:r>
    </w:p>
    <w:p w:rsidR="7EF21647" w:rsidP="0797FD4F" w:rsidRDefault="7EF21647" w14:paraId="483EC720" w14:textId="66B5458C">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Bandura, A. (1977) </w:t>
      </w:r>
      <w:r w:rsidRPr="0797FD4F" w:rsidR="18CA7430">
        <w:rPr>
          <w:rFonts w:ascii="Arial" w:hAnsi="Arial" w:eastAsia="Arial" w:cs="Arial"/>
          <w:i w:val="1"/>
          <w:iCs w:val="1"/>
          <w:noProof w:val="0"/>
          <w:color w:val="auto"/>
          <w:sz w:val="22"/>
          <w:szCs w:val="22"/>
          <w:lang w:val="en-US"/>
        </w:rPr>
        <w:t>Social Learning Theory.</w:t>
      </w:r>
      <w:r w:rsidRPr="0797FD4F" w:rsidR="18CA7430">
        <w:rPr>
          <w:rFonts w:ascii="Arial" w:hAnsi="Arial" w:eastAsia="Arial" w:cs="Arial"/>
          <w:noProof w:val="0"/>
          <w:color w:val="auto"/>
          <w:sz w:val="22"/>
          <w:szCs w:val="22"/>
          <w:lang w:val="en-US"/>
        </w:rPr>
        <w:t xml:space="preserve"> Englewood Cliffs, NJ: Prentice Hall.</w:t>
      </w:r>
    </w:p>
    <w:p w:rsidR="7EF21647" w:rsidP="0797FD4F" w:rsidRDefault="7EF21647" w14:paraId="762A7129" w14:textId="07027C46">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Bandura, A. (1986) </w:t>
      </w:r>
      <w:r w:rsidRPr="0797FD4F" w:rsidR="18CA7430">
        <w:rPr>
          <w:rFonts w:ascii="Arial" w:hAnsi="Arial" w:eastAsia="Arial" w:cs="Arial"/>
          <w:i w:val="1"/>
          <w:iCs w:val="1"/>
          <w:noProof w:val="0"/>
          <w:color w:val="auto"/>
          <w:sz w:val="22"/>
          <w:szCs w:val="22"/>
          <w:lang w:val="en-US"/>
        </w:rPr>
        <w:t>Social Foundations of Thought and Action: A Social Cognitive Theory.</w:t>
      </w:r>
      <w:r w:rsidRPr="0797FD4F" w:rsidR="18CA7430">
        <w:rPr>
          <w:rFonts w:ascii="Arial" w:hAnsi="Arial" w:eastAsia="Arial" w:cs="Arial"/>
          <w:noProof w:val="0"/>
          <w:color w:val="auto"/>
          <w:sz w:val="22"/>
          <w:szCs w:val="22"/>
          <w:lang w:val="en-US"/>
        </w:rPr>
        <w:t xml:space="preserve"> Englewood Cliffs, NJ: Prentice Hall.</w:t>
      </w:r>
    </w:p>
    <w:p w:rsidR="7EF21647" w:rsidP="0797FD4F" w:rsidRDefault="7EF21647" w14:paraId="4881ECC3" w14:textId="38D16CFC">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Brooker, D. and Latham, I. (2015) </w:t>
      </w:r>
      <w:r w:rsidRPr="0797FD4F" w:rsidR="18CA7430">
        <w:rPr>
          <w:rFonts w:ascii="Arial" w:hAnsi="Arial" w:eastAsia="Arial" w:cs="Arial"/>
          <w:i w:val="1"/>
          <w:iCs w:val="1"/>
          <w:noProof w:val="0"/>
          <w:color w:val="auto"/>
          <w:sz w:val="22"/>
          <w:szCs w:val="22"/>
          <w:lang w:val="en-US"/>
        </w:rPr>
        <w:t>Person-Centred Dementia Care: Making Services Better.</w:t>
      </w:r>
      <w:r w:rsidRPr="0797FD4F" w:rsidR="18CA7430">
        <w:rPr>
          <w:rFonts w:ascii="Arial" w:hAnsi="Arial" w:eastAsia="Arial" w:cs="Arial"/>
          <w:noProof w:val="0"/>
          <w:color w:val="auto"/>
          <w:sz w:val="22"/>
          <w:szCs w:val="22"/>
          <w:lang w:val="en-US"/>
        </w:rPr>
        <w:t xml:space="preserve"> 2nd edn. London: Jessica Kingsley.</w:t>
      </w:r>
    </w:p>
    <w:p w:rsidR="7EF21647" w:rsidP="0797FD4F" w:rsidRDefault="7EF21647" w14:paraId="4C9F3DE2" w14:textId="2E1263C7">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Chen, Y., Hicks, A. and While, A. (2020) ‘Loneliness and social support of older people in health and social care settings: a systematic review’, </w:t>
      </w:r>
      <w:r w:rsidRPr="0797FD4F" w:rsidR="18CA7430">
        <w:rPr>
          <w:rFonts w:ascii="Arial" w:hAnsi="Arial" w:eastAsia="Arial" w:cs="Arial"/>
          <w:i w:val="1"/>
          <w:iCs w:val="1"/>
          <w:noProof w:val="0"/>
          <w:color w:val="auto"/>
          <w:sz w:val="22"/>
          <w:szCs w:val="22"/>
          <w:lang w:val="en-US"/>
        </w:rPr>
        <w:t>International Journal of Nursing Studies</w:t>
      </w:r>
      <w:r w:rsidRPr="0797FD4F" w:rsidR="18CA7430">
        <w:rPr>
          <w:rFonts w:ascii="Arial" w:hAnsi="Arial" w:eastAsia="Arial" w:cs="Arial"/>
          <w:noProof w:val="0"/>
          <w:color w:val="auto"/>
          <w:sz w:val="22"/>
          <w:szCs w:val="22"/>
          <w:lang w:val="en-US"/>
        </w:rPr>
        <w:t>, 103, pp. 103498.</w:t>
      </w:r>
    </w:p>
    <w:p w:rsidR="7EF21647" w:rsidP="0797FD4F" w:rsidRDefault="7EF21647" w14:paraId="55F4B747" w14:textId="4C37753E">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Clark, D. (2020) </w:t>
      </w:r>
      <w:r w:rsidRPr="0797FD4F" w:rsidR="18CA7430">
        <w:rPr>
          <w:rFonts w:ascii="Arial" w:hAnsi="Arial" w:eastAsia="Arial" w:cs="Arial"/>
          <w:i w:val="1"/>
          <w:iCs w:val="1"/>
          <w:noProof w:val="0"/>
          <w:color w:val="auto"/>
          <w:sz w:val="22"/>
          <w:szCs w:val="22"/>
          <w:lang w:val="en-US"/>
        </w:rPr>
        <w:t>Learning and Memory in Older Adults.</w:t>
      </w:r>
      <w:r w:rsidRPr="0797FD4F" w:rsidR="18CA7430">
        <w:rPr>
          <w:rFonts w:ascii="Arial" w:hAnsi="Arial" w:eastAsia="Arial" w:cs="Arial"/>
          <w:noProof w:val="0"/>
          <w:color w:val="auto"/>
          <w:sz w:val="22"/>
          <w:szCs w:val="22"/>
          <w:lang w:val="en-US"/>
        </w:rPr>
        <w:t xml:space="preserve"> London: Routledge.</w:t>
      </w:r>
    </w:p>
    <w:p w:rsidR="7EF21647" w:rsidP="0797FD4F" w:rsidRDefault="7EF21647" w14:paraId="13365A1A" w14:textId="18A51972">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Erikson, E. H. (1950) </w:t>
      </w:r>
      <w:r w:rsidRPr="0797FD4F" w:rsidR="18CA7430">
        <w:rPr>
          <w:rFonts w:ascii="Arial" w:hAnsi="Arial" w:eastAsia="Arial" w:cs="Arial"/>
          <w:i w:val="1"/>
          <w:iCs w:val="1"/>
          <w:noProof w:val="0"/>
          <w:color w:val="auto"/>
          <w:sz w:val="22"/>
          <w:szCs w:val="22"/>
          <w:lang w:val="en-US"/>
        </w:rPr>
        <w:t>Childhood and Society.</w:t>
      </w:r>
      <w:r w:rsidRPr="0797FD4F" w:rsidR="18CA7430">
        <w:rPr>
          <w:rFonts w:ascii="Arial" w:hAnsi="Arial" w:eastAsia="Arial" w:cs="Arial"/>
          <w:noProof w:val="0"/>
          <w:color w:val="auto"/>
          <w:sz w:val="22"/>
          <w:szCs w:val="22"/>
          <w:lang w:val="en-US"/>
        </w:rPr>
        <w:t xml:space="preserve"> New York: W.W. Norton.</w:t>
      </w:r>
    </w:p>
    <w:p w:rsidR="7EF21647" w:rsidP="0797FD4F" w:rsidRDefault="7EF21647" w14:paraId="16FB3E28" w14:textId="79C08252">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Feil, N. (1993) </w:t>
      </w:r>
      <w:r w:rsidRPr="0797FD4F" w:rsidR="18CA7430">
        <w:rPr>
          <w:rFonts w:ascii="Arial" w:hAnsi="Arial" w:eastAsia="Arial" w:cs="Arial"/>
          <w:i w:val="1"/>
          <w:iCs w:val="1"/>
          <w:noProof w:val="0"/>
          <w:color w:val="auto"/>
          <w:sz w:val="22"/>
          <w:szCs w:val="22"/>
          <w:lang w:val="en-US"/>
        </w:rPr>
        <w:t>The Validation Breakthrough: Simple Techniques for Communicating with People with Alzheimer’s-Type Dementia.</w:t>
      </w:r>
      <w:r w:rsidRPr="0797FD4F" w:rsidR="18CA7430">
        <w:rPr>
          <w:rFonts w:ascii="Arial" w:hAnsi="Arial" w:eastAsia="Arial" w:cs="Arial"/>
          <w:noProof w:val="0"/>
          <w:color w:val="auto"/>
          <w:sz w:val="22"/>
          <w:szCs w:val="22"/>
          <w:lang w:val="en-US"/>
        </w:rPr>
        <w:t xml:space="preserve"> Baltimore: Health Professions Press.</w:t>
      </w:r>
    </w:p>
    <w:p w:rsidR="7EF21647" w:rsidP="0797FD4F" w:rsidRDefault="7EF21647" w14:paraId="5AD42E0C" w14:textId="378FDC12">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Hamachek, D. (1990) ‘Evaluating self-concept and ego development within Erikson’s framework’, </w:t>
      </w:r>
      <w:r w:rsidRPr="0797FD4F" w:rsidR="18CA7430">
        <w:rPr>
          <w:rFonts w:ascii="Arial" w:hAnsi="Arial" w:eastAsia="Arial" w:cs="Arial"/>
          <w:i w:val="1"/>
          <w:iCs w:val="1"/>
          <w:noProof w:val="0"/>
          <w:color w:val="auto"/>
          <w:sz w:val="22"/>
          <w:szCs w:val="22"/>
          <w:lang w:val="en-US"/>
        </w:rPr>
        <w:t>Journal of Counselling &amp; Development</w:t>
      </w:r>
      <w:r w:rsidRPr="0797FD4F" w:rsidR="18CA7430">
        <w:rPr>
          <w:rFonts w:ascii="Arial" w:hAnsi="Arial" w:eastAsia="Arial" w:cs="Arial"/>
          <w:noProof w:val="0"/>
          <w:color w:val="auto"/>
          <w:sz w:val="22"/>
          <w:szCs w:val="22"/>
          <w:lang w:val="en-US"/>
        </w:rPr>
        <w:t>, 68(6), pp. 675–683.</w:t>
      </w:r>
    </w:p>
    <w:p w:rsidR="7EF21647" w:rsidP="0797FD4F" w:rsidRDefault="7EF21647" w14:paraId="52B793CD" w14:textId="58C7BE5E">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Kitwood, T. (1997) </w:t>
      </w:r>
      <w:r w:rsidRPr="0797FD4F" w:rsidR="18CA7430">
        <w:rPr>
          <w:rFonts w:ascii="Arial" w:hAnsi="Arial" w:eastAsia="Arial" w:cs="Arial"/>
          <w:i w:val="1"/>
          <w:iCs w:val="1"/>
          <w:noProof w:val="0"/>
          <w:color w:val="auto"/>
          <w:sz w:val="22"/>
          <w:szCs w:val="22"/>
          <w:lang w:val="en-US"/>
        </w:rPr>
        <w:t>Dementia Reconsidered: The Person Comes First.</w:t>
      </w:r>
      <w:r w:rsidRPr="0797FD4F" w:rsidR="18CA7430">
        <w:rPr>
          <w:rFonts w:ascii="Arial" w:hAnsi="Arial" w:eastAsia="Arial" w:cs="Arial"/>
          <w:noProof w:val="0"/>
          <w:color w:val="auto"/>
          <w:sz w:val="22"/>
          <w:szCs w:val="22"/>
          <w:lang w:val="en-US"/>
        </w:rPr>
        <w:t xml:space="preserve"> Buckingham: Open University Press.</w:t>
      </w:r>
    </w:p>
    <w:p w:rsidR="7EF21647" w:rsidP="0797FD4F" w:rsidRDefault="7EF21647" w14:paraId="26393B71" w14:textId="0DC20D6E">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McLeod, S. (2023) ‘Erik Erikson’s theory of psychosocial development’, </w:t>
      </w:r>
      <w:r w:rsidRPr="0797FD4F" w:rsidR="18CA7430">
        <w:rPr>
          <w:rFonts w:ascii="Arial" w:hAnsi="Arial" w:eastAsia="Arial" w:cs="Arial"/>
          <w:i w:val="1"/>
          <w:iCs w:val="1"/>
          <w:noProof w:val="0"/>
          <w:color w:val="auto"/>
          <w:sz w:val="22"/>
          <w:szCs w:val="22"/>
          <w:lang w:val="en-US"/>
        </w:rPr>
        <w:t>Simply Psychology.</w:t>
      </w:r>
      <w:r w:rsidRPr="0797FD4F" w:rsidR="18CA7430">
        <w:rPr>
          <w:rFonts w:ascii="Arial" w:hAnsi="Arial" w:eastAsia="Arial" w:cs="Arial"/>
          <w:noProof w:val="0"/>
          <w:color w:val="auto"/>
          <w:sz w:val="22"/>
          <w:szCs w:val="22"/>
          <w:lang w:val="en-US"/>
        </w:rPr>
        <w:t xml:space="preserve"> Available at: </w:t>
      </w:r>
      <w:hyperlink r:id="R76880edfc140404b">
        <w:r w:rsidRPr="0797FD4F" w:rsidR="18CA7430">
          <w:rPr>
            <w:rStyle w:val="Hyperlink"/>
            <w:rFonts w:ascii="Arial" w:hAnsi="Arial" w:eastAsia="Arial" w:cs="Arial"/>
            <w:noProof w:val="0"/>
            <w:color w:val="auto"/>
            <w:sz w:val="22"/>
            <w:szCs w:val="22"/>
            <w:lang w:val="en-US"/>
          </w:rPr>
          <w:t>https://www.simplypsychology.org/Erik-Erikson.html</w:t>
        </w:r>
      </w:hyperlink>
      <w:r w:rsidRPr="0797FD4F" w:rsidR="18CA7430">
        <w:rPr>
          <w:rFonts w:ascii="Arial" w:hAnsi="Arial" w:eastAsia="Arial" w:cs="Arial"/>
          <w:noProof w:val="0"/>
          <w:color w:val="auto"/>
          <w:sz w:val="22"/>
          <w:szCs w:val="22"/>
          <w:lang w:val="en-US"/>
        </w:rPr>
        <w:t xml:space="preserve"> (Accessed: 28 October 2025).</w:t>
      </w:r>
    </w:p>
    <w:p w:rsidR="7EF21647" w:rsidP="0797FD4F" w:rsidRDefault="7EF21647" w14:paraId="08F930F4" w14:textId="58F0E3E3">
      <w:pPr>
        <w:spacing w:before="240" w:beforeAutospacing="off" w:after="240" w:afterAutospacing="off"/>
        <w:rPr>
          <w:rFonts w:ascii="Arial" w:hAnsi="Arial" w:eastAsia="Arial" w:cs="Arial"/>
          <w:noProof w:val="0"/>
          <w:color w:val="auto"/>
          <w:sz w:val="22"/>
          <w:szCs w:val="22"/>
          <w:lang w:val="en-US"/>
        </w:rPr>
      </w:pPr>
      <w:r w:rsidRPr="0797FD4F" w:rsidR="18CA7430">
        <w:rPr>
          <w:rFonts w:ascii="Arial" w:hAnsi="Arial" w:eastAsia="Arial" w:cs="Arial"/>
          <w:noProof w:val="0"/>
          <w:color w:val="auto"/>
          <w:sz w:val="22"/>
          <w:szCs w:val="22"/>
          <w:lang w:val="en-US"/>
        </w:rPr>
        <w:t xml:space="preserve">NHS England (2021) </w:t>
      </w:r>
      <w:r w:rsidRPr="0797FD4F" w:rsidR="18CA7430">
        <w:rPr>
          <w:rFonts w:ascii="Arial" w:hAnsi="Arial" w:eastAsia="Arial" w:cs="Arial"/>
          <w:i w:val="1"/>
          <w:iCs w:val="1"/>
          <w:noProof w:val="0"/>
          <w:color w:val="auto"/>
          <w:sz w:val="22"/>
          <w:szCs w:val="22"/>
          <w:lang w:val="en-US"/>
        </w:rPr>
        <w:t>The Framework for Enhanced Health in Care Homes.</w:t>
      </w:r>
      <w:r w:rsidRPr="0797FD4F" w:rsidR="18CA7430">
        <w:rPr>
          <w:rFonts w:ascii="Arial" w:hAnsi="Arial" w:eastAsia="Arial" w:cs="Arial"/>
          <w:noProof w:val="0"/>
          <w:color w:val="auto"/>
          <w:sz w:val="22"/>
          <w:szCs w:val="22"/>
          <w:lang w:val="en-US"/>
        </w:rPr>
        <w:t xml:space="preserve"> London: NHS.</w:t>
      </w:r>
    </w:p>
    <w:p w:rsidR="7EF21647" w:rsidP="7EF21647" w:rsidRDefault="7EF21647" w14:paraId="6E502D7F" w14:textId="32658D0B">
      <w:pPr>
        <w:pStyle w:val="Normal"/>
        <w:rPr>
          <w:rFonts w:ascii="Arial" w:hAnsi="Arial" w:eastAsia="Arial" w:cs="Arial"/>
          <w:b w:val="0"/>
          <w:bCs w:val="0"/>
          <w:noProof w:val="0"/>
          <w:sz w:val="22"/>
          <w:szCs w:val="22"/>
          <w:lang w:val="en-US"/>
        </w:rPr>
      </w:pPr>
    </w:p>
    <w:sectPr>
      <w:pgSz w:w="12240" w:h="15840" w:orient="portrait"/>
      <w:pgMar w:top="1440" w:right="1440" w:bottom="1440" w:left="1440" w:header="720" w:footer="720" w:gutter="0"/>
      <w:cols w:space="720"/>
      <w:docGrid w:linePitch="360"/>
      <w:titlePg w:val="1"/>
      <w:headerReference w:type="default" r:id="R254361cdae5147da"/>
      <w:headerReference w:type="even" r:id="R7f4a0986fcf947f9"/>
      <w:headerReference w:type="first" r:id="Rb1ca0362fc8e4a3f"/>
      <w:footerReference w:type="default" r:id="Rc7a6542209b248e6"/>
      <w:footerReference w:type="even" r:id="R47861a27debc4e29"/>
      <w:footerReference w:type="first" r:id="R82e48fc2d5f6432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p w:rsidR="7EF21647" w:rsidP="7EF21647" w:rsidRDefault="7EF21647" w14:paraId="5DAD037C" w14:textId="11EA3947">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F21647" w:rsidTr="7EF21647" w14:paraId="5CD12696">
      <w:trPr>
        <w:trHeight w:val="300"/>
      </w:trPr>
      <w:tc>
        <w:tcPr>
          <w:tcW w:w="3120" w:type="dxa"/>
          <w:tcMar/>
        </w:tcPr>
        <w:p w:rsidR="7EF21647" w:rsidP="7EF21647" w:rsidRDefault="7EF21647" w14:paraId="4A2326B7" w14:textId="2F6E2D73">
          <w:pPr>
            <w:pStyle w:val="Header"/>
            <w:bidi w:val="0"/>
            <w:ind w:left="-115"/>
            <w:jc w:val="left"/>
          </w:pPr>
        </w:p>
      </w:tc>
      <w:tc>
        <w:tcPr>
          <w:tcW w:w="3120" w:type="dxa"/>
          <w:tcMar/>
        </w:tcPr>
        <w:p w:rsidR="7EF21647" w:rsidP="7EF21647" w:rsidRDefault="7EF21647" w14:paraId="7AF5A992" w14:textId="37EFE2A3">
          <w:pPr>
            <w:pStyle w:val="Header"/>
            <w:bidi w:val="0"/>
            <w:jc w:val="center"/>
          </w:pPr>
        </w:p>
      </w:tc>
      <w:tc>
        <w:tcPr>
          <w:tcW w:w="3120" w:type="dxa"/>
          <w:tcMar/>
        </w:tcPr>
        <w:p w:rsidR="7EF21647" w:rsidP="7EF21647" w:rsidRDefault="7EF21647" w14:paraId="2F693639" w14:textId="49BB7BC6">
          <w:pPr>
            <w:pStyle w:val="Header"/>
            <w:bidi w:val="0"/>
            <w:ind w:right="-115"/>
            <w:jc w:val="right"/>
          </w:pPr>
        </w:p>
      </w:tc>
    </w:tr>
  </w:tbl>
  <w:p w:rsidR="7EF21647" w:rsidP="7EF21647" w:rsidRDefault="7EF21647" w14:paraId="679713C0" w14:textId="7CBD7DD5">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F21647" w:rsidTr="7EF21647" w14:paraId="1E2F17B0">
      <w:trPr>
        <w:trHeight w:val="300"/>
      </w:trPr>
      <w:tc>
        <w:tcPr>
          <w:tcW w:w="3120" w:type="dxa"/>
          <w:tcMar/>
        </w:tcPr>
        <w:p w:rsidR="7EF21647" w:rsidP="7EF21647" w:rsidRDefault="7EF21647" w14:paraId="49076030" w14:textId="15B6047C">
          <w:pPr>
            <w:bidi w:val="0"/>
            <w:ind w:left="-115"/>
            <w:jc w:val="left"/>
          </w:pPr>
          <w:r w:rsidRPr="7EF21647" w:rsidR="7EF21647">
            <w:rPr>
              <w:b w:val="1"/>
              <w:bCs w:val="1"/>
              <w:noProof w:val="0"/>
              <w:lang w:val="en-US"/>
            </w:rPr>
            <w:t>LCHS4010</w:t>
          </w:r>
        </w:p>
      </w:tc>
      <w:tc>
        <w:tcPr>
          <w:tcW w:w="3120" w:type="dxa"/>
          <w:tcMar/>
        </w:tcPr>
        <w:p w:rsidR="7EF21647" w:rsidP="7EF21647" w:rsidRDefault="7EF21647" w14:paraId="5EA14315" w14:textId="0F1479C2">
          <w:pPr>
            <w:pStyle w:val="Header"/>
            <w:bidi w:val="0"/>
            <w:jc w:val="center"/>
          </w:pPr>
          <w:r w:rsidRPr="7EF21647" w:rsidR="7EF21647">
            <w:rPr>
              <w:b w:val="1"/>
              <w:bCs w:val="1"/>
              <w:noProof w:val="0"/>
              <w:lang w:val="en-US"/>
            </w:rPr>
            <w:t>Neale Haddon (Module lead)</w:t>
          </w:r>
        </w:p>
      </w:tc>
      <w:tc>
        <w:tcPr>
          <w:tcW w:w="3120" w:type="dxa"/>
          <w:tcMar/>
        </w:tcPr>
        <w:p w:rsidR="7EF21647" w:rsidP="7EF21647" w:rsidRDefault="7EF21647" w14:paraId="2BBE91F7" w14:textId="3BB5A966">
          <w:pPr>
            <w:pStyle w:val="Header"/>
            <w:bidi w:val="0"/>
            <w:ind w:right="-115"/>
            <w:jc w:val="right"/>
          </w:pPr>
          <w:r w:rsidRPr="7EF21647" w:rsidR="7EF21647">
            <w:rPr>
              <w:b w:val="1"/>
              <w:bCs w:val="1"/>
              <w:noProof w:val="0"/>
              <w:lang w:val="en-US"/>
            </w:rPr>
            <w:t>Psychology in Health and Social Care</w:t>
          </w:r>
        </w:p>
      </w:tc>
    </w:tr>
  </w:tbl>
  <w:p w:rsidR="7EF21647" w:rsidP="7EF21647" w:rsidRDefault="7EF21647" w14:paraId="420FD8A3" w14:textId="54291B66">
    <w:pPr>
      <w:pStyle w:val="Footer"/>
      <w:bidi w:val="0"/>
    </w:pPr>
  </w:p>
</w:ftr>
</file>

<file path=word/header.xml><?xml version="1.0" encoding="utf-8"?>
<w:hdr xmlns:w14="http://schemas.microsoft.com/office/word/2010/wordml" xmlns:w="http://schemas.openxmlformats.org/wordprocessingml/2006/main">
  <w:p w:rsidR="7EF21647" w:rsidP="7EF21647" w:rsidRDefault="7EF21647" w14:paraId="6CF53EA6" w14:textId="54CAB91E">
    <w:pPr>
      <w:pStyle w:val="Header"/>
      <w:jc w:val="right"/>
    </w:pPr>
    <w:r>
      <w:fldChar w:fldCharType="begin"/>
    </w:r>
    <w:r>
      <w:instrText xml:space="preserve">PAGE</w:instrText>
    </w:r>
    <w:r>
      <w:fldChar w:fldCharType="separate"/>
    </w:r>
    <w:r>
      <w:fldChar w:fldCharType="end"/>
    </w:r>
  </w:p>
  <w:p w:rsidR="7EF21647" w:rsidP="7EF21647" w:rsidRDefault="7EF21647" w14:paraId="6B49E451" w14:textId="7FE6A4FF">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F21647" w:rsidTr="7EF21647" w14:paraId="146805D2">
      <w:trPr>
        <w:trHeight w:val="300"/>
      </w:trPr>
      <w:tc>
        <w:tcPr>
          <w:tcW w:w="3120" w:type="dxa"/>
          <w:tcMar/>
        </w:tcPr>
        <w:p w:rsidR="7EF21647" w:rsidP="7EF21647" w:rsidRDefault="7EF21647" w14:paraId="3946419E" w14:textId="2DB69B01">
          <w:pPr>
            <w:pStyle w:val="Header"/>
            <w:bidi w:val="0"/>
            <w:ind w:left="-115"/>
            <w:jc w:val="left"/>
          </w:pPr>
        </w:p>
      </w:tc>
      <w:tc>
        <w:tcPr>
          <w:tcW w:w="3120" w:type="dxa"/>
          <w:tcMar/>
        </w:tcPr>
        <w:p w:rsidR="7EF21647" w:rsidP="7EF21647" w:rsidRDefault="7EF21647" w14:paraId="651D8C3C" w14:textId="6730C0A9">
          <w:pPr>
            <w:pStyle w:val="Header"/>
            <w:bidi w:val="0"/>
            <w:jc w:val="center"/>
          </w:pPr>
        </w:p>
      </w:tc>
      <w:tc>
        <w:tcPr>
          <w:tcW w:w="3120" w:type="dxa"/>
          <w:tcMar/>
        </w:tcPr>
        <w:p w:rsidR="7EF21647" w:rsidP="7EF21647" w:rsidRDefault="7EF21647" w14:paraId="3E2CE552" w14:textId="6970A281">
          <w:pPr>
            <w:pStyle w:val="Header"/>
            <w:bidi w:val="0"/>
            <w:ind w:right="-115"/>
            <w:jc w:val="right"/>
          </w:pPr>
          <w:r>
            <w:fldChar w:fldCharType="begin"/>
          </w:r>
          <w:r>
            <w:instrText xml:space="preserve">PAGE</w:instrText>
          </w:r>
          <w:r>
            <w:fldChar w:fldCharType="separate"/>
          </w:r>
          <w:r>
            <w:fldChar w:fldCharType="end"/>
          </w:r>
        </w:p>
      </w:tc>
    </w:tr>
  </w:tbl>
  <w:p w:rsidR="7EF21647" w:rsidP="7EF21647" w:rsidRDefault="7EF21647" w14:paraId="4D15E614" w14:textId="5AEF55C7">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F21647" w:rsidTr="7EF21647" w14:paraId="2179A2D6">
      <w:trPr>
        <w:trHeight w:val="300"/>
      </w:trPr>
      <w:tc>
        <w:tcPr>
          <w:tcW w:w="3120" w:type="dxa"/>
          <w:tcMar/>
        </w:tcPr>
        <w:p w:rsidR="7EF21647" w:rsidP="7EF21647" w:rsidRDefault="7EF21647" w14:paraId="412C9536" w14:textId="30804D72">
          <w:pPr>
            <w:pStyle w:val="Header"/>
            <w:bidi w:val="0"/>
            <w:ind w:left="-115"/>
            <w:jc w:val="left"/>
          </w:pPr>
          <w:r w:rsidR="7EF21647">
            <w:rPr/>
            <w:t>Valentina Carrillo Oviol</w:t>
          </w:r>
        </w:p>
      </w:tc>
      <w:tc>
        <w:tcPr>
          <w:tcW w:w="3120" w:type="dxa"/>
          <w:tcMar/>
        </w:tcPr>
        <w:p w:rsidR="7EF21647" w:rsidP="7EF21647" w:rsidRDefault="7EF21647" w14:paraId="4E2C888E" w14:textId="2219EE3B">
          <w:pPr>
            <w:pStyle w:val="Header"/>
            <w:bidi w:val="0"/>
            <w:jc w:val="center"/>
          </w:pPr>
          <w:r w:rsidR="7EF21647">
            <w:rPr/>
            <w:t>2419753</w:t>
          </w:r>
        </w:p>
      </w:tc>
      <w:tc>
        <w:tcPr>
          <w:tcW w:w="3120" w:type="dxa"/>
          <w:tcMar/>
        </w:tcPr>
        <w:p w:rsidR="7EF21647" w:rsidP="7EF21647" w:rsidRDefault="7EF21647" w14:paraId="02418E34" w14:textId="4D94F116">
          <w:pPr>
            <w:pStyle w:val="Header"/>
            <w:bidi w:val="0"/>
            <w:ind w:right="-115"/>
            <w:jc w:val="right"/>
          </w:pPr>
          <w:r w:rsidR="7EF21647">
            <w:rPr/>
            <w:t>1</w:t>
          </w:r>
        </w:p>
      </w:tc>
    </w:tr>
  </w:tbl>
  <w:p w:rsidR="7EF21647" w:rsidP="7EF21647" w:rsidRDefault="7EF21647" w14:paraId="6AFE4963" w14:textId="745BC9E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A9E7F3"/>
    <w:rsid w:val="03E34EF6"/>
    <w:rsid w:val="0797FD4F"/>
    <w:rsid w:val="07C7960D"/>
    <w:rsid w:val="08CA04C1"/>
    <w:rsid w:val="0B4B48C1"/>
    <w:rsid w:val="150A6B1F"/>
    <w:rsid w:val="17DD7621"/>
    <w:rsid w:val="18CA7430"/>
    <w:rsid w:val="1BA26C82"/>
    <w:rsid w:val="1BE6CED3"/>
    <w:rsid w:val="1F49B761"/>
    <w:rsid w:val="20184165"/>
    <w:rsid w:val="21128F0F"/>
    <w:rsid w:val="2239D52C"/>
    <w:rsid w:val="309CB265"/>
    <w:rsid w:val="375B91A9"/>
    <w:rsid w:val="3C97D6FC"/>
    <w:rsid w:val="3CB20D79"/>
    <w:rsid w:val="3EB8C33E"/>
    <w:rsid w:val="413952B5"/>
    <w:rsid w:val="42AB8EDD"/>
    <w:rsid w:val="577108B2"/>
    <w:rsid w:val="5882C54C"/>
    <w:rsid w:val="599EC278"/>
    <w:rsid w:val="60D9EE7E"/>
    <w:rsid w:val="63A9E7F3"/>
    <w:rsid w:val="648C1220"/>
    <w:rsid w:val="678E1412"/>
    <w:rsid w:val="6C9CFA16"/>
    <w:rsid w:val="6F30E9AB"/>
    <w:rsid w:val="6F7D9D41"/>
    <w:rsid w:val="75E582DD"/>
    <w:rsid w:val="7A619D87"/>
    <w:rsid w:val="7C115EA6"/>
    <w:rsid w:val="7D479CA2"/>
    <w:rsid w:val="7D4AAABE"/>
    <w:rsid w:val="7EF216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9E7F3"/>
  <w15:chartTrackingRefBased/>
  <w15:docId w15:val="{100BF734-AEC0-4042-9EF2-A370867A0D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EF21647"/>
    <w:pPr>
      <w:tabs>
        <w:tab w:val="center" w:leader="none" w:pos="4680"/>
        <w:tab w:val="right" w:leader="none" w:pos="9360"/>
      </w:tabs>
      <w:spacing w:after="0" w:line="240" w:lineRule="auto"/>
    </w:pPr>
  </w:style>
  <w:style w:type="paragraph" w:styleId="Footer">
    <w:uiPriority w:val="99"/>
    <w:name w:val="footer"/>
    <w:basedOn w:val="Normal"/>
    <w:unhideWhenUsed/>
    <w:rsid w:val="7EF21647"/>
    <w:pPr>
      <w:tabs>
        <w:tab w:val="center" w:leader="none" w:pos="4680"/>
        <w:tab w:val="right" w:leader="none" w:pos="9360"/>
      </w:tabs>
      <w:spacing w:after="0" w:line="240" w:lineRule="auto"/>
    </w:pPr>
  </w:style>
  <w:style w:type="paragraph" w:styleId="Heading1">
    <w:uiPriority w:val="9"/>
    <w:name w:val="heading 1"/>
    <w:basedOn w:val="Normal"/>
    <w:next w:val="Normal"/>
    <w:qFormat/>
    <w:rsid w:val="7EF2164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qFormat/>
    <w:rsid w:val="7EF21647"/>
    <w:rPr>
      <w:rFonts w:ascii="Aptos Display" w:hAnsi="Aptos Display" w:eastAsia="" w:cs="" w:asciiTheme="majorAscii" w:hAnsiTheme="majorAscii" w:eastAsiaTheme="majorEastAsia" w:cstheme="majorBidi"/>
      <w:sz w:val="56"/>
      <w:szCs w:val="56"/>
    </w:rPr>
    <w:pPr>
      <w:spacing w:after="80" w:line="240" w:lineRule="auto"/>
      <w:contextualSpacing/>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eastAsiaTheme="majorEastAsia" w:cstheme="majorBidi"/>
      <w:color w:val="0F4761" w:themeColor="accent1" w:themeShade="BF"/>
      <w:sz w:val="28"/>
      <w:szCs w:val="28"/>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2"/>
    </w:pPr>
    <w:rPr xmlns:w="http://schemas.openxmlformats.org/wordprocessingml/2006/main">
      <w:rFonts w:eastAsiaTheme="majorEastAsia" w:cstheme="majorBidi"/>
      <w:color w:val="0F4761" w:themeColor="accent1" w:themeShade="BF"/>
      <w:sz w:val="28"/>
      <w:szCs w:val="28"/>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254361cdae5147da" /><Relationship Type="http://schemas.openxmlformats.org/officeDocument/2006/relationships/header" Target="header2.xml" Id="R7f4a0986fcf947f9" /><Relationship Type="http://schemas.openxmlformats.org/officeDocument/2006/relationships/header" Target="header3.xml" Id="Rb1ca0362fc8e4a3f" /><Relationship Type="http://schemas.openxmlformats.org/officeDocument/2006/relationships/footer" Target="footer.xml" Id="Rc7a6542209b248e6" /><Relationship Type="http://schemas.openxmlformats.org/officeDocument/2006/relationships/footer" Target="footer2.xml" Id="R47861a27debc4e29" /><Relationship Type="http://schemas.openxmlformats.org/officeDocument/2006/relationships/footer" Target="footer3.xml" Id="R82e48fc2d5f64324" /><Relationship Type="http://schemas.openxmlformats.org/officeDocument/2006/relationships/hyperlink" Target="https://www.simplypsychology.org/Erik-Erikson.html" TargetMode="External" Id="R76880edfc140404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2025-10-30T15:46:30.3212479Z</dcterms:created>
  <dcterms:modified xsi:type="dcterms:W3CDTF">2025-11-13T15:11:38.7602454Z</dcterms:modified>
  <dc:creator>Valentina Carrillo Oviol (2419753)</dc:creator>
  <lastModifiedBy>Valentina Carrillo Oviol (2419753)</lastModifiedBy>
</coreProperties>
</file>