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7459F" w14:textId="2769452A" w:rsidR="00BE164B" w:rsidRPr="00BE164B" w:rsidRDefault="00C823E1" w:rsidP="00BE164B">
      <w:pPr>
        <w:suppressAutoHyphens w:val="0"/>
        <w:spacing w:line="360" w:lineRule="auto"/>
        <w:jc w:val="center"/>
        <w:rPr>
          <w:rFonts w:ascii="Arial" w:hAnsi="Arial" w:cs="Arial"/>
          <w:b/>
          <w:sz w:val="28"/>
          <w:szCs w:val="28"/>
          <w:u w:val="single"/>
        </w:rPr>
      </w:pPr>
      <w:r w:rsidRPr="00BE164B">
        <w:rPr>
          <w:rFonts w:ascii="Arial" w:hAnsi="Arial" w:cs="Arial"/>
          <w:b/>
          <w:sz w:val="28"/>
          <w:szCs w:val="28"/>
          <w:u w:val="single"/>
        </w:rPr>
        <w:t>How to engage employees throughout the employee lifecycle</w:t>
      </w:r>
    </w:p>
    <w:p w14:paraId="788A13F7" w14:textId="156C06D2" w:rsidR="00BE164B" w:rsidRPr="00BE164B" w:rsidRDefault="00C823E1" w:rsidP="00BE164B">
      <w:pPr>
        <w:suppressAutoHyphens w:val="0"/>
        <w:spacing w:before="100" w:beforeAutospacing="1" w:after="100" w:afterAutospacing="1" w:line="360" w:lineRule="auto"/>
        <w:jc w:val="center"/>
        <w:rPr>
          <w:rFonts w:ascii="Arial" w:eastAsia="Times New Roman" w:hAnsi="Arial" w:cs="Arial"/>
          <w:sz w:val="28"/>
          <w:szCs w:val="28"/>
          <w:lang w:eastAsia="en-GB"/>
        </w:rPr>
      </w:pPr>
      <w:r w:rsidRPr="00BE164B">
        <w:rPr>
          <w:rFonts w:ascii="Arial" w:eastAsia="Times New Roman" w:hAnsi="Arial" w:cs="Arial"/>
          <w:sz w:val="28"/>
          <w:szCs w:val="28"/>
          <w:lang w:eastAsia="en-GB"/>
        </w:rPr>
        <w:t>Malik Arosh Miah</w:t>
      </w:r>
      <w:r w:rsidR="00FB08FE">
        <w:rPr>
          <w:rFonts w:ascii="Arial" w:eastAsia="Times New Roman" w:hAnsi="Arial" w:cs="Arial"/>
          <w:sz w:val="28"/>
          <w:szCs w:val="28"/>
          <w:lang w:eastAsia="en-GB"/>
        </w:rPr>
        <w:t xml:space="preserve"> (2107169)</w:t>
      </w:r>
    </w:p>
    <w:p w14:paraId="7EE9C5CF" w14:textId="0872EC58" w:rsidR="00C823E1" w:rsidRPr="00BE164B" w:rsidRDefault="00C823E1" w:rsidP="00C823E1">
      <w:pPr>
        <w:ind w:right="121"/>
        <w:jc w:val="center"/>
        <w:rPr>
          <w:rFonts w:ascii="Arial" w:eastAsia="Times New Roman" w:hAnsi="Arial" w:cs="Arial"/>
          <w:bCs/>
          <w:sz w:val="28"/>
          <w:szCs w:val="28"/>
          <w:lang w:eastAsia="en-GB"/>
        </w:rPr>
      </w:pPr>
      <w:r w:rsidRPr="00BE164B">
        <w:rPr>
          <w:rFonts w:ascii="Arial" w:hAnsi="Arial" w:cs="Arial"/>
          <w:bCs/>
          <w:sz w:val="28"/>
          <w:szCs w:val="28"/>
        </w:rPr>
        <w:t>Personnel Resourcing and Development (</w:t>
      </w:r>
      <w:r w:rsidRPr="00BE164B">
        <w:rPr>
          <w:rFonts w:ascii="Arial" w:eastAsia="Times New Roman" w:hAnsi="Arial" w:cs="Arial"/>
          <w:bCs/>
          <w:sz w:val="28"/>
          <w:szCs w:val="28"/>
          <w:lang w:eastAsia="en-GB"/>
        </w:rPr>
        <w:t>BMIH5005)</w:t>
      </w:r>
    </w:p>
    <w:p w14:paraId="3BE1A4C4" w14:textId="77777777" w:rsidR="00BE164B" w:rsidRPr="00BE164B" w:rsidRDefault="00BE164B" w:rsidP="00C823E1">
      <w:pPr>
        <w:ind w:right="121"/>
        <w:jc w:val="center"/>
        <w:rPr>
          <w:rFonts w:ascii="Arial" w:eastAsia="Times New Roman" w:hAnsi="Arial" w:cs="Arial"/>
          <w:bCs/>
          <w:sz w:val="28"/>
          <w:szCs w:val="28"/>
          <w:lang w:eastAsia="en-GB"/>
        </w:rPr>
      </w:pPr>
    </w:p>
    <w:p w14:paraId="6027DDCF" w14:textId="77777777" w:rsidR="00C823E1" w:rsidRPr="00BE164B" w:rsidRDefault="00C823E1" w:rsidP="00C823E1">
      <w:pPr>
        <w:spacing w:after="0" w:line="240" w:lineRule="auto"/>
        <w:jc w:val="center"/>
        <w:rPr>
          <w:rFonts w:ascii="Arial" w:hAnsi="Arial" w:cs="Arial"/>
          <w:bCs/>
          <w:sz w:val="28"/>
          <w:szCs w:val="28"/>
        </w:rPr>
      </w:pPr>
      <w:r w:rsidRPr="00BE164B">
        <w:rPr>
          <w:rFonts w:ascii="Arial" w:hAnsi="Arial" w:cs="Arial"/>
          <w:bCs/>
          <w:sz w:val="28"/>
          <w:szCs w:val="28"/>
        </w:rPr>
        <w:t>Kathryn Roberts</w:t>
      </w:r>
    </w:p>
    <w:p w14:paraId="41EC91DC" w14:textId="77777777" w:rsidR="00C823E1" w:rsidRPr="00BE164B" w:rsidRDefault="00C823E1" w:rsidP="00C823E1">
      <w:pPr>
        <w:ind w:right="121"/>
        <w:jc w:val="center"/>
        <w:rPr>
          <w:rFonts w:ascii="Arial" w:hAnsi="Arial" w:cs="Arial"/>
          <w:bCs/>
          <w:sz w:val="28"/>
          <w:szCs w:val="28"/>
        </w:rPr>
      </w:pPr>
    </w:p>
    <w:p w14:paraId="4A6AEA29" w14:textId="77777777" w:rsidR="00C823E1" w:rsidRDefault="00C823E1" w:rsidP="00C823E1">
      <w:pPr>
        <w:suppressAutoHyphens w:val="0"/>
        <w:spacing w:before="100" w:beforeAutospacing="1" w:after="100" w:afterAutospacing="1" w:line="360" w:lineRule="auto"/>
        <w:ind w:left="567"/>
        <w:jc w:val="both"/>
        <w:rPr>
          <w:rFonts w:asciiTheme="minorBidi" w:eastAsia="Times New Roman" w:hAnsiTheme="minorBidi" w:cstheme="minorBidi"/>
          <w:sz w:val="24"/>
          <w:szCs w:val="24"/>
          <w:lang w:eastAsia="en-GB"/>
        </w:rPr>
      </w:pPr>
    </w:p>
    <w:p w14:paraId="6410C88E" w14:textId="77777777" w:rsidR="00C823E1" w:rsidRDefault="00C823E1" w:rsidP="00C5208F">
      <w:pPr>
        <w:pStyle w:val="NormalWeb"/>
        <w:spacing w:after="0" w:line="360" w:lineRule="auto"/>
        <w:jc w:val="center"/>
        <w:rPr>
          <w:rFonts w:ascii="Arial" w:hAnsi="Arial" w:cs="Arial"/>
          <w:b/>
          <w:bCs/>
        </w:rPr>
      </w:pPr>
    </w:p>
    <w:p w14:paraId="36E48DC0" w14:textId="77777777" w:rsidR="00C823E1" w:rsidRDefault="00C823E1" w:rsidP="00C5208F">
      <w:pPr>
        <w:pStyle w:val="NormalWeb"/>
        <w:spacing w:after="0" w:line="360" w:lineRule="auto"/>
        <w:jc w:val="center"/>
        <w:rPr>
          <w:rFonts w:ascii="Arial" w:hAnsi="Arial" w:cs="Arial"/>
          <w:b/>
          <w:bCs/>
        </w:rPr>
      </w:pPr>
    </w:p>
    <w:p w14:paraId="2D570253" w14:textId="77777777" w:rsidR="00C823E1" w:rsidRDefault="00C823E1" w:rsidP="00C5208F">
      <w:pPr>
        <w:pStyle w:val="NormalWeb"/>
        <w:spacing w:after="0" w:line="360" w:lineRule="auto"/>
        <w:jc w:val="center"/>
        <w:rPr>
          <w:rFonts w:ascii="Arial" w:hAnsi="Arial" w:cs="Arial"/>
          <w:b/>
          <w:bCs/>
        </w:rPr>
      </w:pPr>
    </w:p>
    <w:p w14:paraId="069E88FC" w14:textId="79AA1D26" w:rsidR="00C823E1" w:rsidRDefault="00C823E1" w:rsidP="00C5208F">
      <w:pPr>
        <w:pStyle w:val="NormalWeb"/>
        <w:spacing w:after="0" w:line="360" w:lineRule="auto"/>
        <w:jc w:val="center"/>
        <w:rPr>
          <w:rFonts w:ascii="Arial" w:hAnsi="Arial" w:cs="Arial"/>
          <w:b/>
          <w:bCs/>
        </w:rPr>
      </w:pPr>
    </w:p>
    <w:p w14:paraId="0E2D383D" w14:textId="77D33255" w:rsidR="00BE164B" w:rsidRDefault="00BE164B" w:rsidP="00C5208F">
      <w:pPr>
        <w:pStyle w:val="NormalWeb"/>
        <w:spacing w:after="0" w:line="360" w:lineRule="auto"/>
        <w:jc w:val="center"/>
        <w:rPr>
          <w:rFonts w:ascii="Arial" w:hAnsi="Arial" w:cs="Arial"/>
          <w:b/>
          <w:bCs/>
        </w:rPr>
      </w:pPr>
    </w:p>
    <w:p w14:paraId="7C3ECD3A" w14:textId="10542F12" w:rsidR="00BE164B" w:rsidRDefault="00BE164B" w:rsidP="00C5208F">
      <w:pPr>
        <w:pStyle w:val="NormalWeb"/>
        <w:spacing w:after="0" w:line="360" w:lineRule="auto"/>
        <w:jc w:val="center"/>
        <w:rPr>
          <w:rFonts w:ascii="Arial" w:hAnsi="Arial" w:cs="Arial"/>
          <w:b/>
          <w:bCs/>
        </w:rPr>
      </w:pPr>
    </w:p>
    <w:p w14:paraId="089E88E7" w14:textId="44F6C4B5" w:rsidR="00BE164B" w:rsidRDefault="00BE164B" w:rsidP="00C5208F">
      <w:pPr>
        <w:pStyle w:val="NormalWeb"/>
        <w:spacing w:after="0" w:line="360" w:lineRule="auto"/>
        <w:jc w:val="center"/>
        <w:rPr>
          <w:rFonts w:ascii="Arial" w:hAnsi="Arial" w:cs="Arial"/>
          <w:b/>
          <w:bCs/>
        </w:rPr>
      </w:pPr>
    </w:p>
    <w:p w14:paraId="49E535D6" w14:textId="794F23A9" w:rsidR="00BE164B" w:rsidRDefault="00BE164B" w:rsidP="00C5208F">
      <w:pPr>
        <w:pStyle w:val="NormalWeb"/>
        <w:spacing w:after="0" w:line="360" w:lineRule="auto"/>
        <w:jc w:val="center"/>
        <w:rPr>
          <w:rFonts w:ascii="Arial" w:hAnsi="Arial" w:cs="Arial"/>
          <w:b/>
          <w:bCs/>
        </w:rPr>
      </w:pPr>
    </w:p>
    <w:p w14:paraId="6C181130" w14:textId="725855F2" w:rsidR="00BE164B" w:rsidRDefault="00BE164B" w:rsidP="00C5208F">
      <w:pPr>
        <w:pStyle w:val="NormalWeb"/>
        <w:spacing w:after="0" w:line="360" w:lineRule="auto"/>
        <w:jc w:val="center"/>
        <w:rPr>
          <w:rFonts w:ascii="Arial" w:hAnsi="Arial" w:cs="Arial"/>
          <w:b/>
          <w:bCs/>
        </w:rPr>
      </w:pPr>
    </w:p>
    <w:p w14:paraId="41E61A54" w14:textId="338CD445" w:rsidR="00BE164B" w:rsidRDefault="00BE164B" w:rsidP="00C5208F">
      <w:pPr>
        <w:pStyle w:val="NormalWeb"/>
        <w:spacing w:after="0" w:line="360" w:lineRule="auto"/>
        <w:jc w:val="center"/>
        <w:rPr>
          <w:rFonts w:ascii="Arial" w:hAnsi="Arial" w:cs="Arial"/>
          <w:b/>
          <w:bCs/>
        </w:rPr>
      </w:pPr>
    </w:p>
    <w:p w14:paraId="3CB8270B" w14:textId="7FBEB1E0" w:rsidR="00BE164B" w:rsidRDefault="00BE164B" w:rsidP="00C5208F">
      <w:pPr>
        <w:pStyle w:val="NormalWeb"/>
        <w:spacing w:after="0" w:line="360" w:lineRule="auto"/>
        <w:jc w:val="center"/>
        <w:rPr>
          <w:rFonts w:ascii="Arial" w:hAnsi="Arial" w:cs="Arial"/>
          <w:b/>
          <w:bCs/>
        </w:rPr>
      </w:pPr>
    </w:p>
    <w:p w14:paraId="51BAD942" w14:textId="082D8EA0" w:rsidR="00BE164B" w:rsidRDefault="00BE164B" w:rsidP="00C5208F">
      <w:pPr>
        <w:pStyle w:val="NormalWeb"/>
        <w:spacing w:after="0" w:line="360" w:lineRule="auto"/>
        <w:jc w:val="center"/>
        <w:rPr>
          <w:rFonts w:ascii="Arial" w:hAnsi="Arial" w:cs="Arial"/>
          <w:b/>
          <w:bCs/>
        </w:rPr>
      </w:pPr>
    </w:p>
    <w:p w14:paraId="30B9A629" w14:textId="6688F618" w:rsidR="00C823E1" w:rsidRDefault="00C823E1" w:rsidP="00C5208F">
      <w:pPr>
        <w:pStyle w:val="NormalWeb"/>
        <w:spacing w:after="0" w:line="360" w:lineRule="auto"/>
        <w:jc w:val="center"/>
        <w:rPr>
          <w:rFonts w:ascii="Arial" w:hAnsi="Arial" w:cs="Arial"/>
          <w:b/>
          <w:bCs/>
        </w:rPr>
      </w:pPr>
    </w:p>
    <w:p w14:paraId="2F55D654" w14:textId="77777777" w:rsidR="00BE164B" w:rsidRDefault="00BE164B" w:rsidP="00C5208F">
      <w:pPr>
        <w:pStyle w:val="NormalWeb"/>
        <w:spacing w:after="0" w:line="360" w:lineRule="auto"/>
        <w:jc w:val="center"/>
        <w:rPr>
          <w:rFonts w:ascii="Arial" w:hAnsi="Arial" w:cs="Arial"/>
          <w:b/>
          <w:bCs/>
        </w:rPr>
      </w:pPr>
    </w:p>
    <w:p w14:paraId="26B741F6" w14:textId="0AF9EB04" w:rsidR="00256072" w:rsidRPr="00256072" w:rsidRDefault="00256072" w:rsidP="00C5208F">
      <w:pPr>
        <w:pStyle w:val="NormalWeb"/>
        <w:spacing w:after="0" w:line="360" w:lineRule="auto"/>
        <w:jc w:val="center"/>
        <w:rPr>
          <w:rFonts w:ascii="Arial" w:hAnsi="Arial" w:cs="Arial"/>
        </w:rPr>
      </w:pPr>
      <w:r w:rsidRPr="00256072">
        <w:rPr>
          <w:rFonts w:ascii="Arial" w:hAnsi="Arial" w:cs="Arial"/>
          <w:b/>
          <w:bCs/>
        </w:rPr>
        <w:lastRenderedPageBreak/>
        <w:t>How to engage employees throughout the employee lifecycle</w:t>
      </w:r>
    </w:p>
    <w:p w14:paraId="0A554143" w14:textId="77777777" w:rsidR="00256072" w:rsidRPr="00256072" w:rsidRDefault="00256072" w:rsidP="00256072">
      <w:pPr>
        <w:pStyle w:val="NormalWeb"/>
        <w:spacing w:after="0" w:line="360" w:lineRule="auto"/>
        <w:jc w:val="both"/>
        <w:rPr>
          <w:rFonts w:ascii="Arial" w:hAnsi="Arial" w:cs="Arial"/>
        </w:rPr>
      </w:pPr>
    </w:p>
    <w:p w14:paraId="18016F35" w14:textId="77777777" w:rsidR="00256072" w:rsidRDefault="00256072" w:rsidP="00256072">
      <w:pPr>
        <w:pStyle w:val="NormalWeb"/>
        <w:spacing w:after="0" w:line="360" w:lineRule="auto"/>
        <w:jc w:val="both"/>
        <w:rPr>
          <w:rFonts w:ascii="Arial" w:hAnsi="Arial" w:cs="Arial"/>
        </w:rPr>
      </w:pPr>
      <w:r w:rsidRPr="00256072">
        <w:rPr>
          <w:rFonts w:ascii="Arial" w:hAnsi="Arial" w:cs="Arial"/>
        </w:rPr>
        <w:t>We shall be looking at ways large hotels engages with their employees from the recruitment process till retirement or leaving the company. We shall look at how companies use the recruitment process in finding the right person who they think will fit into the working ethics of the company and become a valuable member of the team. We shall also examine in details the different methods used by organisations and how it helps them to keep their employees engaged in their current role and giving them opportunities to enhance their future by paths to promotion and additional benefits. Organisations use different models such as Gallop through-out the employee lifecycle in order to give them the best support during there employment. We shall delve further into the different models used by organisation and find out how they are implemented.</w:t>
      </w:r>
    </w:p>
    <w:p w14:paraId="3B2A9192" w14:textId="77777777" w:rsidR="00256072" w:rsidRDefault="00256072" w:rsidP="00256072">
      <w:pPr>
        <w:pStyle w:val="NormalWeb"/>
        <w:spacing w:after="0" w:line="360" w:lineRule="auto"/>
        <w:jc w:val="both"/>
        <w:rPr>
          <w:rFonts w:ascii="Arial" w:hAnsi="Arial" w:cs="Arial"/>
        </w:rPr>
      </w:pPr>
    </w:p>
    <w:p w14:paraId="72EFB87A" w14:textId="0A13F855" w:rsidR="00256072" w:rsidRPr="00256072" w:rsidRDefault="00256072" w:rsidP="00256072">
      <w:pPr>
        <w:pStyle w:val="NormalWeb"/>
        <w:spacing w:after="0" w:line="360" w:lineRule="auto"/>
        <w:jc w:val="both"/>
        <w:rPr>
          <w:rFonts w:ascii="Arial" w:hAnsi="Arial" w:cs="Arial"/>
        </w:rPr>
      </w:pPr>
      <w:r w:rsidRPr="00256072">
        <w:rPr>
          <w:rFonts w:ascii="Arial" w:hAnsi="Arial" w:cs="Arial"/>
        </w:rPr>
        <w:t>The meaning of employee engagement has over 50 definitions but academic research has made one thing very clear, employees' psychological states are thought to play a role in their level of engagement (CIPD, 2021). Employees in the hotel industry are the life source of the company. From cleaning and setting the rooms to be lived to the interaction with guests. After all if a hotel room is not cleaned, there is no reason for a guest to stay in that hotel which results in loss of business. Also the first interaction from a customer with the hotel can be from the vale and if they are not trained well enough to interact and communicate with the customer then the customer will have a bad experience. According to Jack (2011), a smile and politeness are the hallmarks of hospitality. An organisation needs to engage with their employees, be it through one to one or a group decision. The employees need to feel that they belong in the company and not just a number. Robert Purdy, director of IT customer management and delivery for EE said ‘’engagement is about accepting people as individuals’’ (Hrmagazine, 2016).</w:t>
      </w:r>
    </w:p>
    <w:p w14:paraId="2F9EABE0" w14:textId="77777777" w:rsidR="00256072" w:rsidRDefault="00256072" w:rsidP="00256072">
      <w:pPr>
        <w:pStyle w:val="NormalWeb"/>
        <w:spacing w:after="0" w:line="360" w:lineRule="auto"/>
        <w:jc w:val="both"/>
        <w:rPr>
          <w:rFonts w:ascii="Arial" w:hAnsi="Arial" w:cs="Arial"/>
        </w:rPr>
      </w:pPr>
    </w:p>
    <w:p w14:paraId="1B3206F2" w14:textId="6B1F6CD2" w:rsidR="00256072" w:rsidRPr="00256072" w:rsidRDefault="00256072" w:rsidP="00256072">
      <w:pPr>
        <w:pStyle w:val="NormalWeb"/>
        <w:spacing w:after="0" w:line="360" w:lineRule="auto"/>
        <w:jc w:val="both"/>
        <w:rPr>
          <w:rFonts w:ascii="Arial" w:hAnsi="Arial" w:cs="Arial"/>
        </w:rPr>
      </w:pPr>
      <w:r w:rsidRPr="00256072">
        <w:rPr>
          <w:rFonts w:ascii="Arial" w:hAnsi="Arial" w:cs="Arial"/>
        </w:rPr>
        <w:lastRenderedPageBreak/>
        <w:t xml:space="preserve">Most organisations establish a Human Resource Management (HRM). A planned and comprehensive method for overseeing a company's most valuable resource. The workers who both individually and collectively enable the company to achieve its goals is known as human resource management. (Armstrong, 2014). The function's primary goal is to give the guidance and services that help businesses and their management to accomplish goals. Over the years HRM techniques, programmes, and training have been developed and utilised in the areas of recruiting and selection, training, benefits administration, and improving employee perception or satisfaction (Baumann, 2003). Depending on the size of the company, the HRM department may consist of one person or an entire department (0’Reordan, 2017). This is the team that will engage the employee from attracting them to the industry, till the moment they leave. </w:t>
      </w:r>
    </w:p>
    <w:p w14:paraId="7B11B860" w14:textId="77777777" w:rsidR="00256072" w:rsidRDefault="00256072" w:rsidP="00256072">
      <w:pPr>
        <w:pStyle w:val="NormalWeb"/>
        <w:spacing w:after="0" w:line="360" w:lineRule="auto"/>
        <w:jc w:val="both"/>
        <w:rPr>
          <w:rFonts w:ascii="Arial" w:hAnsi="Arial" w:cs="Arial"/>
        </w:rPr>
      </w:pPr>
    </w:p>
    <w:p w14:paraId="06B9972C" w14:textId="75348651" w:rsidR="00256072" w:rsidRPr="00256072" w:rsidRDefault="00256072" w:rsidP="00256072">
      <w:pPr>
        <w:pStyle w:val="NormalWeb"/>
        <w:spacing w:after="0" w:line="360" w:lineRule="auto"/>
        <w:jc w:val="both"/>
        <w:rPr>
          <w:rFonts w:ascii="Arial" w:hAnsi="Arial" w:cs="Arial"/>
        </w:rPr>
      </w:pPr>
      <w:r w:rsidRPr="00256072">
        <w:rPr>
          <w:rFonts w:ascii="Arial" w:hAnsi="Arial" w:cs="Arial"/>
        </w:rPr>
        <w:t>The first step in engaging an employee is to attract the right person to the right job (Stokker and Gillian, 2009). Recruitment advertising, which is the dissemination of company requirements to potential candidates, is supported by job descriptions and person specifications (Torrington et al., 2020). The human resources department can do this by advertising the nature of work and showing the pay and benefits offered by the company. The attraction can also be the duration of the employment as people seek to find secure jobs while others are looking for part time jobs to fit around their lifestyle.</w:t>
      </w:r>
    </w:p>
    <w:p w14:paraId="18E922B7" w14:textId="77777777" w:rsidR="00256072" w:rsidRPr="00256072" w:rsidRDefault="00256072" w:rsidP="00256072">
      <w:pPr>
        <w:pStyle w:val="NormalWeb"/>
        <w:spacing w:after="0" w:line="360" w:lineRule="auto"/>
        <w:jc w:val="both"/>
        <w:rPr>
          <w:rFonts w:ascii="Arial" w:hAnsi="Arial" w:cs="Arial"/>
        </w:rPr>
      </w:pPr>
    </w:p>
    <w:p w14:paraId="42E59501"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Organisations can advertise for the job on their own website and also use external job agencies and recruitment websites. Hotels such as the Marriott have a dedicated vacancy page (Marriott, 2022), where potential recruits can view and apply for different types of jobs available in any region in the UK and world wide. Organisations have also started to using social media to advertise jobs and also have face to face through video interview (Kurter, 2019). To recruit the right person for the job, the company will have to match the experience and education of the potential employees with there own entry level requirement in order to find the most suitable person for the job listed. </w:t>
      </w:r>
    </w:p>
    <w:p w14:paraId="7C922EFC" w14:textId="77777777" w:rsidR="00256072" w:rsidRPr="00256072" w:rsidRDefault="00256072" w:rsidP="00256072">
      <w:pPr>
        <w:pStyle w:val="NormalWeb"/>
        <w:spacing w:after="0" w:line="360" w:lineRule="auto"/>
        <w:jc w:val="both"/>
        <w:rPr>
          <w:rFonts w:ascii="Arial" w:hAnsi="Arial" w:cs="Arial"/>
        </w:rPr>
      </w:pPr>
    </w:p>
    <w:p w14:paraId="0F2181C5"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lastRenderedPageBreak/>
        <w:t>Once the recruitment process has ended and the new employee starts their new job, the company needs to make sure that the new worker understands the companies values and goals. Employee sluggishness has a number of fundamental causes, one of which is a lack of understanding of what is expected (Padilla-Meléndez and Garrido-Moreno, 2014). Onboarding system is a process that helps new employees transition into their roles at the company. It includes orientations, trainings, and other activities that help new hires learn about the company culture and the expectations of their role. Employee engagement is a topic that cannot be successfully addressed by HR on its own. HR undoubtedly has the expertise and resources to help, but line managers must understand how to motivate and engage their workforce (Johnson, 2004). The system also provides a way for managers to assess new employees' skills and knowledge, and to identify any areas where additional training may be needed.</w:t>
      </w:r>
    </w:p>
    <w:p w14:paraId="137C1EBD" w14:textId="77777777" w:rsidR="00256072" w:rsidRPr="00256072" w:rsidRDefault="00256072" w:rsidP="00256072">
      <w:pPr>
        <w:pStyle w:val="NormalWeb"/>
        <w:spacing w:after="0" w:line="360" w:lineRule="auto"/>
        <w:jc w:val="both"/>
        <w:rPr>
          <w:rFonts w:ascii="Arial" w:hAnsi="Arial" w:cs="Arial"/>
        </w:rPr>
      </w:pPr>
    </w:p>
    <w:p w14:paraId="1BB3E6AB"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During their employment a worker might need help with new skills or brush up on their current roles. Development programs can be tailored to the needs of individual employees, groups of employees, or the entire hotel workforce. For example, a hotel might offer a development program for entry-level employees that focuses on basic job skills, while a program for more experienced employees might focus on management and leadership skills. These programs are offered to the employees to keep them engaged with their current employer and to retain them for the long run. It is in the interest of the organisations to offer these options to employees. After all, employee performance is impacted by engagement (Kahn,1990). According to research by Oxford University (Ox,ac.uk, 2019), employee happiness increases productivity by 13%. Simply put, contented employees are more productive throughout their time at work rather than putting in longer hours.</w:t>
      </w:r>
    </w:p>
    <w:p w14:paraId="5FA4F5D3" w14:textId="77777777" w:rsidR="00256072" w:rsidRPr="00256072" w:rsidRDefault="00256072" w:rsidP="00256072">
      <w:pPr>
        <w:pStyle w:val="NormalWeb"/>
        <w:spacing w:after="0" w:line="360" w:lineRule="auto"/>
        <w:jc w:val="both"/>
        <w:rPr>
          <w:rFonts w:ascii="Arial" w:hAnsi="Arial" w:cs="Arial"/>
        </w:rPr>
      </w:pPr>
    </w:p>
    <w:p w14:paraId="56779956"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Retaining good employees is in the interest of the hotel (Li, 2020), as it leads to a productive work environment which fills the needs of the company. And in order to retain workers the company has to keep them engaged and interested in the work. This can be by training them to learn new skill, giving them opportunity for promotion. Also bonuses and perks can be given to employees. Many organisations have a </w:t>
      </w:r>
      <w:r w:rsidRPr="00256072">
        <w:rPr>
          <w:rFonts w:ascii="Arial" w:hAnsi="Arial" w:cs="Arial"/>
        </w:rPr>
        <w:lastRenderedPageBreak/>
        <w:t>programme that is based on the idea that progressing years of service lead to increased compensation due to loyalty or more experience (Beardwell and Thompson, 2017).</w:t>
      </w:r>
    </w:p>
    <w:p w14:paraId="4542517B" w14:textId="77777777" w:rsidR="00256072" w:rsidRPr="00256072" w:rsidRDefault="00256072" w:rsidP="00256072">
      <w:pPr>
        <w:pStyle w:val="NormalWeb"/>
        <w:spacing w:after="0" w:line="360" w:lineRule="auto"/>
        <w:jc w:val="both"/>
        <w:rPr>
          <w:rFonts w:ascii="Arial" w:hAnsi="Arial" w:cs="Arial"/>
        </w:rPr>
      </w:pPr>
    </w:p>
    <w:p w14:paraId="1C3CC256"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If retention fails then the only outcome is separation. The human resource department will have a one to one with the employee that wants to leave and may ask them the reason. They might try to offer a better deal if an employee wants to leave for monitory reasons depending on the difference of amount offered by the competition. Another reason for separation might be retirement by the employee, where their loyalty to the company can be rewarded with extra money or perks. And finally the company might decide to lay off staff, such as when Covid hit the industry hard and many jobs were lost. The main aim at this point would be to make it less disruptive to other employees. Hotel like Hilton helped the layed off employees find other jobs during the Covid crisis, and that in turn reflected well on the company with former employees praising the company (Hastwell, 2021). Any feedback from leaving staff could provide valuable insight to the organisation and a chance to rectify any issues that are found for the future.</w:t>
      </w:r>
    </w:p>
    <w:p w14:paraId="61F8313C" w14:textId="77777777" w:rsidR="00256072" w:rsidRPr="00256072" w:rsidRDefault="00256072" w:rsidP="00256072">
      <w:pPr>
        <w:pStyle w:val="NormalWeb"/>
        <w:spacing w:after="0" w:line="360" w:lineRule="auto"/>
        <w:jc w:val="both"/>
        <w:rPr>
          <w:rFonts w:ascii="Arial" w:hAnsi="Arial" w:cs="Arial"/>
        </w:rPr>
      </w:pPr>
    </w:p>
    <w:p w14:paraId="02193B25" w14:textId="77777777" w:rsidR="00256072" w:rsidRDefault="00256072" w:rsidP="00256072">
      <w:pPr>
        <w:pStyle w:val="NormalWeb"/>
        <w:spacing w:after="0" w:line="360" w:lineRule="auto"/>
        <w:jc w:val="both"/>
        <w:rPr>
          <w:rFonts w:ascii="Arial" w:hAnsi="Arial" w:cs="Arial"/>
        </w:rPr>
      </w:pPr>
      <w:r w:rsidRPr="00256072">
        <w:rPr>
          <w:rFonts w:ascii="Arial" w:hAnsi="Arial" w:cs="Arial"/>
        </w:rPr>
        <w:t xml:space="preserve">Those are the six steps that human resources uses to engage with new recruits. It is referred to as the employee life cycle as it deals with the first advertisement of a vacancy to the separation of the staff from the company. There are several reasons, the employee life cycle model is crucial. It allows you to assess as well as enhance the employee experience at each stage of the process, which is its main advantage. And the more satisfied an employee is with your business, the more probable it is that they will stay on as an employee. This increases retention rates and significantly reduces turnover and related expenditures (Factorialhr.co.uk, 2022). According to Maslow's hierarchy of requirements, workers whose most basic wants have not been satisfied would make decisions based on issues with pay, safety, or stability. Therefore, it is crucial that HR specialists make sure that these demands are met before those higher up the pyramid (Maslow, 1943). </w:t>
      </w:r>
    </w:p>
    <w:p w14:paraId="6F71A612" w14:textId="77777777" w:rsidR="00256072" w:rsidRDefault="00256072" w:rsidP="00256072">
      <w:pPr>
        <w:pStyle w:val="NormalWeb"/>
        <w:spacing w:after="0" w:line="360" w:lineRule="auto"/>
        <w:jc w:val="both"/>
        <w:rPr>
          <w:rFonts w:ascii="Arial" w:hAnsi="Arial" w:cs="Arial"/>
        </w:rPr>
      </w:pPr>
    </w:p>
    <w:p w14:paraId="0C1D4733" w14:textId="1CFEA0F5" w:rsidR="00256072" w:rsidRPr="00256072" w:rsidRDefault="00256072" w:rsidP="00256072">
      <w:pPr>
        <w:pStyle w:val="NormalWeb"/>
        <w:spacing w:after="0" w:line="360" w:lineRule="auto"/>
        <w:jc w:val="both"/>
        <w:rPr>
          <w:rFonts w:ascii="Arial" w:hAnsi="Arial" w:cs="Arial"/>
        </w:rPr>
      </w:pPr>
      <w:r w:rsidRPr="00256072">
        <w:rPr>
          <w:rFonts w:ascii="Arial" w:hAnsi="Arial" w:cs="Arial"/>
        </w:rPr>
        <w:t>Employee commitment to their business or workplace is measured by employee engagement. There are several different models that can be used to engage employees. The Gallop model, is a framework that places a strong emphasis on productivity and involvement, it uses a survey instrument which can obtain the employees engagement level. And with that information it can conclude, engaged workers experience a 64% decrease in safety occurrences, whereas disengaged workers are 60% more susceptible to making mistakes (Gallop, 2017). Work engagement is crucial for the hospitality sector since it affects client satisfaction and service quality (Salanova, Agut, and Peiró, 2005). Additionally, employees that are engaged are 87 percent less likely to leave the organisation in search of new employment. According to estimates, disengaged workers lose businesses 34 percent of each employee's individual wage in lost productivity, more absenteeism, and reduced profitability (Gallop, 2017). Another popular model is called The Job Demands-Resources theory or The JD-R for short. This can be used to anticipate or notify businesses of employee burnout symptoms and to promote engagement (Baker and Leeiter, 2010). It is seen to be the superior model compared to others before, since it can be used to asses any types of job (Braine and Roodt, 2011). According to Pienaar and Willemse's (2008) study, the hotel sector's demanding clients and lengthy, unsocial working hours put employees at risk of burnout.</w:t>
      </w:r>
    </w:p>
    <w:p w14:paraId="5A411B0F" w14:textId="77777777" w:rsidR="00256072" w:rsidRPr="00256072" w:rsidRDefault="00256072" w:rsidP="00256072">
      <w:pPr>
        <w:pStyle w:val="NormalWeb"/>
        <w:spacing w:after="0" w:line="360" w:lineRule="auto"/>
        <w:jc w:val="both"/>
        <w:rPr>
          <w:rFonts w:ascii="Arial" w:hAnsi="Arial" w:cs="Arial"/>
        </w:rPr>
      </w:pPr>
    </w:p>
    <w:p w14:paraId="0EB7FCBF"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To boost participation and prevent burnout. One hotel, for instance, had a significant distance between the restaurant and the front desk (reception), which had a detrimental effect on customer service. In order to promote understanding, it was determined that occasionally, the restaurant would hire receptionists, and vice versa. Additionally, a lack of staff was caused by a combination of a very high workload and severe competition on the hospitality labour market, notably for hotels in Amsterdam. As a result, Amsterdam hotels made the decision to concentrate their HR policy more on employee retention (Schaufeli, 2017). The Taj Mumbai is renowned in the hospitality sector for its employees and customer services. Instead of following procedures exactly, they train people to improvise. They demand that staff members prioritise customer needs before company goals. They provide employees the </w:t>
      </w:r>
      <w:r w:rsidRPr="00256072">
        <w:rPr>
          <w:rFonts w:ascii="Arial" w:hAnsi="Arial" w:cs="Arial"/>
        </w:rPr>
        <w:lastRenderedPageBreak/>
        <w:t>authority to make decisions without consulting managers. Instead of consultants who teach their personnel, they have in-house management. There is prompt praise and reward, and it must come from the direct manager rather than senior management. The organisation's staff are motivated by a focus on the customer and great hospitality. Investigating the human resource management strategies behind this accomplishment is crucial. The majority of HR professionals in use are aware that employees promote operational excellence, which advances customer pleasure and loyalty (Saji, 2014).</w:t>
      </w:r>
    </w:p>
    <w:p w14:paraId="4367ED40" w14:textId="77777777" w:rsidR="00256072" w:rsidRPr="00256072" w:rsidRDefault="00256072" w:rsidP="00256072">
      <w:pPr>
        <w:pStyle w:val="NormalWeb"/>
        <w:spacing w:after="0" w:line="360" w:lineRule="auto"/>
        <w:jc w:val="both"/>
        <w:rPr>
          <w:rFonts w:ascii="Arial" w:hAnsi="Arial" w:cs="Arial"/>
        </w:rPr>
      </w:pPr>
    </w:p>
    <w:p w14:paraId="05057D21"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In conclusion the HRM department in any organisation needs to be proactive with their interactions with employees. They are the ones that will need to keep an eye out for the needs of the staff, to improve morale, work output and integration. The line managers will also have to do their part in engaging with workers to make them feel a belonging in the company and the direction they are heading together. After all employee engagement is both beneficial to the organisation and to the employees in keeping them working for the long run. The employee life cycle is useful for interacting with employees at key stages of their recruitment to the progression of their working lives at the organisation. All the while the employee engagement models can be used in tandem to gain insight into the minds of the employee and their emotional and physical well-being. Keeping staff happy and active will in turn be profitable to the organisation and it will reduce cost in finding and training new workers.</w:t>
      </w:r>
    </w:p>
    <w:p w14:paraId="3E9E1C67" w14:textId="77777777" w:rsidR="00256072" w:rsidRPr="00256072" w:rsidRDefault="00256072" w:rsidP="00256072">
      <w:pPr>
        <w:pStyle w:val="NormalWeb"/>
        <w:spacing w:after="0" w:line="360" w:lineRule="auto"/>
        <w:jc w:val="both"/>
        <w:rPr>
          <w:rFonts w:ascii="Arial" w:hAnsi="Arial" w:cs="Arial"/>
        </w:rPr>
      </w:pPr>
    </w:p>
    <w:p w14:paraId="52B464D9" w14:textId="77777777" w:rsidR="00256072" w:rsidRPr="00256072" w:rsidRDefault="00256072" w:rsidP="00256072">
      <w:pPr>
        <w:pStyle w:val="NormalWeb"/>
        <w:spacing w:after="0" w:line="360" w:lineRule="auto"/>
        <w:jc w:val="both"/>
        <w:rPr>
          <w:rFonts w:ascii="Arial" w:hAnsi="Arial" w:cs="Arial"/>
        </w:rPr>
      </w:pPr>
    </w:p>
    <w:p w14:paraId="6D8DB2F8" w14:textId="77777777" w:rsidR="00256072" w:rsidRPr="00256072" w:rsidRDefault="00256072" w:rsidP="00256072">
      <w:pPr>
        <w:pStyle w:val="NormalWeb"/>
        <w:spacing w:after="0" w:line="360" w:lineRule="auto"/>
        <w:jc w:val="both"/>
        <w:rPr>
          <w:rFonts w:ascii="Arial" w:hAnsi="Arial" w:cs="Arial"/>
        </w:rPr>
      </w:pPr>
    </w:p>
    <w:p w14:paraId="7017C1A3" w14:textId="77777777" w:rsidR="00256072" w:rsidRPr="00256072" w:rsidRDefault="00256072" w:rsidP="00256072">
      <w:pPr>
        <w:pStyle w:val="NormalWeb"/>
        <w:spacing w:after="0" w:line="360" w:lineRule="auto"/>
        <w:jc w:val="both"/>
        <w:rPr>
          <w:rFonts w:ascii="Arial" w:hAnsi="Arial" w:cs="Arial"/>
        </w:rPr>
      </w:pPr>
    </w:p>
    <w:p w14:paraId="5A6C79A2" w14:textId="77777777" w:rsidR="00256072" w:rsidRPr="00256072" w:rsidRDefault="00256072" w:rsidP="00256072">
      <w:pPr>
        <w:pStyle w:val="NormalWeb"/>
        <w:spacing w:after="0" w:line="360" w:lineRule="auto"/>
        <w:jc w:val="both"/>
        <w:rPr>
          <w:rFonts w:ascii="Arial" w:hAnsi="Arial" w:cs="Arial"/>
        </w:rPr>
      </w:pPr>
    </w:p>
    <w:p w14:paraId="0E831997" w14:textId="77777777" w:rsidR="00256072" w:rsidRPr="00256072" w:rsidRDefault="00256072" w:rsidP="00256072">
      <w:pPr>
        <w:pStyle w:val="NormalWeb"/>
        <w:spacing w:after="0" w:line="360" w:lineRule="auto"/>
        <w:jc w:val="both"/>
        <w:rPr>
          <w:rFonts w:ascii="Arial" w:hAnsi="Arial" w:cs="Arial"/>
        </w:rPr>
      </w:pPr>
    </w:p>
    <w:p w14:paraId="01915D09" w14:textId="77777777" w:rsidR="00543541" w:rsidRDefault="00543541" w:rsidP="00543541">
      <w:pPr>
        <w:pStyle w:val="NormalWeb"/>
        <w:spacing w:after="0" w:line="360" w:lineRule="auto"/>
        <w:rPr>
          <w:rFonts w:ascii="Arial" w:hAnsi="Arial" w:cs="Arial"/>
        </w:rPr>
      </w:pPr>
    </w:p>
    <w:p w14:paraId="3152DED1" w14:textId="2ABBCC17" w:rsidR="00256072" w:rsidRPr="00256072" w:rsidRDefault="00256072" w:rsidP="00543541">
      <w:pPr>
        <w:pStyle w:val="NormalWeb"/>
        <w:spacing w:after="0" w:line="360" w:lineRule="auto"/>
        <w:jc w:val="center"/>
        <w:rPr>
          <w:rFonts w:ascii="Arial" w:hAnsi="Arial" w:cs="Arial"/>
        </w:rPr>
      </w:pPr>
      <w:r w:rsidRPr="00256072">
        <w:rPr>
          <w:rFonts w:ascii="Arial" w:hAnsi="Arial" w:cs="Arial"/>
          <w:b/>
          <w:bCs/>
        </w:rPr>
        <w:lastRenderedPageBreak/>
        <w:t>References</w:t>
      </w:r>
    </w:p>
    <w:p w14:paraId="533AB4FE" w14:textId="77777777" w:rsidR="00256072" w:rsidRPr="00256072" w:rsidRDefault="00256072" w:rsidP="00256072">
      <w:pPr>
        <w:pStyle w:val="NormalWeb"/>
        <w:spacing w:after="0" w:line="360" w:lineRule="auto"/>
        <w:jc w:val="both"/>
        <w:rPr>
          <w:rFonts w:ascii="Arial" w:hAnsi="Arial" w:cs="Arial"/>
        </w:rPr>
      </w:pPr>
    </w:p>
    <w:p w14:paraId="0E3E4F8A" w14:textId="490D72F3" w:rsidR="00256072" w:rsidRPr="00543541" w:rsidRDefault="00256072" w:rsidP="00256072">
      <w:pPr>
        <w:pStyle w:val="NormalWeb"/>
        <w:spacing w:after="0" w:line="360" w:lineRule="auto"/>
        <w:jc w:val="both"/>
        <w:rPr>
          <w:rFonts w:ascii="Arial" w:hAnsi="Arial" w:cs="Arial"/>
        </w:rPr>
      </w:pPr>
      <w:r w:rsidRPr="00543541">
        <w:rPr>
          <w:rFonts w:ascii="Arial" w:hAnsi="Arial" w:cs="Arial"/>
        </w:rPr>
        <w:t>Padilla-Meléndez</w:t>
      </w:r>
      <w:r w:rsidR="007311E0" w:rsidRPr="00543541">
        <w:rPr>
          <w:rFonts w:ascii="Arial" w:hAnsi="Arial" w:cs="Arial"/>
        </w:rPr>
        <w:t>, Antonio</w:t>
      </w:r>
      <w:r w:rsidRPr="00543541">
        <w:rPr>
          <w:rFonts w:ascii="Arial" w:hAnsi="Arial" w:cs="Arial"/>
        </w:rPr>
        <w:t xml:space="preserve"> &amp; Garrido-Moreno</w:t>
      </w:r>
      <w:r w:rsidR="007311E0" w:rsidRPr="00543541">
        <w:rPr>
          <w:rFonts w:ascii="Arial" w:hAnsi="Arial" w:cs="Arial"/>
        </w:rPr>
        <w:t>, Aurora.</w:t>
      </w:r>
      <w:r w:rsidRPr="00543541">
        <w:rPr>
          <w:rFonts w:ascii="Arial" w:hAnsi="Arial" w:cs="Arial"/>
        </w:rPr>
        <w:t xml:space="preserve"> (2014) </w:t>
      </w:r>
      <w:r w:rsidR="007311E0" w:rsidRPr="00543541">
        <w:rPr>
          <w:rFonts w:ascii="Arial" w:hAnsi="Arial" w:cs="Arial"/>
        </w:rPr>
        <w:t>‘</w:t>
      </w:r>
      <w:r w:rsidRPr="00543541">
        <w:rPr>
          <w:rFonts w:ascii="Arial" w:hAnsi="Arial" w:cs="Arial"/>
        </w:rPr>
        <w:t>Customer relationship management in hotels</w:t>
      </w:r>
      <w:r w:rsidR="007311E0" w:rsidRPr="00543541">
        <w:rPr>
          <w:rFonts w:ascii="Arial" w:hAnsi="Arial" w:cs="Arial"/>
        </w:rPr>
        <w:t>’,</w:t>
      </w:r>
      <w:r w:rsidRPr="00543541">
        <w:rPr>
          <w:rFonts w:ascii="Arial" w:hAnsi="Arial" w:cs="Arial"/>
        </w:rPr>
        <w:t xml:space="preserve"> </w:t>
      </w:r>
      <w:r w:rsidRPr="00543541">
        <w:rPr>
          <w:rFonts w:ascii="Arial" w:hAnsi="Arial" w:cs="Arial"/>
          <w:i/>
          <w:iCs/>
        </w:rPr>
        <w:t>Examining critical success factors. Current Issues in Tourism</w:t>
      </w:r>
      <w:r w:rsidRPr="00543541">
        <w:rPr>
          <w:rFonts w:ascii="Arial" w:hAnsi="Arial" w:cs="Arial"/>
        </w:rPr>
        <w:t>, 17(5),</w:t>
      </w:r>
      <w:r w:rsidR="007311E0" w:rsidRPr="00543541">
        <w:rPr>
          <w:rFonts w:ascii="Arial" w:hAnsi="Arial" w:cs="Arial"/>
        </w:rPr>
        <w:t xml:space="preserve"> pp.</w:t>
      </w:r>
      <w:r w:rsidRPr="00543541">
        <w:rPr>
          <w:rFonts w:ascii="Arial" w:hAnsi="Arial" w:cs="Arial"/>
        </w:rPr>
        <w:t xml:space="preserve"> 387-396</w:t>
      </w:r>
      <w:r w:rsidR="007311E0" w:rsidRPr="00543541">
        <w:rPr>
          <w:rFonts w:ascii="Arial" w:hAnsi="Arial" w:cs="Arial"/>
        </w:rPr>
        <w:t>.</w:t>
      </w:r>
    </w:p>
    <w:p w14:paraId="0C482692" w14:textId="3C4F0024" w:rsidR="00256072" w:rsidRPr="00543541" w:rsidRDefault="00256072" w:rsidP="00256072">
      <w:pPr>
        <w:pStyle w:val="NormalWeb"/>
        <w:spacing w:after="0" w:line="360" w:lineRule="auto"/>
        <w:jc w:val="both"/>
        <w:rPr>
          <w:rFonts w:ascii="Arial" w:hAnsi="Arial" w:cs="Arial"/>
        </w:rPr>
      </w:pPr>
      <w:r w:rsidRPr="00543541">
        <w:rPr>
          <w:rFonts w:ascii="Arial" w:hAnsi="Arial" w:cs="Arial"/>
        </w:rPr>
        <w:t>Armstrong,</w:t>
      </w:r>
      <w:r w:rsidR="007311E0" w:rsidRPr="00543541">
        <w:rPr>
          <w:rFonts w:ascii="Arial" w:hAnsi="Arial" w:cs="Arial"/>
        </w:rPr>
        <w:t xml:space="preserve"> M. </w:t>
      </w:r>
      <w:r w:rsidRPr="00543541">
        <w:rPr>
          <w:rFonts w:ascii="Arial" w:hAnsi="Arial" w:cs="Arial"/>
        </w:rPr>
        <w:t xml:space="preserve">(2014), </w:t>
      </w:r>
      <w:r w:rsidRPr="00543541">
        <w:rPr>
          <w:rFonts w:ascii="Arial" w:hAnsi="Arial" w:cs="Arial"/>
          <w:i/>
          <w:iCs/>
        </w:rPr>
        <w:t>Armstrong’s Handbook of Human Resource Management Practice</w:t>
      </w:r>
      <w:r w:rsidRPr="00543541">
        <w:rPr>
          <w:rFonts w:ascii="Arial" w:hAnsi="Arial" w:cs="Arial"/>
        </w:rPr>
        <w:t>, 13</w:t>
      </w:r>
      <w:r w:rsidRPr="00543541">
        <w:rPr>
          <w:rFonts w:ascii="Arial" w:hAnsi="Arial" w:cs="Arial"/>
          <w:vertAlign w:val="superscript"/>
        </w:rPr>
        <w:t>th</w:t>
      </w:r>
      <w:r w:rsidR="007311E0" w:rsidRPr="00543541">
        <w:rPr>
          <w:rFonts w:ascii="Arial" w:hAnsi="Arial" w:cs="Arial"/>
        </w:rPr>
        <w:t xml:space="preserve"> edn.</w:t>
      </w:r>
      <w:r w:rsidRPr="00543541">
        <w:rPr>
          <w:rFonts w:ascii="Arial" w:hAnsi="Arial" w:cs="Arial"/>
        </w:rPr>
        <w:t xml:space="preserve"> London: Kogan Page</w:t>
      </w:r>
      <w:r w:rsidR="007311E0" w:rsidRPr="00543541">
        <w:rPr>
          <w:rFonts w:ascii="Arial" w:hAnsi="Arial" w:cs="Arial"/>
        </w:rPr>
        <w:t>.</w:t>
      </w:r>
    </w:p>
    <w:p w14:paraId="5AAFBB62" w14:textId="215ABF14" w:rsidR="00256072" w:rsidRPr="00543541" w:rsidRDefault="00256072" w:rsidP="00256072">
      <w:pPr>
        <w:pStyle w:val="NormalWeb"/>
        <w:spacing w:after="0" w:line="360" w:lineRule="auto"/>
        <w:jc w:val="both"/>
        <w:rPr>
          <w:rFonts w:ascii="Arial" w:hAnsi="Arial" w:cs="Arial"/>
        </w:rPr>
      </w:pPr>
      <w:r w:rsidRPr="00543541">
        <w:rPr>
          <w:rFonts w:ascii="Arial" w:hAnsi="Arial" w:cs="Arial"/>
        </w:rPr>
        <w:t>B</w:t>
      </w:r>
      <w:r w:rsidR="00621E7F" w:rsidRPr="00543541">
        <w:rPr>
          <w:rFonts w:ascii="Arial" w:hAnsi="Arial" w:cs="Arial"/>
        </w:rPr>
        <w:t>akker</w:t>
      </w:r>
      <w:r w:rsidR="007311E0" w:rsidRPr="00543541">
        <w:rPr>
          <w:rFonts w:ascii="Arial" w:hAnsi="Arial" w:cs="Arial"/>
        </w:rPr>
        <w:t>, B. Arnold and</w:t>
      </w:r>
      <w:r w:rsidRPr="00543541">
        <w:rPr>
          <w:rFonts w:ascii="Arial" w:hAnsi="Arial" w:cs="Arial"/>
        </w:rPr>
        <w:t xml:space="preserve"> L</w:t>
      </w:r>
      <w:r w:rsidR="00621E7F" w:rsidRPr="00543541">
        <w:rPr>
          <w:rFonts w:ascii="Arial" w:hAnsi="Arial" w:cs="Arial"/>
        </w:rPr>
        <w:t>eiter</w:t>
      </w:r>
      <w:r w:rsidR="007311E0" w:rsidRPr="00543541">
        <w:rPr>
          <w:rFonts w:ascii="Arial" w:hAnsi="Arial" w:cs="Arial"/>
        </w:rPr>
        <w:t xml:space="preserve">, P. Michael. </w:t>
      </w:r>
      <w:r w:rsidRPr="00543541">
        <w:rPr>
          <w:rFonts w:ascii="Arial" w:hAnsi="Arial" w:cs="Arial"/>
        </w:rPr>
        <w:t xml:space="preserve"> (2010). </w:t>
      </w:r>
      <w:r w:rsidR="007311E0" w:rsidRPr="00543541">
        <w:rPr>
          <w:rFonts w:ascii="Arial" w:hAnsi="Arial" w:cs="Arial"/>
        </w:rPr>
        <w:t>‘</w:t>
      </w:r>
      <w:r w:rsidRPr="00543541">
        <w:rPr>
          <w:rFonts w:ascii="Arial" w:hAnsi="Arial" w:cs="Arial"/>
        </w:rPr>
        <w:t>Work Engagement</w:t>
      </w:r>
      <w:r w:rsidR="007311E0" w:rsidRPr="00543541">
        <w:rPr>
          <w:rFonts w:ascii="Arial" w:hAnsi="Arial" w:cs="Arial"/>
        </w:rPr>
        <w:t>’</w:t>
      </w:r>
      <w:r w:rsidRPr="00543541">
        <w:rPr>
          <w:rFonts w:ascii="Arial" w:hAnsi="Arial" w:cs="Arial"/>
        </w:rPr>
        <w:t> </w:t>
      </w:r>
      <w:r w:rsidR="007311E0" w:rsidRPr="00543541">
        <w:rPr>
          <w:rFonts w:ascii="Arial" w:hAnsi="Arial" w:cs="Arial"/>
        </w:rPr>
        <w:t>,</w:t>
      </w:r>
      <w:r w:rsidRPr="00543541">
        <w:rPr>
          <w:rFonts w:ascii="Arial" w:hAnsi="Arial" w:cs="Arial"/>
        </w:rPr>
        <w:t xml:space="preserve"> </w:t>
      </w:r>
      <w:r w:rsidRPr="00543541">
        <w:rPr>
          <w:rFonts w:ascii="Arial" w:hAnsi="Arial" w:cs="Arial"/>
          <w:i/>
          <w:iCs/>
        </w:rPr>
        <w:t>A Handbook of Essential Theory and Research</w:t>
      </w:r>
      <w:r w:rsidRPr="00543541">
        <w:rPr>
          <w:rFonts w:ascii="Arial" w:hAnsi="Arial" w:cs="Arial"/>
        </w:rPr>
        <w:t>. Hove</w:t>
      </w:r>
      <w:r w:rsidR="00B4647D" w:rsidRPr="00543541">
        <w:rPr>
          <w:rFonts w:ascii="Arial" w:hAnsi="Arial" w:cs="Arial"/>
        </w:rPr>
        <w:t xml:space="preserve">, </w:t>
      </w:r>
      <w:r w:rsidRPr="00543541">
        <w:rPr>
          <w:rFonts w:ascii="Arial" w:hAnsi="Arial" w:cs="Arial"/>
        </w:rPr>
        <w:t xml:space="preserve">England: Psychology Press. </w:t>
      </w:r>
      <w:r w:rsidR="00B4647D" w:rsidRPr="00543541">
        <w:rPr>
          <w:rFonts w:ascii="Arial" w:hAnsi="Arial" w:cs="Arial"/>
        </w:rPr>
        <w:t>p</w:t>
      </w:r>
      <w:r w:rsidR="009F2B5D" w:rsidRPr="00543541">
        <w:rPr>
          <w:rFonts w:ascii="Arial" w:hAnsi="Arial" w:cs="Arial"/>
        </w:rPr>
        <w:t>.</w:t>
      </w:r>
      <w:r w:rsidRPr="00543541">
        <w:rPr>
          <w:rFonts w:ascii="Arial" w:hAnsi="Arial" w:cs="Arial"/>
        </w:rPr>
        <w:t xml:space="preserve"> 98</w:t>
      </w:r>
      <w:r w:rsidR="009F2B5D" w:rsidRPr="00543541">
        <w:rPr>
          <w:rFonts w:ascii="Arial" w:hAnsi="Arial" w:cs="Arial"/>
        </w:rPr>
        <w:t>.</w:t>
      </w:r>
    </w:p>
    <w:p w14:paraId="02FB7C04" w14:textId="6B3687E3" w:rsidR="00256072" w:rsidRPr="00543541" w:rsidRDefault="00256072" w:rsidP="00256072">
      <w:pPr>
        <w:pStyle w:val="NormalWeb"/>
        <w:spacing w:after="0" w:line="360" w:lineRule="auto"/>
        <w:jc w:val="both"/>
        <w:rPr>
          <w:rFonts w:ascii="Arial" w:hAnsi="Arial" w:cs="Arial"/>
        </w:rPr>
      </w:pPr>
      <w:r w:rsidRPr="00543541">
        <w:rPr>
          <w:rFonts w:ascii="Arial" w:hAnsi="Arial" w:cs="Arial"/>
        </w:rPr>
        <w:t xml:space="preserve">Baumann, M.A. </w:t>
      </w:r>
      <w:r w:rsidR="009F2B5D" w:rsidRPr="00543541">
        <w:rPr>
          <w:rFonts w:ascii="Arial" w:hAnsi="Arial" w:cs="Arial"/>
        </w:rPr>
        <w:t>(</w:t>
      </w:r>
      <w:r w:rsidRPr="00543541">
        <w:rPr>
          <w:rFonts w:ascii="Arial" w:hAnsi="Arial" w:cs="Arial"/>
        </w:rPr>
        <w:t>2003</w:t>
      </w:r>
      <w:r w:rsidR="009F2B5D" w:rsidRPr="00543541">
        <w:rPr>
          <w:rFonts w:ascii="Arial" w:hAnsi="Arial" w:cs="Arial"/>
        </w:rPr>
        <w:t>),</w:t>
      </w:r>
      <w:r w:rsidRPr="00543541">
        <w:rPr>
          <w:rFonts w:ascii="Arial" w:hAnsi="Arial" w:cs="Arial"/>
        </w:rPr>
        <w:t xml:space="preserve"> </w:t>
      </w:r>
      <w:r w:rsidR="009F2B5D" w:rsidRPr="00543541">
        <w:rPr>
          <w:rFonts w:ascii="Arial" w:hAnsi="Arial" w:cs="Arial"/>
        </w:rPr>
        <w:t>‘</w:t>
      </w:r>
      <w:r w:rsidRPr="00543541">
        <w:rPr>
          <w:rFonts w:ascii="Arial" w:hAnsi="Arial" w:cs="Arial"/>
        </w:rPr>
        <w:t>Training, rewards help convince workers to stay</w:t>
      </w:r>
      <w:r w:rsidR="009F2B5D" w:rsidRPr="00543541">
        <w:rPr>
          <w:rFonts w:ascii="Arial" w:hAnsi="Arial" w:cs="Arial"/>
        </w:rPr>
        <w:t>’</w:t>
      </w:r>
      <w:r w:rsidR="009F2B5D" w:rsidRPr="00543541">
        <w:rPr>
          <w:rFonts w:ascii="Arial" w:hAnsi="Arial" w:cs="Arial"/>
          <w:i/>
          <w:iCs/>
        </w:rPr>
        <w:t>,</w:t>
      </w:r>
      <w:r w:rsidRPr="00543541">
        <w:rPr>
          <w:rFonts w:ascii="Arial" w:hAnsi="Arial" w:cs="Arial"/>
          <w:i/>
          <w:iCs/>
        </w:rPr>
        <w:t xml:space="preserve"> Hotel and Motel Management</w:t>
      </w:r>
      <w:r w:rsidRPr="00543541">
        <w:rPr>
          <w:rFonts w:ascii="Arial" w:hAnsi="Arial" w:cs="Arial"/>
        </w:rPr>
        <w:t>, 218(21), pp.20-21.</w:t>
      </w:r>
    </w:p>
    <w:p w14:paraId="6F1C6AD2" w14:textId="52EF1246" w:rsidR="00256072" w:rsidRPr="00543541" w:rsidRDefault="00256072" w:rsidP="00256072">
      <w:pPr>
        <w:pStyle w:val="NormalWeb"/>
        <w:spacing w:after="0" w:line="360" w:lineRule="auto"/>
        <w:jc w:val="both"/>
        <w:rPr>
          <w:rFonts w:ascii="Arial" w:hAnsi="Arial" w:cs="Arial"/>
        </w:rPr>
      </w:pPr>
      <w:r w:rsidRPr="00543541">
        <w:rPr>
          <w:rFonts w:ascii="Arial" w:hAnsi="Arial" w:cs="Arial"/>
        </w:rPr>
        <w:t>Beardwell, J</w:t>
      </w:r>
      <w:r w:rsidR="009F2B5D" w:rsidRPr="00543541">
        <w:rPr>
          <w:rFonts w:ascii="Arial" w:hAnsi="Arial" w:cs="Arial"/>
        </w:rPr>
        <w:t xml:space="preserve"> and</w:t>
      </w:r>
      <w:r w:rsidRPr="00543541">
        <w:rPr>
          <w:rFonts w:ascii="Arial" w:hAnsi="Arial" w:cs="Arial"/>
        </w:rPr>
        <w:t xml:space="preserve"> Thompson, A</w:t>
      </w:r>
      <w:r w:rsidR="009F2B5D" w:rsidRPr="00543541">
        <w:rPr>
          <w:rFonts w:ascii="Arial" w:hAnsi="Arial" w:cs="Arial"/>
        </w:rPr>
        <w:t>.</w:t>
      </w:r>
      <w:r w:rsidRPr="00543541">
        <w:rPr>
          <w:rFonts w:ascii="Arial" w:hAnsi="Arial" w:cs="Arial"/>
        </w:rPr>
        <w:t xml:space="preserve"> (2017), </w:t>
      </w:r>
      <w:r w:rsidRPr="00543541">
        <w:rPr>
          <w:rFonts w:ascii="Arial" w:hAnsi="Arial" w:cs="Arial"/>
          <w:i/>
          <w:iCs/>
        </w:rPr>
        <w:t>Human resource management: a contemporary approach</w:t>
      </w:r>
      <w:r w:rsidR="009F2B5D" w:rsidRPr="00543541">
        <w:rPr>
          <w:rFonts w:ascii="Arial" w:hAnsi="Arial" w:cs="Arial"/>
          <w:i/>
          <w:iCs/>
        </w:rPr>
        <w:t>,</w:t>
      </w:r>
      <w:r w:rsidRPr="00543541">
        <w:rPr>
          <w:rFonts w:ascii="Arial" w:hAnsi="Arial" w:cs="Arial"/>
        </w:rPr>
        <w:t xml:space="preserve"> </w:t>
      </w:r>
      <w:r w:rsidR="009F2B5D" w:rsidRPr="00543541">
        <w:rPr>
          <w:rFonts w:ascii="Arial" w:hAnsi="Arial" w:cs="Arial"/>
        </w:rPr>
        <w:t>8</w:t>
      </w:r>
      <w:r w:rsidR="009F2B5D" w:rsidRPr="00543541">
        <w:rPr>
          <w:rFonts w:ascii="Arial" w:hAnsi="Arial" w:cs="Arial"/>
          <w:vertAlign w:val="superscript"/>
        </w:rPr>
        <w:t>th</w:t>
      </w:r>
      <w:r w:rsidR="009F2B5D" w:rsidRPr="00543541">
        <w:rPr>
          <w:rFonts w:ascii="Arial" w:hAnsi="Arial" w:cs="Arial"/>
        </w:rPr>
        <w:t xml:space="preserve"> </w:t>
      </w:r>
      <w:r w:rsidRPr="00543541">
        <w:rPr>
          <w:rFonts w:ascii="Arial" w:hAnsi="Arial" w:cs="Arial"/>
        </w:rPr>
        <w:t>ed</w:t>
      </w:r>
      <w:r w:rsidR="009F2B5D" w:rsidRPr="00543541">
        <w:rPr>
          <w:rFonts w:ascii="Arial" w:hAnsi="Arial" w:cs="Arial"/>
        </w:rPr>
        <w:t>n.</w:t>
      </w:r>
      <w:r w:rsidRPr="00543541">
        <w:rPr>
          <w:rFonts w:ascii="Arial" w:hAnsi="Arial" w:cs="Arial"/>
        </w:rPr>
        <w:t xml:space="preserve"> Pearson Education, p491</w:t>
      </w:r>
    </w:p>
    <w:p w14:paraId="60D09348" w14:textId="62775557" w:rsidR="00256072" w:rsidRPr="00543541" w:rsidRDefault="00256072" w:rsidP="00621E7F">
      <w:pPr>
        <w:pStyle w:val="NormalWeb"/>
        <w:spacing w:after="0" w:line="360" w:lineRule="auto"/>
        <w:rPr>
          <w:rFonts w:ascii="Arial" w:hAnsi="Arial" w:cs="Arial"/>
        </w:rPr>
      </w:pPr>
      <w:r w:rsidRPr="00543541">
        <w:rPr>
          <w:rFonts w:ascii="Arial" w:hAnsi="Arial" w:cs="Arial"/>
        </w:rPr>
        <w:t xml:space="preserve">Braine, Roslyn De, </w:t>
      </w:r>
      <w:r w:rsidR="009F2B5D" w:rsidRPr="00543541">
        <w:rPr>
          <w:rFonts w:ascii="Arial" w:hAnsi="Arial" w:cs="Arial"/>
        </w:rPr>
        <w:t>and</w:t>
      </w:r>
      <w:r w:rsidRPr="00543541">
        <w:rPr>
          <w:rFonts w:ascii="Arial" w:hAnsi="Arial" w:cs="Arial"/>
        </w:rPr>
        <w:t xml:space="preserve"> Roodt, Gert. (2011). </w:t>
      </w:r>
      <w:r w:rsidR="009F2B5D" w:rsidRPr="00543541">
        <w:rPr>
          <w:rFonts w:ascii="Arial" w:hAnsi="Arial" w:cs="Arial"/>
        </w:rPr>
        <w:t>‘</w:t>
      </w:r>
      <w:r w:rsidRPr="00543541">
        <w:rPr>
          <w:rFonts w:ascii="Arial" w:hAnsi="Arial" w:cs="Arial"/>
        </w:rPr>
        <w:t>The Job Demands-Resources model as predictor of work identity and work engagement</w:t>
      </w:r>
      <w:r w:rsidR="009F2B5D" w:rsidRPr="00543541">
        <w:rPr>
          <w:rFonts w:ascii="Arial" w:hAnsi="Arial" w:cs="Arial"/>
        </w:rPr>
        <w:t>’,</w:t>
      </w:r>
      <w:r w:rsidRPr="00543541">
        <w:rPr>
          <w:rFonts w:ascii="Arial" w:hAnsi="Arial" w:cs="Arial"/>
        </w:rPr>
        <w:t xml:space="preserve"> </w:t>
      </w:r>
      <w:r w:rsidR="009F2B5D" w:rsidRPr="00543541">
        <w:rPr>
          <w:rFonts w:ascii="Arial" w:hAnsi="Arial" w:cs="Arial"/>
          <w:i/>
          <w:iCs/>
        </w:rPr>
        <w:t>A</w:t>
      </w:r>
      <w:r w:rsidRPr="00543541">
        <w:rPr>
          <w:rFonts w:ascii="Arial" w:hAnsi="Arial" w:cs="Arial"/>
          <w:i/>
          <w:iCs/>
        </w:rPr>
        <w:t xml:space="preserve"> comparative analysis. SA Journal of</w:t>
      </w:r>
      <w:r w:rsidR="00621E7F" w:rsidRPr="00543541">
        <w:rPr>
          <w:rFonts w:ascii="Arial" w:hAnsi="Arial" w:cs="Arial"/>
          <w:i/>
          <w:iCs/>
        </w:rPr>
        <w:t xml:space="preserve"> </w:t>
      </w:r>
      <w:r w:rsidRPr="00543541">
        <w:rPr>
          <w:rFonts w:ascii="Arial" w:hAnsi="Arial" w:cs="Arial"/>
          <w:i/>
          <w:iCs/>
        </w:rPr>
        <w:t>Industrial Psychology</w:t>
      </w:r>
      <w:r w:rsidR="009F2B5D" w:rsidRPr="00543541">
        <w:rPr>
          <w:rFonts w:ascii="Arial" w:hAnsi="Arial" w:cs="Arial"/>
        </w:rPr>
        <w:t>, 37(2).</w:t>
      </w:r>
    </w:p>
    <w:p w14:paraId="244DF2E7" w14:textId="004225FF" w:rsidR="00256072" w:rsidRPr="00543541" w:rsidRDefault="00256072" w:rsidP="00256072">
      <w:pPr>
        <w:pStyle w:val="NormalWeb"/>
        <w:spacing w:after="0" w:line="360" w:lineRule="auto"/>
        <w:jc w:val="both"/>
        <w:rPr>
          <w:rFonts w:ascii="Arial" w:hAnsi="Arial" w:cs="Arial"/>
        </w:rPr>
      </w:pPr>
      <w:r w:rsidRPr="00543541">
        <w:rPr>
          <w:rFonts w:ascii="Arial" w:hAnsi="Arial" w:cs="Arial"/>
        </w:rPr>
        <w:t>Chao-jun Li, Kuo-Kuang Chang &amp; Shih-Ming Ou | Juan Ignacio Pulido-Fernández (Reviewing editor) (2020)</w:t>
      </w:r>
      <w:r w:rsidR="009F2B5D" w:rsidRPr="00543541">
        <w:rPr>
          <w:rFonts w:ascii="Arial" w:hAnsi="Arial" w:cs="Arial"/>
        </w:rPr>
        <w:t>,</w:t>
      </w:r>
      <w:r w:rsidRPr="00543541">
        <w:rPr>
          <w:rFonts w:ascii="Arial" w:hAnsi="Arial" w:cs="Arial"/>
        </w:rPr>
        <w:t xml:space="preserve"> </w:t>
      </w:r>
      <w:r w:rsidR="009F2B5D" w:rsidRPr="00543541">
        <w:rPr>
          <w:rFonts w:ascii="Arial" w:hAnsi="Arial" w:cs="Arial"/>
        </w:rPr>
        <w:t>‘</w:t>
      </w:r>
      <w:r w:rsidRPr="00543541">
        <w:rPr>
          <w:rFonts w:ascii="Arial" w:hAnsi="Arial" w:cs="Arial"/>
        </w:rPr>
        <w:t>The relationship between hotel staff’s organizational justice perception</w:t>
      </w:r>
      <w:r w:rsidR="009F2B5D" w:rsidRPr="00543541">
        <w:rPr>
          <w:rFonts w:ascii="Arial" w:hAnsi="Arial" w:cs="Arial"/>
        </w:rPr>
        <w:t>’</w:t>
      </w:r>
      <w:r w:rsidRPr="00543541">
        <w:rPr>
          <w:rFonts w:ascii="Arial" w:hAnsi="Arial" w:cs="Arial"/>
        </w:rPr>
        <w:t xml:space="preserve">, </w:t>
      </w:r>
      <w:r w:rsidR="009F2B5D" w:rsidRPr="00543541">
        <w:rPr>
          <w:rFonts w:ascii="Arial" w:hAnsi="Arial" w:cs="Arial"/>
          <w:i/>
          <w:iCs/>
        </w:rPr>
        <w:t>R</w:t>
      </w:r>
      <w:r w:rsidRPr="00543541">
        <w:rPr>
          <w:rFonts w:ascii="Arial" w:hAnsi="Arial" w:cs="Arial"/>
          <w:i/>
          <w:iCs/>
        </w:rPr>
        <w:t>elationship quality and job performance, Cogent Social Sciences</w:t>
      </w:r>
      <w:r w:rsidRPr="00543541">
        <w:rPr>
          <w:rFonts w:ascii="Arial" w:hAnsi="Arial" w:cs="Arial"/>
        </w:rPr>
        <w:t>, 6</w:t>
      </w:r>
      <w:r w:rsidR="00B4647D" w:rsidRPr="00543541">
        <w:rPr>
          <w:rFonts w:ascii="Arial" w:hAnsi="Arial" w:cs="Arial"/>
        </w:rPr>
        <w:t>(1).</w:t>
      </w:r>
    </w:p>
    <w:p w14:paraId="1F515F49" w14:textId="42AE4540" w:rsidR="00256072" w:rsidRPr="00543541" w:rsidRDefault="00256072" w:rsidP="00621E7F">
      <w:pPr>
        <w:pStyle w:val="NormalWeb"/>
        <w:spacing w:after="0" w:line="360" w:lineRule="auto"/>
        <w:rPr>
          <w:rFonts w:ascii="Arial" w:hAnsi="Arial" w:cs="Arial"/>
        </w:rPr>
      </w:pPr>
      <w:r w:rsidRPr="00543541">
        <w:rPr>
          <w:rFonts w:ascii="Arial" w:hAnsi="Arial" w:cs="Arial"/>
        </w:rPr>
        <w:t>CIPD,</w:t>
      </w:r>
      <w:r w:rsidR="00621E7F" w:rsidRPr="00543541">
        <w:rPr>
          <w:rFonts w:ascii="Arial" w:hAnsi="Arial" w:cs="Arial"/>
        </w:rPr>
        <w:t xml:space="preserve"> </w:t>
      </w:r>
      <w:r w:rsidRPr="00543541">
        <w:rPr>
          <w:rFonts w:ascii="Arial" w:hAnsi="Arial" w:cs="Arial"/>
        </w:rPr>
        <w:t>(2021). Employee Engagement and Motivation [online]. Available at: https://www.cipd.co.uk/knowledge/fundamentals/relations/engagement/factsheet (Accessed: 17 October 2022).</w:t>
      </w:r>
    </w:p>
    <w:p w14:paraId="5AC9D66D" w14:textId="6123CF9F" w:rsidR="00256072" w:rsidRPr="00543541" w:rsidRDefault="00256072" w:rsidP="00256072">
      <w:pPr>
        <w:pStyle w:val="NormalWeb"/>
        <w:spacing w:after="0" w:line="360" w:lineRule="auto"/>
        <w:jc w:val="both"/>
        <w:rPr>
          <w:rFonts w:ascii="Arial" w:hAnsi="Arial" w:cs="Arial"/>
        </w:rPr>
      </w:pPr>
      <w:r w:rsidRPr="00543541">
        <w:rPr>
          <w:rFonts w:ascii="Arial" w:hAnsi="Arial" w:cs="Arial"/>
        </w:rPr>
        <w:t>Hastwell</w:t>
      </w:r>
      <w:r w:rsidR="00B4647D" w:rsidRPr="00543541">
        <w:rPr>
          <w:rFonts w:ascii="Arial" w:hAnsi="Arial" w:cs="Arial"/>
        </w:rPr>
        <w:t>, Calire</w:t>
      </w:r>
      <w:r w:rsidRPr="00543541">
        <w:rPr>
          <w:rFonts w:ascii="Arial" w:hAnsi="Arial" w:cs="Arial"/>
        </w:rPr>
        <w:t xml:space="preserve"> (2021), </w:t>
      </w:r>
      <w:r w:rsidRPr="00543541">
        <w:rPr>
          <w:rFonts w:ascii="Arial" w:hAnsi="Arial" w:cs="Arial"/>
          <w:i/>
          <w:iCs/>
        </w:rPr>
        <w:t>How Hilton Maintained Employee Trust After Major Layoffs</w:t>
      </w:r>
      <w:r w:rsidR="00B4647D" w:rsidRPr="00543541">
        <w:rPr>
          <w:rFonts w:ascii="Arial" w:hAnsi="Arial" w:cs="Arial"/>
          <w:i/>
          <w:iCs/>
        </w:rPr>
        <w:t xml:space="preserve">  </w:t>
      </w:r>
      <w:r w:rsidR="00B4647D" w:rsidRPr="00543541">
        <w:rPr>
          <w:rFonts w:ascii="Arial" w:hAnsi="Arial" w:cs="Arial"/>
        </w:rPr>
        <w:t>[online], avaliable at:</w:t>
      </w:r>
      <w:r w:rsidRPr="00543541">
        <w:rPr>
          <w:rFonts w:ascii="Arial" w:hAnsi="Arial" w:cs="Arial"/>
        </w:rPr>
        <w:t xml:space="preserve"> </w:t>
      </w:r>
      <w:hyperlink r:id="rId5" w:history="1">
        <w:r w:rsidR="00B4647D" w:rsidRPr="00543541">
          <w:rPr>
            <w:rStyle w:val="Hyperlink"/>
            <w:rFonts w:ascii="Arial" w:hAnsi="Arial" w:cs="Arial"/>
          </w:rPr>
          <w:t>https://www.greatplacetowork.com/</w:t>
        </w:r>
      </w:hyperlink>
      <w:r w:rsidR="00B4647D" w:rsidRPr="00543541">
        <w:rPr>
          <w:rFonts w:ascii="Arial" w:hAnsi="Arial" w:cs="Arial"/>
        </w:rPr>
        <w:t xml:space="preserve"> (</w:t>
      </w:r>
      <w:r w:rsidRPr="00543541">
        <w:rPr>
          <w:rFonts w:ascii="Arial" w:hAnsi="Arial" w:cs="Arial"/>
        </w:rPr>
        <w:t>Accessed</w:t>
      </w:r>
      <w:r w:rsidR="00543541">
        <w:rPr>
          <w:rFonts w:ascii="Arial" w:hAnsi="Arial" w:cs="Arial"/>
        </w:rPr>
        <w:t>:</w:t>
      </w:r>
      <w:r w:rsidRPr="00543541">
        <w:rPr>
          <w:rFonts w:ascii="Arial" w:hAnsi="Arial" w:cs="Arial"/>
        </w:rPr>
        <w:t xml:space="preserve"> 18</w:t>
      </w:r>
      <w:r w:rsidR="00543541">
        <w:rPr>
          <w:rFonts w:ascii="Arial" w:hAnsi="Arial" w:cs="Arial"/>
        </w:rPr>
        <w:t xml:space="preserve"> October </w:t>
      </w:r>
      <w:r w:rsidRPr="00543541">
        <w:rPr>
          <w:rFonts w:ascii="Arial" w:hAnsi="Arial" w:cs="Arial"/>
        </w:rPr>
        <w:t>2022</w:t>
      </w:r>
      <w:r w:rsidR="00B4647D" w:rsidRPr="00543541">
        <w:rPr>
          <w:rFonts w:ascii="Arial" w:hAnsi="Arial" w:cs="Arial"/>
        </w:rPr>
        <w:t>)</w:t>
      </w:r>
    </w:p>
    <w:p w14:paraId="41460868" w14:textId="5893003C" w:rsidR="00256072" w:rsidRPr="00543541" w:rsidRDefault="00256072" w:rsidP="00256072">
      <w:pPr>
        <w:pStyle w:val="NormalWeb"/>
        <w:spacing w:after="0" w:line="360" w:lineRule="auto"/>
        <w:jc w:val="both"/>
        <w:rPr>
          <w:rFonts w:ascii="Arial" w:hAnsi="Arial" w:cs="Arial"/>
        </w:rPr>
      </w:pPr>
      <w:r w:rsidRPr="00543541">
        <w:rPr>
          <w:rFonts w:ascii="Arial" w:hAnsi="Arial" w:cs="Arial"/>
        </w:rPr>
        <w:lastRenderedPageBreak/>
        <w:t>Torrington,</w:t>
      </w:r>
      <w:r w:rsidR="00B4647D" w:rsidRPr="00543541">
        <w:rPr>
          <w:rFonts w:ascii="Arial" w:hAnsi="Arial" w:cs="Arial"/>
        </w:rPr>
        <w:t xml:space="preserve"> Derek,</w:t>
      </w:r>
      <w:r w:rsidRPr="00543541">
        <w:rPr>
          <w:rFonts w:ascii="Arial" w:hAnsi="Arial" w:cs="Arial"/>
        </w:rPr>
        <w:t xml:space="preserve"> Hall,</w:t>
      </w:r>
      <w:r w:rsidR="00B4647D" w:rsidRPr="00543541">
        <w:rPr>
          <w:rFonts w:ascii="Arial" w:hAnsi="Arial" w:cs="Arial"/>
        </w:rPr>
        <w:t xml:space="preserve"> Laura,</w:t>
      </w:r>
      <w:r w:rsidRPr="00543541">
        <w:rPr>
          <w:rFonts w:ascii="Arial" w:hAnsi="Arial" w:cs="Arial"/>
        </w:rPr>
        <w:t xml:space="preserve"> Taylor</w:t>
      </w:r>
      <w:r w:rsidR="00B4647D" w:rsidRPr="00543541">
        <w:rPr>
          <w:rFonts w:ascii="Arial" w:hAnsi="Arial" w:cs="Arial"/>
        </w:rPr>
        <w:t>, Stephen</w:t>
      </w:r>
      <w:r w:rsidRPr="00543541">
        <w:rPr>
          <w:rFonts w:ascii="Arial" w:hAnsi="Arial" w:cs="Arial"/>
        </w:rPr>
        <w:t xml:space="preserve"> and Atkinson</w:t>
      </w:r>
      <w:r w:rsidR="00B4647D" w:rsidRPr="00543541">
        <w:rPr>
          <w:rFonts w:ascii="Arial" w:hAnsi="Arial" w:cs="Arial"/>
        </w:rPr>
        <w:t>, Carol.</w:t>
      </w:r>
      <w:r w:rsidRPr="00543541">
        <w:rPr>
          <w:rFonts w:ascii="Arial" w:hAnsi="Arial" w:cs="Arial"/>
        </w:rPr>
        <w:t xml:space="preserve"> (2020), </w:t>
      </w:r>
      <w:r w:rsidRPr="00543541">
        <w:rPr>
          <w:rFonts w:ascii="Arial" w:hAnsi="Arial" w:cs="Arial"/>
          <w:i/>
          <w:iCs/>
        </w:rPr>
        <w:t>Human Resourse Management</w:t>
      </w:r>
      <w:r w:rsidRPr="00543541">
        <w:rPr>
          <w:rFonts w:ascii="Arial" w:hAnsi="Arial" w:cs="Arial"/>
        </w:rPr>
        <w:t>, 11</w:t>
      </w:r>
      <w:r w:rsidR="00B4647D" w:rsidRPr="00543541">
        <w:rPr>
          <w:rFonts w:ascii="Arial" w:hAnsi="Arial" w:cs="Arial"/>
          <w:vertAlign w:val="superscript"/>
        </w:rPr>
        <w:t>th</w:t>
      </w:r>
      <w:r w:rsidR="00B4647D" w:rsidRPr="00543541">
        <w:rPr>
          <w:rFonts w:ascii="Arial" w:hAnsi="Arial" w:cs="Arial"/>
        </w:rPr>
        <w:t xml:space="preserve"> edn.</w:t>
      </w:r>
      <w:r w:rsidRPr="00543541">
        <w:rPr>
          <w:rFonts w:ascii="Arial" w:hAnsi="Arial" w:cs="Arial"/>
        </w:rPr>
        <w:t xml:space="preserve"> Harwlow, England</w:t>
      </w:r>
      <w:r w:rsidR="00B4647D" w:rsidRPr="00543541">
        <w:rPr>
          <w:rFonts w:ascii="Arial" w:hAnsi="Arial" w:cs="Arial"/>
        </w:rPr>
        <w:t>, Pearson Education.</w:t>
      </w:r>
    </w:p>
    <w:p w14:paraId="1A7CEA4C" w14:textId="3125B69D" w:rsidR="004743E7" w:rsidRPr="00543541" w:rsidRDefault="004743E7" w:rsidP="00256072">
      <w:pPr>
        <w:pStyle w:val="NormalWeb"/>
        <w:spacing w:after="0" w:line="360" w:lineRule="auto"/>
        <w:jc w:val="both"/>
        <w:rPr>
          <w:rFonts w:ascii="Arial" w:hAnsi="Arial" w:cs="Arial"/>
        </w:rPr>
      </w:pPr>
      <w:r w:rsidRPr="00543541">
        <w:rPr>
          <w:rFonts w:ascii="Arial" w:hAnsi="Arial" w:cs="Arial"/>
        </w:rPr>
        <w:t xml:space="preserve">Factorial HR. (2022)  </w:t>
      </w:r>
      <w:r w:rsidRPr="00543541">
        <w:rPr>
          <w:rFonts w:ascii="Arial" w:hAnsi="Arial" w:cs="Arial"/>
          <w:i/>
          <w:iCs/>
        </w:rPr>
        <w:t>What is the Employee Life Cycle and Why Does it Matter?</w:t>
      </w:r>
      <w:r w:rsidRPr="00543541">
        <w:rPr>
          <w:rFonts w:ascii="Arial" w:hAnsi="Arial" w:cs="Arial"/>
        </w:rPr>
        <w:t xml:space="preserve"> [online], Factorialblog, avaliable at: https://factorialhr.co.uk/blog/employee-life-cycle/ (Accessed: 17</w:t>
      </w:r>
      <w:r w:rsidR="00543541">
        <w:rPr>
          <w:rFonts w:ascii="Arial" w:hAnsi="Arial" w:cs="Arial"/>
        </w:rPr>
        <w:t xml:space="preserve"> October </w:t>
      </w:r>
      <w:r w:rsidRPr="00543541">
        <w:rPr>
          <w:rFonts w:ascii="Arial" w:hAnsi="Arial" w:cs="Arial"/>
        </w:rPr>
        <w:t>2022)</w:t>
      </w:r>
    </w:p>
    <w:p w14:paraId="331A4C90" w14:textId="2A792CF8" w:rsidR="00256072" w:rsidRPr="00543541" w:rsidRDefault="00256072" w:rsidP="00256072">
      <w:pPr>
        <w:pStyle w:val="NormalWeb"/>
        <w:spacing w:after="0" w:line="360" w:lineRule="auto"/>
        <w:jc w:val="both"/>
        <w:rPr>
          <w:rFonts w:ascii="Arial" w:hAnsi="Arial" w:cs="Arial"/>
        </w:rPr>
      </w:pPr>
      <w:r w:rsidRPr="00543541">
        <w:rPr>
          <w:rFonts w:ascii="Arial" w:hAnsi="Arial" w:cs="Arial"/>
        </w:rPr>
        <w:t>Hrmagazine</w:t>
      </w:r>
      <w:r w:rsidR="004743E7" w:rsidRPr="00543541">
        <w:rPr>
          <w:rFonts w:ascii="Arial" w:hAnsi="Arial" w:cs="Arial"/>
        </w:rPr>
        <w:t>.</w:t>
      </w:r>
      <w:r w:rsidRPr="00543541">
        <w:rPr>
          <w:rFonts w:ascii="Arial" w:hAnsi="Arial" w:cs="Arial"/>
        </w:rPr>
        <w:t xml:space="preserve"> (2016) </w:t>
      </w:r>
      <w:r w:rsidRPr="00543541">
        <w:rPr>
          <w:rFonts w:ascii="Arial" w:hAnsi="Arial" w:cs="Arial"/>
          <w:i/>
          <w:iCs/>
        </w:rPr>
        <w:t>Engagement needs a simple definition</w:t>
      </w:r>
      <w:r w:rsidRPr="00543541">
        <w:rPr>
          <w:rFonts w:ascii="Arial" w:hAnsi="Arial" w:cs="Arial"/>
        </w:rPr>
        <w:t xml:space="preserve"> [online]. Available at: https://www.hrmagazine.co.uk/content/news/engagement-needs-a-simple-definition (Accessed: 17 October 2022)</w:t>
      </w:r>
    </w:p>
    <w:p w14:paraId="51372581" w14:textId="62CEDF9C" w:rsidR="00256072" w:rsidRPr="00543541" w:rsidRDefault="00256072" w:rsidP="00256072">
      <w:pPr>
        <w:pStyle w:val="NormalWeb"/>
        <w:spacing w:after="0" w:line="360" w:lineRule="auto"/>
        <w:jc w:val="both"/>
        <w:rPr>
          <w:rFonts w:ascii="Arial" w:hAnsi="Arial" w:cs="Arial"/>
        </w:rPr>
      </w:pPr>
      <w:r w:rsidRPr="00543541">
        <w:rPr>
          <w:rFonts w:ascii="Arial" w:hAnsi="Arial" w:cs="Arial"/>
        </w:rPr>
        <w:t>Corgel</w:t>
      </w:r>
      <w:r w:rsidR="004743E7" w:rsidRPr="00543541">
        <w:rPr>
          <w:rFonts w:ascii="Arial" w:hAnsi="Arial" w:cs="Arial"/>
        </w:rPr>
        <w:t>, B. Jack</w:t>
      </w:r>
      <w:r w:rsidRPr="00543541">
        <w:rPr>
          <w:rFonts w:ascii="Arial" w:hAnsi="Arial" w:cs="Arial"/>
        </w:rPr>
        <w:t>, , Sturman,</w:t>
      </w:r>
      <w:r w:rsidR="004743E7" w:rsidRPr="00543541">
        <w:rPr>
          <w:rFonts w:ascii="Arial" w:hAnsi="Arial" w:cs="Arial"/>
        </w:rPr>
        <w:t xml:space="preserve"> C. Michael</w:t>
      </w:r>
      <w:r w:rsidRPr="00543541">
        <w:rPr>
          <w:rFonts w:ascii="Arial" w:hAnsi="Arial" w:cs="Arial"/>
        </w:rPr>
        <w:t xml:space="preserve"> and Verma</w:t>
      </w:r>
      <w:r w:rsidR="004743E7" w:rsidRPr="00543541">
        <w:rPr>
          <w:rFonts w:ascii="Arial" w:hAnsi="Arial" w:cs="Arial"/>
        </w:rPr>
        <w:t>, Rohit.</w:t>
      </w:r>
      <w:r w:rsidRPr="00543541">
        <w:rPr>
          <w:rFonts w:ascii="Arial" w:hAnsi="Arial" w:cs="Arial"/>
        </w:rPr>
        <w:t xml:space="preserve"> (2011) </w:t>
      </w:r>
      <w:r w:rsidRPr="00543541">
        <w:rPr>
          <w:rFonts w:ascii="Arial" w:hAnsi="Arial" w:cs="Arial"/>
          <w:i/>
          <w:iCs/>
        </w:rPr>
        <w:t>The Cornell School of Hotel Administration on Hospitality : Cutting Edge Thinking and Practice</w:t>
      </w:r>
      <w:r w:rsidRPr="00543541">
        <w:rPr>
          <w:rFonts w:ascii="Arial" w:hAnsi="Arial" w:cs="Arial"/>
        </w:rPr>
        <w:t>, John Wiley &amp; Sons, Incorporated</w:t>
      </w:r>
      <w:r w:rsidR="00543541">
        <w:rPr>
          <w:rFonts w:ascii="Arial" w:hAnsi="Arial" w:cs="Arial"/>
        </w:rPr>
        <w:t>.</w:t>
      </w:r>
    </w:p>
    <w:p w14:paraId="50B4404C" w14:textId="36185FCF" w:rsidR="00256072" w:rsidRPr="00543541" w:rsidRDefault="00256072" w:rsidP="00256072">
      <w:pPr>
        <w:pStyle w:val="NormalWeb"/>
        <w:spacing w:after="0" w:line="360" w:lineRule="auto"/>
        <w:jc w:val="both"/>
        <w:rPr>
          <w:rFonts w:ascii="Arial" w:hAnsi="Arial" w:cs="Arial"/>
        </w:rPr>
      </w:pPr>
      <w:r w:rsidRPr="00543541">
        <w:rPr>
          <w:rFonts w:ascii="Arial" w:hAnsi="Arial" w:cs="Arial"/>
        </w:rPr>
        <w:t xml:space="preserve">Johnson M (2004), </w:t>
      </w:r>
      <w:r w:rsidRPr="00543541">
        <w:rPr>
          <w:rFonts w:ascii="Arial" w:hAnsi="Arial" w:cs="Arial"/>
          <w:i/>
          <w:iCs/>
        </w:rPr>
        <w:t>The new rules of engagement: life</w:t>
      </w:r>
      <w:r w:rsidRPr="00543541">
        <w:rPr>
          <w:rFonts w:ascii="Cambria Math" w:hAnsi="Cambria Math" w:cs="Cambria Math"/>
          <w:i/>
          <w:iCs/>
        </w:rPr>
        <w:t>‐</w:t>
      </w:r>
      <w:r w:rsidRPr="00543541">
        <w:rPr>
          <w:rFonts w:ascii="Arial" w:hAnsi="Arial" w:cs="Arial"/>
          <w:i/>
          <w:iCs/>
        </w:rPr>
        <w:t>work balance and employee commitment, The Chartered Institute of Personnel and Development</w:t>
      </w:r>
      <w:r w:rsidR="004743E7" w:rsidRPr="00543541">
        <w:rPr>
          <w:rFonts w:ascii="Arial" w:hAnsi="Arial" w:cs="Arial"/>
        </w:rPr>
        <w:t>.</w:t>
      </w:r>
      <w:r w:rsidRPr="00543541">
        <w:rPr>
          <w:rFonts w:ascii="Arial" w:hAnsi="Arial" w:cs="Arial"/>
        </w:rPr>
        <w:t xml:space="preserve"> Europe, Middle east and Africa</w:t>
      </w:r>
      <w:r w:rsidR="004743E7" w:rsidRPr="00543541">
        <w:rPr>
          <w:rFonts w:ascii="Arial" w:hAnsi="Arial" w:cs="Arial"/>
        </w:rPr>
        <w:t>: McGraw-Hill Education.</w:t>
      </w:r>
    </w:p>
    <w:p w14:paraId="23EB24D7" w14:textId="79605C5D" w:rsidR="00256072" w:rsidRPr="00543541" w:rsidRDefault="00256072" w:rsidP="00621E7F">
      <w:pPr>
        <w:pStyle w:val="NormalWeb"/>
        <w:spacing w:after="0" w:line="360" w:lineRule="auto"/>
        <w:rPr>
          <w:rFonts w:ascii="Arial" w:hAnsi="Arial" w:cs="Arial"/>
        </w:rPr>
      </w:pPr>
      <w:r w:rsidRPr="00543541">
        <w:rPr>
          <w:rFonts w:ascii="Arial" w:hAnsi="Arial" w:cs="Arial"/>
        </w:rPr>
        <w:t>Kahn</w:t>
      </w:r>
      <w:r w:rsidR="004743E7" w:rsidRPr="00543541">
        <w:rPr>
          <w:rFonts w:ascii="Arial" w:hAnsi="Arial" w:cs="Arial"/>
        </w:rPr>
        <w:t>,</w:t>
      </w:r>
      <w:r w:rsidRPr="00543541">
        <w:rPr>
          <w:rFonts w:ascii="Arial" w:hAnsi="Arial" w:cs="Arial"/>
        </w:rPr>
        <w:t xml:space="preserve"> W</w:t>
      </w:r>
      <w:r w:rsidR="004743E7" w:rsidRPr="00543541">
        <w:rPr>
          <w:rFonts w:ascii="Arial" w:hAnsi="Arial" w:cs="Arial"/>
        </w:rPr>
        <w:t xml:space="preserve">. </w:t>
      </w:r>
      <w:r w:rsidRPr="00543541">
        <w:rPr>
          <w:rFonts w:ascii="Arial" w:hAnsi="Arial" w:cs="Arial"/>
        </w:rPr>
        <w:t>A</w:t>
      </w:r>
      <w:r w:rsidR="004743E7" w:rsidRPr="00543541">
        <w:rPr>
          <w:rFonts w:ascii="Arial" w:hAnsi="Arial" w:cs="Arial"/>
        </w:rPr>
        <w:t>.</w:t>
      </w:r>
      <w:r w:rsidRPr="00543541">
        <w:rPr>
          <w:rFonts w:ascii="Arial" w:hAnsi="Arial" w:cs="Arial"/>
        </w:rPr>
        <w:t xml:space="preserve"> (1990), ʹPsychological conditions of personal engagement and disengagement at workʹ, </w:t>
      </w:r>
      <w:r w:rsidRPr="00543541">
        <w:rPr>
          <w:rFonts w:ascii="Arial" w:hAnsi="Arial" w:cs="Arial"/>
          <w:i/>
          <w:iCs/>
        </w:rPr>
        <w:t>Academy of Management Journal</w:t>
      </w:r>
      <w:r w:rsidRPr="00543541">
        <w:rPr>
          <w:rFonts w:ascii="Arial" w:hAnsi="Arial" w:cs="Arial"/>
        </w:rPr>
        <w:t>, 33(4),</w:t>
      </w:r>
      <w:r w:rsidR="004743E7" w:rsidRPr="00543541">
        <w:rPr>
          <w:rFonts w:ascii="Arial" w:hAnsi="Arial" w:cs="Arial"/>
        </w:rPr>
        <w:t xml:space="preserve"> pp.</w:t>
      </w:r>
      <w:r w:rsidRPr="00543541">
        <w:rPr>
          <w:rFonts w:ascii="Arial" w:hAnsi="Arial" w:cs="Arial"/>
        </w:rPr>
        <w:t xml:space="preserve"> 692–724</w:t>
      </w:r>
    </w:p>
    <w:p w14:paraId="00C45194" w14:textId="6743FD39" w:rsidR="00860A8A" w:rsidRPr="00543541" w:rsidRDefault="00860A8A" w:rsidP="00621E7F">
      <w:pPr>
        <w:pStyle w:val="NormalWeb"/>
        <w:spacing w:after="0" w:line="360" w:lineRule="auto"/>
        <w:rPr>
          <w:rFonts w:ascii="Arial" w:hAnsi="Arial" w:cs="Arial"/>
        </w:rPr>
      </w:pPr>
      <w:r w:rsidRPr="00543541">
        <w:rPr>
          <w:rFonts w:ascii="Arial" w:hAnsi="Arial" w:cs="Arial"/>
        </w:rPr>
        <w:t>Kurter, L. H. (2020) How Hilton Reduced Their Time To Hire From 43 Days Down To 5 [online], Forbes, avaliable at: https://www.forbes.com/sites/heidilynnekurter/2019/09/19/how-hilton-reduced-their-time-to-hire-from-43-days-down-to-5/?sh=362d02ef6759 (Accessed: 18 October 2022)</w:t>
      </w:r>
    </w:p>
    <w:p w14:paraId="6D44ED06" w14:textId="3B506784" w:rsidR="00256072" w:rsidRPr="00543541" w:rsidRDefault="00256072" w:rsidP="00256072">
      <w:pPr>
        <w:pStyle w:val="NormalWeb"/>
        <w:spacing w:after="0" w:line="360" w:lineRule="auto"/>
        <w:jc w:val="both"/>
        <w:rPr>
          <w:rFonts w:ascii="Arial" w:hAnsi="Arial" w:cs="Arial"/>
        </w:rPr>
      </w:pPr>
      <w:r w:rsidRPr="00543541">
        <w:rPr>
          <w:rFonts w:ascii="Arial" w:hAnsi="Arial" w:cs="Arial"/>
        </w:rPr>
        <w:t xml:space="preserve">Marriott </w:t>
      </w:r>
      <w:r w:rsidR="00860A8A" w:rsidRPr="00543541">
        <w:rPr>
          <w:rFonts w:ascii="Arial" w:hAnsi="Arial" w:cs="Arial"/>
        </w:rPr>
        <w:t>J</w:t>
      </w:r>
      <w:r w:rsidRPr="00543541">
        <w:rPr>
          <w:rFonts w:ascii="Arial" w:hAnsi="Arial" w:cs="Arial"/>
        </w:rPr>
        <w:t>obs</w:t>
      </w:r>
      <w:r w:rsidR="00860A8A" w:rsidRPr="00543541">
        <w:rPr>
          <w:rFonts w:ascii="Arial" w:hAnsi="Arial" w:cs="Arial"/>
        </w:rPr>
        <w:t>. (2022), Marriot, avaliable at</w:t>
      </w:r>
      <w:r w:rsidRPr="00543541">
        <w:rPr>
          <w:rFonts w:ascii="Arial" w:hAnsi="Arial" w:cs="Arial"/>
        </w:rPr>
        <w:t xml:space="preserve">: </w:t>
      </w:r>
      <w:hyperlink r:id="rId6" w:history="1">
        <w:r w:rsidR="00860A8A" w:rsidRPr="00543541">
          <w:rPr>
            <w:rStyle w:val="Hyperlink"/>
            <w:rFonts w:ascii="Arial" w:hAnsi="Arial" w:cs="Arial"/>
          </w:rPr>
          <w:t>https://jobs.marriott.com/marriott/jobs</w:t>
        </w:r>
      </w:hyperlink>
      <w:r w:rsidR="00860A8A" w:rsidRPr="00543541">
        <w:rPr>
          <w:rFonts w:ascii="Arial" w:hAnsi="Arial" w:cs="Arial"/>
        </w:rPr>
        <w:t xml:space="preserve"> (Accessed: 17 October 2022)</w:t>
      </w:r>
    </w:p>
    <w:p w14:paraId="7BCB7950" w14:textId="3E988873" w:rsidR="00256072" w:rsidRPr="00543541" w:rsidRDefault="00256072" w:rsidP="00621E7F">
      <w:pPr>
        <w:pStyle w:val="NormalWeb"/>
        <w:spacing w:after="0" w:line="360" w:lineRule="auto"/>
        <w:jc w:val="both"/>
        <w:rPr>
          <w:rFonts w:ascii="Arial" w:hAnsi="Arial" w:cs="Arial"/>
        </w:rPr>
      </w:pPr>
      <w:r w:rsidRPr="00543541">
        <w:rPr>
          <w:rFonts w:ascii="Arial" w:hAnsi="Arial" w:cs="Arial"/>
        </w:rPr>
        <w:t xml:space="preserve">Maslow, A.H. (1943). “A Theory of Human Motivation”. In Psychological Review, </w:t>
      </w:r>
      <w:r w:rsidR="00860A8A" w:rsidRPr="00543541">
        <w:rPr>
          <w:rFonts w:ascii="Arial" w:hAnsi="Arial" w:cs="Arial"/>
          <w:i/>
          <w:iCs/>
        </w:rPr>
        <w:t>Washington, DC: American Psychological Association,</w:t>
      </w:r>
      <w:r w:rsidR="00860A8A" w:rsidRPr="00543541">
        <w:rPr>
          <w:rFonts w:ascii="Arial" w:hAnsi="Arial" w:cs="Arial"/>
        </w:rPr>
        <w:t xml:space="preserve"> </w:t>
      </w:r>
      <w:r w:rsidRPr="00543541">
        <w:rPr>
          <w:rFonts w:ascii="Arial" w:hAnsi="Arial" w:cs="Arial"/>
        </w:rPr>
        <w:t xml:space="preserve">50(4), </w:t>
      </w:r>
      <w:r w:rsidR="00860A8A" w:rsidRPr="00543541">
        <w:rPr>
          <w:rFonts w:ascii="Arial" w:hAnsi="Arial" w:cs="Arial"/>
        </w:rPr>
        <w:t xml:space="preserve">pp. </w:t>
      </w:r>
      <w:r w:rsidRPr="00543541">
        <w:rPr>
          <w:rFonts w:ascii="Arial" w:hAnsi="Arial" w:cs="Arial"/>
        </w:rPr>
        <w:t>430-437.</w:t>
      </w:r>
    </w:p>
    <w:p w14:paraId="5C767983" w14:textId="3B36C23F" w:rsidR="00256072" w:rsidRPr="00543541" w:rsidRDefault="00256072" w:rsidP="00621E7F">
      <w:pPr>
        <w:pStyle w:val="NormalWeb"/>
        <w:spacing w:after="0" w:line="360" w:lineRule="auto"/>
        <w:rPr>
          <w:rFonts w:ascii="Arial" w:hAnsi="Arial" w:cs="Arial"/>
        </w:rPr>
      </w:pPr>
      <w:r w:rsidRPr="00543541">
        <w:rPr>
          <w:rFonts w:ascii="Arial" w:hAnsi="Arial" w:cs="Arial"/>
        </w:rPr>
        <w:t>0’Reordan</w:t>
      </w:r>
      <w:r w:rsidR="00055D19" w:rsidRPr="00543541">
        <w:rPr>
          <w:rFonts w:ascii="Arial" w:hAnsi="Arial" w:cs="Arial"/>
        </w:rPr>
        <w:t xml:space="preserve"> </w:t>
      </w:r>
      <w:r w:rsidRPr="00543541">
        <w:rPr>
          <w:rFonts w:ascii="Arial" w:hAnsi="Arial" w:cs="Arial"/>
        </w:rPr>
        <w:t>(2017)</w:t>
      </w:r>
      <w:r w:rsidR="00621E7F" w:rsidRPr="00543541">
        <w:rPr>
          <w:rFonts w:ascii="Arial" w:hAnsi="Arial" w:cs="Arial"/>
        </w:rPr>
        <w:t xml:space="preserve">  </w:t>
      </w:r>
      <w:r w:rsidR="00621E7F" w:rsidRPr="00543541">
        <w:rPr>
          <w:rFonts w:ascii="Arial" w:hAnsi="Arial" w:cs="Arial"/>
          <w:i/>
          <w:iCs/>
        </w:rPr>
        <w:t>The Practise of human resource mangament</w:t>
      </w:r>
      <w:r w:rsidR="00055D19" w:rsidRPr="00543541">
        <w:rPr>
          <w:rFonts w:ascii="Arial" w:hAnsi="Arial" w:cs="Arial"/>
          <w:i/>
          <w:iCs/>
        </w:rPr>
        <w:t>:</w:t>
      </w:r>
      <w:r w:rsidRPr="00543541">
        <w:rPr>
          <w:rFonts w:ascii="Arial" w:hAnsi="Arial" w:cs="Arial"/>
        </w:rPr>
        <w:t xml:space="preserve"> </w:t>
      </w:r>
      <w:r w:rsidR="00055D19" w:rsidRPr="00543541">
        <w:rPr>
          <w:rFonts w:ascii="Arial" w:hAnsi="Arial" w:cs="Arial"/>
        </w:rPr>
        <w:t xml:space="preserve">IPA [online], avaliable at: </w:t>
      </w:r>
      <w:r w:rsidRPr="00543541">
        <w:rPr>
          <w:rFonts w:ascii="Arial" w:hAnsi="Arial" w:cs="Arial"/>
        </w:rPr>
        <w:lastRenderedPageBreak/>
        <w:t>https://www.ipa.ie/_fileUpload/Documents/THE_PRACTICE_OF_HRM.pdf (Accessed: 17 October 2022)</w:t>
      </w:r>
    </w:p>
    <w:p w14:paraId="3C3CF00A" w14:textId="0A47BC5C" w:rsidR="00256072" w:rsidRDefault="00256072" w:rsidP="00621E7F">
      <w:pPr>
        <w:pStyle w:val="NormalWeb"/>
        <w:spacing w:after="0" w:line="360" w:lineRule="auto"/>
        <w:jc w:val="both"/>
        <w:rPr>
          <w:rFonts w:ascii="Arial" w:hAnsi="Arial" w:cs="Arial"/>
        </w:rPr>
      </w:pPr>
      <w:r w:rsidRPr="00256072">
        <w:rPr>
          <w:rFonts w:ascii="Arial" w:hAnsi="Arial" w:cs="Arial"/>
        </w:rPr>
        <w:t>Oxford</w:t>
      </w:r>
      <w:r w:rsidR="00055D19">
        <w:rPr>
          <w:rFonts w:ascii="Arial" w:hAnsi="Arial" w:cs="Arial"/>
        </w:rPr>
        <w:t xml:space="preserve"> University. </w:t>
      </w:r>
      <w:r w:rsidRPr="00256072">
        <w:rPr>
          <w:rFonts w:ascii="Arial" w:hAnsi="Arial" w:cs="Arial"/>
        </w:rPr>
        <w:t>(2019)</w:t>
      </w:r>
      <w:r w:rsidR="00055D19">
        <w:rPr>
          <w:rFonts w:ascii="Arial" w:hAnsi="Arial" w:cs="Arial"/>
        </w:rPr>
        <w:t xml:space="preserve">, </w:t>
      </w:r>
      <w:r w:rsidR="00055D19" w:rsidRPr="00055D19">
        <w:rPr>
          <w:rFonts w:ascii="Arial" w:hAnsi="Arial" w:cs="Arial"/>
          <w:i/>
          <w:iCs/>
        </w:rPr>
        <w:t>Happy workers are 13% more productive</w:t>
      </w:r>
      <w:r w:rsidRPr="00256072">
        <w:rPr>
          <w:rFonts w:ascii="Arial" w:hAnsi="Arial" w:cs="Arial"/>
        </w:rPr>
        <w:t xml:space="preserve"> </w:t>
      </w:r>
      <w:r w:rsidR="00055D19">
        <w:rPr>
          <w:rFonts w:ascii="Arial" w:hAnsi="Arial" w:cs="Arial"/>
        </w:rPr>
        <w:t xml:space="preserve">[online], Oxford University, avaliable at:  </w:t>
      </w:r>
      <w:r w:rsidRPr="00256072">
        <w:rPr>
          <w:rFonts w:ascii="Arial" w:hAnsi="Arial" w:cs="Arial"/>
        </w:rPr>
        <w:t xml:space="preserve">https://www.ox.ac.uk/news/2019-10-24-happy-workers-are-13-more-productive </w:t>
      </w:r>
      <w:r w:rsidR="00055D19">
        <w:rPr>
          <w:rFonts w:ascii="Arial" w:hAnsi="Arial" w:cs="Arial"/>
        </w:rPr>
        <w:t>(</w:t>
      </w:r>
      <w:r w:rsidRPr="00256072">
        <w:rPr>
          <w:rFonts w:ascii="Arial" w:hAnsi="Arial" w:cs="Arial"/>
        </w:rPr>
        <w:t>Accessed</w:t>
      </w:r>
      <w:r w:rsidR="00055D19">
        <w:rPr>
          <w:rFonts w:ascii="Arial" w:hAnsi="Arial" w:cs="Arial"/>
        </w:rPr>
        <w:t>:</w:t>
      </w:r>
      <w:r w:rsidRPr="00256072">
        <w:rPr>
          <w:rFonts w:ascii="Arial" w:hAnsi="Arial" w:cs="Arial"/>
        </w:rPr>
        <w:t xml:space="preserve"> 20</w:t>
      </w:r>
      <w:r w:rsidR="00055D19">
        <w:rPr>
          <w:rFonts w:ascii="Arial" w:hAnsi="Arial" w:cs="Arial"/>
        </w:rPr>
        <w:t xml:space="preserve"> October </w:t>
      </w:r>
      <w:r w:rsidRPr="00256072">
        <w:rPr>
          <w:rFonts w:ascii="Arial" w:hAnsi="Arial" w:cs="Arial"/>
        </w:rPr>
        <w:t>2022</w:t>
      </w:r>
      <w:r w:rsidR="00055D19">
        <w:rPr>
          <w:rFonts w:ascii="Arial" w:hAnsi="Arial" w:cs="Arial"/>
        </w:rPr>
        <w:t>)</w:t>
      </w:r>
    </w:p>
    <w:p w14:paraId="1BDD47F2" w14:textId="36A5BBE5"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Salanova, M, Agut, S, </w:t>
      </w:r>
      <w:r w:rsidR="00055D19">
        <w:rPr>
          <w:rFonts w:ascii="Arial" w:hAnsi="Arial" w:cs="Arial"/>
        </w:rPr>
        <w:t>and</w:t>
      </w:r>
      <w:r w:rsidRPr="00256072">
        <w:rPr>
          <w:rFonts w:ascii="Arial" w:hAnsi="Arial" w:cs="Arial"/>
        </w:rPr>
        <w:t xml:space="preserve"> Peiró, J. M. (2005), </w:t>
      </w:r>
      <w:r w:rsidR="00055D19">
        <w:rPr>
          <w:rFonts w:ascii="Arial" w:hAnsi="Arial" w:cs="Arial"/>
        </w:rPr>
        <w:t>‘</w:t>
      </w:r>
      <w:r w:rsidRPr="00256072">
        <w:rPr>
          <w:rFonts w:ascii="Arial" w:hAnsi="Arial" w:cs="Arial"/>
        </w:rPr>
        <w:t>Linking organizational resources and work engagement to employee performance and customer loyalty</w:t>
      </w:r>
      <w:r w:rsidR="00055D19">
        <w:rPr>
          <w:rFonts w:ascii="Arial" w:hAnsi="Arial" w:cs="Arial"/>
        </w:rPr>
        <w:t>’,</w:t>
      </w:r>
      <w:r w:rsidRPr="00256072">
        <w:rPr>
          <w:rFonts w:ascii="Arial" w:hAnsi="Arial" w:cs="Arial"/>
        </w:rPr>
        <w:t xml:space="preserve"> </w:t>
      </w:r>
      <w:r w:rsidR="00055D19" w:rsidRPr="00055D19">
        <w:rPr>
          <w:rFonts w:ascii="Arial" w:hAnsi="Arial" w:cs="Arial"/>
          <w:i/>
          <w:iCs/>
        </w:rPr>
        <w:t>T</w:t>
      </w:r>
      <w:r w:rsidRPr="00055D19">
        <w:rPr>
          <w:rFonts w:ascii="Arial" w:hAnsi="Arial" w:cs="Arial"/>
          <w:i/>
          <w:iCs/>
        </w:rPr>
        <w:t>he mediation of service climate, Journal of Applied Psychology</w:t>
      </w:r>
      <w:r w:rsidRPr="00256072">
        <w:rPr>
          <w:rFonts w:ascii="Arial" w:hAnsi="Arial" w:cs="Arial"/>
        </w:rPr>
        <w:t xml:space="preserve">, </w:t>
      </w:r>
      <w:r w:rsidR="00055D19">
        <w:rPr>
          <w:rFonts w:ascii="Arial" w:hAnsi="Arial" w:cs="Arial"/>
        </w:rPr>
        <w:t>(</w:t>
      </w:r>
      <w:r w:rsidRPr="00256072">
        <w:rPr>
          <w:rFonts w:ascii="Arial" w:hAnsi="Arial" w:cs="Arial"/>
        </w:rPr>
        <w:t>90</w:t>
      </w:r>
      <w:r w:rsidR="00055D19">
        <w:rPr>
          <w:rFonts w:ascii="Arial" w:hAnsi="Arial" w:cs="Arial"/>
        </w:rPr>
        <w:t>)</w:t>
      </w:r>
      <w:r w:rsidRPr="00256072">
        <w:rPr>
          <w:rFonts w:ascii="Arial" w:hAnsi="Arial" w:cs="Arial"/>
        </w:rPr>
        <w:t>,</w:t>
      </w:r>
      <w:r w:rsidR="00055D19">
        <w:rPr>
          <w:rFonts w:ascii="Arial" w:hAnsi="Arial" w:cs="Arial"/>
        </w:rPr>
        <w:t xml:space="preserve"> pp.</w:t>
      </w:r>
      <w:r w:rsidRPr="00256072">
        <w:rPr>
          <w:rFonts w:ascii="Arial" w:hAnsi="Arial" w:cs="Arial"/>
        </w:rPr>
        <w:t xml:space="preserve"> 1217—1227</w:t>
      </w:r>
      <w:r w:rsidR="00055D19">
        <w:rPr>
          <w:rFonts w:ascii="Arial" w:hAnsi="Arial" w:cs="Arial"/>
        </w:rPr>
        <w:t>.</w:t>
      </w:r>
    </w:p>
    <w:p w14:paraId="1FC0CF52" w14:textId="23746C3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Wilmar B. Schaufeli (2017), </w:t>
      </w:r>
      <w:r w:rsidR="0071098C">
        <w:rPr>
          <w:rFonts w:ascii="Arial" w:hAnsi="Arial" w:cs="Arial"/>
        </w:rPr>
        <w:t>‘</w:t>
      </w:r>
      <w:r w:rsidRPr="00256072">
        <w:rPr>
          <w:rFonts w:ascii="Arial" w:hAnsi="Arial" w:cs="Arial"/>
        </w:rPr>
        <w:t>Applying the Job Demands-Resources model</w:t>
      </w:r>
      <w:r w:rsidR="0071098C">
        <w:rPr>
          <w:rFonts w:ascii="Arial" w:hAnsi="Arial" w:cs="Arial"/>
        </w:rPr>
        <w:t>’,</w:t>
      </w:r>
      <w:r>
        <w:rPr>
          <w:rFonts w:ascii="Arial" w:hAnsi="Arial" w:cs="Arial"/>
        </w:rPr>
        <w:t xml:space="preserve"> </w:t>
      </w:r>
      <w:r w:rsidRPr="0071098C">
        <w:rPr>
          <w:rFonts w:ascii="Arial" w:hAnsi="Arial" w:cs="Arial"/>
          <w:i/>
          <w:iCs/>
        </w:rPr>
        <w:t>A ‘how to’ guide to measuring and tackling work engagement and burnout</w:t>
      </w:r>
      <w:r w:rsidRPr="00256072">
        <w:rPr>
          <w:rFonts w:ascii="Arial" w:hAnsi="Arial" w:cs="Arial"/>
        </w:rPr>
        <w:t>, p128</w:t>
      </w:r>
      <w:r w:rsidR="0071098C">
        <w:rPr>
          <w:rFonts w:ascii="Arial" w:hAnsi="Arial" w:cs="Arial"/>
        </w:rPr>
        <w:t>.</w:t>
      </w:r>
    </w:p>
    <w:p w14:paraId="63EC1327" w14:textId="3D454D67" w:rsidR="007D34D5" w:rsidRPr="00256072" w:rsidRDefault="007D34D5" w:rsidP="00256072">
      <w:pPr>
        <w:jc w:val="both"/>
        <w:rPr>
          <w:rFonts w:ascii="Arial" w:hAnsi="Arial" w:cs="Arial"/>
          <w:sz w:val="24"/>
          <w:szCs w:val="24"/>
        </w:rPr>
      </w:pPr>
    </w:p>
    <w:sectPr w:rsidR="007D34D5" w:rsidRPr="00256072">
      <w:pgSz w:w="11906" w:h="16838"/>
      <w:pgMar w:top="1440" w:right="1440" w:bottom="1440" w:left="1440" w:header="0" w:footer="0" w:gutter="0"/>
      <w:cols w:space="720"/>
      <w:formProt w:val="0"/>
      <w:docGrid w:linePitch="360" w:charSpace="81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74AC2"/>
    <w:multiLevelType w:val="hybridMultilevel"/>
    <w:tmpl w:val="5E80DE7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4D5"/>
    <w:rsid w:val="00055D19"/>
    <w:rsid w:val="00256072"/>
    <w:rsid w:val="004743E7"/>
    <w:rsid w:val="00543541"/>
    <w:rsid w:val="00621E7F"/>
    <w:rsid w:val="0071098C"/>
    <w:rsid w:val="007311E0"/>
    <w:rsid w:val="007D34D5"/>
    <w:rsid w:val="00860A8A"/>
    <w:rsid w:val="00917644"/>
    <w:rsid w:val="009F2B5D"/>
    <w:rsid w:val="00B4647D"/>
    <w:rsid w:val="00BE164B"/>
    <w:rsid w:val="00C5208F"/>
    <w:rsid w:val="00C823E1"/>
    <w:rsid w:val="00FB08FE"/>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C308"/>
  <w15:docId w15:val="{F0E4BE64-C032-444E-A833-14B755320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D51"/>
    <w:pPr>
      <w:spacing w:after="200" w:line="276" w:lineRule="auto"/>
    </w:pPr>
    <w:rPr>
      <w:rFonts w:cs="Calibri"/>
    </w:rPr>
  </w:style>
  <w:style w:type="paragraph" w:styleId="Heading1">
    <w:name w:val="heading 1"/>
    <w:basedOn w:val="Normal"/>
    <w:next w:val="Normal"/>
    <w:link w:val="Heading1Char"/>
    <w:uiPriority w:val="9"/>
    <w:qFormat/>
    <w:rsid w:val="00DE6A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AF8"/>
    <w:rPr>
      <w:color w:val="0000FF"/>
      <w:u w:val="single"/>
    </w:rPr>
  </w:style>
  <w:style w:type="character" w:customStyle="1" w:styleId="Heading1Char">
    <w:name w:val="Heading 1 Char"/>
    <w:basedOn w:val="DefaultParagraphFont"/>
    <w:link w:val="Heading1"/>
    <w:uiPriority w:val="9"/>
    <w:qFormat/>
    <w:rsid w:val="00DE6A3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qFormat/>
    <w:rsid w:val="00DE6A39"/>
    <w:rPr>
      <w:color w:val="605E5C"/>
      <w:shd w:val="clear" w:color="auto" w:fill="E1DFDD"/>
    </w:rPr>
  </w:style>
  <w:style w:type="character" w:customStyle="1" w:styleId="markedcontent">
    <w:name w:val="markedcontent"/>
    <w:basedOn w:val="DefaultParagraphFont"/>
    <w:qFormat/>
    <w:rsid w:val="00930C06"/>
  </w:style>
  <w:style w:type="paragraph" w:customStyle="1" w:styleId="Heading">
    <w:name w:val="Heading"/>
    <w:basedOn w:val="Normal"/>
    <w:next w:val="BodyText"/>
    <w:qFormat/>
    <w:pPr>
      <w:keepNext/>
      <w:spacing w:before="240" w:after="120"/>
    </w:pPr>
    <w:rPr>
      <w:rFonts w:ascii="Liberation Sans" w:eastAsia="Microsoft YaHei" w:hAnsi="Liberation Sans" w:cs="Mangal"/>
      <w:sz w:val="28"/>
      <w:szCs w:val="28"/>
    </w:rPr>
  </w:style>
  <w:style w:type="paragraph" w:styleId="BodyText">
    <w:name w:val="Body Text"/>
    <w:basedOn w:val="Normal"/>
    <w:pPr>
      <w:spacing w:after="140"/>
    </w:pPr>
  </w:style>
  <w:style w:type="paragraph" w:styleId="List">
    <w:name w:val="List"/>
    <w:basedOn w:val="BodyText"/>
    <w:rPr>
      <w:rFonts w:cs="Mangal"/>
    </w:rPr>
  </w:style>
  <w:style w:type="paragraph" w:styleId="Caption">
    <w:name w:val="caption"/>
    <w:basedOn w:val="Normal"/>
    <w:qFormat/>
    <w:pPr>
      <w:suppressLineNumbers/>
      <w:spacing w:before="120" w:after="120"/>
    </w:pPr>
    <w:rPr>
      <w:rFonts w:cs="Mangal"/>
      <w:i/>
      <w:iCs/>
      <w:sz w:val="24"/>
      <w:szCs w:val="24"/>
    </w:rPr>
  </w:style>
  <w:style w:type="paragraph" w:customStyle="1" w:styleId="Index">
    <w:name w:val="Index"/>
    <w:basedOn w:val="Normal"/>
    <w:qFormat/>
    <w:pPr>
      <w:suppressLineNumbers/>
    </w:pPr>
    <w:rPr>
      <w:rFonts w:cs="Mangal"/>
    </w:rPr>
  </w:style>
  <w:style w:type="paragraph" w:styleId="ListParagraph">
    <w:name w:val="List Paragraph"/>
    <w:basedOn w:val="Normal"/>
    <w:link w:val="ListParagraphChar"/>
    <w:uiPriority w:val="34"/>
    <w:qFormat/>
    <w:rsid w:val="005C1AF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56072"/>
    <w:pPr>
      <w:suppressAutoHyphens w:val="0"/>
      <w:spacing w:before="100" w:beforeAutospacing="1" w:after="142"/>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C823E1"/>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759587">
      <w:bodyDiv w:val="1"/>
      <w:marLeft w:val="0"/>
      <w:marRight w:val="0"/>
      <w:marTop w:val="0"/>
      <w:marBottom w:val="0"/>
      <w:divBdr>
        <w:top w:val="none" w:sz="0" w:space="0" w:color="auto"/>
        <w:left w:val="none" w:sz="0" w:space="0" w:color="auto"/>
        <w:bottom w:val="none" w:sz="0" w:space="0" w:color="auto"/>
        <w:right w:val="none" w:sz="0" w:space="0" w:color="auto"/>
      </w:divBdr>
    </w:div>
    <w:div w:id="709377537">
      <w:bodyDiv w:val="1"/>
      <w:marLeft w:val="0"/>
      <w:marRight w:val="0"/>
      <w:marTop w:val="0"/>
      <w:marBottom w:val="0"/>
      <w:divBdr>
        <w:top w:val="none" w:sz="0" w:space="0" w:color="auto"/>
        <w:left w:val="none" w:sz="0" w:space="0" w:color="auto"/>
        <w:bottom w:val="none" w:sz="0" w:space="0" w:color="auto"/>
        <w:right w:val="none" w:sz="0" w:space="0" w:color="auto"/>
      </w:divBdr>
    </w:div>
    <w:div w:id="1171483720">
      <w:bodyDiv w:val="1"/>
      <w:marLeft w:val="0"/>
      <w:marRight w:val="0"/>
      <w:marTop w:val="0"/>
      <w:marBottom w:val="0"/>
      <w:divBdr>
        <w:top w:val="none" w:sz="0" w:space="0" w:color="auto"/>
        <w:left w:val="none" w:sz="0" w:space="0" w:color="auto"/>
        <w:bottom w:val="none" w:sz="0" w:space="0" w:color="auto"/>
        <w:right w:val="none" w:sz="0" w:space="0" w:color="auto"/>
      </w:divBdr>
    </w:div>
    <w:div w:id="1687713674">
      <w:bodyDiv w:val="1"/>
      <w:marLeft w:val="0"/>
      <w:marRight w:val="0"/>
      <w:marTop w:val="0"/>
      <w:marBottom w:val="0"/>
      <w:divBdr>
        <w:top w:val="none" w:sz="0" w:space="0" w:color="auto"/>
        <w:left w:val="none" w:sz="0" w:space="0" w:color="auto"/>
        <w:bottom w:val="none" w:sz="0" w:space="0" w:color="auto"/>
        <w:right w:val="none" w:sz="0" w:space="0" w:color="auto"/>
      </w:divBdr>
    </w:div>
    <w:div w:id="2002344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bs.marriott.com/marriott/jobs" TargetMode="External"/><Relationship Id="rId5" Type="http://schemas.openxmlformats.org/officeDocument/2006/relationships/hyperlink" Target="https://www.greatplacetowork.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10</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Miah (2107169)</dc:creator>
  <dc:description/>
  <cp:lastModifiedBy>Malik Miah (2107169)</cp:lastModifiedBy>
  <cp:revision>10</cp:revision>
  <dcterms:created xsi:type="dcterms:W3CDTF">2022-10-26T13:46:00Z</dcterms:created>
  <dcterms:modified xsi:type="dcterms:W3CDTF">2022-10-26T16:21:00Z</dcterms:modified>
  <dc:language>en-GB</dc:language>
</cp:coreProperties>
</file>