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gif" ContentType="image/gif"/>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numbering.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130449723"/>
      </w:sdtPr>
      <w:sdtContent>
        <w:p>
          <w:pPr>
            <w:pStyle w:val="NoSpacing"/>
            <w:widowControl/>
            <w:tabs>
              <w:tab w:val="clear" w:pos="720"/>
              <w:tab w:val="left" w:pos="1033" w:leader="none"/>
            </w:tabs>
            <w:bidi w:val="0"/>
            <w:spacing w:lineRule="auto" w:line="240" w:before="0" w:after="0"/>
            <w:ind w:left="0" w:right="0" w:hanging="0"/>
            <w:jc w:val="left"/>
            <w:rPr/>
          </w:pPr>
          <w:r>
            <w:rPr/>
            <mc:AlternateContent>
              <mc:Choice Requires="wpg">
                <w:drawing>
                  <wp:anchor behindDoc="1" distT="0" distB="0" distL="0" distR="0" simplePos="0" locked="0" layoutInCell="1" allowOverlap="1" relativeHeight="2">
                    <wp:simplePos x="0" y="0"/>
                    <wp:positionH relativeFrom="page">
                      <wp:posOffset>310515</wp:posOffset>
                    </wp:positionH>
                    <wp:positionV relativeFrom="page">
                      <wp:align>center</wp:align>
                    </wp:positionV>
                    <wp:extent cx="2195195" cy="9126220"/>
                    <wp:effectExtent l="0" t="0" r="6985" b="7620"/>
                    <wp:wrapNone/>
                    <wp:docPr id="1" name="Group 2"/>
                    <a:graphic xmlns:a="http://schemas.openxmlformats.org/drawingml/2006/main">
                      <a:graphicData uri="http://schemas.microsoft.com/office/word/2010/wordprocessingGroup">
                        <wpg:wgp>
                          <wpg:cNvGrpSpPr/>
                          <wpg:grpSpPr>
                            <a:xfrm>
                              <a:off x="0" y="0"/>
                              <a:ext cx="2194560" cy="9125640"/>
                            </a:xfrm>
                          </wpg:grpSpPr>
                          <wps:wsp>
                            <wps:cNvSpPr/>
                            <wps:spPr>
                              <a:xfrm>
                                <a:off x="0" y="0"/>
                                <a:ext cx="193680" cy="912564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wps:style>
                            <wps:bodyPr/>
                          </wps:wsp>
                          <wps:wsp>
                            <wps:cNvSpPr/>
                            <wps:spPr>
                              <a:xfrm>
                                <a:off x="0" y="1467000"/>
                                <a:ext cx="2194560" cy="551160"/>
                              </a:xfrm>
                              <a:prstGeom prst="homePlate">
                                <a:avLst>
                                  <a:gd name="adj" fmla="val 50000"/>
                                </a:avLst>
                              </a:prstGeom>
                              <a:ln>
                                <a:noFill/>
                              </a:ln>
                            </wps:spPr>
                            <wps:style>
                              <a:lnRef idx="2">
                                <a:schemeClr val="accent1">
                                  <a:shade val="50000"/>
                                </a:schemeClr>
                              </a:lnRef>
                              <a:fillRef idx="1">
                                <a:schemeClr val="accent1"/>
                              </a:fillRef>
                              <a:effectRef idx="0">
                                <a:schemeClr val="accent1"/>
                              </a:effectRef>
                              <a:fontRef idx="minor"/>
                            </wps:style>
                            <wps:txbx>
                              <w:txbxContent>
                                <w:p>
                                  <w:pPr>
                                    <w:overflowPunct w:val="false"/>
                                    <w:spacing w:before="0" w:after="0" w:lineRule="auto" w:line="240"/>
                                    <w:jc w:val="right"/>
                                    <w:rPr/>
                                  </w:pPr>
                                  <w:r>
                                    <w:rPr>
                                      <w:sz w:val="28"/>
                                      <w:b w:val="false"/>
                                      <w:u w:val="none"/>
                                      <w:dstrike w:val="false"/>
                                      <w:strike w:val="false"/>
                                      <w:i w:val="false"/>
                                      <w:vertAlign w:val="baseline"/>
                                      <w:position w:val="0"/>
                                      <w:spacing w:val="0"/>
                                      <w:szCs w:val="28"/>
                                      <w:bCs w:val="false"/>
                                      <w:iCs w:val="false"/>
                                      <w:smallCaps w:val="false"/>
                                      <w:caps w:val="false"/>
                                      <w:rFonts w:ascii="Calibri" w:hAnsi="Calibri"/>
                                      <w:color w:val="FFFFFF"/>
                                    </w:rPr>
                                    <w:t>4/5/2023</w:t>
                                  </w:r>
                                </w:p>
                              </w:txbxContent>
                            </wps:txbx>
                            <wps:bodyPr rIns="182880" tIns="0" bIns="0" anchor="ctr">
                              <a:noAutofit/>
                            </wps:bodyPr>
                          </wps:wsp>
                          <wpg:grpSp>
                            <wpg:cNvGrpSpPr/>
                            <wpg:grpSpPr>
                              <a:xfrm>
                                <a:off x="76320" y="4210200"/>
                                <a:ext cx="2057400" cy="4910400"/>
                              </a:xfrm>
                            </wpg:grpSpPr>
                            <wpg:grpSp>
                              <wpg:cNvGrpSpPr/>
                              <wpg:grpSpPr>
                                <a:xfrm>
                                  <a:off x="95040" y="0"/>
                                  <a:ext cx="1649880" cy="4910400"/>
                                </a:xfrm>
                              </wpg:grpSpPr>
                              <wps:wsp>
                                <wps:cNvSpPr/>
                                <wps:spPr>
                                  <a:xfrm>
                                    <a:off x="360000" y="3155040"/>
                                    <a:ext cx="304200" cy="1098720"/>
                                  </a:xfrm>
                                  <a:custGeom>
                                    <a:avLst/>
                                    <a:gdLst/>
                                    <a:ahLst/>
                                    <a:rect l="l" t="t"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680040" y="4239000"/>
                                    <a:ext cx="290160" cy="671040"/>
                                  </a:xfrm>
                                  <a:custGeom>
                                    <a:avLst/>
                                    <a:gdLst/>
                                    <a:ahLst/>
                                    <a:rect l="l" t="t"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0" y="0"/>
                                    <a:ext cx="349200" cy="3177000"/>
                                  </a:xfrm>
                                  <a:custGeom>
                                    <a:avLst/>
                                    <a:gdLst/>
                                    <a:ahLst/>
                                    <a:rect l="l" t="t"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315000" y="1022040"/>
                                    <a:ext cx="111600" cy="2132280"/>
                                  </a:xfrm>
                                  <a:custGeom>
                                    <a:avLst/>
                                    <a:gdLst/>
                                    <a:ahLst/>
                                    <a:rect l="l" t="t"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a:solidFill>
                                      <a:schemeClr val="tx2"/>
                                    </a:solidFill>
                                  </a:ln>
                                </wps:spPr>
                                <wps:style>
                                  <a:lnRef idx="0"/>
                                  <a:fillRef idx="0"/>
                                  <a:effectRef idx="0"/>
                                  <a:fontRef idx="minor"/>
                                </wps:style>
                                <wps:bodyPr/>
                              </wps:wsp>
                              <wps:wsp>
                                <wps:cNvSpPr/>
                                <wps:spPr>
                                  <a:xfrm>
                                    <a:off x="349920" y="3177360"/>
                                    <a:ext cx="384120" cy="1570320"/>
                                  </a:xfrm>
                                  <a:custGeom>
                                    <a:avLst/>
                                    <a:gdLst/>
                                    <a:ahLst/>
                                    <a:rect l="l" t="t"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755280" y="4738320"/>
                                    <a:ext cx="82080" cy="171360"/>
                                  </a:xfrm>
                                  <a:custGeom>
                                    <a:avLst/>
                                    <a:gdLst/>
                                    <a:ahLst/>
                                    <a:rect l="l" t="t" r="r" b="b"/>
                                    <a:pathLst>
                                      <a:path w="33" h="69">
                                        <a:moveTo>
                                          <a:pt x="0" y="0"/>
                                        </a:moveTo>
                                        <a:lnTo>
                                          <a:pt x="33" y="69"/>
                                        </a:lnTo>
                                        <a:lnTo>
                                          <a:pt x="24" y="69"/>
                                        </a:lnTo>
                                        <a:lnTo>
                                          <a:pt x="12" y="35"/>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338040" y="3054960"/>
                                    <a:ext cx="36720" cy="231840"/>
                                  </a:xfrm>
                                  <a:custGeom>
                                    <a:avLst/>
                                    <a:gdLst/>
                                    <a:ahLst/>
                                    <a:rect l="l" t="t" r="r" b="b"/>
                                    <a:pathLst>
                                      <a:path w="15" h="93">
                                        <a:moveTo>
                                          <a:pt x="0" y="0"/>
                                        </a:moveTo>
                                        <a:lnTo>
                                          <a:pt x="9" y="37"/>
                                        </a:lnTo>
                                        <a:lnTo>
                                          <a:pt x="9" y="40"/>
                                        </a:lnTo>
                                        <a:lnTo>
                                          <a:pt x="15" y="93"/>
                                        </a:lnTo>
                                        <a:lnTo>
                                          <a:pt x="5" y="49"/>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664920" y="2325960"/>
                                    <a:ext cx="984960" cy="1912680"/>
                                  </a:xfrm>
                                  <a:custGeom>
                                    <a:avLst/>
                                    <a:gdLst/>
                                    <a:ahLst/>
                                    <a:rect l="l" t="t"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a:solidFill>
                                      <a:schemeClr val="tx2"/>
                                    </a:solidFill>
                                  </a:ln>
                                </wps:spPr>
                                <wps:style>
                                  <a:lnRef idx="0"/>
                                  <a:fillRef idx="0"/>
                                  <a:effectRef idx="0"/>
                                  <a:fontRef idx="minor"/>
                                </wps:style>
                                <wps:bodyPr/>
                              </wps:wsp>
                              <wps:wsp>
                                <wps:cNvSpPr/>
                                <wps:spPr>
                                  <a:xfrm>
                                    <a:off x="664920" y="4253760"/>
                                    <a:ext cx="89640" cy="483840"/>
                                  </a:xfrm>
                                  <a:custGeom>
                                    <a:avLst/>
                                    <a:gdLst/>
                                    <a:ahLst/>
                                    <a:rect l="l" t="t"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735480" y="4748400"/>
                                    <a:ext cx="76680" cy="162000"/>
                                  </a:xfrm>
                                  <a:custGeom>
                                    <a:avLst/>
                                    <a:gdLst/>
                                    <a:ahLst/>
                                    <a:rect l="l" t="t" r="r" b="b"/>
                                    <a:pathLst>
                                      <a:path w="31" h="65">
                                        <a:moveTo>
                                          <a:pt x="0" y="0"/>
                                        </a:moveTo>
                                        <a:lnTo>
                                          <a:pt x="31" y="65"/>
                                        </a:lnTo>
                                        <a:lnTo>
                                          <a:pt x="23" y="65"/>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664920" y="4196520"/>
                                    <a:ext cx="17280" cy="104040"/>
                                  </a:xfrm>
                                  <a:custGeom>
                                    <a:avLst/>
                                    <a:gdLst/>
                                    <a:ahLst/>
                                    <a:rect l="l" t="t" r="r" b="b"/>
                                    <a:pathLst>
                                      <a:path w="7" h="42">
                                        <a:moveTo>
                                          <a:pt x="0" y="0"/>
                                        </a:moveTo>
                                        <a:lnTo>
                                          <a:pt x="6" y="17"/>
                                        </a:lnTo>
                                        <a:lnTo>
                                          <a:pt x="7" y="42"/>
                                        </a:lnTo>
                                        <a:lnTo>
                                          <a:pt x="6" y="39"/>
                                        </a:lnTo>
                                        <a:lnTo>
                                          <a:pt x="0" y="23"/>
                                        </a:lnTo>
                                        <a:lnTo>
                                          <a:pt x="0" y="0"/>
                                        </a:lnTo>
                                        <a:close/>
                                      </a:path>
                                    </a:pathLst>
                                  </a:custGeom>
                                  <a:solidFill>
                                    <a:schemeClr val="tx2"/>
                                  </a:solidFill>
                                  <a:ln>
                                    <a:solidFill>
                                      <a:schemeClr val="tx2"/>
                                    </a:solidFill>
                                  </a:ln>
                                </wps:spPr>
                                <wps:style>
                                  <a:lnRef idx="0"/>
                                  <a:fillRef idx="0"/>
                                  <a:effectRef idx="0"/>
                                  <a:fontRef idx="minor"/>
                                </wps:style>
                                <wps:bodyPr/>
                              </wps:wsp>
                              <wps:wsp>
                                <wps:cNvSpPr/>
                                <wps:spPr>
                                  <a:xfrm>
                                    <a:off x="703080" y="4616280"/>
                                    <a:ext cx="111600" cy="294120"/>
                                  </a:xfrm>
                                  <a:custGeom>
                                    <a:avLst/>
                                    <a:gdLst/>
                                    <a:ahLst/>
                                    <a:rect l="l" t="t"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a:solidFill>
                                      <a:schemeClr val="tx2"/>
                                    </a:solidFill>
                                  </a:ln>
                                </wps:spPr>
                                <wps:style>
                                  <a:lnRef idx="0"/>
                                  <a:fillRef idx="0"/>
                                  <a:effectRef idx="0"/>
                                  <a:fontRef idx="minor"/>
                                </wps:style>
                                <wps:bodyPr/>
                              </wps:wsp>
                            </wpg:grpSp>
                            <wpg:grpSp>
                              <wpg:cNvGrpSpPr/>
                              <wpg:grpSpPr>
                                <a:xfrm>
                                  <a:off x="0" y="968400"/>
                                  <a:ext cx="2057400" cy="3942000"/>
                                </a:xfrm>
                              </wpg:grpSpPr>
                              <wps:wsp>
                                <wps:cNvSpPr/>
                                <wps:spPr>
                                  <a:xfrm>
                                    <a:off x="89280" y="1267920"/>
                                    <a:ext cx="466200" cy="1677600"/>
                                  </a:xfrm>
                                  <a:custGeom>
                                    <a:avLst/>
                                    <a:gdLst/>
                                    <a:ahLst/>
                                    <a:rect l="l" t="t"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582840" y="2916360"/>
                                    <a:ext cx="440640" cy="1024920"/>
                                  </a:xfrm>
                                  <a:custGeom>
                                    <a:avLst/>
                                    <a:gdLst/>
                                    <a:ahLst/>
                                    <a:rect l="l" t="t"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0" y="847080"/>
                                    <a:ext cx="74160" cy="450720"/>
                                  </a:xfrm>
                                  <a:custGeom>
                                    <a:avLst/>
                                    <a:gdLst/>
                                    <a:ahLst/>
                                    <a:rect l="l" t="t" r="r" b="b"/>
                                    <a:pathLst>
                                      <a:path w="20" h="121">
                                        <a:moveTo>
                                          <a:pt x="0" y="0"/>
                                        </a:moveTo>
                                        <a:lnTo>
                                          <a:pt x="16" y="72"/>
                                        </a:lnTo>
                                        <a:lnTo>
                                          <a:pt x="20" y="121"/>
                                        </a:lnTo>
                                        <a:lnTo>
                                          <a:pt x="18" y="112"/>
                                        </a:lnTo>
                                        <a:lnTo>
                                          <a:pt x="0" y="31"/>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74880" y="1297800"/>
                                    <a:ext cx="589320" cy="2397600"/>
                                  </a:xfrm>
                                  <a:custGeom>
                                    <a:avLst/>
                                    <a:gdLst/>
                                    <a:ahLst/>
                                    <a:rect l="l" t="t"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694440" y="3677760"/>
                                    <a:ext cx="122400" cy="264240"/>
                                  </a:xfrm>
                                  <a:custGeom>
                                    <a:avLst/>
                                    <a:gdLst/>
                                    <a:ahLst/>
                                    <a:rect l="l" t="t" r="r" b="b"/>
                                    <a:pathLst>
                                      <a:path w="33" h="71">
                                        <a:moveTo>
                                          <a:pt x="0" y="0"/>
                                        </a:moveTo>
                                        <a:lnTo>
                                          <a:pt x="33" y="71"/>
                                        </a:lnTo>
                                        <a:lnTo>
                                          <a:pt x="24" y="71"/>
                                        </a:lnTo>
                                        <a:lnTo>
                                          <a:pt x="11" y="36"/>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59400" y="1114920"/>
                                    <a:ext cx="55080" cy="353520"/>
                                  </a:xfrm>
                                  <a:custGeom>
                                    <a:avLst/>
                                    <a:gdLst/>
                                    <a:ahLst/>
                                    <a:rect l="l" t="t" r="r" b="b"/>
                                    <a:pathLst>
                                      <a:path w="15" h="95">
                                        <a:moveTo>
                                          <a:pt x="0" y="0"/>
                                        </a:moveTo>
                                        <a:lnTo>
                                          <a:pt x="8" y="37"/>
                                        </a:lnTo>
                                        <a:lnTo>
                                          <a:pt x="8" y="41"/>
                                        </a:lnTo>
                                        <a:lnTo>
                                          <a:pt x="15" y="95"/>
                                        </a:lnTo>
                                        <a:lnTo>
                                          <a:pt x="4" y="49"/>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556200" y="0"/>
                                    <a:ext cx="1501200" cy="2916000"/>
                                  </a:xfrm>
                                  <a:custGeom>
                                    <a:avLst/>
                                    <a:gdLst/>
                                    <a:ahLst/>
                                    <a:rect l="l" t="t"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556200" y="2946240"/>
                                    <a:ext cx="137880" cy="730080"/>
                                  </a:xfrm>
                                  <a:custGeom>
                                    <a:avLst/>
                                    <a:gdLst/>
                                    <a:ahLst/>
                                    <a:rect l="l" t="t"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664560" y="3696120"/>
                                    <a:ext cx="114840" cy="245880"/>
                                  </a:xfrm>
                                  <a:custGeom>
                                    <a:avLst/>
                                    <a:gdLst/>
                                    <a:ahLst/>
                                    <a:rect l="l" t="t" r="r" b="b"/>
                                    <a:pathLst>
                                      <a:path w="31" h="66">
                                        <a:moveTo>
                                          <a:pt x="0" y="0"/>
                                        </a:moveTo>
                                        <a:lnTo>
                                          <a:pt x="31" y="66"/>
                                        </a:lnTo>
                                        <a:lnTo>
                                          <a:pt x="24" y="66"/>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556200" y="2853360"/>
                                    <a:ext cx="25560" cy="160200"/>
                                  </a:xfrm>
                                  <a:custGeom>
                                    <a:avLst/>
                                    <a:gdLst/>
                                    <a:ahLst/>
                                    <a:rect l="l" t="t" r="r" b="b"/>
                                    <a:pathLst>
                                      <a:path w="7" h="43">
                                        <a:moveTo>
                                          <a:pt x="0" y="0"/>
                                        </a:moveTo>
                                        <a:lnTo>
                                          <a:pt x="7" y="17"/>
                                        </a:lnTo>
                                        <a:lnTo>
                                          <a:pt x="7" y="43"/>
                                        </a:lnTo>
                                        <a:lnTo>
                                          <a:pt x="6" y="40"/>
                                        </a:lnTo>
                                        <a:lnTo>
                                          <a:pt x="0" y="25"/>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s:wsp>
                                <wps:cNvSpPr/>
                                <wps:spPr>
                                  <a:xfrm>
                                    <a:off x="612720" y="3490920"/>
                                    <a:ext cx="170640" cy="450720"/>
                                  </a:xfrm>
                                  <a:custGeom>
                                    <a:avLst/>
                                    <a:gdLst/>
                                    <a:ahLst/>
                                    <a:rect l="l" t="t"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a:solidFill>
                                      <a:schemeClr val="tx2">
                                        <a:alpha val="20000"/>
                                      </a:schemeClr>
                                    </a:solidFill>
                                  </a:ln>
                                </wps:spPr>
                                <wps:style>
                                  <a:lnRef idx="0"/>
                                  <a:fillRef idx="0"/>
                                  <a:effectRef idx="0"/>
                                  <a:fontRef idx="minor"/>
                                </wps:style>
                                <wps:bodyPr/>
                              </wps:wsp>
                            </wpg:grpSp>
                          </wpg:grpSp>
                        </wpg:wgp>
                      </a:graphicData>
                    </a:graphic>
                    <wp14:sizeRelH relativeFrom="page">
                      <wp14:pctWidth>33000</wp14:pctWidth>
                    </wp14:sizeRelH>
                    <wp14:sizeRelV relativeFrom="page">
                      <wp14:pctHeight>95000</wp14:pctHeight>
                    </wp14:sizeRelV>
                  </wp:anchor>
                </w:drawing>
              </mc:Choice>
              <mc:Fallback>
                <w:pict>
                  <v:group id="shape_0" alt="Group 2" style="position:absolute;margin-left:24.45pt;margin-top:36.7pt;width:172.8pt;height:718.55pt" coordorigin="489,734" coordsize="3456,14371">
                    <v:rect id="shape_0" ID="Rectangle 3" fillcolor="#44546a" stroked="f" style="position:absolute;left:489;top:734;width:304;height:14370;mso-position-horizontal-relative:page;mso-position-vertical:center;mso-position-vertical-relative:page">
                      <w10:wrap type="none"/>
                      <v:fill o:detectmouseclick="t" type="solid" color2="#bbab95"/>
                      <v:stroke color="#3465a4" weight="12600" joinstyle="miter" endcap="flat"/>
                    </v:rect>
                    <v:shapetype id="shapetype_15" coordsize="21600,21600" o:spt="15" adj="10800" path="m,l@2,l21600,10800l@2,21600l,21600xe">
                      <v:stroke joinstyle="miter"/>
                      <v:formulas>
                        <v:f eqn="val 21600"/>
                        <v:f eqn="val #0"/>
                        <v:f eqn="sum width 0 @1"/>
                        <v:f eqn="sum @2 width 0"/>
                        <v:f eqn="prod 1 @3 2"/>
                        <v:f eqn="prod @2 1 2"/>
                      </v:formulas>
                      <v:path gradientshapeok="t" o:connecttype="rect" textboxrect="0,0,@4,21600"/>
                      <v:handles>
                        <v:h position="@2,0"/>
                      </v:handles>
                    </v:shapetype>
                    <v:shape id="shape_0" ID="Pentagon 4" fillcolor="#5b9bd5" stroked="f" style="position:absolute;left:489;top:3044;width:3455;height:867;mso-position-horizontal-relative:page;mso-position-vertical:center;mso-position-vertical-relative:page" type="shapetype_15">
                      <v:textbox>
                        <w:txbxContent>
                          <w:p>
                            <w:pPr>
                              <w:overflowPunct w:val="false"/>
                              <w:spacing w:before="0" w:after="0" w:lineRule="auto" w:line="240"/>
                              <w:jc w:val="right"/>
                              <w:rPr/>
                            </w:pPr>
                            <w:r>
                              <w:rPr>
                                <w:sz w:val="28"/>
                                <w:b w:val="false"/>
                                <w:u w:val="none"/>
                                <w:dstrike w:val="false"/>
                                <w:strike w:val="false"/>
                                <w:i w:val="false"/>
                                <w:vertAlign w:val="baseline"/>
                                <w:position w:val="0"/>
                                <w:spacing w:val="0"/>
                                <w:szCs w:val="28"/>
                                <w:bCs w:val="false"/>
                                <w:iCs w:val="false"/>
                                <w:smallCaps w:val="false"/>
                                <w:caps w:val="false"/>
                                <w:rFonts w:ascii="Calibri" w:hAnsi="Calibri"/>
                                <w:color w:val="FFFFFF"/>
                              </w:rPr>
                              <w:t>4/5/2023</w:t>
                            </w:r>
                          </w:p>
                        </w:txbxContent>
                      </v:textbox>
                      <w10:wrap type="square"/>
                      <v:fill o:detectmouseclick="t" type="solid" color2="#a4642a"/>
                      <v:stroke color="#3465a4" weight="12600" joinstyle="miter" endcap="flat"/>
                    </v:shape>
                    <v:group id="shape_0" alt="Group 5" style="position:absolute;left:609;top:7364;width:3240;height:7733">
                      <v:group id="shape_0" alt="Group 6" style="position:absolute;left:759;top:7364;width:2598;height:7733"/>
                      <v:group id="shape_0" alt="Group 7" style="position:absolute;left:609;top:8889;width:3240;height:6208"/>
                    </v:group>
                  </v:group>
                </w:pict>
              </mc:Fallback>
            </mc:AlternateContent>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r>
        </w:p>
        <w:p>
          <w:pPr>
            <w:pStyle w:val="NoSpacing"/>
            <w:widowControl/>
            <w:tabs>
              <w:tab w:val="clear" w:pos="720"/>
              <w:tab w:val="left" w:pos="1033" w:leader="none"/>
            </w:tabs>
            <w:bidi w:val="0"/>
            <w:spacing w:lineRule="auto" w:line="240" w:before="0" w:after="0"/>
            <w:ind w:left="0" w:right="0" w:hanging="0"/>
            <w:jc w:val="left"/>
            <w:rPr/>
          </w:pPr>
          <w:r>
            <w:rPr/>
            <w:t xml:space="preserve">  </w:t>
          </w:r>
          <w:r>
            <w:rPr>
              <w:sz w:val="30"/>
              <w:szCs w:val="30"/>
            </w:rPr>
            <w:t>Student Name :Kostadin Dimitrov Kostov</w:t>
          </w:r>
        </w:p>
        <w:p>
          <w:pPr>
            <w:pStyle w:val="NoSpacing"/>
            <w:widowControl/>
            <w:tabs>
              <w:tab w:val="clear" w:pos="720"/>
              <w:tab w:val="left" w:pos="1033" w:leader="none"/>
            </w:tabs>
            <w:bidi w:val="0"/>
            <w:spacing w:lineRule="auto" w:line="240" w:before="0" w:after="0"/>
            <w:ind w:left="0" w:right="0" w:hanging="0"/>
            <w:jc w:val="left"/>
            <w:rPr>
              <w:sz w:val="30"/>
              <w:szCs w:val="30"/>
            </w:rPr>
          </w:pPr>
          <w:r>
            <w:rPr>
              <w:sz w:val="30"/>
              <w:szCs w:val="30"/>
            </w:rPr>
            <w:t xml:space="preserve">  </w:t>
          </w:r>
          <w:r>
            <w:rPr>
              <w:sz w:val="30"/>
              <w:szCs w:val="30"/>
            </w:rPr>
            <w:t>Student ID:2115193</w:t>
          </w:r>
          <w:bookmarkStart w:id="0" w:name="_Toc131628525"/>
        </w:p>
        <w:p>
          <w:pPr>
            <w:pStyle w:val="Normal"/>
            <w:rPr>
              <w:rFonts w:ascii="Calibri Light" w:hAnsi="Calibri Light" w:eastAsia="" w:cs="" w:asciiTheme="majorHAnsi" w:cstheme="majorBidi" w:eastAsiaTheme="majorEastAsia" w:hAnsiTheme="majorHAnsi"/>
              <w:b/>
              <w:b/>
              <w:color w:val="2E74B5" w:themeColor="accent1" w:themeShade="bf"/>
              <w:sz w:val="44"/>
              <w:szCs w:val="44"/>
              <w:u w:val="single"/>
            </w:rPr>
          </w:pPr>
          <w:r>
            <w:rPr>
              <w:rFonts w:eastAsia="" w:cs="" w:cstheme="majorBidi" w:eastAsiaTheme="majorEastAsia" w:ascii="Calibri Light" w:hAnsi="Calibri Light"/>
              <w:b/>
              <w:color w:val="2E74B5" w:themeColor="accent1" w:themeShade="bf"/>
              <w:sz w:val="44"/>
              <w:szCs w:val="44"/>
              <w:u w:val="single"/>
            </w:rPr>
            <mc:AlternateContent>
              <mc:Choice Requires="wps">
                <w:drawing>
                  <wp:anchor behindDoc="0" distT="0" distB="0" distL="0" distR="0" simplePos="0" locked="0" layoutInCell="1" allowOverlap="1" relativeHeight="3" wp14:anchorId="52C2081D">
                    <wp:simplePos x="0" y="0"/>
                    <wp:positionH relativeFrom="page">
                      <wp:posOffset>1390650</wp:posOffset>
                    </wp:positionH>
                    <wp:positionV relativeFrom="page">
                      <wp:posOffset>2752725</wp:posOffset>
                    </wp:positionV>
                    <wp:extent cx="5591810" cy="603250"/>
                    <wp:effectExtent l="0" t="0" r="9525" b="635"/>
                    <wp:wrapNone/>
                    <wp:docPr id="2" name="Text Box 11"/>
                    <a:graphic xmlns:a="http://schemas.openxmlformats.org/drawingml/2006/main">
                      <a:graphicData uri="http://schemas.microsoft.com/office/word/2010/wordprocessingShape">
                        <wps:wsp>
                          <wps:cNvSpPr/>
                          <wps:spPr>
                            <a:xfrm>
                              <a:off x="0" y="0"/>
                              <a:ext cx="5591160" cy="602640"/>
                            </a:xfrm>
                            <a:prstGeom prst="rect">
                              <a:avLst/>
                            </a:prstGeom>
                            <a:noFill/>
                            <a:ln w="6480">
                              <a:noFill/>
                            </a:ln>
                          </wps:spPr>
                          <wps:style>
                            <a:lnRef idx="0">
                              <a:schemeClr val="accent1"/>
                            </a:lnRef>
                            <a:fillRef idx="0">
                              <a:schemeClr val="accent1"/>
                            </a:fillRef>
                            <a:effectRef idx="0">
                              <a:schemeClr val="accent1"/>
                            </a:effectRef>
                            <a:fontRef idx="minor"/>
                          </wps:style>
                          <wps:txbx>
                            <w:txbxContent>
                              <w:p>
                                <w:pPr>
                                  <w:pStyle w:val="NoSpacing"/>
                                  <w:jc w:val="center"/>
                                  <w:rPr/>
                                </w:pPr>
                                <w:sdt>
                                  <w:sdtPr>
                                    <w:alias w:val="Title"/>
                                  </w:sdtPr>
                                  <w:sdtContent>
                                    <w:r>
                                      <w:rPr>
                                        <w:rFonts w:eastAsia="" w:cs="" w:ascii="Algerian" w:hAnsi="Algerian" w:cstheme="majorBidi" w:eastAsiaTheme="majorEastAsia"/>
                                        <w:b/>
                                        <w:color w:val="2E74B5" w:themeColor="accent1" w:themeShade="bf"/>
                                        <w:sz w:val="72"/>
                                        <w:szCs w:val="72"/>
                                        <w:u w:val="single"/>
                                      </w:rPr>
                                      <w:t>Hinkley</w:t>
                                    </w:r>
                                    <w:r>
                                      <w:rPr>
                                        <w:rFonts w:eastAsia="" w:cs="" w:ascii="Algerian" w:hAnsi="Algerian" w:cstheme="majorBidi" w:eastAsiaTheme="majorEastAsia"/>
                                        <w:b/>
                                        <w:color w:val="2E74B5" w:themeColor="accent1" w:themeShade="bf"/>
                                        <w:sz w:val="72"/>
                                        <w:szCs w:val="72"/>
                                        <w:u w:val="single"/>
                                      </w:rPr>
                                      <w:t xml:space="preserve"> Point C</w:t>
                                    </w:r>
                                  </w:sdtContent>
                                </w:sdt>
                              </w:p>
                            </w:txbxContent>
                          </wps:txbx>
                          <wps:bodyPr lIns="0" rIns="0" tIns="0" bIns="0">
                            <a:prstTxWarp prst="textNoShape"/>
                            <a:spAutoFit/>
                          </wps:bodyPr>
                        </wps:wsp>
                      </a:graphicData>
                    </a:graphic>
                  </wp:anchor>
                </w:drawing>
              </mc:Choice>
              <mc:Fallback>
                <w:pict>
                  <v:rect id="shape_0" ID="Text Box 11" stroked="f" style="position:absolute;margin-left:109.5pt;margin-top:216.75pt;width:440.2pt;height:47.4pt;mso-position-horizontal-relative:page;mso-position-vertical-relative:page" wp14:anchorId="52C2081D">
                    <w10:wrap type="square"/>
                    <v:fill o:detectmouseclick="t" on="false"/>
                    <v:stroke color="#3465a4" weight="6480" joinstyle="round" endcap="flat"/>
                    <v:textbox>
                      <w:txbxContent>
                        <w:p>
                          <w:pPr>
                            <w:pStyle w:val="NoSpacing"/>
                            <w:jc w:val="center"/>
                            <w:rPr/>
                          </w:pP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eastAsia="" w:cs="" w:ascii="Algerian" w:hAnsi="Algerian" w:cstheme="majorBidi" w:eastAsiaTheme="majorEastAsia"/>
                                  <w:b/>
                                  <w:color w:val="2E74B5" w:themeColor="accent1" w:themeShade="bf"/>
                                  <w:sz w:val="72"/>
                                  <w:szCs w:val="72"/>
                                  <w:u w:val="single"/>
                                </w:rPr>
                                <w:t>Hinkley</w:t>
                              </w:r>
                              <w:r>
                                <w:rPr>
                                  <w:rFonts w:eastAsia="" w:cs="" w:ascii="Algerian" w:hAnsi="Algerian" w:cstheme="majorBidi" w:eastAsiaTheme="majorEastAsia"/>
                                  <w:b/>
                                  <w:color w:val="2E74B5" w:themeColor="accent1" w:themeShade="bf"/>
                                  <w:sz w:val="72"/>
                                  <w:szCs w:val="72"/>
                                  <w:u w:val="single"/>
                                </w:rPr>
                                <w:t xml:space="preserve"> Point C</w:t>
                              </w:r>
                            </w:sdtContent>
                          </w:sdt>
                        </w:p>
                      </w:txbxContent>
                    </v:textbox>
                  </v:rect>
                </w:pict>
              </mc:Fallback>
            </mc:AlternateContent>
          </w:r>
          <w:r>
            <w:br w:type="page"/>
          </w:r>
        </w:p>
        <w:p>
          <w:pPr>
            <w:pStyle w:val="Heading1"/>
            <w:jc w:val="center"/>
            <w:rPr>
              <w:b/>
              <w:b/>
              <w:sz w:val="44"/>
              <w:szCs w:val="44"/>
              <w:u w:val="single"/>
            </w:rPr>
          </w:pPr>
          <w:r>
            <w:rPr>
              <w:b/>
              <w:sz w:val="44"/>
              <w:szCs w:val="44"/>
              <w:u w:val="single"/>
            </w:rPr>
            <w:t>Hinkley</w:t>
          </w:r>
          <w:r>
            <w:rPr>
              <w:b/>
              <w:sz w:val="44"/>
              <w:szCs w:val="44"/>
              <w:u w:val="single"/>
            </w:rPr>
            <w:t xml:space="preserve"> Point C</w:t>
          </w:r>
          <w:bookmarkEnd w:id="0"/>
        </w:p>
        <w:p>
          <w:pPr>
            <w:pStyle w:val="TOCHeading"/>
            <w:rPr>
              <w:b/>
              <w:b/>
            </w:rPr>
          </w:pPr>
          <w:r>
            <w:rPr>
              <w:b/>
            </w:rPr>
            <w:t>Contents</w:t>
          </w:r>
        </w:p>
        <w:p>
          <w:pPr>
            <w:pStyle w:val="Contents1"/>
            <w:tabs>
              <w:tab w:val="clear" w:pos="720"/>
              <w:tab w:val="right" w:pos="10790" w:leader="dot"/>
            </w:tabs>
            <w:rPr>
              <w:rFonts w:eastAsia="" w:eastAsiaTheme="minorEastAsia"/>
            </w:rPr>
          </w:pPr>
          <w:r>
            <w:fldChar w:fldCharType="begin"/>
          </w:r>
          <w:r>
            <w:rPr>
              <w:webHidden/>
              <w:rStyle w:val="IndexLink"/>
              <w:b/>
            </w:rPr>
            <w:instrText> TOC \z \o "1-3" \u \h</w:instrText>
          </w:r>
          <w:r>
            <w:rPr>
              <w:webHidden/>
              <w:rStyle w:val="IndexLink"/>
              <w:b/>
            </w:rPr>
            <w:fldChar w:fldCharType="separate"/>
          </w:r>
          <w:hyperlink w:anchor="_Toc131628525">
            <w:r>
              <w:rPr>
                <w:webHidden/>
                <w:rStyle w:val="IndexLink"/>
                <w:b/>
              </w:rPr>
              <w:t>Hinkley Point C</w:t>
            </w:r>
            <w:r>
              <w:rPr>
                <w:webHidden/>
              </w:rPr>
              <w:fldChar w:fldCharType="begin"/>
            </w:r>
            <w:r>
              <w:rPr>
                <w:webHidden/>
              </w:rPr>
              <w:instrText>PAGEREF _Toc131628525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10790" w:leader="dot"/>
            </w:tabs>
            <w:rPr>
              <w:rFonts w:eastAsia="" w:eastAsiaTheme="minorEastAsia"/>
            </w:rPr>
          </w:pPr>
          <w:hyperlink w:anchor="_Toc131628526">
            <w:r>
              <w:rPr>
                <w:webHidden/>
                <w:rStyle w:val="IndexLink"/>
                <w:b/>
              </w:rPr>
              <w:t>INTRODUCTION:</w:t>
            </w:r>
            <w:r>
              <w:rPr>
                <w:webHidden/>
              </w:rPr>
              <w:fldChar w:fldCharType="begin"/>
            </w:r>
            <w:r>
              <w:rPr>
                <w:webHidden/>
              </w:rPr>
              <w:instrText>PAGEREF _Toc131628526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10790" w:leader="dot"/>
            </w:tabs>
            <w:rPr>
              <w:rFonts w:eastAsia="" w:eastAsiaTheme="minorEastAsia"/>
            </w:rPr>
          </w:pPr>
          <w:hyperlink w:anchor="_Toc131628527">
            <w:r>
              <w:rPr>
                <w:webHidden/>
                <w:rStyle w:val="IndexLink"/>
                <w:b/>
              </w:rPr>
              <w:t>THE BODY</w:t>
            </w:r>
            <w:r>
              <w:rPr>
                <w:webHidden/>
              </w:rPr>
              <w:fldChar w:fldCharType="begin"/>
            </w:r>
            <w:r>
              <w:rPr>
                <w:webHidden/>
              </w:rPr>
              <w:instrText>PAGEREF _Toc131628527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10790" w:leader="dot"/>
            </w:tabs>
            <w:rPr>
              <w:rFonts w:eastAsia="" w:eastAsiaTheme="minorEastAsia"/>
            </w:rPr>
          </w:pPr>
          <w:hyperlink w:anchor="_Toc131628528">
            <w:r>
              <w:rPr>
                <w:webHidden/>
                <w:rStyle w:val="IndexLink"/>
                <w:b/>
              </w:rPr>
              <w:t>BUDGET</w:t>
            </w:r>
            <w:r>
              <w:rPr>
                <w:webHidden/>
              </w:rPr>
              <w:fldChar w:fldCharType="begin"/>
            </w:r>
            <w:r>
              <w:rPr>
                <w:webHidden/>
              </w:rPr>
              <w:instrText>PAGEREF _Toc131628528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10790" w:leader="dot"/>
            </w:tabs>
            <w:rPr>
              <w:rFonts w:eastAsia="" w:eastAsiaTheme="minorEastAsia"/>
            </w:rPr>
          </w:pPr>
          <w:hyperlink w:anchor="_Toc131628529">
            <w:r>
              <w:rPr>
                <w:webHidden/>
                <w:rStyle w:val="IndexLink"/>
                <w:b/>
              </w:rPr>
              <w:t>TIME</w:t>
            </w:r>
            <w:r>
              <w:rPr>
                <w:webHidden/>
              </w:rPr>
              <w:fldChar w:fldCharType="begin"/>
            </w:r>
            <w:r>
              <w:rPr>
                <w:webHidden/>
              </w:rPr>
              <w:instrText>PAGEREF _Toc131628529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10790" w:leader="dot"/>
            </w:tabs>
            <w:rPr>
              <w:rFonts w:eastAsia="" w:eastAsiaTheme="minorEastAsia"/>
            </w:rPr>
          </w:pPr>
          <w:hyperlink w:anchor="_Toc131628530">
            <w:r>
              <w:rPr>
                <w:webHidden/>
                <w:rStyle w:val="IndexLink"/>
                <w:b/>
              </w:rPr>
              <w:t>QUALITY</w:t>
            </w:r>
            <w:r>
              <w:rPr>
                <w:webHidden/>
              </w:rPr>
              <w:fldChar w:fldCharType="begin"/>
            </w:r>
            <w:r>
              <w:rPr>
                <w:webHidden/>
              </w:rPr>
              <w:instrText>PAGEREF _Toc131628530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10790" w:leader="dot"/>
            </w:tabs>
            <w:rPr>
              <w:rFonts w:eastAsia="" w:eastAsiaTheme="minorEastAsia"/>
            </w:rPr>
          </w:pPr>
          <w:hyperlink w:anchor="_Toc131628531">
            <w:r>
              <w:rPr>
                <w:webHidden/>
                <w:rStyle w:val="IndexLink"/>
                <w:b/>
              </w:rPr>
              <w:t>STAKEHOLDERS</w:t>
            </w:r>
            <w:r>
              <w:rPr>
                <w:webHidden/>
              </w:rPr>
              <w:fldChar w:fldCharType="begin"/>
            </w:r>
            <w:r>
              <w:rPr>
                <w:webHidden/>
              </w:rPr>
              <w:instrText>PAGEREF _Toc131628531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10790" w:leader="dot"/>
            </w:tabs>
            <w:rPr>
              <w:rFonts w:eastAsia="" w:eastAsiaTheme="minorEastAsia"/>
            </w:rPr>
          </w:pPr>
          <w:hyperlink w:anchor="_Toc131628532">
            <w:r>
              <w:rPr>
                <w:webHidden/>
                <w:rStyle w:val="IndexLink"/>
                <w:b/>
              </w:rPr>
              <w:t>Risk Factors</w:t>
            </w:r>
            <w:r>
              <w:rPr>
                <w:webHidden/>
              </w:rPr>
              <w:fldChar w:fldCharType="begin"/>
            </w:r>
            <w:r>
              <w:rPr>
                <w:webHidden/>
              </w:rPr>
              <w:instrText>PAGEREF _Toc131628532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10790" w:leader="dot"/>
            </w:tabs>
            <w:rPr>
              <w:rFonts w:eastAsia="" w:eastAsiaTheme="minorEastAsia"/>
            </w:rPr>
          </w:pPr>
          <w:hyperlink w:anchor="_Toc131628533">
            <w:r>
              <w:rPr>
                <w:webHidden/>
                <w:rStyle w:val="IndexLink"/>
                <w:b/>
              </w:rPr>
              <w:t>CONCLUSION</w:t>
            </w:r>
            <w:r>
              <w:rPr>
                <w:webHidden/>
              </w:rPr>
              <w:fldChar w:fldCharType="begin"/>
            </w:r>
            <w:r>
              <w:rPr>
                <w:webHidden/>
              </w:rPr>
              <w:instrText>PAGEREF _Toc131628533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10790" w:leader="dot"/>
            </w:tabs>
            <w:rPr>
              <w:rFonts w:eastAsia="" w:eastAsiaTheme="minorEastAsia"/>
            </w:rPr>
          </w:pPr>
          <w:hyperlink w:anchor="_Toc131628534">
            <w:r>
              <w:rPr>
                <w:webHidden/>
                <w:rStyle w:val="IndexLink"/>
                <w:b/>
              </w:rPr>
              <w:t>REFERENCES</w:t>
            </w:r>
            <w:r>
              <w:rPr>
                <w:webHidden/>
              </w:rPr>
              <w:fldChar w:fldCharType="begin"/>
            </w:r>
            <w:r>
              <w:rPr>
                <w:webHidden/>
              </w:rPr>
              <w:instrText>PAGEREF _Toc131628534 \h</w:instrText>
            </w:r>
            <w:r>
              <w:rPr>
                <w:webHidden/>
              </w:rPr>
              <w:fldChar w:fldCharType="separate"/>
            </w:r>
            <w:r>
              <w:rPr>
                <w:rStyle w:val="IndexLink"/>
                <w:vanish w:val="false"/>
              </w:rPr>
              <w:tab/>
              <w:t>5</w:t>
            </w:r>
            <w:r>
              <w:rPr>
                <w:webHidden/>
              </w:rPr>
              <w:fldChar w:fldCharType="end"/>
            </w:r>
          </w:hyperlink>
        </w:p>
        <w:p>
          <w:pPr>
            <w:pStyle w:val="Normal"/>
            <w:rPr/>
          </w:pPr>
          <w:r>
            <w:rPr/>
          </w:r>
          <w:r>
            <w:rPr/>
            <w:fldChar w:fldCharType="end"/>
          </w:r>
        </w:p>
      </w:sdtContent>
    </w:sdt>
    <w:p>
      <w:pPr>
        <w:pStyle w:val="Heading1"/>
        <w:jc w:val="both"/>
        <w:rPr>
          <w:b/>
          <w:b/>
        </w:rPr>
      </w:pPr>
      <w:bookmarkStart w:id="1" w:name="_Toc131628526"/>
      <w:r>
        <w:rPr>
          <w:b/>
        </w:rPr>
        <w:t>INTRODUCTION:</w:t>
      </w:r>
      <w:bookmarkEnd w:id="1"/>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The Hinkley Point C nuclear power facility in Somerset, United Kingdom, will provide enough clean power for six million households. As the world's most costly nuclear power plant, the project is expected to cost between $25 and £26 billion. The project's cost overruns and delays have cast doubt on its viability and effectiveness, despite the benefits it may bring to the UK economy. The purpose of this paper is to provide a thorough analysis of the fundamental aspects of the Hinkley Point C project, with special attention paid to the project's original blueprint and the causes of its subsequent cost and time overruns and delays. The Hinkley Point C project in Somerset, UK is a nuclear power facility that will provide enough low-carbon electricity to power about six million households. Thousands of jobs might be created and long-term benefits brought to the UK economy if the project is successful, and it has been heralded as a major step forwards in the revival of the UK's nuclear power sector. Concerns have been raised concerning the project's viability and effectiveness due to large budget overruns and delays. The estimated cost of the Hinkley Point C project is between £25 and £26 billion, making it the most costly nuclear power station ever built. The project will have two advanced, third-generation pressurized water reactors known as EPRs. These reactors are far more efficient and safer than their predecessors. Throughout its 60-year lifespan, the power produced by the reactors will prevent nine million tons of annual carbon dioxide emissions. The United Kingdom's attempts to minimise its carbon footprint and fulfil its climate change objectives rely heavily on this kind of emission reduction. </w:t>
      </w:r>
      <w:r>
        <w:fldChar w:fldCharType="begin"/>
      </w:r>
      <w:r>
        <w:rPr>
          <w:sz w:val="24"/>
          <w:szCs w:val="24"/>
          <w:rFonts w:cs="Times New Roman" w:ascii="Times New Roman" w:hAnsi="Times New Roman"/>
        </w:rPr>
        <w:instrText>ADDIN ZOTERO_ITEM CSL_CITATION {"citationID":"ArCzydFA","properties":{"formattedCitation":"(Bridgwater, 2011)","plainCitation":"(Bridgwater, 2011)","noteIndex":0},"citationItems":[{"id":98,"uris":["http://zotero.org/users/local/Jq6mvMDk/items/R4AIL739"],"itemData":{"id":98,"type":"article-journal","title":"Hinkley Point C","author":[{"family":"Bridgwater","given":"C"}],"issued":{"date-parts":[["2011"]]}}}],"schema":"https://github.com/citation-style-language/schema/raw/master/csl-citation.json"}</w:instrText>
      </w:r>
      <w:r>
        <w:rPr>
          <w:sz w:val="24"/>
          <w:szCs w:val="24"/>
          <w:rFonts w:cs="Times New Roman" w:ascii="Times New Roman" w:hAnsi="Times New Roman"/>
        </w:rPr>
        <w:fldChar w:fldCharType="separate"/>
      </w:r>
      <w:bookmarkStart w:id="2" w:name="Bookmark"/>
      <w:r>
        <w:rPr>
          <w:rFonts w:cs="Times New Roman" w:ascii="Times New Roman" w:hAnsi="Times New Roman"/>
          <w:sz w:val="24"/>
          <w:szCs w:val="24"/>
        </w:rPr>
      </w:r>
      <w:r>
        <w:rPr>
          <w:rFonts w:cs="Times New Roman" w:ascii="Times New Roman" w:hAnsi="Times New Roman"/>
          <w:b/>
          <w:color w:val="2E74B5" w:themeColor="accent1" w:themeShade="bf"/>
          <w:sz w:val="24"/>
          <w:szCs w:val="24"/>
        </w:rPr>
        <w:t>(Bridgwater, 2011)</w:t>
      </w:r>
      <w:r>
        <w:rPr>
          <w:rFonts w:cs="Times New Roman" w:ascii="Times New Roman" w:hAnsi="Times New Roman"/>
          <w:sz w:val="24"/>
          <w:szCs w:val="24"/>
        </w:rPr>
      </w:r>
      <w:r>
        <w:rPr>
          <w:sz w:val="24"/>
          <w:szCs w:val="24"/>
          <w:rFonts w:cs="Times New Roman" w:ascii="Times New Roman" w:hAnsi="Times New Roman"/>
        </w:rPr>
        <w:fldChar w:fldCharType="end"/>
      </w:r>
      <w:bookmarkEnd w:id="2"/>
    </w:p>
    <w:p>
      <w:pPr>
        <w:pStyle w:val="Heading1"/>
        <w:jc w:val="both"/>
        <w:rPr>
          <w:b/>
          <w:b/>
        </w:rPr>
      </w:pPr>
      <w:bookmarkStart w:id="3" w:name="_Toc131628527"/>
      <w:r>
        <w:rPr>
          <w:b/>
        </w:rPr>
        <w:t>THE BODY</w:t>
      </w:r>
      <w:bookmarkEnd w:id="3"/>
      <w:r>
        <w:rPr>
          <w:b/>
        </w:rPr>
        <w:t xml:space="preserve"> </w:t>
      </w:r>
    </w:p>
    <w:p>
      <w:pPr>
        <w:pStyle w:val="Heading1"/>
        <w:jc w:val="both"/>
        <w:rPr>
          <w:b/>
          <w:b/>
        </w:rPr>
      </w:pPr>
      <w:bookmarkStart w:id="4" w:name="_Toc131628528"/>
      <w:r>
        <w:rPr>
          <w:b/>
        </w:rPr>
        <w:t>BUDGET</w:t>
      </w:r>
      <w:bookmarkEnd w:id="4"/>
    </w:p>
    <w:p>
      <w:pPr>
        <w:pStyle w:val="Normal"/>
        <w:jc w:val="both"/>
        <w:rPr>
          <w:rFonts w:ascii="Times New Roman" w:hAnsi="Times New Roman" w:cs="Times New Roman"/>
          <w:sz w:val="24"/>
          <w:szCs w:val="24"/>
        </w:rPr>
      </w:pPr>
      <w:r>
        <w:rPr>
          <w:rFonts w:cs="Times New Roman" w:ascii="Times New Roman" w:hAnsi="Times New Roman"/>
          <w:sz w:val="24"/>
          <w:szCs w:val="24"/>
        </w:rPr>
        <w:t>Since the project's beginning, the Hinkley Point C site has undergone severe cost overruns. With a cost of £25–£26 billion, it will be the most costly nuclear power station ever built; the original estimate was £18 billion. The complexity of the project and the delay in settling contracts between the UK government, EDF, and its partner, China General Nuclear Power Company, are the primary causes of the cost overruns (CGN). Since the project's start, the Hinkley Point C budget has been a substantial obstacle. The original estimate for the project's cost was £18 billion, but now puts it at between £25 and £26 billion, making it the most costly nuclear power plant in the world. Many causes are described below that have combined to cause such massive budget overruns.</w:t>
      </w:r>
    </w:p>
    <w:p>
      <w:pPr>
        <w:pStyle w:val="Normal"/>
        <w:jc w:val="both"/>
        <w:rPr>
          <w:rFonts w:ascii="Times New Roman" w:hAnsi="Times New Roman" w:cs="Times New Roman"/>
          <w:sz w:val="24"/>
          <w:szCs w:val="24"/>
        </w:rPr>
      </w:pPr>
      <w:r>
        <w:rPr>
          <w:rFonts w:cs="Times New Roman" w:ascii="Times New Roman" w:hAnsi="Times New Roman"/>
          <w:sz w:val="24"/>
          <w:szCs w:val="24"/>
        </w:rPr>
        <w:t>Finally, the COVID-19 pandemic has had a significant impact on the project, leading to further budget overruns. The pandemic has led to disruptions in the supply chain, delays in the construction schedule, and increased costs associated with implementing COVID-19 safety measures.</w:t>
      </w:r>
      <w:r>
        <w:rPr>
          <w:rFonts w:cs="Times New Roman" w:ascii="Times New Roman" w:hAnsi="Times New Roman"/>
          <w:b/>
          <w:color w:val="2E74B5" w:themeColor="accent1" w:themeShade="bf"/>
          <w:sz w:val="24"/>
          <w:szCs w:val="24"/>
        </w:rPr>
        <w:t xml:space="preserve"> </w:t>
      </w:r>
      <w:r>
        <w:fldChar w:fldCharType="begin"/>
      </w:r>
      <w:r>
        <w:rPr>
          <w:sz w:val="24"/>
          <w:b/>
          <w:szCs w:val="24"/>
          <w:rFonts w:cs="Times New Roman" w:ascii="Times New Roman" w:hAnsi="Times New Roman"/>
        </w:rPr>
        <w:instrText>ADDIN ZOTERO_ITEM CSL_CITATION {"citationID":"2OLmguX0","properties":{"formattedCitation":"(Smyth et al., 2018)","plainCitation":"(Smyth et al., 2018)","noteIndex":0},"citationItems":[{"id":101,"uris":["http://zotero.org/users/local/Jq6mvMDk/items/YNE5JDKE"],"itemData":{"id":101,"type":"article-journal","container-title":"International journal of project management","ISSN":"0263-7863","issue":"1","journalAbbreviation":"International journal of project management","note":"publisher: Elsevier","page":"170-183","title":"Co-creation of value and the project context: Towards application on the case of Hinkley Point C Nuclear Power Station","volume":"36","author":[{"family":"Smyth","given":"Hedley"},{"family":"Lecoeuvre","given":"Laurence"},{"family":"Vaesken","given":"Philippe"}],"issued":{"date-parts":[["2018"]]}}}],"schema":"https://github.com/citation-style-language/schema/raw/master/csl-citation.json"}</w:instrText>
      </w:r>
      <w:r>
        <w:rPr>
          <w:sz w:val="24"/>
          <w:b/>
          <w:szCs w:val="24"/>
          <w:rFonts w:cs="Times New Roman" w:ascii="Times New Roman" w:hAnsi="Times New Roman"/>
        </w:rPr>
        <w:fldChar w:fldCharType="separate"/>
      </w:r>
      <w:bookmarkStart w:id="5" w:name="Bookmark1"/>
      <w:r>
        <w:rPr>
          <w:rFonts w:cs="Times New Roman" w:ascii="Times New Roman" w:hAnsi="Times New Roman"/>
          <w:b/>
          <w:color w:val="2E74B5" w:themeColor="accent1" w:themeShade="bf"/>
          <w:sz w:val="24"/>
          <w:szCs w:val="24"/>
        </w:rPr>
        <w:t>(Smyth et al., 2018)</w:t>
      </w:r>
      <w:r>
        <w:rPr>
          <w:rFonts w:cs="Times New Roman" w:ascii="Times New Roman" w:hAnsi="Times New Roman"/>
          <w:b/>
          <w:color w:val="2E74B5" w:themeColor="accent1" w:themeShade="bf"/>
          <w:sz w:val="24"/>
          <w:szCs w:val="24"/>
        </w:rPr>
      </w:r>
      <w:r>
        <w:rPr>
          <w:sz w:val="24"/>
          <w:b/>
          <w:szCs w:val="24"/>
          <w:rFonts w:cs="Times New Roman" w:ascii="Times New Roman" w:hAnsi="Times New Roman"/>
        </w:rPr>
        <w:fldChar w:fldCharType="end"/>
      </w:r>
      <w:bookmarkEnd w:id="5"/>
    </w:p>
    <w:p>
      <w:pPr>
        <w:pStyle w:val="Heading1"/>
        <w:rPr>
          <w:b/>
          <w:b/>
        </w:rPr>
      </w:pPr>
      <w:bookmarkStart w:id="6" w:name="_Toc131628529"/>
      <w:r>
        <w:rPr>
          <w:b/>
        </w:rPr>
        <w:t>TIME</w:t>
      </w:r>
      <w:bookmarkEnd w:id="6"/>
    </w:p>
    <w:p>
      <w:pPr>
        <w:pStyle w:val="Normal"/>
        <w:jc w:val="both"/>
        <w:rPr>
          <w:rFonts w:ascii="Times New Roman" w:hAnsi="Times New Roman" w:cs="Times New Roman"/>
          <w:sz w:val="24"/>
          <w:szCs w:val="24"/>
        </w:rPr>
      </w:pPr>
      <w:r>
        <w:rPr>
          <w:rFonts w:cs="Times New Roman" w:ascii="Times New Roman" w:hAnsi="Times New Roman"/>
          <w:sz w:val="24"/>
          <w:szCs w:val="24"/>
        </w:rPr>
        <w:t>The completion date of the Hinkley Point C project has also been pushed back from 2025 to 2026 due to a number of concerns. The lengthy talks between the UK government and EDF over the conditions of the contract, the complexity of the project itself, and the difficulties in getting funding have all contributed to the setbacks. The COVID-19 epidemic has also delayed the project by disrupting development. There have been severe setbacks to the Hinkley Point C project ever since it was first conceived. The original plan called for the first reactor to be up and running by 2023; now that date has been moved back to 2026, and the second reactor will not be ready until 2027. Many causes are described below that have contributed to these holdups.</w:t>
      </w:r>
    </w:p>
    <w:p>
      <w:pPr>
        <w:pStyle w:val="ListParagraph"/>
        <w:numPr>
          <w:ilvl w:val="0"/>
          <w:numId w:val="1"/>
        </w:numPr>
        <w:jc w:val="both"/>
        <w:rPr>
          <w:rFonts w:ascii="Times New Roman" w:hAnsi="Times New Roman" w:cs="Times New Roman"/>
          <w:sz w:val="24"/>
          <w:szCs w:val="24"/>
        </w:rPr>
      </w:pPr>
      <w:r>
        <w:rPr>
          <w:rFonts w:cs="Times New Roman" w:ascii="Times New Roman" w:hAnsi="Times New Roman"/>
          <w:sz w:val="24"/>
          <w:szCs w:val="24"/>
        </w:rPr>
        <w:t>The EPR reactor is a complicated piece of equipment, and its assembly necessitates the employment of cutting-edge technology. Time and resources have been lost due to the numerous complicated technological issues that have arisen throughout the EPR reactor's design and construction. As the construction schedule had to be pushed back due to design issues, the total cost of the project rose. The design challenges were exacerbated by the changes in regulatory standards, which required revisions to the initial design and increased costs.</w:t>
      </w:r>
    </w:p>
    <w:p>
      <w:pPr>
        <w:pStyle w:val="ListParagraph"/>
        <w:numPr>
          <w:ilvl w:val="0"/>
          <w:numId w:val="1"/>
        </w:numPr>
        <w:jc w:val="both"/>
        <w:rPr>
          <w:rFonts w:ascii="Times New Roman" w:hAnsi="Times New Roman" w:cs="Times New Roman"/>
          <w:sz w:val="24"/>
          <w:szCs w:val="24"/>
        </w:rPr>
      </w:pPr>
      <w:r>
        <w:rPr>
          <w:rFonts w:cs="Times New Roman" w:ascii="Times New Roman" w:hAnsi="Times New Roman"/>
          <w:sz w:val="24"/>
          <w:szCs w:val="24"/>
        </w:rPr>
        <w:t>For another, the project's supply network has been a major headache from the start. Supply chain management issues have arisen since the vast majority of required project components are manufactured in a different nation. In addition, delays and cost increases have stemmed from the logistics associated with transporting and assembling the parts. Furthermore, there are insufficient UK-based manufacturers, which has resulted in price increases due to the sourcing of components from further afield.</w:t>
      </w:r>
    </w:p>
    <w:p>
      <w:pPr>
        <w:pStyle w:val="ListParagraph"/>
        <w:numPr>
          <w:ilvl w:val="0"/>
          <w:numId w:val="1"/>
        </w:numPr>
        <w:jc w:val="both"/>
        <w:rPr>
          <w:rFonts w:ascii="Times New Roman" w:hAnsi="Times New Roman" w:cs="Times New Roman"/>
          <w:sz w:val="24"/>
          <w:szCs w:val="24"/>
        </w:rPr>
      </w:pPr>
      <w:r>
        <w:rPr>
          <w:rFonts w:cs="Times New Roman" w:ascii="Times New Roman" w:hAnsi="Times New Roman"/>
          <w:sz w:val="24"/>
          <w:szCs w:val="24"/>
        </w:rPr>
        <w:t>Last but not least, the project's finance method has been difficult to comprehend, which has added to the complexity of the overruns in the budget. The money for the project is coming from a number of different places, such as loans, investments, and grants from the government. Because of the convoluted nature of the terms and circumstances of the financing agreements, the multiple parties who are engaged have various points of view about the situation. The procedure of collecting money has been delayed down as a result of this, which has further contributed to the budget overruns that have occurred.</w:t>
      </w:r>
    </w:p>
    <w:p>
      <w:pPr>
        <w:pStyle w:val="Normal"/>
        <w:jc w:val="both"/>
        <w:rPr>
          <w:rFonts w:ascii="Times New Roman" w:hAnsi="Times New Roman" w:cs="Times New Roman"/>
          <w:sz w:val="24"/>
          <w:szCs w:val="24"/>
        </w:rPr>
      </w:pPr>
      <w:r>
        <w:rPr>
          <w:rFonts w:cs="Times New Roman" w:ascii="Times New Roman" w:hAnsi="Times New Roman"/>
          <w:sz w:val="24"/>
          <w:szCs w:val="24"/>
        </w:rPr>
        <w:t>Fourthly, the COVID-19 pandemic has had a significant impact on the construction schedule, leading to further delays. The pandemic has led to disruptions in the supply chain, reduced productivity due to social distancing requirements and site closures due to outbreaks of the virus.</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Finally, regulatory issues have also contributed to the delays in the construction schedule. The regulatory process for nuclear projects is complex, and the Hinkley Point C project has been subject to significant scrutiny. The regulatory requirements have led to modifications to the original design, further delaying the construction schedule. </w:t>
      </w:r>
      <w:r>
        <w:fldChar w:fldCharType="begin"/>
      </w:r>
      <w:r>
        <w:rPr>
          <w:sz w:val="24"/>
          <w:szCs w:val="24"/>
          <w:rFonts w:cs="Times New Roman" w:ascii="Times New Roman" w:hAnsi="Times New Roman"/>
        </w:rPr>
        <w:instrText>ADDIN ZOTERO_ITEM CSL_CITATION {"citationID":"EuEkcdWZ","properties":{"formattedCitation":"(Gandolfo, 2016)","plainCitation":"(Gandolfo, 2016)","noteIndex":0},"citationItems":[{"id":95,"uris":["http://zotero.org/users/local/Jq6mvMDk/items/ZX44QJJS"],"itemData":{"id":95,"type":"article-journal","container-title":"LSE Business Review","journalAbbreviation":"LSE Business Review","note":"publisher: London School of Economics and Political Science","title":"Hinkley Point C nuclear station: an expensive solution to a cheap problem","author":[{"family":"Gandolfo","given":"Andreas"}],"issued":{"date-parts":[["2016"]]}}}],"schema":"https://github.com/citation-style-language/schema/raw/master/csl-citation.json"}</w:instrText>
      </w:r>
      <w:r>
        <w:rPr>
          <w:sz w:val="24"/>
          <w:szCs w:val="24"/>
          <w:rFonts w:cs="Times New Roman" w:ascii="Times New Roman" w:hAnsi="Times New Roman"/>
        </w:rPr>
        <w:fldChar w:fldCharType="separate"/>
      </w:r>
      <w:bookmarkStart w:id="7" w:name="Bookmark2"/>
      <w:r>
        <w:rPr>
          <w:rFonts w:cs="Times New Roman" w:ascii="Times New Roman" w:hAnsi="Times New Roman"/>
          <w:sz w:val="24"/>
          <w:szCs w:val="24"/>
        </w:rPr>
      </w:r>
      <w:r>
        <w:rPr>
          <w:rFonts w:cs="Times New Roman" w:ascii="Times New Roman" w:hAnsi="Times New Roman"/>
          <w:b/>
          <w:color w:val="2E74B5" w:themeColor="accent1" w:themeShade="bf"/>
          <w:sz w:val="24"/>
          <w:szCs w:val="24"/>
        </w:rPr>
        <w:t>(Gandolfo, 2016)</w:t>
      </w:r>
      <w:r>
        <w:rPr>
          <w:rFonts w:cs="Times New Roman" w:ascii="Times New Roman" w:hAnsi="Times New Roman"/>
          <w:sz w:val="24"/>
          <w:szCs w:val="24"/>
        </w:rPr>
      </w:r>
      <w:r>
        <w:rPr>
          <w:sz w:val="24"/>
          <w:szCs w:val="24"/>
          <w:rFonts w:cs="Times New Roman" w:ascii="Times New Roman" w:hAnsi="Times New Roman"/>
        </w:rPr>
        <w:fldChar w:fldCharType="end"/>
      </w:r>
      <w:bookmarkEnd w:id="7"/>
    </w:p>
    <w:p>
      <w:pPr>
        <w:pStyle w:val="Heading1"/>
        <w:jc w:val="both"/>
        <w:rPr>
          <w:b/>
          <w:b/>
        </w:rPr>
      </w:pPr>
      <w:bookmarkStart w:id="8" w:name="_Toc131628530"/>
      <w:r>
        <w:rPr>
          <w:b/>
        </w:rPr>
        <w:t>QUALITY</w:t>
      </w:r>
      <w:bookmarkEnd w:id="8"/>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Several industry experts have also expressed concerns that the Hinkley Point C facility is not as safe or dependable as advertised. Use of unproven reactor technology and the possibility of accidents or malfunctions are the key causes for concern. These worries have been shot down by the UK government and EDF, who insist that the facility would undergo extensive testing and adhere to all applicable safety regulations. Since the project's start, the quality of Hinkley Point C has been a major concern. The plan is to build not one, but two EPR reactors, the most up-to-date kind of nuclear reactor designed by EDF Energy and Areva. As the EPR reactor design is intricate and uses cutting-edge technology, it might be challenging to guarantee that the project will be of the highest quality. The security of the EPR reactor design is a major area of focus for the project's quality assurance team. Many accidents at other nuclear power stations with comparable designs have cast a critical eye on the EPR reactor's construction. These events have prompted some to question the overall safety of the EPR reactor design, prompting improvements to be made to the original blueprint. The construction timeline and budget have both suffered as a result of these changes. </w:t>
      </w:r>
      <w:r>
        <w:fldChar w:fldCharType="begin"/>
      </w:r>
      <w:r>
        <w:rPr>
          <w:sz w:val="24"/>
          <w:szCs w:val="24"/>
          <w:rFonts w:cs="Times New Roman" w:ascii="Times New Roman" w:hAnsi="Times New Roman"/>
        </w:rPr>
        <w:instrText>ADDIN ZOTERO_ITEM CSL_CITATION {"citationID":"bDq2kSFg","properties":{"formattedCitation":"(\\uc0\\u268{}ernoch &amp; Zapletalov\\uc0\\u225{}, 2015)","plainCitation":"(Černoch &amp; Zapletalová, 2015)","noteIndex":0},"citationItems":[{"id":100,"uris":["http://zotero.org/users/local/Jq6mvMDk/items/KGH9Z9J6"],"itemData":{"id":100,"type":"article-journal","container-title":"Energy Policy","ISSN":"0301-4215","journalAbbreviation":"Energy Policy","note":"publisher: Elsevier","page":"165-168","title":"Hinkley point C: A new chance for nuclear power plant construction in central Europe?","volume":"83","author":[{"family":"Černoch","given":"Filip"},{"family":"Zapletalová","given":"Veronika"}],"issued":{"date-parts":[["2015"]]}}}],"schema":"https://github.com/citation-style-language/schema/raw/master/csl-citation.json"}</w:instrText>
      </w:r>
      <w:r>
        <w:rPr>
          <w:sz w:val="24"/>
          <w:szCs w:val="24"/>
          <w:rFonts w:cs="Times New Roman" w:ascii="Times New Roman" w:hAnsi="Times New Roman"/>
        </w:rPr>
        <w:fldChar w:fldCharType="separate"/>
      </w:r>
      <w:bookmarkStart w:id="9" w:name="Bookmark3"/>
      <w:r>
        <w:rPr>
          <w:rFonts w:cs="Times New Roman" w:ascii="Times New Roman" w:hAnsi="Times New Roman"/>
          <w:sz w:val="24"/>
          <w:szCs w:val="24"/>
        </w:rPr>
      </w:r>
      <w:r>
        <w:rPr>
          <w:rFonts w:cs="Times New Roman" w:ascii="Times New Roman" w:hAnsi="Times New Roman"/>
          <w:b/>
          <w:color w:val="2E74B5" w:themeColor="accent1" w:themeShade="bf"/>
          <w:sz w:val="24"/>
          <w:szCs w:val="24"/>
        </w:rPr>
        <w:t>(Černoch &amp; Zapletalová, 2015)</w:t>
      </w:r>
      <w:r>
        <w:rPr>
          <w:rFonts w:cs="Times New Roman" w:ascii="Times New Roman" w:hAnsi="Times New Roman"/>
          <w:sz w:val="24"/>
          <w:szCs w:val="24"/>
        </w:rPr>
      </w:r>
      <w:r>
        <w:rPr>
          <w:sz w:val="24"/>
          <w:szCs w:val="24"/>
          <w:rFonts w:cs="Times New Roman" w:ascii="Times New Roman" w:hAnsi="Times New Roman"/>
        </w:rPr>
        <w:fldChar w:fldCharType="end"/>
      </w:r>
      <w:bookmarkEnd w:id="9"/>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The reliability of the reactors' building materials and components is another area of quality concern. Most of the necessary components for the project are being made in other countries, which raises questions regarding the reliability of the materials and products used. Concerns regarding the final product's quality have arisen due to the difficult logistics of transporting and assembling the components. The building of the reactors is a complicated process, and it is critical that it be completed to the highest quality standards, which raises worries about the quality of the construction process itself. The safety and dependability of the reactors are at risk if any flaws or mistakes occur during construction. Many steps have been put into place within the project to guarantee the highest quality requirements are fulfilled and resolve these quality concerns. </w:t>
      </w:r>
    </w:p>
    <w:p>
      <w:pPr>
        <w:pStyle w:val="Heading1"/>
        <w:jc w:val="both"/>
        <w:rPr>
          <w:b/>
          <w:b/>
        </w:rPr>
      </w:pPr>
      <w:bookmarkStart w:id="10" w:name="_Toc131628531"/>
      <w:r>
        <w:rPr>
          <w:b/>
        </w:rPr>
        <w:t>STAKEHOLDERS</w:t>
      </w:r>
      <w:bookmarkEnd w:id="10"/>
    </w:p>
    <w:p>
      <w:pPr>
        <w:pStyle w:val="Normal"/>
        <w:jc w:val="both"/>
        <w:rPr>
          <w:rFonts w:ascii="Times New Roman" w:hAnsi="Times New Roman" w:cs="Times New Roman"/>
          <w:sz w:val="24"/>
          <w:szCs w:val="24"/>
        </w:rPr>
      </w:pPr>
      <w:r>
        <w:rPr>
          <w:rFonts w:cs="Times New Roman" w:ascii="Times New Roman" w:hAnsi="Times New Roman"/>
          <w:sz w:val="24"/>
          <w:szCs w:val="24"/>
        </w:rPr>
        <w:t>Stakeholders in the Hinkley Point C project include the UK government, EDF, CGN, local communities, and environmental organisations. Several of the project's constituents are against it, including many environmental organisations. Concerns about the plant's effects on human health and the environment have been raised by these groups. Although the British government and the Environmental Defense Fund (EDF) have taken steps to address these concerns, thus far their efforts have not been successful in easing people's minds. The Hinkley Point C project involves a wide range of stakeholders, including the UK government, EDF Energy, Areva, local communities, environmental organisations, and investors.</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Due to the fact that it has provided considerable financial assistance for the project through a variety of agreements and contracts, the government of the United Kingdom is a prominent stakeholder in the project. Also, the government has been instrumental in the process of regulating the project and making certain that it complies with all of the appropriate safety and environmental regulations.</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The EPR reactor technology that will be employed in the project was developed by EDF Energy and Areva. Both companies are creators of the technology. Due to the fact that the completion of the project will prove the feasibility of the EPR reactor design and may result in other contracts and projects, these businesses have a strong financial interest in its accomplishment.</w:t>
      </w:r>
    </w:p>
    <w:p>
      <w:pPr>
        <w:pStyle w:val="ListParagraph"/>
        <w:numPr>
          <w:ilvl w:val="0"/>
          <w:numId w:val="2"/>
        </w:numPr>
        <w:jc w:val="both"/>
        <w:rPr>
          <w:rFonts w:ascii="Times New Roman" w:hAnsi="Times New Roman" w:cs="Times New Roman"/>
          <w:sz w:val="24"/>
          <w:szCs w:val="24"/>
        </w:rPr>
      </w:pPr>
      <w:r>
        <w:rPr>
          <w:rFonts w:cs="Times New Roman" w:ascii="Times New Roman" w:hAnsi="Times New Roman"/>
          <w:sz w:val="24"/>
          <w:szCs w:val="24"/>
        </w:rPr>
        <w:t>Stakeholders who reside near Hinkley Point C are important. Stakeholders also include nearby localities. As the reactors will have a major impact on local communities, their concerns and needs must be addressed throughout the project.</w:t>
      </w:r>
    </w:p>
    <w:p>
      <w:pPr>
        <w:pStyle w:val="Normal"/>
        <w:jc w:val="both"/>
        <w:rPr>
          <w:rFonts w:ascii="Times New Roman" w:hAnsi="Times New Roman" w:cs="Times New Roman"/>
          <w:sz w:val="24"/>
          <w:szCs w:val="24"/>
        </w:rPr>
      </w:pPr>
      <w:r>
        <w:rPr>
          <w:rFonts w:cs="Times New Roman" w:ascii="Times New Roman" w:hAnsi="Times New Roman"/>
          <w:sz w:val="24"/>
          <w:szCs w:val="24"/>
        </w:rPr>
        <w:t>As a result of their concerns over the possible effects that the project may have on the environment and the ecosystems that are found locally, environmental organisations are also important stakeholders. Several organisations have voiced their opposition to the project on the grounds that it is dependent on nuclear energy. Furthermore, they are concerned about the potential safety and environmental dangers that are linked with the project.</w:t>
      </w:r>
      <w:r>
        <w:rPr>
          <w:rFonts w:cs="Times New Roman" w:ascii="Times New Roman" w:hAnsi="Times New Roman"/>
          <w:b/>
          <w:color w:val="2E74B5" w:themeColor="accent1" w:themeShade="bf"/>
          <w:sz w:val="24"/>
          <w:szCs w:val="24"/>
        </w:rPr>
        <w:t xml:space="preserve"> </w:t>
      </w:r>
      <w:r>
        <w:fldChar w:fldCharType="begin"/>
      </w:r>
      <w:r>
        <w:rPr>
          <w:sz w:val="24"/>
          <w:b/>
          <w:szCs w:val="24"/>
          <w:rFonts w:cs="Times New Roman" w:ascii="Times New Roman" w:hAnsi="Times New Roman"/>
        </w:rPr>
        <w:instrText>ADDIN ZOTERO_ITEM CSL_CITATION {"citationID":"rq9nL0NL","properties":{"formattedCitation":"(Goddard, 1988)","plainCitation":"(Goddard, 1988)","noteIndex":0},"citationItems":[{"id":96,"uris":["http://zotero.org/users/local/Jq6mvMDk/items/6J4TKHND"],"itemData":{"id":96,"type":"article-journal","title":"Hinkley Point'C'power station public inquiry: proof of evidence on comparison of non-fossil options to Hinkley Point'C'","author":[{"family":"Goddard","given":"SC"}],"issued":{"date-parts":[["1988"]]}}}],"schema":"https://github.com/citation-style-language/schema/raw/master/csl-citation.json"}</w:instrText>
      </w:r>
      <w:r>
        <w:rPr>
          <w:sz w:val="24"/>
          <w:b/>
          <w:szCs w:val="24"/>
          <w:rFonts w:cs="Times New Roman" w:ascii="Times New Roman" w:hAnsi="Times New Roman"/>
        </w:rPr>
        <w:fldChar w:fldCharType="separate"/>
      </w:r>
      <w:bookmarkStart w:id="11" w:name="Bookmark4"/>
      <w:r>
        <w:rPr>
          <w:rFonts w:cs="Times New Roman" w:ascii="Times New Roman" w:hAnsi="Times New Roman"/>
          <w:b/>
          <w:color w:val="2E74B5" w:themeColor="accent1" w:themeShade="bf"/>
          <w:sz w:val="24"/>
          <w:szCs w:val="24"/>
        </w:rPr>
        <w:t>(Goddard, 1988)</w:t>
      </w:r>
      <w:r>
        <w:rPr>
          <w:rFonts w:cs="Times New Roman" w:ascii="Times New Roman" w:hAnsi="Times New Roman"/>
          <w:b/>
          <w:color w:val="2E74B5" w:themeColor="accent1" w:themeShade="bf"/>
          <w:sz w:val="24"/>
          <w:szCs w:val="24"/>
        </w:rPr>
      </w:r>
      <w:r>
        <w:rPr>
          <w:sz w:val="24"/>
          <w:b/>
          <w:szCs w:val="24"/>
          <w:rFonts w:cs="Times New Roman" w:ascii="Times New Roman" w:hAnsi="Times New Roman"/>
        </w:rPr>
        <w:fldChar w:fldCharType="end"/>
      </w:r>
      <w:bookmarkEnd w:id="11"/>
    </w:p>
    <w:p>
      <w:pPr>
        <w:pStyle w:val="Heading1"/>
        <w:jc w:val="both"/>
        <w:rPr>
          <w:b/>
          <w:b/>
        </w:rPr>
      </w:pPr>
      <w:bookmarkStart w:id="12" w:name="_Toc131628532"/>
      <w:r>
        <w:rPr>
          <w:b/>
        </w:rPr>
        <w:t>Risk Factors</w:t>
      </w:r>
      <w:bookmarkEnd w:id="12"/>
      <w:r>
        <w:rPr>
          <w:b/>
        </w:rPr>
        <w:t xml:space="preserve"> </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There are several threats to the Hinkley Point C project, some of which are technical, financial, political, and environmental in nature. The technical risks involve things like the project's complexity and the chance of technological failures or accidents. The financial concerns stem from the high price tag of the project and the possibility of additional cost overruns. </w:t>
      </w:r>
      <w:r>
        <w:fldChar w:fldCharType="begin"/>
      </w:r>
      <w:r>
        <w:rPr>
          <w:sz w:val="24"/>
          <w:szCs w:val="24"/>
          <w:rFonts w:cs="Times New Roman" w:ascii="Times New Roman" w:hAnsi="Times New Roman"/>
        </w:rPr>
        <w:instrText>ADDIN ZOTERO_ITEM CSL_CITATION {"citationID":"vj9VcwRb","properties":{"formattedCitation":"(Daniel &amp; Daniel, 2019)","plainCitation":"(Daniel &amp; Daniel, 2019)","noteIndex":0},"citationItems":[{"id":99,"uris":["http://zotero.org/users/local/Jq6mvMDk/items/4XAX9689"],"itemData":{"id":99,"type":"article-journal","container-title":"International Journal of Project Management","ISSN":"0263-7863","issue":"8","journalAbbreviation":"International Journal of Project Management","note":"publisher: Elsevier","page":"1017-1033","title":"Megaprojects as complex adaptive systems: The Hinkley point C case","volume":"37","author":[{"family":"Daniel","given":"Eric"},{"family":"Daniel","given":"Pierre A"}],"issued":{"date-parts":[["2019"]]}}}],"schema":"https://github.com/citation-style-language/schema/raw/master/csl-citation.json"}</w:instrText>
      </w:r>
      <w:r>
        <w:rPr>
          <w:sz w:val="24"/>
          <w:szCs w:val="24"/>
          <w:rFonts w:cs="Times New Roman" w:ascii="Times New Roman" w:hAnsi="Times New Roman"/>
        </w:rPr>
        <w:fldChar w:fldCharType="separate"/>
      </w:r>
      <w:bookmarkStart w:id="13" w:name="Bookmark5"/>
      <w:r>
        <w:rPr>
          <w:rFonts w:cs="Times New Roman" w:ascii="Times New Roman" w:hAnsi="Times New Roman"/>
          <w:sz w:val="24"/>
          <w:szCs w:val="24"/>
        </w:rPr>
      </w:r>
      <w:r>
        <w:rPr>
          <w:rFonts w:cs="Times New Roman" w:ascii="Times New Roman" w:hAnsi="Times New Roman"/>
          <w:b/>
          <w:color w:val="2E74B5" w:themeColor="accent1" w:themeShade="bf"/>
          <w:sz w:val="24"/>
          <w:szCs w:val="24"/>
        </w:rPr>
        <w:t>(Daniel &amp; Daniel, 2019)</w:t>
      </w:r>
      <w:r>
        <w:rPr>
          <w:rFonts w:cs="Times New Roman" w:ascii="Times New Roman" w:hAnsi="Times New Roman"/>
          <w:sz w:val="24"/>
          <w:szCs w:val="24"/>
        </w:rPr>
      </w:r>
      <w:r>
        <w:rPr>
          <w:sz w:val="24"/>
          <w:szCs w:val="24"/>
          <w:rFonts w:cs="Times New Roman" w:ascii="Times New Roman" w:hAnsi="Times New Roman"/>
        </w:rPr>
        <w:fldChar w:fldCharType="end"/>
      </w:r>
      <w:bookmarkEnd w:id="13"/>
      <w:r>
        <w:rPr>
          <w:rFonts w:cs="Times New Roman" w:ascii="Times New Roman" w:hAnsi="Times New Roman"/>
          <w:sz w:val="24"/>
          <w:szCs w:val="24"/>
        </w:rPr>
        <w:t xml:space="preserve"> Possible shifts in governmental policy and regulation are examples of the political risks that might undermine the project's success. Potential accidents or spills with severe environmental effects are among the environmental dangers. There are many unknowns, technological hurdles, and hazards associated with the Hinkley Point C project, making it a complicated and high-risk endeavour. Cost overruns, delays, technical difficulties, regulatory hurdles, environmental dangers, and public resistance are just some of the concerns that have plagued the project. Below, we'll go into further depth about these potential dangers:</w:t>
      </w:r>
    </w:p>
    <w:p>
      <w:pPr>
        <w:pStyle w:val="ListParagraph"/>
        <w:numPr>
          <w:ilvl w:val="0"/>
          <w:numId w:val="3"/>
        </w:numPr>
        <w:jc w:val="both"/>
        <w:rPr>
          <w:rFonts w:ascii="Times New Roman" w:hAnsi="Times New Roman" w:cs="Times New Roman"/>
          <w:sz w:val="24"/>
          <w:szCs w:val="24"/>
        </w:rPr>
      </w:pPr>
      <w:r>
        <w:rPr>
          <w:rFonts w:cs="Times New Roman" w:ascii="Times New Roman" w:hAnsi="Times New Roman"/>
          <w:sz w:val="24"/>
          <w:szCs w:val="24"/>
        </w:rPr>
        <w:t>Overruns in development and operating costs are a major concern for the Hinkley Point C project. It will be one of the most costly nuclear power facilities in the world, with a price tag of about £25-26 billion. There are doubts regarding the project's economic sustainability and its possible influence on energy prices because of its hefty price tag.</w:t>
      </w:r>
    </w:p>
    <w:p>
      <w:pPr>
        <w:pStyle w:val="ListParagraph"/>
        <w:numPr>
          <w:ilvl w:val="0"/>
          <w:numId w:val="3"/>
        </w:numPr>
        <w:jc w:val="both"/>
        <w:rPr>
          <w:rFonts w:ascii="Times New Roman" w:hAnsi="Times New Roman" w:cs="Times New Roman"/>
          <w:sz w:val="24"/>
          <w:szCs w:val="24"/>
        </w:rPr>
      </w:pPr>
      <w:r>
        <w:rPr>
          <w:rFonts w:cs="Times New Roman" w:ascii="Times New Roman" w:hAnsi="Times New Roman"/>
          <w:sz w:val="24"/>
          <w:szCs w:val="24"/>
        </w:rPr>
        <w:t>Construction and operating delays are another major threat to the Hinkley Point C project. Several factors have contributed to the project's late start, such as the need to wait for necessary permissions, a lengthy building period, and technical difficulties. Because of these holdups, expenses have risen, income has dropped, and investor confidence has plummeted.</w:t>
      </w:r>
    </w:p>
    <w:p>
      <w:pPr>
        <w:pStyle w:val="ListParagraph"/>
        <w:numPr>
          <w:ilvl w:val="0"/>
          <w:numId w:val="3"/>
        </w:numPr>
        <w:jc w:val="both"/>
        <w:rPr>
          <w:rFonts w:ascii="Times New Roman" w:hAnsi="Times New Roman" w:cs="Times New Roman"/>
          <w:sz w:val="24"/>
          <w:szCs w:val="24"/>
        </w:rPr>
      </w:pPr>
      <w:r>
        <w:rPr>
          <w:rFonts w:cs="Times New Roman" w:ascii="Times New Roman" w:hAnsi="Times New Roman"/>
          <w:sz w:val="24"/>
          <w:szCs w:val="24"/>
        </w:rPr>
        <w:t>Hinkley Point C has technical hurdles since it will employ a novel nuclear reactor design, the European Pressurized Reactor (EPR). The technological obstacles and unknowns associated with using this technology are substantial because it has never been utilised in the UK previously. Welding concerns and the use of low-quality steel have been two sources of trouble for the reactor's design. These technological obstacles have caused more time to pass and budget overruns.</w:t>
      </w:r>
    </w:p>
    <w:p>
      <w:pPr>
        <w:pStyle w:val="ListParagraph"/>
        <w:numPr>
          <w:ilvl w:val="0"/>
          <w:numId w:val="3"/>
        </w:numPr>
        <w:jc w:val="both"/>
        <w:rPr>
          <w:rFonts w:ascii="Times New Roman" w:hAnsi="Times New Roman" w:cs="Times New Roman"/>
          <w:sz w:val="24"/>
          <w:szCs w:val="24"/>
        </w:rPr>
      </w:pPr>
      <w:r>
        <w:rPr>
          <w:rFonts w:cs="Times New Roman" w:ascii="Times New Roman" w:hAnsi="Times New Roman"/>
          <w:sz w:val="24"/>
          <w:szCs w:val="24"/>
        </w:rPr>
        <w:t>There are several government and regulatory organisations in the United Kingdom whose stamp of approval is needed for the Hinkley Point C project. These permits are essential for finishing the project safely and in accordance with environmental regulations. The project has been scrutinised and challenged by regulators due to safety and environmental concerns.</w:t>
      </w:r>
    </w:p>
    <w:p>
      <w:pPr>
        <w:pStyle w:val="ListParagraph"/>
        <w:numPr>
          <w:ilvl w:val="0"/>
          <w:numId w:val="3"/>
        </w:numPr>
        <w:jc w:val="both"/>
        <w:rPr>
          <w:rFonts w:ascii="Times New Roman" w:hAnsi="Times New Roman" w:cs="Times New Roman"/>
          <w:sz w:val="24"/>
          <w:szCs w:val="24"/>
        </w:rPr>
      </w:pPr>
      <w:r>
        <w:rPr>
          <w:rFonts w:cs="Times New Roman" w:ascii="Times New Roman" w:hAnsi="Times New Roman"/>
          <w:sz w:val="24"/>
          <w:szCs w:val="24"/>
        </w:rPr>
        <w:t>Potential dangers to the environment include nuclear leaks and pollution from the Hinkley Point C project. The potential threat to local fauna and ecologies has also been raised as an issue with the project.</w:t>
      </w:r>
    </w:p>
    <w:p>
      <w:pPr>
        <w:pStyle w:val="ListParagraph"/>
        <w:numPr>
          <w:ilvl w:val="0"/>
          <w:numId w:val="3"/>
        </w:numPr>
        <w:jc w:val="both"/>
        <w:rPr>
          <w:rFonts w:ascii="Times New Roman" w:hAnsi="Times New Roman" w:cs="Times New Roman"/>
          <w:sz w:val="24"/>
          <w:szCs w:val="24"/>
        </w:rPr>
      </w:pPr>
      <w:r>
        <w:rPr>
          <w:rFonts w:cs="Times New Roman" w:ascii="Times New Roman" w:hAnsi="Times New Roman"/>
          <w:sz w:val="24"/>
          <w:szCs w:val="24"/>
        </w:rPr>
        <w:t>Significant public resistance has been voiced against the Hinkley Point C project, most notably by environmental organisations and local communities. These groups are worried about the potential threats to human health and the environment, as well as the potential consequences for local economies and communities.</w:t>
      </w:r>
    </w:p>
    <w:p>
      <w:pPr>
        <w:pStyle w:val="Heading1"/>
        <w:jc w:val="both"/>
        <w:rPr>
          <w:b/>
          <w:b/>
        </w:rPr>
      </w:pPr>
      <w:bookmarkStart w:id="14" w:name="_Toc131628533"/>
      <w:r>
        <w:rPr>
          <w:b/>
        </w:rPr>
        <w:t>CONCLUSION</w:t>
      </w:r>
      <w:bookmarkEnd w:id="14"/>
    </w:p>
    <w:p>
      <w:pPr>
        <w:pStyle w:val="Normal"/>
        <w:jc w:val="both"/>
        <w:rPr>
          <w:rFonts w:ascii="Times New Roman" w:hAnsi="Times New Roman" w:cs="Times New Roman"/>
          <w:b/>
          <w:b/>
          <w:color w:val="2E74B5" w:themeColor="accent1" w:themeShade="bf"/>
          <w:sz w:val="24"/>
          <w:szCs w:val="24"/>
        </w:rPr>
      </w:pPr>
      <w:r>
        <w:rPr>
          <w:rFonts w:cs="Times New Roman" w:ascii="Times New Roman" w:hAnsi="Times New Roman"/>
          <w:sz w:val="24"/>
          <w:szCs w:val="24"/>
        </w:rPr>
        <w:t xml:space="preserve">In sum, the Hinkley Point C project has been fraught with difficulties, from budget overruns and delays to technical difficulties and regulatory hurdles as well as environmental concerns and popular resistance. These uncertainties have cast doubt on the project's long-term profitability and its capacity to improve energy security and the environment in the United Kingdom. Notwithstanding these difficulties, the Hinkley Point C project has the potential to bring about a number of positive outcomes, such as the generation of low-carbon power for almost six million homes, the supply of thousands of employment and apprenticeships, and the stimulation of the UK economy. As an added bonus, the initiative helps the United Kingdom come closer to its climate change goals by cutting down on carbon emissions. It is critical that all parties involved in the project work collaboratively to mitigate the threats and overcome the obstacles that have been identified. Addressing technical issues to guarantee the safe and dependable operation of the plant is a part of this process, as is communicating with local people and environmental groups to address concerns about the project's impact on the environment. Costs must be monitored and controlled on an ongoing basis to guarantee the project's continued financial viability. </w:t>
      </w:r>
      <w:r>
        <w:fldChar w:fldCharType="begin"/>
      </w:r>
      <w:r>
        <w:rPr>
          <w:sz w:val="24"/>
          <w:szCs w:val="24"/>
          <w:rFonts w:cs="Times New Roman" w:ascii="Times New Roman" w:hAnsi="Times New Roman"/>
        </w:rPr>
        <w:instrText>ADDIN ZOTERO_ITEM CSL_CITATION {"citationID":"t4mZrxqz","properties":{"formattedCitation":"(Li, 2020)","plainCitation":"(Li, 2020)","noteIndex":0},"citationItems":[{"id":97,"uris":["http://zotero.org/users/local/Jq6mvMDk/items/EQI9QWHC"],"itemData":{"id":97,"type":"paper-conference","event-title":"2020 International Conference on Computing, Networking, Telecommunications &amp; Engineering Sciences Applications (CoNTESA)","ISBN":"1-72818-488-6","page":"1-4","publisher":"IEEE","title":"Power Peaking, Critical Boron, and Shutdown Margin Benchmark of the UK Hinkley Point C EPR using WIMS-PANTHER Deterministic Codes","author":[{"family":"Li","given":"Jinfeng"}],"issued":{"date-parts":[["2020"]]}}}],"schema":"https://github.com/citation-style-language/schema/raw/master/csl-citation.json"}</w:instrText>
      </w:r>
      <w:r>
        <w:rPr>
          <w:sz w:val="24"/>
          <w:szCs w:val="24"/>
          <w:rFonts w:cs="Times New Roman" w:ascii="Times New Roman" w:hAnsi="Times New Roman"/>
        </w:rPr>
        <w:fldChar w:fldCharType="separate"/>
      </w:r>
      <w:bookmarkStart w:id="15" w:name="Bookmark6"/>
      <w:r>
        <w:rPr>
          <w:rFonts w:cs="Times New Roman" w:ascii="Times New Roman" w:hAnsi="Times New Roman"/>
          <w:sz w:val="24"/>
          <w:szCs w:val="24"/>
        </w:rPr>
      </w:r>
      <w:r>
        <w:rPr>
          <w:rFonts w:cs="Times New Roman" w:ascii="Times New Roman" w:hAnsi="Times New Roman"/>
          <w:b/>
          <w:color w:val="2E74B5" w:themeColor="accent1" w:themeShade="bf"/>
          <w:sz w:val="24"/>
          <w:szCs w:val="24"/>
        </w:rPr>
        <w:t>(Li, 2020)</w:t>
      </w:r>
      <w:r>
        <w:rPr>
          <w:rFonts w:cs="Times New Roman" w:ascii="Times New Roman" w:hAnsi="Times New Roman"/>
          <w:sz w:val="24"/>
          <w:szCs w:val="24"/>
        </w:rPr>
      </w:r>
      <w:r>
        <w:rPr>
          <w:sz w:val="24"/>
          <w:szCs w:val="24"/>
          <w:rFonts w:cs="Times New Roman" w:ascii="Times New Roman" w:hAnsi="Times New Roman"/>
        </w:rPr>
        <w:fldChar w:fldCharType="end"/>
      </w:r>
      <w:bookmarkEnd w:id="15"/>
    </w:p>
    <w:p>
      <w:pPr>
        <w:pStyle w:val="Normal"/>
        <w:jc w:val="both"/>
        <w:rPr>
          <w:rFonts w:ascii="Times New Roman" w:hAnsi="Times New Roman" w:cs="Times New Roman"/>
          <w:sz w:val="24"/>
          <w:szCs w:val="24"/>
        </w:rPr>
      </w:pPr>
      <w:r>
        <w:rPr>
          <w:rFonts w:cs="Times New Roman" w:ascii="Times New Roman" w:hAnsi="Times New Roman"/>
          <w:sz w:val="24"/>
          <w:szCs w:val="24"/>
        </w:rPr>
        <w:t>The Hinkley Point C project is a major investment in the United Kingdom's energy future, including advantages and disadvantages. It has the potential to be an invaluable addition to the UK's energy system and contribute to its long-term sustainability with continuous collaboration and appropriate risk management.</w:t>
      </w:r>
    </w:p>
    <w:p>
      <w:pPr>
        <w:pStyle w:val="Heading1"/>
        <w:rPr>
          <w:b/>
          <w:b/>
        </w:rPr>
      </w:pPr>
      <w:bookmarkStart w:id="16" w:name="_Toc131628534"/>
      <w:r>
        <w:rPr>
          <w:b/>
        </w:rPr>
        <w:t>REFERENCES</w:t>
      </w:r>
      <w:bookmarkEnd w:id="16"/>
    </w:p>
    <w:p>
      <w:pPr>
        <w:pStyle w:val="Bibliography"/>
        <w:rPr/>
      </w:pPr>
      <w:r>
        <w:fldChar w:fldCharType="begin"/>
      </w:r>
      <w:r>
        <w:rPr/>
        <w:instrText>ADDIN ZOTERO_BIBL {"uncited":[],"omitted":[],"custom":[]} CSL_BIBLIOGRAPHY</w:instrText>
      </w:r>
      <w:r>
        <w:rPr/>
        <w:fldChar w:fldCharType="separate"/>
      </w:r>
      <w:bookmarkStart w:id="17" w:name="Bookmark7"/>
      <w:r>
        <w:rPr/>
      </w:r>
      <w:r>
        <w:rPr>
          <w:rFonts w:cs="Calibri"/>
          <w:szCs w:val="24"/>
        </w:rPr>
        <w:t xml:space="preserve">Bridgwater, C. (2011). </w:t>
      </w:r>
      <w:r>
        <w:rPr>
          <w:rFonts w:cs="Calibri"/>
          <w:i/>
          <w:iCs/>
          <w:szCs w:val="24"/>
        </w:rPr>
        <w:t>Hinkley Point C</w:t>
      </w:r>
      <w:r>
        <w:rPr>
          <w:rFonts w:cs="Calibri"/>
          <w:szCs w:val="24"/>
        </w:rPr>
        <w:t>.</w:t>
      </w:r>
      <w:r>
        <w:rPr>
          <w:rFonts w:cs="Calibri"/>
          <w:szCs w:val="24"/>
        </w:rPr>
      </w:r>
      <w:r>
        <w:rPr>
          <w:szCs w:val="24"/>
          <w:rFonts w:cs="Calibri"/>
        </w:rPr>
        <w:fldChar w:fldCharType="end"/>
      </w:r>
      <w:bookmarkEnd w:id="17"/>
    </w:p>
    <w:p>
      <w:pPr>
        <w:pStyle w:val="Bibliography"/>
        <w:rPr>
          <w:rFonts w:ascii="Calibri" w:hAnsi="Calibri" w:cs="Calibri"/>
          <w:szCs w:val="24"/>
        </w:rPr>
      </w:pPr>
      <w:r>
        <w:rPr>
          <w:rFonts w:cs="Calibri"/>
          <w:szCs w:val="24"/>
        </w:rPr>
        <w:t xml:space="preserve">Černoch, F., &amp; Zapletalová, V. (2015). Hinkley point C: A new chance for nuclear power plant construction in central Europe? </w:t>
      </w:r>
      <w:r>
        <w:rPr>
          <w:rFonts w:cs="Calibri"/>
          <w:i/>
          <w:iCs/>
          <w:szCs w:val="24"/>
        </w:rPr>
        <w:t>Energy Policy</w:t>
      </w:r>
      <w:r>
        <w:rPr>
          <w:rFonts w:cs="Calibri"/>
          <w:szCs w:val="24"/>
        </w:rPr>
        <w:t xml:space="preserve">, </w:t>
      </w:r>
      <w:r>
        <w:rPr>
          <w:rFonts w:cs="Calibri"/>
          <w:i/>
          <w:iCs/>
          <w:szCs w:val="24"/>
        </w:rPr>
        <w:t>83</w:t>
      </w:r>
      <w:r>
        <w:rPr>
          <w:rFonts w:cs="Calibri"/>
          <w:szCs w:val="24"/>
        </w:rPr>
        <w:t>, 165–168.</w:t>
      </w:r>
    </w:p>
    <w:p>
      <w:pPr>
        <w:pStyle w:val="Bibliography"/>
        <w:rPr>
          <w:rFonts w:ascii="Calibri" w:hAnsi="Calibri" w:cs="Calibri"/>
          <w:szCs w:val="24"/>
        </w:rPr>
      </w:pPr>
      <w:r>
        <w:rPr>
          <w:rFonts w:cs="Calibri"/>
          <w:szCs w:val="24"/>
        </w:rPr>
        <w:t xml:space="preserve">Daniel, E., &amp; Daniel, P. A. (2019). Megaprojects as complex adaptive systems: The Hinkley point C case. </w:t>
      </w:r>
      <w:r>
        <w:rPr>
          <w:rFonts w:cs="Calibri"/>
          <w:i/>
          <w:iCs/>
          <w:szCs w:val="24"/>
        </w:rPr>
        <w:t>International Journal of Project Management</w:t>
      </w:r>
      <w:r>
        <w:rPr>
          <w:rFonts w:cs="Calibri"/>
          <w:szCs w:val="24"/>
        </w:rPr>
        <w:t xml:space="preserve">, </w:t>
      </w:r>
      <w:r>
        <w:rPr>
          <w:rFonts w:cs="Calibri"/>
          <w:i/>
          <w:iCs/>
          <w:szCs w:val="24"/>
        </w:rPr>
        <w:t>37</w:t>
      </w:r>
      <w:r>
        <w:rPr>
          <w:rFonts w:cs="Calibri"/>
          <w:szCs w:val="24"/>
        </w:rPr>
        <w:t>(8), 1017–1033.</w:t>
      </w:r>
    </w:p>
    <w:p>
      <w:pPr>
        <w:pStyle w:val="Bibliography"/>
        <w:rPr>
          <w:rFonts w:ascii="Calibri" w:hAnsi="Calibri" w:cs="Calibri"/>
          <w:szCs w:val="24"/>
        </w:rPr>
      </w:pPr>
      <w:r>
        <w:rPr>
          <w:rFonts w:cs="Calibri"/>
          <w:szCs w:val="24"/>
        </w:rPr>
        <w:t xml:space="preserve">Gandolfo, A. (2016). Hinkley Point C nuclear station: An expensive solution to a cheap problem. </w:t>
      </w:r>
      <w:r>
        <w:rPr>
          <w:rFonts w:cs="Calibri"/>
          <w:i/>
          <w:iCs/>
          <w:szCs w:val="24"/>
        </w:rPr>
        <w:t>LSE Business Review</w:t>
      </w:r>
      <w:r>
        <w:rPr>
          <w:rFonts w:cs="Calibri"/>
          <w:szCs w:val="24"/>
        </w:rPr>
        <w:t>.</w:t>
      </w:r>
    </w:p>
    <w:p>
      <w:pPr>
        <w:pStyle w:val="Bibliography"/>
        <w:rPr>
          <w:rFonts w:ascii="Calibri" w:hAnsi="Calibri" w:cs="Calibri"/>
          <w:szCs w:val="24"/>
        </w:rPr>
      </w:pPr>
      <w:r>
        <w:rPr>
          <w:rFonts w:cs="Calibri"/>
          <w:szCs w:val="24"/>
        </w:rPr>
        <w:t xml:space="preserve">Goddard, S. (1988). </w:t>
      </w:r>
      <w:r>
        <w:rPr>
          <w:rFonts w:cs="Calibri"/>
          <w:i/>
          <w:iCs/>
          <w:szCs w:val="24"/>
        </w:rPr>
        <w:t>Hinkley Point’C’power station public inquiry: Proof of evidence on comparison of non-fossil options to Hinkley Point’C’</w:t>
      </w:r>
      <w:r>
        <w:rPr>
          <w:rFonts w:cs="Calibri"/>
          <w:szCs w:val="24"/>
        </w:rPr>
        <w:t>.</w:t>
      </w:r>
    </w:p>
    <w:p>
      <w:pPr>
        <w:pStyle w:val="Bibliography"/>
        <w:rPr>
          <w:rFonts w:ascii="Calibri" w:hAnsi="Calibri" w:cs="Calibri"/>
          <w:szCs w:val="24"/>
        </w:rPr>
      </w:pPr>
      <w:r>
        <w:rPr>
          <w:rFonts w:cs="Calibri"/>
          <w:szCs w:val="24"/>
        </w:rPr>
        <w:t xml:space="preserve">Li, J. (2020). </w:t>
      </w:r>
      <w:r>
        <w:rPr>
          <w:rFonts w:cs="Calibri"/>
          <w:i/>
          <w:iCs/>
          <w:szCs w:val="24"/>
        </w:rPr>
        <w:t>Power Peaking, Critical Boron, and Shutdown Margin Benchmark of the UK Hinkley Point C EPR using WIMS-PANTHER Deterministic Codes</w:t>
      </w:r>
      <w:r>
        <w:rPr>
          <w:rFonts w:cs="Calibri"/>
          <w:szCs w:val="24"/>
        </w:rPr>
        <w:t>. 1–4.</w:t>
      </w:r>
    </w:p>
    <w:p>
      <w:pPr>
        <w:pStyle w:val="Bibliography"/>
        <w:rPr>
          <w:rFonts w:ascii="Calibri" w:hAnsi="Calibri" w:cs="Calibri"/>
          <w:szCs w:val="24"/>
        </w:rPr>
      </w:pPr>
      <w:r>
        <w:rPr>
          <w:rFonts w:cs="Calibri"/>
          <w:szCs w:val="24"/>
        </w:rPr>
        <w:t xml:space="preserve">Smyth, H., Lecoeuvre, L., &amp; Vaesken, P. (2018). Co-creation of value and the project context: Towards application on the case of Hinkley Point C Nuclear Power Station. </w:t>
      </w:r>
      <w:r>
        <w:rPr>
          <w:rFonts w:cs="Calibri"/>
          <w:i/>
          <w:iCs/>
          <w:szCs w:val="24"/>
        </w:rPr>
        <w:t>International Journal of Project Management</w:t>
      </w:r>
      <w:r>
        <w:rPr>
          <w:rFonts w:cs="Calibri"/>
          <w:szCs w:val="24"/>
        </w:rPr>
        <w:t xml:space="preserve">, </w:t>
      </w:r>
      <w:r>
        <w:rPr>
          <w:rFonts w:cs="Calibri"/>
          <w:i/>
          <w:iCs/>
          <w:szCs w:val="24"/>
        </w:rPr>
        <w:t>36</w:t>
      </w:r>
      <w:r>
        <w:rPr>
          <w:rFonts w:cs="Calibri"/>
          <w:szCs w:val="24"/>
        </w:rPr>
        <w:t>(1), 170–183.</w:t>
      </w:r>
    </w:p>
    <w:p>
      <w:pPr>
        <w:pStyle w:val="Normal"/>
        <w:widowControl/>
        <w:bidi w:val="0"/>
        <w:spacing w:lineRule="auto" w:line="259" w:before="0" w:after="160"/>
        <w:jc w:val="left"/>
        <w:rPr/>
      </w:pPr>
      <w:r>
        <w:rPr/>
      </w:r>
    </w:p>
    <w:sectPr>
      <w:headerReference w:type="default" r:id="rId2"/>
      <w:headerReference w:type="first" r:id="rId3"/>
      <w:footerReference w:type="default" r:id="rId4"/>
      <w:footerReference w:type="first" r:id="rId5"/>
      <w:type w:val="nextPage"/>
      <w:pgSz w:w="12240" w:h="15840"/>
      <w:pgMar w:left="720" w:right="720" w:header="708" w:top="765" w:footer="708" w:bottom="765" w:gutter="0"/>
      <w:pgBorders w:display="allPages" w:offsetFrom="text">
        <w:top w:val="single" w:sz="12" w:space="9" w:color="000000"/>
        <w:left w:val="single" w:sz="12" w:space="10" w:color="000000"/>
        <w:bottom w:val="single" w:sz="12" w:space="9" w:color="000000"/>
        <w:right w:val="single" w:sz="12" w:space="10" w:color="000000"/>
      </w:pgBorders>
      <w:pgNumType w:start="0"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Calibri">
    <w:charset w:val="00"/>
    <w:family w:val="auto"/>
    <w:pitch w:val="default"/>
  </w:font>
  <w:font w:name="Algerian">
    <w:altName w:val="comic"/>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6005172"/>
    </w:sdtPr>
    <w:sdtContent>
      <w:p>
        <w:pPr>
          <w:pStyle w:val="Footer"/>
          <w:jc w:val="center"/>
          <w:rPr/>
        </w:pPr>
        <w:r>
          <w:rPr/>
          <mc:AlternateContent>
            <mc:Choice Requires="wps">
              <w:drawing>
                <wp:inline distT="0" distB="0" distL="0" distR="0" wp14:anchorId="4168ADED">
                  <wp:extent cx="5467985" cy="45720"/>
                  <wp:effectExtent l="9525" t="9525" r="0" b="2540"/>
                  <wp:docPr id="4" name=""/>
                  <a:graphic xmlns:a="http://schemas.openxmlformats.org/drawingml/2006/main">
                    <a:graphicData uri="http://schemas.microsoft.com/office/word/2010/wordprocessingShape">
                      <wps:wsp>
                        <wps:cNvSpPr/>
                        <wps:spPr>
                          <a:xfrm flipV="1">
                            <a:off x="0" y="0"/>
                            <a:ext cx="5467320" cy="45000"/>
                          </a:xfrm>
                          <a:prstGeom prst="flowChartDecision">
                            <a:avLst/>
                          </a:prstGeom>
                          <a:pattFill prst="ltHorz">
                            <a:fgClr>
                              <a:srgbClr val="000000"/>
                            </a:fgClr>
                            <a:bgClr>
                              <a:srgbClr val="ffffff"/>
                            </a:bgClr>
                          </a:pattFill>
                          <a:ln>
                            <a:noFill/>
                          </a:ln>
                        </wps:spPr>
                        <wps:style>
                          <a:lnRef idx="0"/>
                          <a:fillRef idx="0"/>
                          <a:effectRef idx="0"/>
                          <a:fontRef idx="minor"/>
                        </wps:style>
                        <wps:bodyPr/>
                      </wps:wsp>
                    </a:graphicData>
                  </a:graphic>
                </wp:inline>
              </w:drawing>
            </mc:Choice>
            <mc:Fallback>
              <w:pict>
                <v:shapetype id="shapetype_110" coordsize="21600,21600" o:spt="110" path="m,10800l10800,l21600,10800l10800,21600xe">
                  <v:stroke joinstyle="miter"/>
                  <v:formulas>
                    <v:f eqn="prod width 3 4"/>
                    <v:f eqn="prod height 3 4"/>
                  </v:formulas>
                  <v:path gradientshapeok="t" o:connecttype="rect" textboxrect="5400,5400,@0,@1"/>
                </v:shapetype>
                <v:shape id="shape_0" stroked="f" style="position:absolute;margin-left:0pt;margin-top:-3.6pt;width:430.45pt;height:3.5pt;flip:y;mso-position-vertical:top" wp14:anchorId="4168ADED" type="shapetype_110">
                  <w10:wrap type="none"/>
                  <v:imagedata r:id=""/>
                  <v:stroke color="#3465a4" joinstyle="round" endcap="flat"/>
                </v:shape>
              </w:pict>
            </mc:Fallback>
          </mc:AlternateContent>
        </w:r>
      </w:p>
      <w:p>
        <w:pPr>
          <w:pStyle w:val="Footer"/>
          <w:jc w:val="center"/>
          <w:rPr/>
        </w:pPr>
        <w:r>
          <w:rPr/>
          <w:fldChar w:fldCharType="begin"/>
        </w:r>
        <w:r>
          <w:rPr/>
          <w:instrText> PAGE </w:instrText>
        </w:r>
        <w:r>
          <w:rPr/>
          <w:fldChar w:fldCharType="separate"/>
        </w:r>
        <w:r>
          <w:rPr/>
          <w:t>5</w:t>
        </w:r>
        <w:r>
          <w:rPr/>
          <w:fldChar w:fldCharType="end"/>
        </w:r>
      </w:p>
    </w:sdtContent>
  </w:sdt>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7.5pt;height:7.5pt" o:bullet="t">
        <v:imagedata r:id="rId1" o:title=""/>
      </v:shape>
    </w:pict>
  </w:numPicBullet>
  <w:abstractNum w:abstractNumId="1">
    <w:lvl w:ilvl="0">
      <w:start w:val="1"/>
      <w:numFmt w:val="bullet"/>
      <w:lvlText w:val="•"/>
      <w:lvlPicBulletId w:val="0"/>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PicBulletId w:val="0"/>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PicBulletId w:val="0"/>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3"/>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634ef2"/>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634ef2"/>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c80b1e"/>
    <w:rPr>
      <w:color w:val="0563C1" w:themeColor="hyperlink"/>
      <w:u w:val="single"/>
    </w:rPr>
  </w:style>
  <w:style w:type="character" w:styleId="HeaderChar" w:customStyle="1">
    <w:name w:val="Header Char"/>
    <w:basedOn w:val="DefaultParagraphFont"/>
    <w:link w:val="Header"/>
    <w:uiPriority w:val="99"/>
    <w:qFormat/>
    <w:rsid w:val="002d6e52"/>
    <w:rPr/>
  </w:style>
  <w:style w:type="character" w:styleId="FooterChar" w:customStyle="1">
    <w:name w:val="Footer Char"/>
    <w:basedOn w:val="DefaultParagraphFont"/>
    <w:link w:val="Footer"/>
    <w:uiPriority w:val="99"/>
    <w:qFormat/>
    <w:rsid w:val="002d6e52"/>
    <w:rPr/>
  </w:style>
  <w:style w:type="character" w:styleId="NoSpacingChar" w:customStyle="1">
    <w:name w:val="No Spacing Char"/>
    <w:basedOn w:val="DefaultParagraphFont"/>
    <w:link w:val="NoSpacing"/>
    <w:uiPriority w:val="1"/>
    <w:qFormat/>
    <w:rsid w:val="005f5175"/>
    <w:rPr>
      <w:rFonts w:eastAsia="" w:eastAsiaTheme="minorEastAsia"/>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c61a5c"/>
    <w:pPr>
      <w:spacing w:before="0" w:after="160"/>
      <w:ind w:left="720" w:hanging="0"/>
      <w:contextualSpacing/>
    </w:pPr>
    <w:rPr/>
  </w:style>
  <w:style w:type="paragraph" w:styleId="TOCHeading">
    <w:name w:val="TOC Heading"/>
    <w:basedOn w:val="Heading1"/>
    <w:next w:val="Normal"/>
    <w:uiPriority w:val="39"/>
    <w:unhideWhenUsed/>
    <w:qFormat/>
    <w:rsid w:val="00c80b1e"/>
    <w:pPr/>
    <w:rPr/>
  </w:style>
  <w:style w:type="paragraph" w:styleId="Contents1">
    <w:name w:val="TOC 1"/>
    <w:basedOn w:val="Normal"/>
    <w:next w:val="Normal"/>
    <w:autoRedefine/>
    <w:uiPriority w:val="39"/>
    <w:unhideWhenUsed/>
    <w:rsid w:val="00c80b1e"/>
    <w:pPr>
      <w:spacing w:before="0" w:after="100"/>
    </w:pPr>
    <w:rPr/>
  </w:style>
  <w:style w:type="paragraph" w:styleId="Bibliography">
    <w:name w:val="Bibliography"/>
    <w:basedOn w:val="Normal"/>
    <w:next w:val="Normal"/>
    <w:uiPriority w:val="37"/>
    <w:unhideWhenUsed/>
    <w:qFormat/>
    <w:rsid w:val="00b021e8"/>
    <w:pPr>
      <w:spacing w:lineRule="auto" w:line="480" w:before="0" w:after="0"/>
      <w:ind w:left="720" w:hanging="720"/>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2d6e52"/>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2d6e52"/>
    <w:pPr>
      <w:tabs>
        <w:tab w:val="clear" w:pos="720"/>
        <w:tab w:val="center" w:pos="4680" w:leader="none"/>
        <w:tab w:val="right" w:pos="9360" w:leader="none"/>
      </w:tabs>
      <w:spacing w:lineRule="auto" w:line="240" w:before="0" w:after="0"/>
    </w:pPr>
    <w:rPr/>
  </w:style>
  <w:style w:type="paragraph" w:styleId="NoSpacing">
    <w:name w:val="No Spacing"/>
    <w:link w:val="NoSpacingChar"/>
    <w:uiPriority w:val="1"/>
    <w:qFormat/>
    <w:rsid w:val="005f5175"/>
    <w:pPr>
      <w:widowControl/>
      <w:bidi w:val="0"/>
      <w:spacing w:lineRule="auto" w:line="240" w:before="0" w:after="0"/>
      <w:jc w:val="left"/>
    </w:pPr>
    <w:rPr>
      <w:rFonts w:eastAsia="" w:eastAsiaTheme="minorEastAsia" w:ascii="Calibri" w:hAnsi="Calibri" w:cs=""/>
      <w:color w:val="auto"/>
      <w:kern w:val="0"/>
      <w:sz w:val="22"/>
      <w:szCs w:val="22"/>
      <w:lang w:val="en-US" w:eastAsia="en-US" w:bidi="ar-SA"/>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
</Relationships>
</file>

<file path=word/_rels/numbering.xml.rels><?xml version="1.0" encoding="UTF-8"?>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2023-04-05T00:00:00</PublishDate>
  <Abstract/>
  <CompanyAddress/>
  <CompanyPhone/>
  <CompanyFax/>
  <CompanyEmail/>
</CoverPageProperties>
</file>

<file path=customXml/itemProps1.xml><?xml version="1.0" encoding="utf-8"?>
<ds:datastoreItem xmlns:ds="http://schemas.openxmlformats.org/officeDocument/2006/customXml" ds:itemID="{BDE51BB0-490B-4B52-AB24-B8F910A24E1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Document_Manager_Pro/6.3.5.2$Windows_x86 LibreOffice_project/</Application>
  <Pages>7</Pages>
  <Words>2554</Words>
  <Characters>13793</Characters>
  <CharactersWithSpaces>16264</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2023-04-05T19:09:00Z</dcterms:created>
  <dc:creator>Microsof account</dc:creator>
  <dc:description/>
  <dc:language>en-GB</dc:language>
  <cp:lastModifiedBy/>
  <dcterms:modified xsi:type="dcterms:W3CDTF">2023-04-06T22:37:14Z</dcterms:modified>
  <cp:revision>3</cp:revision>
  <dc:subject/>
  <dc:title>Hinkley Point 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y fmtid="{D5CDD505-2E9C-101B-9397-08002B2CF9AE}" pid="8" name="ZOTERO_PREF_1">
    <vt:lpwstr>&lt;data data-version="3" zotero-version="6.0.23"&gt;&lt;session id="r61yry7N"/&gt;&lt;style id="http://www.zotero.org/styles/apa" locale="en-US" hasBibliography="1" bibliographyStyleHasBeenSet="1"/&gt;&lt;prefs&gt;&lt;pref name="fieldType" value="Field"/&gt;&lt;pref name="automaticJourn</vt:lpwstr>
  </property>
  <property fmtid="{D5CDD505-2E9C-101B-9397-08002B2CF9AE}" pid="9" name="ZOTERO_PREF_2">
    <vt:lpwstr>alAbbreviations" value="true"/&gt;&lt;/prefs&gt;&lt;/data&gt;</vt:lpwstr>
  </property>
</Properties>
</file>