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163E47" w14:textId="77777777" w:rsidR="005E6A87" w:rsidRDefault="005E6A87" w:rsidP="00CF6A26">
      <w:pPr>
        <w:rPr>
          <w:b/>
        </w:rPr>
      </w:pPr>
    </w:p>
    <w:p w14:paraId="1D220EBA" w14:textId="77777777" w:rsidR="004C5A49" w:rsidRPr="00DD42DA" w:rsidRDefault="004C5A49" w:rsidP="004C5A49">
      <w:pPr>
        <w:jc w:val="left"/>
        <w:rPr>
          <w:rFonts w:ascii="Arial" w:eastAsia="Calibri" w:hAnsi="Arial" w:cs="Arial"/>
          <w:b/>
          <w:bCs/>
        </w:rPr>
      </w:pPr>
      <w:r w:rsidRPr="00DD42DA">
        <w:rPr>
          <w:rFonts w:ascii="Arial" w:eastAsia="Calibri" w:hAnsi="Arial" w:cs="Arial"/>
          <w:b/>
          <w:bCs/>
        </w:rPr>
        <w:t>Student name: Iulian Vasile Purice</w:t>
      </w:r>
    </w:p>
    <w:p w14:paraId="3E9BA886" w14:textId="77777777" w:rsidR="004C5A49" w:rsidRPr="00DD42DA" w:rsidRDefault="004C5A49" w:rsidP="004C5A49">
      <w:pPr>
        <w:jc w:val="left"/>
        <w:rPr>
          <w:rFonts w:ascii="Arial" w:eastAsia="Calibri" w:hAnsi="Arial" w:cs="Arial"/>
          <w:b/>
          <w:bCs/>
        </w:rPr>
      </w:pPr>
      <w:r w:rsidRPr="00DD42DA">
        <w:rPr>
          <w:rFonts w:ascii="Arial" w:eastAsia="Calibri" w:hAnsi="Arial" w:cs="Arial"/>
          <w:b/>
          <w:bCs/>
        </w:rPr>
        <w:t>Student id number: 1919243</w:t>
      </w:r>
    </w:p>
    <w:p w14:paraId="749CE3EF" w14:textId="0007E579" w:rsidR="004C5A49" w:rsidRPr="00DD42DA" w:rsidRDefault="004C5A49" w:rsidP="004C5A49">
      <w:pPr>
        <w:jc w:val="left"/>
        <w:rPr>
          <w:rFonts w:ascii="Arial" w:eastAsia="Calibri" w:hAnsi="Arial" w:cs="Arial"/>
          <w:b/>
          <w:bCs/>
        </w:rPr>
      </w:pPr>
      <w:r w:rsidRPr="00DD42DA">
        <w:rPr>
          <w:rFonts w:ascii="Arial" w:eastAsia="Calibri" w:hAnsi="Arial" w:cs="Arial"/>
          <w:b/>
          <w:bCs/>
        </w:rPr>
        <w:t xml:space="preserve">Lecturer: </w:t>
      </w:r>
      <w:r w:rsidR="00C467EE" w:rsidRPr="00DD42DA">
        <w:rPr>
          <w:rFonts w:ascii="Arial" w:eastAsia="Calibri" w:hAnsi="Arial" w:cs="Arial"/>
          <w:b/>
          <w:bCs/>
        </w:rPr>
        <w:t>Isaiah Oino</w:t>
      </w:r>
    </w:p>
    <w:p w14:paraId="41E13E10" w14:textId="77777777" w:rsidR="004C5A49" w:rsidRPr="00DD42DA" w:rsidRDefault="004C5A49" w:rsidP="004C5A49">
      <w:pPr>
        <w:jc w:val="left"/>
        <w:rPr>
          <w:rFonts w:ascii="Arial" w:eastAsia="Calibri" w:hAnsi="Arial" w:cs="Arial"/>
          <w:b/>
          <w:bCs/>
        </w:rPr>
      </w:pPr>
      <w:r w:rsidRPr="00DD42DA">
        <w:rPr>
          <w:rFonts w:ascii="Arial" w:eastAsia="Calibri" w:hAnsi="Arial" w:cs="Arial"/>
          <w:b/>
          <w:bCs/>
        </w:rPr>
        <w:t xml:space="preserve">                 Zainab Atta</w:t>
      </w:r>
    </w:p>
    <w:p w14:paraId="7916B790" w14:textId="0DE8BCDB" w:rsidR="004C5A49" w:rsidRPr="004C5A49" w:rsidRDefault="004C5A49" w:rsidP="004C5A49">
      <w:pPr>
        <w:jc w:val="left"/>
        <w:rPr>
          <w:rFonts w:ascii="Arial" w:eastAsia="Calibri" w:hAnsi="Arial" w:cs="Arial"/>
          <w:b/>
          <w:bCs/>
          <w:sz w:val="22"/>
          <w:szCs w:val="22"/>
        </w:rPr>
      </w:pPr>
      <w:r w:rsidRPr="00DD42DA">
        <w:rPr>
          <w:rFonts w:ascii="Arial" w:eastAsia="Calibri" w:hAnsi="Arial" w:cs="Arial"/>
          <w:b/>
          <w:bCs/>
        </w:rPr>
        <w:t>Module Code: LCBB6002</w:t>
      </w:r>
    </w:p>
    <w:p w14:paraId="2D163E48" w14:textId="77777777" w:rsidR="005E6A87" w:rsidRDefault="005E6A87">
      <w:pPr>
        <w:jc w:val="center"/>
        <w:rPr>
          <w:b/>
        </w:rPr>
      </w:pPr>
    </w:p>
    <w:p w14:paraId="2D163E49" w14:textId="77777777" w:rsidR="005E6A87" w:rsidRDefault="005E6A87">
      <w:pPr>
        <w:jc w:val="center"/>
        <w:rPr>
          <w:b/>
        </w:rPr>
      </w:pPr>
    </w:p>
    <w:p w14:paraId="2D163E4A" w14:textId="77777777" w:rsidR="005E6A87" w:rsidRDefault="005E6A87">
      <w:pPr>
        <w:jc w:val="center"/>
        <w:rPr>
          <w:b/>
        </w:rPr>
      </w:pPr>
    </w:p>
    <w:p w14:paraId="2D163E4B" w14:textId="77777777" w:rsidR="005E6A87" w:rsidRDefault="005E6A87">
      <w:pPr>
        <w:jc w:val="center"/>
        <w:rPr>
          <w:b/>
        </w:rPr>
      </w:pPr>
    </w:p>
    <w:p w14:paraId="2D163E4C" w14:textId="0B03B952" w:rsidR="005E6A87" w:rsidRPr="004916F4" w:rsidRDefault="003F2855">
      <w:pPr>
        <w:jc w:val="center"/>
        <w:rPr>
          <w:rFonts w:ascii="Arial" w:hAnsi="Arial" w:cs="Arial"/>
          <w:b/>
          <w:sz w:val="36"/>
          <w:szCs w:val="36"/>
        </w:rPr>
      </w:pPr>
      <w:r w:rsidRPr="004916F4">
        <w:rPr>
          <w:rFonts w:ascii="Arial" w:hAnsi="Arial" w:cs="Arial"/>
          <w:b/>
          <w:sz w:val="36"/>
          <w:szCs w:val="36"/>
        </w:rPr>
        <w:t>BA Business Management</w:t>
      </w:r>
    </w:p>
    <w:p w14:paraId="2D163E4D" w14:textId="666E4DE1" w:rsidR="005E6A87" w:rsidRPr="004916F4" w:rsidRDefault="00AF788A" w:rsidP="006C6CB0">
      <w:pPr>
        <w:jc w:val="center"/>
        <w:rPr>
          <w:rFonts w:ascii="Arial" w:hAnsi="Arial" w:cs="Arial"/>
          <w:b/>
          <w:sz w:val="36"/>
          <w:szCs w:val="36"/>
        </w:rPr>
      </w:pPr>
      <w:r w:rsidRPr="004916F4">
        <w:rPr>
          <w:rFonts w:ascii="Arial" w:hAnsi="Arial" w:cs="Arial"/>
          <w:b/>
          <w:sz w:val="36"/>
          <w:szCs w:val="36"/>
        </w:rPr>
        <w:t>International Financial Management</w:t>
      </w:r>
    </w:p>
    <w:p w14:paraId="463FD5F9" w14:textId="30AE9452" w:rsidR="006C6CB0" w:rsidRPr="004916F4" w:rsidRDefault="00AF788A" w:rsidP="006C6CB0">
      <w:pPr>
        <w:jc w:val="center"/>
        <w:rPr>
          <w:rFonts w:ascii="Arial" w:hAnsi="Arial" w:cs="Arial"/>
          <w:b/>
          <w:sz w:val="36"/>
          <w:szCs w:val="36"/>
        </w:rPr>
      </w:pPr>
      <w:r w:rsidRPr="004916F4">
        <w:rPr>
          <w:rFonts w:ascii="Arial" w:hAnsi="Arial" w:cs="Arial"/>
          <w:b/>
          <w:sz w:val="36"/>
          <w:szCs w:val="36"/>
        </w:rPr>
        <w:t>Level 6</w:t>
      </w:r>
    </w:p>
    <w:p w14:paraId="2D163E4E" w14:textId="5D07B2E1" w:rsidR="005E6A87" w:rsidRPr="004916F4" w:rsidRDefault="00AF788A" w:rsidP="006C6CB0">
      <w:pPr>
        <w:jc w:val="center"/>
        <w:rPr>
          <w:rFonts w:ascii="Arial" w:hAnsi="Arial" w:cs="Arial"/>
          <w:b/>
          <w:sz w:val="36"/>
          <w:szCs w:val="36"/>
        </w:rPr>
      </w:pPr>
      <w:r w:rsidRPr="004916F4">
        <w:rPr>
          <w:rFonts w:ascii="Arial" w:hAnsi="Arial" w:cs="Arial"/>
          <w:b/>
          <w:sz w:val="36"/>
          <w:szCs w:val="36"/>
        </w:rPr>
        <w:t xml:space="preserve">Assessment </w:t>
      </w:r>
      <w:r w:rsidR="00B870C0">
        <w:rPr>
          <w:rFonts w:ascii="Arial" w:hAnsi="Arial" w:cs="Arial"/>
          <w:b/>
          <w:sz w:val="36"/>
          <w:szCs w:val="36"/>
        </w:rPr>
        <w:t>1</w:t>
      </w:r>
    </w:p>
    <w:p w14:paraId="2D163E4F" w14:textId="77777777" w:rsidR="005E6A87" w:rsidRPr="00620511" w:rsidRDefault="005E6A87">
      <w:pPr>
        <w:jc w:val="center"/>
        <w:rPr>
          <w:rFonts w:ascii="Arial" w:hAnsi="Arial" w:cs="Arial"/>
          <w:b/>
          <w:sz w:val="32"/>
          <w:szCs w:val="32"/>
        </w:rPr>
      </w:pPr>
    </w:p>
    <w:p w14:paraId="2D163E50" w14:textId="77777777" w:rsidR="005E6A87" w:rsidRDefault="00AF788A">
      <w:pPr>
        <w:jc w:val="center"/>
        <w:rPr>
          <w:b/>
          <w:sz w:val="32"/>
          <w:szCs w:val="32"/>
        </w:rPr>
      </w:pPr>
      <w:r>
        <w:br w:type="page"/>
      </w:r>
    </w:p>
    <w:p w14:paraId="2D163E51" w14:textId="1323981F" w:rsidR="005E6A87" w:rsidRPr="00620511" w:rsidRDefault="00AF788A">
      <w:pPr>
        <w:jc w:val="center"/>
        <w:rPr>
          <w:rFonts w:ascii="Arial" w:hAnsi="Arial" w:cs="Arial"/>
          <w:b/>
        </w:rPr>
      </w:pPr>
      <w:r w:rsidRPr="00620511">
        <w:rPr>
          <w:rFonts w:ascii="Arial" w:hAnsi="Arial" w:cs="Arial"/>
          <w:b/>
        </w:rPr>
        <w:lastRenderedPageBreak/>
        <w:t>Table of Content</w:t>
      </w:r>
      <w:r w:rsidR="00261EAF">
        <w:rPr>
          <w:rFonts w:ascii="Arial" w:hAnsi="Arial" w:cs="Arial"/>
          <w:b/>
        </w:rPr>
        <w:t>s</w:t>
      </w:r>
    </w:p>
    <w:p w14:paraId="2D163E52" w14:textId="77777777" w:rsidR="005E6A87" w:rsidRPr="00620511" w:rsidRDefault="005E6A87">
      <w:pPr>
        <w:jc w:val="center"/>
        <w:rPr>
          <w:rFonts w:ascii="Arial" w:hAnsi="Arial" w:cs="Arial"/>
          <w:b/>
        </w:rPr>
      </w:pPr>
    </w:p>
    <w:p w14:paraId="2D163E53" w14:textId="77777777" w:rsidR="005E6A87" w:rsidRPr="00620511" w:rsidRDefault="005E6A87">
      <w:pPr>
        <w:rPr>
          <w:rFonts w:ascii="Arial" w:hAnsi="Arial" w:cs="Arial"/>
          <w:b/>
        </w:rPr>
      </w:pPr>
    </w:p>
    <w:sdt>
      <w:sdtPr>
        <w:rPr>
          <w:rFonts w:ascii="Arial" w:hAnsi="Arial" w:cs="Arial"/>
        </w:rPr>
        <w:id w:val="66160905"/>
        <w:docPartObj>
          <w:docPartGallery w:val="Table of Contents"/>
          <w:docPartUnique/>
        </w:docPartObj>
      </w:sdtPr>
      <w:sdtEndPr/>
      <w:sdtContent>
        <w:p w14:paraId="2D163E54" w14:textId="3B41FA43" w:rsidR="005E6A87" w:rsidRPr="00620511" w:rsidRDefault="00AF788A">
          <w:pPr>
            <w:tabs>
              <w:tab w:val="right" w:pos="9025"/>
            </w:tabs>
            <w:spacing w:before="80" w:line="240" w:lineRule="auto"/>
            <w:rPr>
              <w:rFonts w:ascii="Arial" w:eastAsia="Times New Roman" w:hAnsi="Arial" w:cs="Arial"/>
              <w:b/>
              <w:color w:val="000000"/>
            </w:rPr>
          </w:pPr>
          <w:r w:rsidRPr="00620511">
            <w:rPr>
              <w:rFonts w:ascii="Arial" w:hAnsi="Arial" w:cs="Arial"/>
            </w:rPr>
            <w:fldChar w:fldCharType="begin"/>
          </w:r>
          <w:r w:rsidRPr="00620511">
            <w:rPr>
              <w:rFonts w:ascii="Arial" w:hAnsi="Arial" w:cs="Arial"/>
            </w:rPr>
            <w:instrText xml:space="preserve"> TOC \h \u \z </w:instrText>
          </w:r>
          <w:r w:rsidRPr="00620511">
            <w:rPr>
              <w:rFonts w:ascii="Arial" w:hAnsi="Arial" w:cs="Arial"/>
            </w:rPr>
            <w:fldChar w:fldCharType="separate"/>
          </w:r>
          <w:hyperlink w:anchor="_heading=h.imdq4f2sqzkg">
            <w:r w:rsidRPr="00620511">
              <w:rPr>
                <w:rFonts w:ascii="Arial" w:eastAsia="Times New Roman" w:hAnsi="Arial" w:cs="Arial"/>
                <w:b/>
                <w:color w:val="000000"/>
              </w:rPr>
              <w:t>Introduction</w:t>
            </w:r>
          </w:hyperlink>
          <w:r w:rsidRPr="00620511">
            <w:rPr>
              <w:rFonts w:ascii="Arial" w:eastAsia="Times New Roman" w:hAnsi="Arial" w:cs="Arial"/>
              <w:b/>
              <w:color w:val="000000"/>
            </w:rPr>
            <w:tab/>
          </w:r>
          <w:r w:rsidRPr="00620511">
            <w:rPr>
              <w:rFonts w:ascii="Arial" w:hAnsi="Arial" w:cs="Arial"/>
            </w:rPr>
            <w:fldChar w:fldCharType="begin"/>
          </w:r>
          <w:r w:rsidRPr="00620511">
            <w:rPr>
              <w:rFonts w:ascii="Arial" w:hAnsi="Arial" w:cs="Arial"/>
            </w:rPr>
            <w:instrText xml:space="preserve"> PAGEREF _heading=h.imdq4f2sqzkg \h </w:instrText>
          </w:r>
          <w:r w:rsidRPr="00620511">
            <w:rPr>
              <w:rFonts w:ascii="Arial" w:hAnsi="Arial" w:cs="Arial"/>
            </w:rPr>
          </w:r>
          <w:r w:rsidRPr="00620511">
            <w:rPr>
              <w:rFonts w:ascii="Arial" w:hAnsi="Arial" w:cs="Arial"/>
            </w:rPr>
            <w:fldChar w:fldCharType="separate"/>
          </w:r>
          <w:r w:rsidRPr="00620511">
            <w:rPr>
              <w:rFonts w:ascii="Arial" w:eastAsia="Times New Roman" w:hAnsi="Arial" w:cs="Arial"/>
              <w:b/>
              <w:color w:val="000000"/>
            </w:rPr>
            <w:t>2</w:t>
          </w:r>
          <w:r w:rsidRPr="00620511">
            <w:rPr>
              <w:rFonts w:ascii="Arial" w:hAnsi="Arial" w:cs="Arial"/>
            </w:rPr>
            <w:fldChar w:fldCharType="end"/>
          </w:r>
        </w:p>
        <w:p w14:paraId="2D163E55" w14:textId="77777777" w:rsidR="005E6A87" w:rsidRPr="00620511" w:rsidRDefault="001727E6">
          <w:pPr>
            <w:tabs>
              <w:tab w:val="right" w:pos="9025"/>
            </w:tabs>
            <w:spacing w:before="200" w:line="240" w:lineRule="auto"/>
            <w:rPr>
              <w:rFonts w:ascii="Arial" w:hAnsi="Arial" w:cs="Arial"/>
            </w:rPr>
          </w:pPr>
          <w:hyperlink w:anchor="_heading=h.5v8d75t4z1lq">
            <w:r w:rsidR="00AF788A" w:rsidRPr="00620511">
              <w:rPr>
                <w:rFonts w:ascii="Arial" w:hAnsi="Arial" w:cs="Arial"/>
                <w:b/>
              </w:rPr>
              <w:t>Analysis and evaluation of BMW’s dividend distribution policy</w:t>
            </w:r>
          </w:hyperlink>
          <w:r w:rsidR="00AF788A" w:rsidRPr="00620511">
            <w:rPr>
              <w:rFonts w:ascii="Arial" w:hAnsi="Arial" w:cs="Arial"/>
              <w:b/>
            </w:rPr>
            <w:tab/>
          </w:r>
          <w:r w:rsidR="00AF788A" w:rsidRPr="00620511">
            <w:rPr>
              <w:rFonts w:ascii="Arial" w:hAnsi="Arial" w:cs="Arial"/>
            </w:rPr>
            <w:fldChar w:fldCharType="begin"/>
          </w:r>
          <w:r w:rsidR="00AF788A" w:rsidRPr="00620511">
            <w:rPr>
              <w:rFonts w:ascii="Arial" w:hAnsi="Arial" w:cs="Arial"/>
            </w:rPr>
            <w:instrText xml:space="preserve"> PAGEREF _heading=h.5v8d75t4z1lq \h </w:instrText>
          </w:r>
          <w:r w:rsidR="00AF788A" w:rsidRPr="00620511">
            <w:rPr>
              <w:rFonts w:ascii="Arial" w:hAnsi="Arial" w:cs="Arial"/>
            </w:rPr>
          </w:r>
          <w:r w:rsidR="00AF788A" w:rsidRPr="00620511">
            <w:rPr>
              <w:rFonts w:ascii="Arial" w:hAnsi="Arial" w:cs="Arial"/>
            </w:rPr>
            <w:fldChar w:fldCharType="separate"/>
          </w:r>
          <w:r w:rsidR="00AF788A" w:rsidRPr="00620511">
            <w:rPr>
              <w:rFonts w:ascii="Arial" w:hAnsi="Arial" w:cs="Arial"/>
              <w:b/>
            </w:rPr>
            <w:t>2</w:t>
          </w:r>
          <w:r w:rsidR="00AF788A" w:rsidRPr="00620511">
            <w:rPr>
              <w:rFonts w:ascii="Arial" w:hAnsi="Arial" w:cs="Arial"/>
            </w:rPr>
            <w:fldChar w:fldCharType="end"/>
          </w:r>
        </w:p>
        <w:p w14:paraId="2D163E56" w14:textId="77777777" w:rsidR="005E6A87" w:rsidRPr="00620511" w:rsidRDefault="001727E6">
          <w:pPr>
            <w:tabs>
              <w:tab w:val="right" w:pos="9025"/>
            </w:tabs>
            <w:spacing w:before="60" w:line="240" w:lineRule="auto"/>
            <w:ind w:left="720"/>
            <w:rPr>
              <w:rFonts w:ascii="Arial" w:eastAsia="Times New Roman" w:hAnsi="Arial" w:cs="Arial"/>
              <w:color w:val="000000"/>
            </w:rPr>
          </w:pPr>
          <w:hyperlink w:anchor="_heading=h.l27f0ap0962h">
            <w:r w:rsidR="00AF788A" w:rsidRPr="00620511">
              <w:rPr>
                <w:rFonts w:ascii="Arial" w:eastAsia="Times New Roman" w:hAnsi="Arial" w:cs="Arial"/>
                <w:color w:val="000000"/>
              </w:rPr>
              <w:t>Figure: BMW’s equity investors by region</w:t>
            </w:r>
          </w:hyperlink>
          <w:r w:rsidR="00AF788A" w:rsidRPr="00620511">
            <w:rPr>
              <w:rFonts w:ascii="Arial" w:eastAsia="Times New Roman" w:hAnsi="Arial" w:cs="Arial"/>
              <w:color w:val="000000"/>
            </w:rPr>
            <w:tab/>
          </w:r>
          <w:r w:rsidR="00AF788A" w:rsidRPr="00620511">
            <w:rPr>
              <w:rFonts w:ascii="Arial" w:hAnsi="Arial" w:cs="Arial"/>
            </w:rPr>
            <w:fldChar w:fldCharType="begin"/>
          </w:r>
          <w:r w:rsidR="00AF788A" w:rsidRPr="00620511">
            <w:rPr>
              <w:rFonts w:ascii="Arial" w:hAnsi="Arial" w:cs="Arial"/>
            </w:rPr>
            <w:instrText xml:space="preserve"> PAGEREF _heading=h.l27f0ap0962h \h </w:instrText>
          </w:r>
          <w:r w:rsidR="00AF788A" w:rsidRPr="00620511">
            <w:rPr>
              <w:rFonts w:ascii="Arial" w:hAnsi="Arial" w:cs="Arial"/>
            </w:rPr>
          </w:r>
          <w:r w:rsidR="00AF788A" w:rsidRPr="00620511">
            <w:rPr>
              <w:rFonts w:ascii="Arial" w:hAnsi="Arial" w:cs="Arial"/>
            </w:rPr>
            <w:fldChar w:fldCharType="separate"/>
          </w:r>
          <w:r w:rsidR="00AF788A" w:rsidRPr="00620511">
            <w:rPr>
              <w:rFonts w:ascii="Arial" w:eastAsia="Times New Roman" w:hAnsi="Arial" w:cs="Arial"/>
              <w:color w:val="000000"/>
            </w:rPr>
            <w:t>2</w:t>
          </w:r>
          <w:r w:rsidR="00AF788A" w:rsidRPr="00620511">
            <w:rPr>
              <w:rFonts w:ascii="Arial" w:hAnsi="Arial" w:cs="Arial"/>
            </w:rPr>
            <w:fldChar w:fldCharType="end"/>
          </w:r>
        </w:p>
        <w:p w14:paraId="2D163E57" w14:textId="77777777" w:rsidR="005E6A87" w:rsidRPr="00620511" w:rsidRDefault="001727E6">
          <w:pPr>
            <w:tabs>
              <w:tab w:val="right" w:pos="9025"/>
            </w:tabs>
            <w:spacing w:before="200" w:line="240" w:lineRule="auto"/>
            <w:rPr>
              <w:rFonts w:ascii="Arial" w:eastAsia="Times New Roman" w:hAnsi="Arial" w:cs="Arial"/>
              <w:b/>
              <w:color w:val="000000"/>
            </w:rPr>
          </w:pPr>
          <w:hyperlink w:anchor="_heading=h.uz4ough8gc06">
            <w:r w:rsidR="00AF788A" w:rsidRPr="00620511">
              <w:rPr>
                <w:rFonts w:ascii="Arial" w:eastAsia="Times New Roman" w:hAnsi="Arial" w:cs="Arial"/>
                <w:b/>
                <w:color w:val="000000"/>
              </w:rPr>
              <w:t>Analysis of BMW using the efficient market hypothesis theory</w:t>
            </w:r>
          </w:hyperlink>
          <w:r w:rsidR="00AF788A" w:rsidRPr="00620511">
            <w:rPr>
              <w:rFonts w:ascii="Arial" w:eastAsia="Times New Roman" w:hAnsi="Arial" w:cs="Arial"/>
              <w:b/>
              <w:color w:val="000000"/>
            </w:rPr>
            <w:tab/>
          </w:r>
          <w:r w:rsidR="00AF788A" w:rsidRPr="00620511">
            <w:rPr>
              <w:rFonts w:ascii="Arial" w:hAnsi="Arial" w:cs="Arial"/>
            </w:rPr>
            <w:fldChar w:fldCharType="begin"/>
          </w:r>
          <w:r w:rsidR="00AF788A" w:rsidRPr="00620511">
            <w:rPr>
              <w:rFonts w:ascii="Arial" w:hAnsi="Arial" w:cs="Arial"/>
            </w:rPr>
            <w:instrText xml:space="preserve"> PAGEREF _heading=h.uz4ough8gc06 \h </w:instrText>
          </w:r>
          <w:r w:rsidR="00AF788A" w:rsidRPr="00620511">
            <w:rPr>
              <w:rFonts w:ascii="Arial" w:hAnsi="Arial" w:cs="Arial"/>
            </w:rPr>
          </w:r>
          <w:r w:rsidR="00AF788A" w:rsidRPr="00620511">
            <w:rPr>
              <w:rFonts w:ascii="Arial" w:hAnsi="Arial" w:cs="Arial"/>
            </w:rPr>
            <w:fldChar w:fldCharType="separate"/>
          </w:r>
          <w:r w:rsidR="00AF788A" w:rsidRPr="00620511">
            <w:rPr>
              <w:rFonts w:ascii="Arial" w:eastAsia="Times New Roman" w:hAnsi="Arial" w:cs="Arial"/>
              <w:b/>
              <w:color w:val="000000"/>
            </w:rPr>
            <w:t>3</w:t>
          </w:r>
          <w:r w:rsidR="00AF788A" w:rsidRPr="00620511">
            <w:rPr>
              <w:rFonts w:ascii="Arial" w:hAnsi="Arial" w:cs="Arial"/>
            </w:rPr>
            <w:fldChar w:fldCharType="end"/>
          </w:r>
        </w:p>
        <w:p w14:paraId="2D163E58" w14:textId="77777777" w:rsidR="005E6A87" w:rsidRPr="00620511" w:rsidRDefault="001727E6">
          <w:pPr>
            <w:tabs>
              <w:tab w:val="right" w:pos="9025"/>
            </w:tabs>
            <w:spacing w:before="200" w:line="240" w:lineRule="auto"/>
            <w:rPr>
              <w:rFonts w:ascii="Arial" w:eastAsia="Times New Roman" w:hAnsi="Arial" w:cs="Arial"/>
              <w:b/>
              <w:color w:val="000000"/>
            </w:rPr>
          </w:pPr>
          <w:hyperlink w:anchor="_heading=h.qnqxuponix1d">
            <w:r w:rsidR="00AF788A" w:rsidRPr="00620511">
              <w:rPr>
                <w:rFonts w:ascii="Arial" w:eastAsia="Times New Roman" w:hAnsi="Arial" w:cs="Arial"/>
                <w:b/>
                <w:color w:val="000000"/>
              </w:rPr>
              <w:t>Analysis of BMW’s methods of appraising projects</w:t>
            </w:r>
          </w:hyperlink>
          <w:r w:rsidR="00AF788A" w:rsidRPr="00620511">
            <w:rPr>
              <w:rFonts w:ascii="Arial" w:eastAsia="Times New Roman" w:hAnsi="Arial" w:cs="Arial"/>
              <w:b/>
              <w:color w:val="000000"/>
            </w:rPr>
            <w:tab/>
          </w:r>
          <w:r w:rsidR="00AF788A" w:rsidRPr="00620511">
            <w:rPr>
              <w:rFonts w:ascii="Arial" w:hAnsi="Arial" w:cs="Arial"/>
            </w:rPr>
            <w:fldChar w:fldCharType="begin"/>
          </w:r>
          <w:r w:rsidR="00AF788A" w:rsidRPr="00620511">
            <w:rPr>
              <w:rFonts w:ascii="Arial" w:hAnsi="Arial" w:cs="Arial"/>
            </w:rPr>
            <w:instrText xml:space="preserve"> PAGEREF _heading=h.qnqxuponix1d \h </w:instrText>
          </w:r>
          <w:r w:rsidR="00AF788A" w:rsidRPr="00620511">
            <w:rPr>
              <w:rFonts w:ascii="Arial" w:hAnsi="Arial" w:cs="Arial"/>
            </w:rPr>
          </w:r>
          <w:r w:rsidR="00AF788A" w:rsidRPr="00620511">
            <w:rPr>
              <w:rFonts w:ascii="Arial" w:hAnsi="Arial" w:cs="Arial"/>
            </w:rPr>
            <w:fldChar w:fldCharType="separate"/>
          </w:r>
          <w:r w:rsidR="00AF788A" w:rsidRPr="00620511">
            <w:rPr>
              <w:rFonts w:ascii="Arial" w:eastAsia="Times New Roman" w:hAnsi="Arial" w:cs="Arial"/>
              <w:b/>
              <w:color w:val="000000"/>
            </w:rPr>
            <w:t>4</w:t>
          </w:r>
          <w:r w:rsidR="00AF788A" w:rsidRPr="00620511">
            <w:rPr>
              <w:rFonts w:ascii="Arial" w:hAnsi="Arial" w:cs="Arial"/>
            </w:rPr>
            <w:fldChar w:fldCharType="end"/>
          </w:r>
        </w:p>
        <w:p w14:paraId="2D163E59" w14:textId="77777777" w:rsidR="005E6A87" w:rsidRPr="00620511" w:rsidRDefault="001727E6">
          <w:pPr>
            <w:tabs>
              <w:tab w:val="right" w:pos="9025"/>
            </w:tabs>
            <w:spacing w:before="60" w:line="240" w:lineRule="auto"/>
            <w:ind w:left="720"/>
            <w:rPr>
              <w:rFonts w:ascii="Arial" w:eastAsia="Times New Roman" w:hAnsi="Arial" w:cs="Arial"/>
              <w:color w:val="000000"/>
            </w:rPr>
          </w:pPr>
          <w:hyperlink w:anchor="_heading=h.8z2y7w19uu3y">
            <w:r w:rsidR="00AF788A" w:rsidRPr="00620511">
              <w:rPr>
                <w:rFonts w:ascii="Arial" w:eastAsia="Times New Roman" w:hAnsi="Arial" w:cs="Arial"/>
                <w:color w:val="000000"/>
              </w:rPr>
              <w:t>Table: Examples of BMW’s KPIs</w:t>
            </w:r>
          </w:hyperlink>
          <w:r w:rsidR="00AF788A" w:rsidRPr="00620511">
            <w:rPr>
              <w:rFonts w:ascii="Arial" w:eastAsia="Times New Roman" w:hAnsi="Arial" w:cs="Arial"/>
              <w:color w:val="000000"/>
            </w:rPr>
            <w:tab/>
          </w:r>
          <w:r w:rsidR="00AF788A" w:rsidRPr="00620511">
            <w:rPr>
              <w:rFonts w:ascii="Arial" w:hAnsi="Arial" w:cs="Arial"/>
            </w:rPr>
            <w:fldChar w:fldCharType="begin"/>
          </w:r>
          <w:r w:rsidR="00AF788A" w:rsidRPr="00620511">
            <w:rPr>
              <w:rFonts w:ascii="Arial" w:hAnsi="Arial" w:cs="Arial"/>
            </w:rPr>
            <w:instrText xml:space="preserve"> PAGEREF _heading=h.8z2y7w19uu3y \h </w:instrText>
          </w:r>
          <w:r w:rsidR="00AF788A" w:rsidRPr="00620511">
            <w:rPr>
              <w:rFonts w:ascii="Arial" w:hAnsi="Arial" w:cs="Arial"/>
            </w:rPr>
          </w:r>
          <w:r w:rsidR="00AF788A" w:rsidRPr="00620511">
            <w:rPr>
              <w:rFonts w:ascii="Arial" w:hAnsi="Arial" w:cs="Arial"/>
            </w:rPr>
            <w:fldChar w:fldCharType="separate"/>
          </w:r>
          <w:r w:rsidR="00AF788A" w:rsidRPr="00620511">
            <w:rPr>
              <w:rFonts w:ascii="Arial" w:eastAsia="Times New Roman" w:hAnsi="Arial" w:cs="Arial"/>
              <w:color w:val="000000"/>
            </w:rPr>
            <w:t>5</w:t>
          </w:r>
          <w:r w:rsidR="00AF788A" w:rsidRPr="00620511">
            <w:rPr>
              <w:rFonts w:ascii="Arial" w:hAnsi="Arial" w:cs="Arial"/>
            </w:rPr>
            <w:fldChar w:fldCharType="end"/>
          </w:r>
        </w:p>
        <w:p w14:paraId="2D163E5A" w14:textId="77777777" w:rsidR="005E6A87" w:rsidRPr="00620511" w:rsidRDefault="001727E6">
          <w:pPr>
            <w:tabs>
              <w:tab w:val="right" w:pos="9025"/>
            </w:tabs>
            <w:spacing w:before="200" w:line="240" w:lineRule="auto"/>
            <w:rPr>
              <w:rFonts w:ascii="Arial" w:eastAsia="Times New Roman" w:hAnsi="Arial" w:cs="Arial"/>
              <w:b/>
              <w:color w:val="000000"/>
            </w:rPr>
          </w:pPr>
          <w:hyperlink w:anchor="_heading=h.e9gt5tdgyrxe">
            <w:r w:rsidR="00AF788A" w:rsidRPr="00620511">
              <w:rPr>
                <w:rFonts w:ascii="Arial" w:eastAsia="Times New Roman" w:hAnsi="Arial" w:cs="Arial"/>
                <w:b/>
                <w:color w:val="000000"/>
              </w:rPr>
              <w:t>Conclusion</w:t>
            </w:r>
          </w:hyperlink>
          <w:r w:rsidR="00AF788A" w:rsidRPr="00620511">
            <w:rPr>
              <w:rFonts w:ascii="Arial" w:eastAsia="Times New Roman" w:hAnsi="Arial" w:cs="Arial"/>
              <w:b/>
              <w:color w:val="000000"/>
            </w:rPr>
            <w:tab/>
          </w:r>
          <w:r w:rsidR="00AF788A" w:rsidRPr="00620511">
            <w:rPr>
              <w:rFonts w:ascii="Arial" w:hAnsi="Arial" w:cs="Arial"/>
            </w:rPr>
            <w:fldChar w:fldCharType="begin"/>
          </w:r>
          <w:r w:rsidR="00AF788A" w:rsidRPr="00620511">
            <w:rPr>
              <w:rFonts w:ascii="Arial" w:hAnsi="Arial" w:cs="Arial"/>
            </w:rPr>
            <w:instrText xml:space="preserve"> PAGEREF _heading=h.e9gt5tdgyrxe \h </w:instrText>
          </w:r>
          <w:r w:rsidR="00AF788A" w:rsidRPr="00620511">
            <w:rPr>
              <w:rFonts w:ascii="Arial" w:hAnsi="Arial" w:cs="Arial"/>
            </w:rPr>
          </w:r>
          <w:r w:rsidR="00AF788A" w:rsidRPr="00620511">
            <w:rPr>
              <w:rFonts w:ascii="Arial" w:hAnsi="Arial" w:cs="Arial"/>
            </w:rPr>
            <w:fldChar w:fldCharType="separate"/>
          </w:r>
          <w:r w:rsidR="00AF788A" w:rsidRPr="00620511">
            <w:rPr>
              <w:rFonts w:ascii="Arial" w:eastAsia="Times New Roman" w:hAnsi="Arial" w:cs="Arial"/>
              <w:b/>
              <w:color w:val="000000"/>
            </w:rPr>
            <w:t>5</w:t>
          </w:r>
          <w:r w:rsidR="00AF788A" w:rsidRPr="00620511">
            <w:rPr>
              <w:rFonts w:ascii="Arial" w:hAnsi="Arial" w:cs="Arial"/>
            </w:rPr>
            <w:fldChar w:fldCharType="end"/>
          </w:r>
        </w:p>
        <w:p w14:paraId="2D163E5B" w14:textId="77777777" w:rsidR="005E6A87" w:rsidRPr="00620511" w:rsidRDefault="001727E6">
          <w:pPr>
            <w:tabs>
              <w:tab w:val="right" w:pos="9025"/>
            </w:tabs>
            <w:spacing w:before="200" w:after="80" w:line="240" w:lineRule="auto"/>
            <w:rPr>
              <w:rFonts w:ascii="Arial" w:hAnsi="Arial" w:cs="Arial"/>
            </w:rPr>
          </w:pPr>
          <w:hyperlink w:anchor="_heading=h.jvjs95tcy9sw">
            <w:r w:rsidR="00AF788A" w:rsidRPr="00620511">
              <w:rPr>
                <w:rFonts w:ascii="Arial" w:hAnsi="Arial" w:cs="Arial"/>
                <w:b/>
              </w:rPr>
              <w:t>References</w:t>
            </w:r>
          </w:hyperlink>
          <w:r w:rsidR="00AF788A" w:rsidRPr="00620511">
            <w:rPr>
              <w:rFonts w:ascii="Arial" w:hAnsi="Arial" w:cs="Arial"/>
              <w:b/>
            </w:rPr>
            <w:tab/>
          </w:r>
          <w:r w:rsidR="00AF788A" w:rsidRPr="00620511">
            <w:rPr>
              <w:rFonts w:ascii="Arial" w:hAnsi="Arial" w:cs="Arial"/>
            </w:rPr>
            <w:fldChar w:fldCharType="begin"/>
          </w:r>
          <w:r w:rsidR="00AF788A" w:rsidRPr="00620511">
            <w:rPr>
              <w:rFonts w:ascii="Arial" w:hAnsi="Arial" w:cs="Arial"/>
            </w:rPr>
            <w:instrText xml:space="preserve"> PAGEREF _heading=h.jvjs95tcy9sw \h </w:instrText>
          </w:r>
          <w:r w:rsidR="00AF788A" w:rsidRPr="00620511">
            <w:rPr>
              <w:rFonts w:ascii="Arial" w:hAnsi="Arial" w:cs="Arial"/>
            </w:rPr>
          </w:r>
          <w:r w:rsidR="00AF788A" w:rsidRPr="00620511">
            <w:rPr>
              <w:rFonts w:ascii="Arial" w:hAnsi="Arial" w:cs="Arial"/>
            </w:rPr>
            <w:fldChar w:fldCharType="separate"/>
          </w:r>
          <w:r w:rsidR="00AF788A" w:rsidRPr="00620511">
            <w:rPr>
              <w:rFonts w:ascii="Arial" w:hAnsi="Arial" w:cs="Arial"/>
              <w:b/>
            </w:rPr>
            <w:t>7</w:t>
          </w:r>
          <w:r w:rsidR="00AF788A" w:rsidRPr="00620511">
            <w:rPr>
              <w:rFonts w:ascii="Arial" w:hAnsi="Arial" w:cs="Arial"/>
            </w:rPr>
            <w:fldChar w:fldCharType="end"/>
          </w:r>
          <w:r w:rsidR="00AF788A" w:rsidRPr="00620511">
            <w:rPr>
              <w:rFonts w:ascii="Arial" w:hAnsi="Arial" w:cs="Arial"/>
            </w:rPr>
            <w:fldChar w:fldCharType="end"/>
          </w:r>
        </w:p>
      </w:sdtContent>
    </w:sdt>
    <w:p w14:paraId="2D163E5C" w14:textId="77777777" w:rsidR="005E6A87" w:rsidRPr="00620511" w:rsidRDefault="005E6A87">
      <w:pPr>
        <w:rPr>
          <w:rFonts w:ascii="Arial" w:hAnsi="Arial" w:cs="Arial"/>
          <w:b/>
        </w:rPr>
      </w:pPr>
    </w:p>
    <w:p w14:paraId="2D163E5D" w14:textId="77777777" w:rsidR="005E6A87" w:rsidRPr="00620511" w:rsidRDefault="00AF788A">
      <w:pPr>
        <w:rPr>
          <w:rFonts w:ascii="Arial" w:hAnsi="Arial" w:cs="Arial"/>
          <w:b/>
        </w:rPr>
      </w:pPr>
      <w:r w:rsidRPr="00620511">
        <w:rPr>
          <w:rFonts w:ascii="Arial" w:hAnsi="Arial" w:cs="Arial"/>
        </w:rPr>
        <w:br w:type="page"/>
      </w:r>
    </w:p>
    <w:p w14:paraId="2D163E5E" w14:textId="77777777" w:rsidR="005E6A87" w:rsidRPr="00620511" w:rsidRDefault="00AF788A">
      <w:pPr>
        <w:pStyle w:val="Heading1"/>
        <w:rPr>
          <w:rFonts w:ascii="Arial" w:hAnsi="Arial" w:cs="Arial"/>
          <w:sz w:val="24"/>
          <w:szCs w:val="24"/>
        </w:rPr>
      </w:pPr>
      <w:bookmarkStart w:id="0" w:name="_heading=h.imdq4f2sqzkg" w:colFirst="0" w:colLast="0"/>
      <w:bookmarkEnd w:id="0"/>
      <w:r w:rsidRPr="00620511">
        <w:rPr>
          <w:rFonts w:ascii="Arial" w:hAnsi="Arial" w:cs="Arial"/>
          <w:sz w:val="24"/>
          <w:szCs w:val="24"/>
        </w:rPr>
        <w:lastRenderedPageBreak/>
        <w:t>Introduction</w:t>
      </w:r>
    </w:p>
    <w:p w14:paraId="2D163E5F" w14:textId="77777777" w:rsidR="005E6A87" w:rsidRPr="00620511" w:rsidRDefault="00AF788A">
      <w:pPr>
        <w:rPr>
          <w:rFonts w:ascii="Arial" w:hAnsi="Arial" w:cs="Arial"/>
        </w:rPr>
      </w:pPr>
      <w:r w:rsidRPr="00620511">
        <w:rPr>
          <w:rFonts w:ascii="Arial" w:hAnsi="Arial" w:cs="Arial"/>
        </w:rPr>
        <w:t xml:space="preserve">The present report contextualises the use of international financial management in three aspects by BMW AG, one of the industry leaders and a German manufacturer of automobiles. The company’s Dividend Distribution Policy has been analysed and evaluated, which </w:t>
      </w:r>
      <w:proofErr w:type="gramStart"/>
      <w:r w:rsidRPr="00620511">
        <w:rPr>
          <w:rFonts w:ascii="Arial" w:hAnsi="Arial" w:cs="Arial"/>
        </w:rPr>
        <w:t>takes into account</w:t>
      </w:r>
      <w:proofErr w:type="gramEnd"/>
      <w:r w:rsidRPr="00620511">
        <w:rPr>
          <w:rFonts w:ascii="Arial" w:hAnsi="Arial" w:cs="Arial"/>
        </w:rPr>
        <w:t xml:space="preserve"> its equity relations with stakeholders. Following this, its functions and operations are contextualised around the concept of the Efficient Market Hypothesis theory, with special focus on its uses of international financial management in skirting the risks of foreign exchange rates. Finally, the present study offers an overview of the various methods the brand uses to appraise its projects. </w:t>
      </w:r>
    </w:p>
    <w:p w14:paraId="2D163E60" w14:textId="77777777" w:rsidR="005E6A87" w:rsidRPr="00620511" w:rsidRDefault="005E6A87">
      <w:pPr>
        <w:rPr>
          <w:rFonts w:ascii="Arial" w:hAnsi="Arial" w:cs="Arial"/>
        </w:rPr>
      </w:pPr>
    </w:p>
    <w:p w14:paraId="2D163E61" w14:textId="77777777" w:rsidR="005E6A87" w:rsidRPr="00620511" w:rsidRDefault="00AF788A">
      <w:pPr>
        <w:pStyle w:val="Heading1"/>
        <w:rPr>
          <w:rFonts w:ascii="Arial" w:hAnsi="Arial" w:cs="Arial"/>
          <w:sz w:val="24"/>
          <w:szCs w:val="24"/>
        </w:rPr>
      </w:pPr>
      <w:bookmarkStart w:id="1" w:name="_heading=h.5v8d75t4z1lq" w:colFirst="0" w:colLast="0"/>
      <w:bookmarkEnd w:id="1"/>
      <w:r w:rsidRPr="00620511">
        <w:rPr>
          <w:rFonts w:ascii="Arial" w:hAnsi="Arial" w:cs="Arial"/>
          <w:sz w:val="24"/>
          <w:szCs w:val="24"/>
        </w:rPr>
        <w:t>Analysis and evaluation of BMW’s dividend distribution policy</w:t>
      </w:r>
    </w:p>
    <w:p w14:paraId="2D163E62" w14:textId="77777777" w:rsidR="005E6A87" w:rsidRPr="00620511" w:rsidRDefault="00AF788A">
      <w:pPr>
        <w:spacing w:after="0"/>
        <w:rPr>
          <w:rFonts w:ascii="Arial" w:hAnsi="Arial" w:cs="Arial"/>
        </w:rPr>
      </w:pPr>
      <w:r w:rsidRPr="00620511">
        <w:rPr>
          <w:rFonts w:ascii="Arial" w:hAnsi="Arial" w:cs="Arial"/>
        </w:rPr>
        <w:t xml:space="preserve">As stated by BMW (2021), the company’s Dividend Distribution Policy was published as part of its annual report </w:t>
      </w:r>
      <w:proofErr w:type="gramStart"/>
      <w:r w:rsidRPr="00620511">
        <w:rPr>
          <w:rFonts w:ascii="Arial" w:hAnsi="Arial" w:cs="Arial"/>
        </w:rPr>
        <w:t>in order to</w:t>
      </w:r>
      <w:proofErr w:type="gramEnd"/>
      <w:r w:rsidRPr="00620511">
        <w:rPr>
          <w:rFonts w:ascii="Arial" w:hAnsi="Arial" w:cs="Arial"/>
        </w:rPr>
        <w:t xml:space="preserve"> comply with official regulations. This is mandatory for all companies listed in the top 1000. The Dividend Distribution Policy of BMW follows a philosophy of driving superior creation of value for the benefit of its stakeholders. The company focuses on sustainable returns and seeks to implement this by using a capital strategy. This capital strategy focuses on medium-term as well as long-term value creation for BMW’s stakeholders. The company only operates with one class of shares, which are of the equity kind. The following is the geographical distribution of its stakeholders.</w:t>
      </w:r>
    </w:p>
    <w:p w14:paraId="2D163E63" w14:textId="77777777" w:rsidR="005E6A87" w:rsidRPr="00620511" w:rsidRDefault="005E6A87">
      <w:pPr>
        <w:spacing w:after="0"/>
        <w:rPr>
          <w:rFonts w:ascii="Arial" w:hAnsi="Arial" w:cs="Arial"/>
        </w:rPr>
      </w:pPr>
    </w:p>
    <w:p w14:paraId="2D163E64" w14:textId="77777777" w:rsidR="005E6A87" w:rsidRPr="00620511" w:rsidRDefault="00AF788A">
      <w:pPr>
        <w:spacing w:after="0"/>
        <w:jc w:val="center"/>
        <w:rPr>
          <w:rFonts w:ascii="Arial" w:hAnsi="Arial" w:cs="Arial"/>
        </w:rPr>
      </w:pPr>
      <w:r w:rsidRPr="00620511">
        <w:rPr>
          <w:rFonts w:ascii="Arial" w:hAnsi="Arial" w:cs="Arial"/>
          <w:noProof/>
        </w:rPr>
        <w:drawing>
          <wp:inline distT="114300" distB="114300" distL="114300" distR="114300" wp14:anchorId="2D163E98" wp14:editId="2D163E99">
            <wp:extent cx="5305232" cy="1690911"/>
            <wp:effectExtent l="12700" t="12700" r="12700" b="127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l="9294" t="30206" r="10256" b="24207"/>
                    <a:stretch>
                      <a:fillRect/>
                    </a:stretch>
                  </pic:blipFill>
                  <pic:spPr>
                    <a:xfrm>
                      <a:off x="0" y="0"/>
                      <a:ext cx="5305232" cy="1690911"/>
                    </a:xfrm>
                    <a:prstGeom prst="rect">
                      <a:avLst/>
                    </a:prstGeom>
                    <a:ln w="12700">
                      <a:solidFill>
                        <a:srgbClr val="B7B7B7"/>
                      </a:solidFill>
                      <a:prstDash val="solid"/>
                    </a:ln>
                  </pic:spPr>
                </pic:pic>
              </a:graphicData>
            </a:graphic>
          </wp:inline>
        </w:drawing>
      </w:r>
    </w:p>
    <w:p w14:paraId="2D163E65" w14:textId="77777777" w:rsidR="005E6A87" w:rsidRPr="00620511" w:rsidRDefault="005E6A87">
      <w:pPr>
        <w:spacing w:after="0"/>
        <w:jc w:val="center"/>
        <w:rPr>
          <w:rFonts w:ascii="Arial" w:hAnsi="Arial" w:cs="Arial"/>
          <w:b/>
        </w:rPr>
      </w:pPr>
    </w:p>
    <w:p w14:paraId="2D163E66" w14:textId="77777777" w:rsidR="005E6A87" w:rsidRPr="00620511" w:rsidRDefault="00AF788A">
      <w:pPr>
        <w:pStyle w:val="Heading3"/>
        <w:spacing w:after="0"/>
        <w:jc w:val="center"/>
        <w:rPr>
          <w:rFonts w:ascii="Arial" w:hAnsi="Arial" w:cs="Arial"/>
          <w:sz w:val="24"/>
          <w:szCs w:val="24"/>
        </w:rPr>
      </w:pPr>
      <w:bookmarkStart w:id="2" w:name="_heading=h.l27f0ap0962h" w:colFirst="0" w:colLast="0"/>
      <w:bookmarkEnd w:id="2"/>
      <w:r w:rsidRPr="00620511">
        <w:rPr>
          <w:rFonts w:ascii="Arial" w:hAnsi="Arial" w:cs="Arial"/>
          <w:sz w:val="24"/>
          <w:szCs w:val="24"/>
        </w:rPr>
        <w:t>Figure: BMW’s equity investors by region</w:t>
      </w:r>
    </w:p>
    <w:p w14:paraId="2D163E67" w14:textId="77777777" w:rsidR="005E6A87" w:rsidRPr="00620511" w:rsidRDefault="00AF788A">
      <w:pPr>
        <w:spacing w:after="0"/>
        <w:jc w:val="center"/>
        <w:rPr>
          <w:rFonts w:ascii="Arial" w:hAnsi="Arial" w:cs="Arial"/>
        </w:rPr>
      </w:pPr>
      <w:r w:rsidRPr="00620511">
        <w:rPr>
          <w:rFonts w:ascii="Arial" w:hAnsi="Arial" w:cs="Arial"/>
        </w:rPr>
        <w:t>(Source: BMW, 2022)</w:t>
      </w:r>
    </w:p>
    <w:p w14:paraId="2D163E68" w14:textId="77777777" w:rsidR="005E6A87" w:rsidRPr="00620511" w:rsidRDefault="005E6A87">
      <w:pPr>
        <w:spacing w:after="0"/>
        <w:jc w:val="center"/>
        <w:rPr>
          <w:rFonts w:ascii="Arial" w:hAnsi="Arial" w:cs="Arial"/>
        </w:rPr>
      </w:pPr>
    </w:p>
    <w:p w14:paraId="2D163E69" w14:textId="5CAF7499" w:rsidR="005E6A87" w:rsidRPr="00620511" w:rsidRDefault="00AF788A">
      <w:pPr>
        <w:spacing w:after="0"/>
        <w:rPr>
          <w:rFonts w:ascii="Arial" w:hAnsi="Arial" w:cs="Arial"/>
        </w:rPr>
      </w:pPr>
      <w:r w:rsidRPr="00620511">
        <w:rPr>
          <w:rFonts w:ascii="Arial" w:hAnsi="Arial" w:cs="Arial"/>
        </w:rPr>
        <w:t xml:space="preserve">The policy of the company </w:t>
      </w:r>
      <w:r w:rsidR="00D904D0" w:rsidRPr="00620511">
        <w:rPr>
          <w:rFonts w:ascii="Arial" w:hAnsi="Arial" w:cs="Arial"/>
        </w:rPr>
        <w:t>considers</w:t>
      </w:r>
      <w:r w:rsidRPr="00620511">
        <w:rPr>
          <w:rFonts w:ascii="Arial" w:hAnsi="Arial" w:cs="Arial"/>
        </w:rPr>
        <w:t xml:space="preserve"> the financial requirements of the company and the present as well as future opportunities for growth before declaring the dividend. The company may not share its dividend with its stakeholders in four instances at any given point in time. These allude to times of the undertaking of a significant expansion, immediate requirements for higher working capital, the undertaking of acquisitions or joint ventures or in the event of losses or insufficient capital. Given that the company has an A rating in its credit system, its solvency, as well as high ratings on its S&amp;P as well as Moody’s long-term ratings, the company has a sound Dividend Distribution Policy. BMW also possesses good value based on its Price-To-Earnings Ratio as compared to the industry average.</w:t>
      </w:r>
    </w:p>
    <w:p w14:paraId="2D163E6A" w14:textId="77777777" w:rsidR="005E6A87" w:rsidRPr="00620511" w:rsidRDefault="005E6A87">
      <w:pPr>
        <w:spacing w:after="0"/>
        <w:rPr>
          <w:rFonts w:ascii="Arial" w:hAnsi="Arial" w:cs="Arial"/>
        </w:rPr>
      </w:pPr>
    </w:p>
    <w:p w14:paraId="2D163E6B" w14:textId="77777777" w:rsidR="005E6A87" w:rsidRPr="00620511" w:rsidRDefault="00AF788A">
      <w:pPr>
        <w:spacing w:after="0"/>
        <w:rPr>
          <w:rFonts w:ascii="Arial" w:hAnsi="Arial" w:cs="Arial"/>
        </w:rPr>
      </w:pPr>
      <w:r w:rsidRPr="00620511">
        <w:rPr>
          <w:rFonts w:ascii="Arial" w:hAnsi="Arial" w:cs="Arial"/>
        </w:rPr>
        <w:t xml:space="preserve">At the same time, as of March 2022, the company’s debt was over 10 billion pounds higher than its equity, with a debt/equity ratio of 115.9% (Simply Wall Street, 2022). Yet the company has a well-diversified debt system, with over 50% bonds, which gives the brand the potential to cover its losses (BMW, 2022). Furthermore, its net profits for the year 2021 were significantly higher than they were in the preceding 3 years (BMW, 2022). Further, according to the Financial Times (2020), the carmaker “has €19bn in gross liquidity and an untapped €8bn credit line”. As well as this, the automobile giant benefits from a clean and viable access line to international capital markets. Though criticised on occasion for massive </w:t>
      </w:r>
      <w:proofErr w:type="spellStart"/>
      <w:r w:rsidRPr="00620511">
        <w:rPr>
          <w:rFonts w:ascii="Arial" w:hAnsi="Arial" w:cs="Arial"/>
        </w:rPr>
        <w:t>payouts</w:t>
      </w:r>
      <w:proofErr w:type="spellEnd"/>
      <w:r w:rsidRPr="00620511">
        <w:rPr>
          <w:rFonts w:ascii="Arial" w:hAnsi="Arial" w:cs="Arial"/>
        </w:rPr>
        <w:t xml:space="preserve"> in times of looming recession, the brand has endured and continues to be a market leader (Bloomberg, 2020). All these indicate the sound and sustainable Dividend Distribution Policy for the business organisation in question.</w:t>
      </w:r>
    </w:p>
    <w:p w14:paraId="2D163E6C" w14:textId="77777777" w:rsidR="005E6A87" w:rsidRPr="00620511" w:rsidRDefault="005E6A87">
      <w:pPr>
        <w:rPr>
          <w:rFonts w:ascii="Arial" w:hAnsi="Arial" w:cs="Arial"/>
        </w:rPr>
      </w:pPr>
    </w:p>
    <w:p w14:paraId="2D163E6D" w14:textId="77777777" w:rsidR="005E6A87" w:rsidRPr="00620511" w:rsidRDefault="00AF788A">
      <w:pPr>
        <w:pStyle w:val="Heading1"/>
        <w:rPr>
          <w:rFonts w:ascii="Arial" w:hAnsi="Arial" w:cs="Arial"/>
          <w:sz w:val="24"/>
          <w:szCs w:val="24"/>
        </w:rPr>
      </w:pPr>
      <w:bookmarkStart w:id="3" w:name="_heading=h.uz4ough8gc06" w:colFirst="0" w:colLast="0"/>
      <w:bookmarkEnd w:id="3"/>
      <w:r w:rsidRPr="00620511">
        <w:rPr>
          <w:rFonts w:ascii="Arial" w:hAnsi="Arial" w:cs="Arial"/>
          <w:sz w:val="24"/>
          <w:szCs w:val="24"/>
        </w:rPr>
        <w:t>Analysis of BMW using the efficient market hypothesis theory</w:t>
      </w:r>
    </w:p>
    <w:p w14:paraId="2D163E6E" w14:textId="77777777" w:rsidR="005E6A87" w:rsidRPr="00620511" w:rsidRDefault="00AF788A">
      <w:pPr>
        <w:spacing w:after="0"/>
        <w:rPr>
          <w:rFonts w:ascii="Arial" w:hAnsi="Arial" w:cs="Arial"/>
        </w:rPr>
      </w:pPr>
      <w:r w:rsidRPr="00620511">
        <w:rPr>
          <w:rFonts w:ascii="Arial" w:hAnsi="Arial" w:cs="Arial"/>
        </w:rPr>
        <w:t xml:space="preserve">According to Forbes (2022), the Efficient Market Hypothesis operates on a specific assumption that states that all information that stakeholders require in relation to the prices of stocks is available and can be easily located by all the participants in the stock market. This assumption </w:t>
      </w:r>
      <w:proofErr w:type="gramStart"/>
      <w:r w:rsidRPr="00620511">
        <w:rPr>
          <w:rFonts w:ascii="Arial" w:hAnsi="Arial" w:cs="Arial"/>
        </w:rPr>
        <w:t>takes into account</w:t>
      </w:r>
      <w:proofErr w:type="gramEnd"/>
      <w:r w:rsidRPr="00620511">
        <w:rPr>
          <w:rFonts w:ascii="Arial" w:hAnsi="Arial" w:cs="Arial"/>
        </w:rPr>
        <w:t xml:space="preserve"> the idea that there is a vast number of buyers and sellers in the stock market. Among these, the information that is available to each of them is also available to everyone else. The movements of the </w:t>
      </w:r>
      <w:r w:rsidRPr="00620511">
        <w:rPr>
          <w:rFonts w:ascii="Arial" w:hAnsi="Arial" w:cs="Arial"/>
        </w:rPr>
        <w:lastRenderedPageBreak/>
        <w:t>stock of the company are expected to reflect this. As a result, according to the Efficient Market Hypothesis, there may be no incident where stocks are not traded at their fair values. In essence, this affects traders in that the fairness accorded by the theory to stock values may ensure that no measures of using analyses or market timing strategies may result in any individual outperforming another.</w:t>
      </w:r>
    </w:p>
    <w:p w14:paraId="2D163E6F" w14:textId="77777777" w:rsidR="005E6A87" w:rsidRPr="00620511" w:rsidRDefault="00AF788A">
      <w:pPr>
        <w:spacing w:after="0"/>
        <w:rPr>
          <w:rFonts w:ascii="Arial" w:hAnsi="Arial" w:cs="Arial"/>
        </w:rPr>
      </w:pPr>
      <w:r w:rsidRPr="00620511">
        <w:rPr>
          <w:rFonts w:ascii="Arial" w:hAnsi="Arial" w:cs="Arial"/>
        </w:rPr>
        <w:t xml:space="preserve">To study the effects of this theory on BMW, the context of the effects of the Hypothesis on foreign exchange rate may be considered. When the Efficient Market Hypothesis is applied to the foreign exchange markets, the efficiency of the information denotes the implication of having rational expectations about the future exchange rate and thus denotes </w:t>
      </w:r>
      <w:proofErr w:type="gramStart"/>
      <w:r w:rsidRPr="00620511">
        <w:rPr>
          <w:rFonts w:ascii="Arial" w:hAnsi="Arial" w:cs="Arial"/>
        </w:rPr>
        <w:t>that abnormal returns</w:t>
      </w:r>
      <w:proofErr w:type="gramEnd"/>
      <w:r w:rsidRPr="00620511">
        <w:rPr>
          <w:rFonts w:ascii="Arial" w:hAnsi="Arial" w:cs="Arial"/>
        </w:rPr>
        <w:t xml:space="preserve"> in the financial market contracts of a company may not be experienced. As per Financial Times (2012), a case study of BMW within this context reveals that the negative effects of risks in exchange rates experienced by the brand were overcome in the face of a crisis around 2009. The brand was able to practice good financial risk management and save its customers from facing the worst of the exchange rate crisis. It took a two-pronged approach to manage the exposure of its foreign exchange rate, by using a natural hedge policy to spend money in the same currency as it was being earned in a specific market. Further, it coupled this approach with that of using formal financial hedges and setting up treasury offices in its branches around the world. Therefore, by using the tools of international financial management in the face of an efficient market, the brand was able to move production to foreign markets as well as source parts overseas.</w:t>
      </w:r>
    </w:p>
    <w:p w14:paraId="2D163E70" w14:textId="77777777" w:rsidR="005E6A87" w:rsidRPr="00620511" w:rsidRDefault="005E6A87">
      <w:pPr>
        <w:spacing w:after="0"/>
        <w:rPr>
          <w:rFonts w:ascii="Arial" w:hAnsi="Arial" w:cs="Arial"/>
        </w:rPr>
      </w:pPr>
    </w:p>
    <w:p w14:paraId="2D163E71" w14:textId="77777777" w:rsidR="005E6A87" w:rsidRPr="00620511" w:rsidRDefault="00AF788A">
      <w:pPr>
        <w:pStyle w:val="Heading1"/>
        <w:rPr>
          <w:rFonts w:ascii="Arial" w:hAnsi="Arial" w:cs="Arial"/>
          <w:sz w:val="24"/>
          <w:szCs w:val="24"/>
        </w:rPr>
      </w:pPr>
      <w:bookmarkStart w:id="4" w:name="_heading=h.qnqxuponix1d" w:colFirst="0" w:colLast="0"/>
      <w:bookmarkEnd w:id="4"/>
      <w:r w:rsidRPr="00620511">
        <w:rPr>
          <w:rFonts w:ascii="Arial" w:hAnsi="Arial" w:cs="Arial"/>
          <w:sz w:val="24"/>
          <w:szCs w:val="24"/>
        </w:rPr>
        <w:t>Analysis of BMW’s methods of appraising projects</w:t>
      </w:r>
    </w:p>
    <w:p w14:paraId="2D163E72" w14:textId="77777777" w:rsidR="005E6A87" w:rsidRPr="00620511" w:rsidRDefault="00AF788A">
      <w:pPr>
        <w:rPr>
          <w:rFonts w:ascii="Arial" w:hAnsi="Arial" w:cs="Arial"/>
        </w:rPr>
      </w:pPr>
      <w:r w:rsidRPr="00620511">
        <w:rPr>
          <w:rFonts w:ascii="Arial" w:hAnsi="Arial" w:cs="Arial"/>
        </w:rPr>
        <w:t xml:space="preserve">The project appraisal process of BMW may be contextualised by its approach to designing the Sustainability Management Framework or SMS framework. According to a report by the Harvard Business Review (2002), the creative process that the brand took to approach this project included the consideration of the stakeholders’ desires and expectations, understanding possible user profiles and evaluating them, exploring the generation of </w:t>
      </w:r>
      <w:proofErr w:type="gramStart"/>
      <w:r w:rsidRPr="00620511">
        <w:rPr>
          <w:rFonts w:ascii="Arial" w:hAnsi="Arial" w:cs="Arial"/>
        </w:rPr>
        <w:t>ideas</w:t>
      </w:r>
      <w:proofErr w:type="gramEnd"/>
      <w:r w:rsidRPr="00620511">
        <w:rPr>
          <w:rFonts w:ascii="Arial" w:hAnsi="Arial" w:cs="Arial"/>
        </w:rPr>
        <w:t xml:space="preserve"> and visualising the project, refining the benchmark concepts of the ideated concept and finally implementing it. The project, ideated for the purpose of promoting the concept of sustainable development within BMW’s functions and operations, was approached by the brand’s environmental management team in a </w:t>
      </w:r>
      <w:r w:rsidRPr="00620511">
        <w:rPr>
          <w:rFonts w:ascii="Arial" w:hAnsi="Arial" w:cs="Arial"/>
        </w:rPr>
        <w:lastRenderedPageBreak/>
        <w:t xml:space="preserve">structured way. The action plan for the project, for instance, included detailed briefs for the departments of the brand that would be involved in the project, from design and engineering to marketing. The company developed </w:t>
      </w:r>
      <w:proofErr w:type="gramStart"/>
      <w:r w:rsidRPr="00620511">
        <w:rPr>
          <w:rFonts w:ascii="Arial" w:hAnsi="Arial" w:cs="Arial"/>
        </w:rPr>
        <w:t>a number of</w:t>
      </w:r>
      <w:proofErr w:type="gramEnd"/>
      <w:r w:rsidRPr="00620511">
        <w:rPr>
          <w:rFonts w:ascii="Arial" w:hAnsi="Arial" w:cs="Arial"/>
        </w:rPr>
        <w:t xml:space="preserve"> tools to enhance the performance of the project and reduce the environmental impact of their products and services.</w:t>
      </w:r>
    </w:p>
    <w:p w14:paraId="2D163E73" w14:textId="77777777" w:rsidR="005E6A87" w:rsidRPr="00620511" w:rsidRDefault="00AF788A">
      <w:pPr>
        <w:spacing w:after="0"/>
        <w:rPr>
          <w:rFonts w:ascii="Arial" w:hAnsi="Arial" w:cs="Arial"/>
        </w:rPr>
      </w:pPr>
      <w:r w:rsidRPr="00620511">
        <w:rPr>
          <w:rFonts w:ascii="Arial" w:hAnsi="Arial" w:cs="Arial"/>
        </w:rPr>
        <w:t xml:space="preserve">According to BMW (2019), there is also a system in place for the accounting and financial reporting processes undertaken by the brand. The brand practices the use of “group-wide mandatory accounting guidelines, controls integrated into processes and IT systems, organisational measures incorporating the principle of the separation of duties” and so on. Furthermore, the group sets out </w:t>
      </w:r>
      <w:proofErr w:type="gramStart"/>
      <w:r w:rsidRPr="00620511">
        <w:rPr>
          <w:rFonts w:ascii="Arial" w:hAnsi="Arial" w:cs="Arial"/>
        </w:rPr>
        <w:t>a number of</w:t>
      </w:r>
      <w:proofErr w:type="gramEnd"/>
      <w:r w:rsidRPr="00620511">
        <w:rPr>
          <w:rFonts w:ascii="Arial" w:hAnsi="Arial" w:cs="Arial"/>
        </w:rPr>
        <w:t xml:space="preserve"> Key Performance Indicators of the financial as well as non-financial kind which it uses to measure its progress and development.</w:t>
      </w:r>
    </w:p>
    <w:p w14:paraId="2D163E74" w14:textId="77777777" w:rsidR="005E6A87" w:rsidRPr="00620511" w:rsidRDefault="005E6A87">
      <w:pPr>
        <w:spacing w:after="0"/>
        <w:rPr>
          <w:rFonts w:ascii="Arial" w:hAnsi="Arial" w:cs="Arial"/>
        </w:rPr>
      </w:pPr>
    </w:p>
    <w:tbl>
      <w:tblPr>
        <w:tblStyle w:val="a"/>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3"/>
        <w:gridCol w:w="4513"/>
      </w:tblGrid>
      <w:tr w:rsidR="005E6A87" w:rsidRPr="00620511" w14:paraId="2D163E77" w14:textId="77777777">
        <w:tc>
          <w:tcPr>
            <w:tcW w:w="4513" w:type="dxa"/>
            <w:shd w:val="clear" w:color="auto" w:fill="auto"/>
            <w:tcMar>
              <w:top w:w="100" w:type="dxa"/>
              <w:left w:w="100" w:type="dxa"/>
              <w:bottom w:w="100" w:type="dxa"/>
              <w:right w:w="100" w:type="dxa"/>
            </w:tcMar>
          </w:tcPr>
          <w:p w14:paraId="2D163E75" w14:textId="77777777" w:rsidR="005E6A87" w:rsidRPr="00620511" w:rsidRDefault="00AF788A">
            <w:pPr>
              <w:widowControl w:val="0"/>
              <w:spacing w:after="0" w:line="240" w:lineRule="auto"/>
              <w:jc w:val="left"/>
              <w:rPr>
                <w:rFonts w:ascii="Arial" w:hAnsi="Arial" w:cs="Arial"/>
                <w:b/>
              </w:rPr>
            </w:pPr>
            <w:r w:rsidRPr="00620511">
              <w:rPr>
                <w:rFonts w:ascii="Arial" w:hAnsi="Arial" w:cs="Arial"/>
                <w:b/>
              </w:rPr>
              <w:t>Financial Indicators</w:t>
            </w:r>
          </w:p>
        </w:tc>
        <w:tc>
          <w:tcPr>
            <w:tcW w:w="4513" w:type="dxa"/>
            <w:shd w:val="clear" w:color="auto" w:fill="auto"/>
            <w:tcMar>
              <w:top w:w="100" w:type="dxa"/>
              <w:left w:w="100" w:type="dxa"/>
              <w:bottom w:w="100" w:type="dxa"/>
              <w:right w:w="100" w:type="dxa"/>
            </w:tcMar>
          </w:tcPr>
          <w:p w14:paraId="2D163E76" w14:textId="77777777" w:rsidR="005E6A87" w:rsidRPr="00620511" w:rsidRDefault="00AF788A">
            <w:pPr>
              <w:widowControl w:val="0"/>
              <w:spacing w:after="0" w:line="240" w:lineRule="auto"/>
              <w:jc w:val="left"/>
              <w:rPr>
                <w:rFonts w:ascii="Arial" w:hAnsi="Arial" w:cs="Arial"/>
                <w:b/>
              </w:rPr>
            </w:pPr>
            <w:r w:rsidRPr="00620511">
              <w:rPr>
                <w:rFonts w:ascii="Arial" w:hAnsi="Arial" w:cs="Arial"/>
                <w:b/>
              </w:rPr>
              <w:t>Non-Financial Indicators</w:t>
            </w:r>
          </w:p>
        </w:tc>
      </w:tr>
      <w:tr w:rsidR="005E6A87" w:rsidRPr="00620511" w14:paraId="2D163E7A" w14:textId="77777777">
        <w:tc>
          <w:tcPr>
            <w:tcW w:w="4513" w:type="dxa"/>
            <w:shd w:val="clear" w:color="auto" w:fill="auto"/>
            <w:tcMar>
              <w:top w:w="100" w:type="dxa"/>
              <w:left w:w="100" w:type="dxa"/>
              <w:bottom w:w="100" w:type="dxa"/>
              <w:right w:w="100" w:type="dxa"/>
            </w:tcMar>
          </w:tcPr>
          <w:p w14:paraId="2D163E78" w14:textId="77777777" w:rsidR="005E6A87" w:rsidRPr="00620511" w:rsidRDefault="00AF788A">
            <w:pPr>
              <w:widowControl w:val="0"/>
              <w:spacing w:after="0" w:line="240" w:lineRule="auto"/>
              <w:jc w:val="left"/>
              <w:rPr>
                <w:rFonts w:ascii="Arial" w:hAnsi="Arial" w:cs="Arial"/>
              </w:rPr>
            </w:pPr>
            <w:r w:rsidRPr="00620511">
              <w:rPr>
                <w:rFonts w:ascii="Arial" w:hAnsi="Arial" w:cs="Arial"/>
              </w:rPr>
              <w:t>Group profits before tax</w:t>
            </w:r>
          </w:p>
        </w:tc>
        <w:tc>
          <w:tcPr>
            <w:tcW w:w="4513" w:type="dxa"/>
            <w:shd w:val="clear" w:color="auto" w:fill="auto"/>
            <w:tcMar>
              <w:top w:w="100" w:type="dxa"/>
              <w:left w:w="100" w:type="dxa"/>
              <w:bottom w:w="100" w:type="dxa"/>
              <w:right w:w="100" w:type="dxa"/>
            </w:tcMar>
          </w:tcPr>
          <w:p w14:paraId="2D163E79" w14:textId="77777777" w:rsidR="005E6A87" w:rsidRPr="00620511" w:rsidRDefault="00AF788A">
            <w:pPr>
              <w:widowControl w:val="0"/>
              <w:spacing w:after="0" w:line="240" w:lineRule="auto"/>
              <w:jc w:val="left"/>
              <w:rPr>
                <w:rFonts w:ascii="Arial" w:hAnsi="Arial" w:cs="Arial"/>
              </w:rPr>
            </w:pPr>
            <w:r w:rsidRPr="00620511">
              <w:rPr>
                <w:rFonts w:ascii="Arial" w:hAnsi="Arial" w:cs="Arial"/>
              </w:rPr>
              <w:t>Group workforce at year-end</w:t>
            </w:r>
          </w:p>
        </w:tc>
      </w:tr>
      <w:tr w:rsidR="005E6A87" w:rsidRPr="00620511" w14:paraId="2D163E7D" w14:textId="77777777">
        <w:tc>
          <w:tcPr>
            <w:tcW w:w="4513" w:type="dxa"/>
            <w:shd w:val="clear" w:color="auto" w:fill="auto"/>
            <w:tcMar>
              <w:top w:w="100" w:type="dxa"/>
              <w:left w:w="100" w:type="dxa"/>
              <w:bottom w:w="100" w:type="dxa"/>
              <w:right w:w="100" w:type="dxa"/>
            </w:tcMar>
          </w:tcPr>
          <w:p w14:paraId="2D163E7B" w14:textId="77777777" w:rsidR="005E6A87" w:rsidRPr="00620511" w:rsidRDefault="00AF788A">
            <w:pPr>
              <w:widowControl w:val="0"/>
              <w:spacing w:after="0" w:line="240" w:lineRule="auto"/>
              <w:jc w:val="left"/>
              <w:rPr>
                <w:rFonts w:ascii="Arial" w:hAnsi="Arial" w:cs="Arial"/>
              </w:rPr>
            </w:pPr>
            <w:r w:rsidRPr="00620511">
              <w:rPr>
                <w:rFonts w:ascii="Arial" w:hAnsi="Arial" w:cs="Arial"/>
              </w:rPr>
              <w:t>EBIT margins</w:t>
            </w:r>
          </w:p>
        </w:tc>
        <w:tc>
          <w:tcPr>
            <w:tcW w:w="4513" w:type="dxa"/>
            <w:shd w:val="clear" w:color="auto" w:fill="auto"/>
            <w:tcMar>
              <w:top w:w="100" w:type="dxa"/>
              <w:left w:w="100" w:type="dxa"/>
              <w:bottom w:w="100" w:type="dxa"/>
              <w:right w:w="100" w:type="dxa"/>
            </w:tcMar>
          </w:tcPr>
          <w:p w14:paraId="2D163E7C" w14:textId="77777777" w:rsidR="005E6A87" w:rsidRPr="00620511" w:rsidRDefault="00AF788A">
            <w:pPr>
              <w:widowControl w:val="0"/>
              <w:spacing w:after="0" w:line="240" w:lineRule="auto"/>
              <w:jc w:val="left"/>
              <w:rPr>
                <w:rFonts w:ascii="Arial" w:hAnsi="Arial" w:cs="Arial"/>
              </w:rPr>
            </w:pPr>
            <w:r w:rsidRPr="00620511">
              <w:rPr>
                <w:rFonts w:ascii="Arial" w:hAnsi="Arial" w:cs="Arial"/>
              </w:rPr>
              <w:t>Deliveries of automobiles and motorcycles</w:t>
            </w:r>
          </w:p>
        </w:tc>
      </w:tr>
      <w:tr w:rsidR="005E6A87" w:rsidRPr="00620511" w14:paraId="2D163E80" w14:textId="77777777">
        <w:tc>
          <w:tcPr>
            <w:tcW w:w="4513" w:type="dxa"/>
            <w:shd w:val="clear" w:color="auto" w:fill="auto"/>
            <w:tcMar>
              <w:top w:w="100" w:type="dxa"/>
              <w:left w:w="100" w:type="dxa"/>
              <w:bottom w:w="100" w:type="dxa"/>
              <w:right w:w="100" w:type="dxa"/>
            </w:tcMar>
          </w:tcPr>
          <w:p w14:paraId="2D163E7E" w14:textId="77777777" w:rsidR="005E6A87" w:rsidRPr="00620511" w:rsidRDefault="00AF788A">
            <w:pPr>
              <w:widowControl w:val="0"/>
              <w:spacing w:after="0" w:line="240" w:lineRule="auto"/>
              <w:jc w:val="left"/>
              <w:rPr>
                <w:rFonts w:ascii="Arial" w:hAnsi="Arial" w:cs="Arial"/>
              </w:rPr>
            </w:pPr>
            <w:r w:rsidRPr="00620511">
              <w:rPr>
                <w:rFonts w:ascii="Arial" w:hAnsi="Arial" w:cs="Arial"/>
              </w:rPr>
              <w:t>Returns on equity</w:t>
            </w:r>
          </w:p>
        </w:tc>
        <w:tc>
          <w:tcPr>
            <w:tcW w:w="4513" w:type="dxa"/>
            <w:shd w:val="clear" w:color="auto" w:fill="auto"/>
            <w:tcMar>
              <w:top w:w="100" w:type="dxa"/>
              <w:left w:w="100" w:type="dxa"/>
              <w:bottom w:w="100" w:type="dxa"/>
              <w:right w:w="100" w:type="dxa"/>
            </w:tcMar>
          </w:tcPr>
          <w:p w14:paraId="2D163E7F" w14:textId="77777777" w:rsidR="005E6A87" w:rsidRPr="00620511" w:rsidRDefault="00AF788A">
            <w:pPr>
              <w:widowControl w:val="0"/>
              <w:spacing w:after="0" w:line="240" w:lineRule="auto"/>
              <w:jc w:val="left"/>
              <w:rPr>
                <w:rFonts w:ascii="Arial" w:hAnsi="Arial" w:cs="Arial"/>
              </w:rPr>
            </w:pPr>
            <w:r w:rsidRPr="00620511">
              <w:rPr>
                <w:rFonts w:ascii="Arial" w:hAnsi="Arial" w:cs="Arial"/>
              </w:rPr>
              <w:t>Production volumes</w:t>
            </w:r>
          </w:p>
        </w:tc>
      </w:tr>
      <w:tr w:rsidR="005E6A87" w:rsidRPr="00620511" w14:paraId="2D163E83" w14:textId="77777777">
        <w:tc>
          <w:tcPr>
            <w:tcW w:w="4513" w:type="dxa"/>
            <w:shd w:val="clear" w:color="auto" w:fill="auto"/>
            <w:tcMar>
              <w:top w:w="100" w:type="dxa"/>
              <w:left w:w="100" w:type="dxa"/>
              <w:bottom w:w="100" w:type="dxa"/>
              <w:right w:w="100" w:type="dxa"/>
            </w:tcMar>
          </w:tcPr>
          <w:p w14:paraId="2D163E81" w14:textId="77777777" w:rsidR="005E6A87" w:rsidRPr="00620511" w:rsidRDefault="00AF788A">
            <w:pPr>
              <w:widowControl w:val="0"/>
              <w:spacing w:after="0" w:line="240" w:lineRule="auto"/>
              <w:jc w:val="left"/>
              <w:rPr>
                <w:rFonts w:ascii="Arial" w:hAnsi="Arial" w:cs="Arial"/>
              </w:rPr>
            </w:pPr>
            <w:r w:rsidRPr="00620511">
              <w:rPr>
                <w:rFonts w:ascii="Arial" w:hAnsi="Arial" w:cs="Arial"/>
              </w:rPr>
              <w:t>Cash flows</w:t>
            </w:r>
          </w:p>
        </w:tc>
        <w:tc>
          <w:tcPr>
            <w:tcW w:w="4513" w:type="dxa"/>
            <w:shd w:val="clear" w:color="auto" w:fill="auto"/>
            <w:tcMar>
              <w:top w:w="100" w:type="dxa"/>
              <w:left w:w="100" w:type="dxa"/>
              <w:bottom w:w="100" w:type="dxa"/>
              <w:right w:w="100" w:type="dxa"/>
            </w:tcMar>
          </w:tcPr>
          <w:p w14:paraId="2D163E82" w14:textId="77777777" w:rsidR="005E6A87" w:rsidRPr="00620511" w:rsidRDefault="00AF788A">
            <w:pPr>
              <w:widowControl w:val="0"/>
              <w:spacing w:after="0" w:line="240" w:lineRule="auto"/>
              <w:jc w:val="left"/>
              <w:rPr>
                <w:rFonts w:ascii="Arial" w:hAnsi="Arial" w:cs="Arial"/>
              </w:rPr>
            </w:pPr>
            <w:r w:rsidRPr="00620511">
              <w:rPr>
                <w:rFonts w:ascii="Arial" w:hAnsi="Arial" w:cs="Arial"/>
              </w:rPr>
              <w:t>New contracts with retail customers</w:t>
            </w:r>
          </w:p>
        </w:tc>
      </w:tr>
      <w:tr w:rsidR="005E6A87" w:rsidRPr="00620511" w14:paraId="2D163E86" w14:textId="77777777">
        <w:tc>
          <w:tcPr>
            <w:tcW w:w="4513" w:type="dxa"/>
            <w:shd w:val="clear" w:color="auto" w:fill="auto"/>
            <w:tcMar>
              <w:top w:w="100" w:type="dxa"/>
              <w:left w:w="100" w:type="dxa"/>
              <w:bottom w:w="100" w:type="dxa"/>
              <w:right w:w="100" w:type="dxa"/>
            </w:tcMar>
          </w:tcPr>
          <w:p w14:paraId="2D163E84" w14:textId="77777777" w:rsidR="005E6A87" w:rsidRPr="00620511" w:rsidRDefault="00AF788A">
            <w:pPr>
              <w:widowControl w:val="0"/>
              <w:spacing w:after="0" w:line="240" w:lineRule="auto"/>
              <w:jc w:val="left"/>
              <w:rPr>
                <w:rFonts w:ascii="Arial" w:hAnsi="Arial" w:cs="Arial"/>
              </w:rPr>
            </w:pPr>
            <w:r w:rsidRPr="00620511">
              <w:rPr>
                <w:rFonts w:ascii="Arial" w:hAnsi="Arial" w:cs="Arial"/>
              </w:rPr>
              <w:t xml:space="preserve">Total capital expenditure </w:t>
            </w:r>
          </w:p>
        </w:tc>
        <w:tc>
          <w:tcPr>
            <w:tcW w:w="4513" w:type="dxa"/>
            <w:shd w:val="clear" w:color="auto" w:fill="auto"/>
            <w:tcMar>
              <w:top w:w="100" w:type="dxa"/>
              <w:left w:w="100" w:type="dxa"/>
              <w:bottom w:w="100" w:type="dxa"/>
              <w:right w:w="100" w:type="dxa"/>
            </w:tcMar>
          </w:tcPr>
          <w:p w14:paraId="2D163E85" w14:textId="77777777" w:rsidR="005E6A87" w:rsidRPr="00620511" w:rsidRDefault="00AF788A">
            <w:pPr>
              <w:widowControl w:val="0"/>
              <w:spacing w:after="0" w:line="240" w:lineRule="auto"/>
              <w:jc w:val="left"/>
              <w:rPr>
                <w:rFonts w:ascii="Arial" w:hAnsi="Arial" w:cs="Arial"/>
              </w:rPr>
            </w:pPr>
            <w:r w:rsidRPr="00620511">
              <w:rPr>
                <w:rFonts w:ascii="Arial" w:hAnsi="Arial" w:cs="Arial"/>
              </w:rPr>
              <w:t>Fleet emissions</w:t>
            </w:r>
          </w:p>
        </w:tc>
      </w:tr>
    </w:tbl>
    <w:p w14:paraId="2D163E87" w14:textId="77777777" w:rsidR="005E6A87" w:rsidRPr="00620511" w:rsidRDefault="005E6A87">
      <w:pPr>
        <w:spacing w:after="0"/>
        <w:rPr>
          <w:rFonts w:ascii="Arial" w:hAnsi="Arial" w:cs="Arial"/>
        </w:rPr>
      </w:pPr>
    </w:p>
    <w:p w14:paraId="2D163E88" w14:textId="77777777" w:rsidR="005E6A87" w:rsidRPr="00620511" w:rsidRDefault="00AF788A">
      <w:pPr>
        <w:pStyle w:val="Heading3"/>
        <w:spacing w:after="0"/>
        <w:jc w:val="center"/>
        <w:rPr>
          <w:rFonts w:ascii="Arial" w:hAnsi="Arial" w:cs="Arial"/>
          <w:sz w:val="24"/>
          <w:szCs w:val="24"/>
        </w:rPr>
      </w:pPr>
      <w:bookmarkStart w:id="5" w:name="_heading=h.8z2y7w19uu3y" w:colFirst="0" w:colLast="0"/>
      <w:bookmarkEnd w:id="5"/>
      <w:r w:rsidRPr="00620511">
        <w:rPr>
          <w:rFonts w:ascii="Arial" w:hAnsi="Arial" w:cs="Arial"/>
          <w:sz w:val="24"/>
          <w:szCs w:val="24"/>
        </w:rPr>
        <w:t>Table: Examples of BMW’s KPIs</w:t>
      </w:r>
    </w:p>
    <w:p w14:paraId="2D163E89" w14:textId="77777777" w:rsidR="005E6A87" w:rsidRPr="00620511" w:rsidRDefault="00AF788A">
      <w:pPr>
        <w:spacing w:after="0"/>
        <w:jc w:val="center"/>
        <w:rPr>
          <w:rFonts w:ascii="Arial" w:hAnsi="Arial" w:cs="Arial"/>
        </w:rPr>
      </w:pPr>
      <w:r w:rsidRPr="00620511">
        <w:rPr>
          <w:rFonts w:ascii="Arial" w:hAnsi="Arial" w:cs="Arial"/>
        </w:rPr>
        <w:t>(Source: Created by the learner)</w:t>
      </w:r>
    </w:p>
    <w:p w14:paraId="2D163E8A" w14:textId="77777777" w:rsidR="005E6A87" w:rsidRPr="00620511" w:rsidRDefault="005E6A87">
      <w:pPr>
        <w:rPr>
          <w:rFonts w:ascii="Arial" w:hAnsi="Arial" w:cs="Arial"/>
        </w:rPr>
      </w:pPr>
    </w:p>
    <w:p w14:paraId="16A5B6D8" w14:textId="77777777" w:rsidR="00620511" w:rsidRDefault="00620511">
      <w:pPr>
        <w:pStyle w:val="Heading1"/>
        <w:rPr>
          <w:rFonts w:ascii="Arial" w:hAnsi="Arial" w:cs="Arial"/>
          <w:sz w:val="24"/>
          <w:szCs w:val="24"/>
        </w:rPr>
      </w:pPr>
      <w:bookmarkStart w:id="6" w:name="_heading=h.e9gt5tdgyrxe" w:colFirst="0" w:colLast="0"/>
      <w:bookmarkEnd w:id="6"/>
    </w:p>
    <w:p w14:paraId="16ADB665" w14:textId="77777777" w:rsidR="00620511" w:rsidRDefault="00620511">
      <w:pPr>
        <w:pStyle w:val="Heading1"/>
        <w:rPr>
          <w:rFonts w:ascii="Arial" w:hAnsi="Arial" w:cs="Arial"/>
          <w:sz w:val="24"/>
          <w:szCs w:val="24"/>
        </w:rPr>
      </w:pPr>
    </w:p>
    <w:p w14:paraId="2D163E8B" w14:textId="2CE98C07" w:rsidR="005E6A87" w:rsidRPr="00620511" w:rsidRDefault="00AF788A">
      <w:pPr>
        <w:pStyle w:val="Heading1"/>
        <w:rPr>
          <w:rFonts w:ascii="Arial" w:hAnsi="Arial" w:cs="Arial"/>
          <w:sz w:val="24"/>
          <w:szCs w:val="24"/>
        </w:rPr>
      </w:pPr>
      <w:r w:rsidRPr="00620511">
        <w:rPr>
          <w:rFonts w:ascii="Arial" w:hAnsi="Arial" w:cs="Arial"/>
          <w:sz w:val="24"/>
          <w:szCs w:val="24"/>
        </w:rPr>
        <w:t>Conclusion</w:t>
      </w:r>
    </w:p>
    <w:p w14:paraId="2D163E8C" w14:textId="7DDE0431" w:rsidR="005E6A87" w:rsidRPr="00620511" w:rsidRDefault="00AF788A">
      <w:pPr>
        <w:rPr>
          <w:rFonts w:ascii="Arial" w:hAnsi="Arial" w:cs="Arial"/>
        </w:rPr>
      </w:pPr>
      <w:r w:rsidRPr="00620511">
        <w:rPr>
          <w:rFonts w:ascii="Arial" w:hAnsi="Arial" w:cs="Arial"/>
        </w:rPr>
        <w:t xml:space="preserve">The chosen multinational corporation for the present study was BMW, one of the world’s largest automotive brands. The present study was able to conduct an analysis and evaluation of the Dividend Distribution Policy of the brand. The study was able to analyse the financial performance of the brand in recent years </w:t>
      </w:r>
      <w:proofErr w:type="gramStart"/>
      <w:r w:rsidRPr="00620511">
        <w:rPr>
          <w:rFonts w:ascii="Arial" w:hAnsi="Arial" w:cs="Arial"/>
        </w:rPr>
        <w:t>in order to</w:t>
      </w:r>
      <w:proofErr w:type="gramEnd"/>
      <w:r w:rsidRPr="00620511">
        <w:rPr>
          <w:rFonts w:ascii="Arial" w:hAnsi="Arial" w:cs="Arial"/>
        </w:rPr>
        <w:t xml:space="preserve"> deem its dividend system viable and proper. In addition, the present study was able to analyse the efficient market hypothesis in the context of </w:t>
      </w:r>
      <w:r w:rsidR="00F62BE9" w:rsidRPr="00620511">
        <w:rPr>
          <w:rFonts w:ascii="Arial" w:hAnsi="Arial" w:cs="Arial"/>
        </w:rPr>
        <w:t>BMW AG and</w:t>
      </w:r>
      <w:r w:rsidRPr="00620511">
        <w:rPr>
          <w:rFonts w:ascii="Arial" w:hAnsi="Arial" w:cs="Arial"/>
        </w:rPr>
        <w:t xml:space="preserve"> studied its management of the foreign exchange risk it has faced in the past. The company’s methods of appraising projects were studied through a case of its approach to the SMS framework as well as through an analysis of its internal appraisal systems and the Key Performance</w:t>
      </w:r>
      <w:r w:rsidR="00F62BE9">
        <w:rPr>
          <w:rFonts w:ascii="Arial" w:hAnsi="Arial" w:cs="Arial"/>
        </w:rPr>
        <w:t xml:space="preserve"> </w:t>
      </w:r>
      <w:r w:rsidRPr="00620511">
        <w:rPr>
          <w:rFonts w:ascii="Arial" w:hAnsi="Arial" w:cs="Arial"/>
        </w:rPr>
        <w:t xml:space="preserve">Indicators or KPIs that the brand uses. Through this approach, an overview of the international finance management strategies of the brand has been established. </w:t>
      </w:r>
    </w:p>
    <w:p w14:paraId="2D163E8D" w14:textId="77777777" w:rsidR="005E6A87" w:rsidRPr="00620511" w:rsidRDefault="005E6A87">
      <w:pPr>
        <w:pStyle w:val="Heading1"/>
        <w:rPr>
          <w:rFonts w:ascii="Arial" w:hAnsi="Arial" w:cs="Arial"/>
          <w:sz w:val="24"/>
          <w:szCs w:val="24"/>
        </w:rPr>
      </w:pPr>
      <w:bookmarkStart w:id="7" w:name="_heading=h.wmm3005m2fuo" w:colFirst="0" w:colLast="0"/>
      <w:bookmarkEnd w:id="7"/>
    </w:p>
    <w:p w14:paraId="2D163E8E" w14:textId="77777777" w:rsidR="005E6A87" w:rsidRPr="00620511" w:rsidRDefault="00AF788A">
      <w:pPr>
        <w:pStyle w:val="Heading1"/>
        <w:rPr>
          <w:rFonts w:ascii="Arial" w:hAnsi="Arial" w:cs="Arial"/>
          <w:sz w:val="24"/>
          <w:szCs w:val="24"/>
        </w:rPr>
      </w:pPr>
      <w:bookmarkStart w:id="8" w:name="_heading=h.1qodfwtwlngh" w:colFirst="0" w:colLast="0"/>
      <w:bookmarkEnd w:id="8"/>
      <w:r w:rsidRPr="00620511">
        <w:rPr>
          <w:rFonts w:ascii="Arial" w:hAnsi="Arial" w:cs="Arial"/>
          <w:sz w:val="24"/>
          <w:szCs w:val="24"/>
        </w:rPr>
        <w:br w:type="page"/>
      </w:r>
    </w:p>
    <w:p w14:paraId="2D163E8F" w14:textId="77777777" w:rsidR="005E6A87" w:rsidRDefault="00AF788A">
      <w:pPr>
        <w:pStyle w:val="Heading1"/>
      </w:pPr>
      <w:bookmarkStart w:id="9" w:name="_heading=h.jvjs95tcy9sw" w:colFirst="0" w:colLast="0"/>
      <w:bookmarkEnd w:id="9"/>
      <w:r>
        <w:lastRenderedPageBreak/>
        <w:t>References</w:t>
      </w:r>
    </w:p>
    <w:p w14:paraId="2D163E90" w14:textId="5953D2E8" w:rsidR="005E6A87" w:rsidRDefault="00AF788A">
      <w:pPr>
        <w:spacing w:after="0"/>
        <w:jc w:val="left"/>
      </w:pPr>
      <w:r>
        <w:t xml:space="preserve">Bloomberg. 2022. Bloomberg BMW faces scrutiny over 1.8 billion </w:t>
      </w:r>
      <w:r w:rsidR="000B646D">
        <w:t>dividends</w:t>
      </w:r>
      <w:r>
        <w:t xml:space="preserve"> amid virus impact. [online] Available at: &lt;https://www.bloomberg.com/news/articles/2020-05-14/bmw-faces-scrutiny-over-1-8-billion-dividend-amid-virus-impact&gt; [Accessed 23 July 2022].</w:t>
      </w:r>
    </w:p>
    <w:p w14:paraId="2D163E91" w14:textId="77777777" w:rsidR="005E6A87" w:rsidRDefault="00AF788A">
      <w:pPr>
        <w:spacing w:after="0"/>
        <w:jc w:val="left"/>
      </w:pPr>
      <w:r>
        <w:t xml:space="preserve">BMW. 2019. </w:t>
      </w:r>
      <w:r>
        <w:rPr>
          <w:i/>
        </w:rPr>
        <w:t>Annual Report.</w:t>
      </w:r>
      <w:r>
        <w:t xml:space="preserve">  [online] Available at: &lt;https://www.bmwgroup.com/content/dam/grpw/websites/bmwgroup_com/ir/downloads/en/2020/gb/BMW-GB19_en_Finanzbericht.pdf&gt; [Accessed 23 July 2022].</w:t>
      </w:r>
    </w:p>
    <w:p w14:paraId="2D163E92" w14:textId="77777777" w:rsidR="005E6A87" w:rsidRDefault="00AF788A">
      <w:pPr>
        <w:spacing w:after="0"/>
        <w:jc w:val="left"/>
      </w:pPr>
      <w:r>
        <w:t>BMW. 2022. Investor Relations. [online] Available at: &lt;https://www.bmwgroup.com/en/investor-relations/disclaimer.html&gt; [Accessed 23 July 2022].</w:t>
      </w:r>
    </w:p>
    <w:p w14:paraId="2D163E93" w14:textId="77777777" w:rsidR="005E6A87" w:rsidRDefault="00AF788A">
      <w:pPr>
        <w:spacing w:after="0"/>
        <w:jc w:val="left"/>
      </w:pPr>
      <w:r>
        <w:t xml:space="preserve">Harvard Business Review. 2002. </w:t>
      </w:r>
      <w:r>
        <w:rPr>
          <w:i/>
        </w:rPr>
        <w:t xml:space="preserve">From Principles to Practice. </w:t>
      </w:r>
      <w:r>
        <w:t>[online] Available at: &lt;https://www.hbs.edu/ris/download.aspx?name=From%20Principles%20to%20Practice.pdf&gt; [Accessed 23 July 2022].</w:t>
      </w:r>
    </w:p>
    <w:p w14:paraId="2D163E94" w14:textId="77777777" w:rsidR="005E6A87" w:rsidRDefault="00AF788A">
      <w:pPr>
        <w:spacing w:after="0"/>
        <w:jc w:val="left"/>
      </w:pPr>
      <w:proofErr w:type="spellStart"/>
      <w:r>
        <w:t>Pozo</w:t>
      </w:r>
      <w:proofErr w:type="spellEnd"/>
      <w:r>
        <w:t xml:space="preserve"> Cardenal, A. and </w:t>
      </w:r>
      <w:proofErr w:type="spellStart"/>
      <w:r>
        <w:t>Carrió</w:t>
      </w:r>
      <w:proofErr w:type="spellEnd"/>
      <w:r>
        <w:t xml:space="preserve"> Garcia, F., 2013. Qualitative and quantitative financial analysis of BMW GROUP. Working Paper, University of Barcelona.</w:t>
      </w:r>
    </w:p>
    <w:p w14:paraId="2D163E95" w14:textId="1CEB1328" w:rsidR="005E6A87" w:rsidRDefault="00AF788A">
      <w:pPr>
        <w:spacing w:after="0"/>
        <w:jc w:val="left"/>
      </w:pPr>
      <w:r>
        <w:t xml:space="preserve">Simply Wall St. 2022. </w:t>
      </w:r>
      <w:proofErr w:type="spellStart"/>
      <w:r>
        <w:t>Bayerische</w:t>
      </w:r>
      <w:proofErr w:type="spellEnd"/>
      <w:r>
        <w:t xml:space="preserve"> </w:t>
      </w:r>
      <w:proofErr w:type="spellStart"/>
      <w:r>
        <w:t>Motoren</w:t>
      </w:r>
      <w:proofErr w:type="spellEnd"/>
      <w:r>
        <w:t xml:space="preserve"> Werke (</w:t>
      </w:r>
      <w:r w:rsidR="000B646D">
        <w:t>XTRA: BMW</w:t>
      </w:r>
      <w:r>
        <w:t>) - Share price, News &amp; Analysis - Simply Wall St. [online] Available at: &lt;https://simplywall.st/stocks/de/automobiles/etr-bmw/bayerische-motoren-werke-shares#historical-debt&gt; [Accessed 23 July 2022].</w:t>
      </w:r>
    </w:p>
    <w:p w14:paraId="2D163E96" w14:textId="77777777" w:rsidR="005E6A87" w:rsidRDefault="00AF788A">
      <w:pPr>
        <w:spacing w:after="0"/>
        <w:jc w:val="left"/>
      </w:pPr>
      <w:r>
        <w:t>Ullrich, C., 2009. Market Efficiency Concepts. In Forecasting and Hedging in the Foreign Exchange Markets (pp. 27-28). Springer, Berlin, Heidelberg.</w:t>
      </w:r>
    </w:p>
    <w:p w14:paraId="2D163E97" w14:textId="77777777" w:rsidR="005E6A87" w:rsidRDefault="005E6A87"/>
    <w:sectPr w:rsidR="005E6A87">
      <w:footerReference w:type="default" r:id="rId8"/>
      <w:pgSz w:w="11906" w:h="16838"/>
      <w:pgMar w:top="1440" w:right="1440" w:bottom="1440" w:left="1440" w:header="708" w:footer="708"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163EA0" w14:textId="77777777" w:rsidR="00C366EA" w:rsidRDefault="00AF788A">
      <w:pPr>
        <w:spacing w:after="0" w:line="240" w:lineRule="auto"/>
      </w:pPr>
      <w:r>
        <w:separator/>
      </w:r>
    </w:p>
  </w:endnote>
  <w:endnote w:type="continuationSeparator" w:id="0">
    <w:p w14:paraId="2D163EA2" w14:textId="77777777" w:rsidR="00C366EA" w:rsidRDefault="00AF78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163E9A" w14:textId="6D207C64" w:rsidR="005E6A87" w:rsidRPr="00A13448" w:rsidRDefault="00AF788A">
    <w:pPr>
      <w:jc w:val="right"/>
      <w:rPr>
        <w:rFonts w:ascii="Arial" w:hAnsi="Arial" w:cs="Arial"/>
      </w:rPr>
    </w:pPr>
    <w:r w:rsidRPr="00A13448">
      <w:rPr>
        <w:rFonts w:ascii="Arial" w:hAnsi="Arial" w:cs="Arial"/>
        <w:b/>
      </w:rPr>
      <w:fldChar w:fldCharType="begin"/>
    </w:r>
    <w:r w:rsidRPr="00A13448">
      <w:rPr>
        <w:rFonts w:ascii="Arial" w:hAnsi="Arial" w:cs="Arial"/>
        <w:b/>
      </w:rPr>
      <w:instrText>PAGE</w:instrText>
    </w:r>
    <w:r w:rsidRPr="00A13448">
      <w:rPr>
        <w:rFonts w:ascii="Arial" w:hAnsi="Arial" w:cs="Arial"/>
        <w:b/>
      </w:rPr>
      <w:fldChar w:fldCharType="separate"/>
    </w:r>
    <w:r w:rsidR="00620511" w:rsidRPr="00A13448">
      <w:rPr>
        <w:rFonts w:ascii="Arial" w:hAnsi="Arial" w:cs="Arial"/>
        <w:b/>
        <w:noProof/>
      </w:rPr>
      <w:t>1</w:t>
    </w:r>
    <w:r w:rsidRPr="00A13448">
      <w:rPr>
        <w:rFonts w:ascii="Arial" w:hAnsi="Arial" w:cs="Arial"/>
        <w: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163E9C" w14:textId="77777777" w:rsidR="00C366EA" w:rsidRDefault="00AF788A">
      <w:pPr>
        <w:spacing w:after="0" w:line="240" w:lineRule="auto"/>
      </w:pPr>
      <w:r>
        <w:separator/>
      </w:r>
    </w:p>
  </w:footnote>
  <w:footnote w:type="continuationSeparator" w:id="0">
    <w:p w14:paraId="2D163E9E" w14:textId="77777777" w:rsidR="00C366EA" w:rsidRDefault="00AF788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6A87"/>
    <w:rsid w:val="0003009A"/>
    <w:rsid w:val="000B646D"/>
    <w:rsid w:val="00261EAF"/>
    <w:rsid w:val="003F2855"/>
    <w:rsid w:val="004916F4"/>
    <w:rsid w:val="004C5A49"/>
    <w:rsid w:val="005E6A87"/>
    <w:rsid w:val="00620511"/>
    <w:rsid w:val="006C6CB0"/>
    <w:rsid w:val="00783D68"/>
    <w:rsid w:val="007D5C30"/>
    <w:rsid w:val="00A13448"/>
    <w:rsid w:val="00AF788A"/>
    <w:rsid w:val="00B870C0"/>
    <w:rsid w:val="00C366EA"/>
    <w:rsid w:val="00C467EE"/>
    <w:rsid w:val="00CF6A26"/>
    <w:rsid w:val="00D904D0"/>
    <w:rsid w:val="00DD42DA"/>
    <w:rsid w:val="00F62B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163E43"/>
  <w15:docId w15:val="{4E265C42-615E-4927-BAEE-FAA95BBCEF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67F0"/>
    <w:rPr>
      <w:rFonts w:eastAsiaTheme="minorHAnsi"/>
      <w:lang w:eastAsia="en-US"/>
    </w:rPr>
  </w:style>
  <w:style w:type="paragraph" w:styleId="Heading1">
    <w:name w:val="heading 1"/>
    <w:basedOn w:val="Normal"/>
    <w:next w:val="Normal"/>
    <w:link w:val="Heading1Char"/>
    <w:uiPriority w:val="9"/>
    <w:qFormat/>
    <w:rsid w:val="00484631"/>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uiPriority w:val="9"/>
    <w:unhideWhenUsed/>
    <w:qFormat/>
    <w:pPr>
      <w:keepNext/>
      <w:keepLines/>
      <w:spacing w:after="0"/>
      <w:outlineLvl w:val="1"/>
    </w:pPr>
    <w:rPr>
      <w:rFonts w:ascii="Arial" w:eastAsia="Arial" w:hAnsi="Arial" w:cs="Arial"/>
      <w:b/>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484631"/>
    <w:rPr>
      <w:rFonts w:asciiTheme="majorHAnsi" w:eastAsiaTheme="majorEastAsia" w:hAnsiTheme="majorHAnsi" w:cstheme="majorBidi"/>
      <w:b/>
      <w:bCs/>
      <w:color w:val="2E74B5" w:themeColor="accent1" w:themeShade="BF"/>
      <w:sz w:val="28"/>
      <w:szCs w:val="28"/>
    </w:rPr>
  </w:style>
  <w:style w:type="paragraph" w:styleId="ListParagraph">
    <w:name w:val="List Paragraph"/>
    <w:basedOn w:val="Normal"/>
    <w:uiPriority w:val="34"/>
    <w:qFormat/>
    <w:rsid w:val="008F67F0"/>
    <w:pPr>
      <w:spacing w:line="256" w:lineRule="auto"/>
      <w:ind w:left="720"/>
      <w:contextualSpacing/>
    </w:pPr>
  </w:style>
  <w:style w:type="table" w:styleId="TableGrid">
    <w:name w:val="Table Grid"/>
    <w:basedOn w:val="TableNormal"/>
    <w:uiPriority w:val="39"/>
    <w:rsid w:val="008F67F0"/>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BalloonText">
    <w:name w:val="Balloon Text"/>
    <w:basedOn w:val="Normal"/>
    <w:link w:val="BalloonTextChar"/>
    <w:uiPriority w:val="99"/>
    <w:semiHidden/>
    <w:unhideWhenUsed/>
    <w:rsid w:val="00AC332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C3324"/>
    <w:rPr>
      <w:rFonts w:ascii="Tahoma" w:eastAsiaTheme="minorHAnsi" w:hAnsi="Tahoma" w:cs="Tahoma"/>
      <w:sz w:val="16"/>
      <w:szCs w:val="16"/>
      <w:lang w:eastAsia="en-US"/>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4C5A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5A49"/>
    <w:rPr>
      <w:rFonts w:eastAsiaTheme="minorHAnsi"/>
      <w:lang w:eastAsia="en-US"/>
    </w:rPr>
  </w:style>
  <w:style w:type="paragraph" w:styleId="Footer">
    <w:name w:val="footer"/>
    <w:basedOn w:val="Normal"/>
    <w:link w:val="FooterChar"/>
    <w:uiPriority w:val="99"/>
    <w:unhideWhenUsed/>
    <w:rsid w:val="004C5A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5A49"/>
    <w:rPr>
      <w:rFonts w:eastAsiaTheme="minorHAnsi"/>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Fx6kLYwrDg7SmLF2xBMyhnkLgHQ==">AMUW2mU6VzHA97Ld0VAwR5PmIfcyZJiESmRv7CraA756pcDtCg62luGCqxJLegSmIIMHzqFyOMUIa61trIUnIbr4Vh+JGRHwwNIyl2CedxMzfFk5uhG84orpAgR+qwgU8kbopOcoAshSJq50JRSL3tHOaNYT60Tjwc5j8Mqmm6QTRNvrclz+n9NIX+JHkCmnYiECHFvRBXyf8ZTMCjfzYNFk49iLhjgXk45PXxnYwnLC2UWuYyb0rR+ALb21Ald3MzRK3tUKs8DsB2FvyXH1NWSWbts3G8STvPkqdaSK/fZhvBX0eoWQQR5UqkPUV2opaJ8eqivjMl2T</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8</Pages>
  <Words>1663</Words>
  <Characters>9483</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Iulian Vasile Purice</dc:creator>
  <cp:lastModifiedBy>Iulian Vasile Purice (1919243)</cp:lastModifiedBy>
  <cp:revision>2</cp:revision>
  <dcterms:created xsi:type="dcterms:W3CDTF">2022-07-28T22:20:00Z</dcterms:created>
  <dcterms:modified xsi:type="dcterms:W3CDTF">2022-07-28T22:20:00Z</dcterms:modified>
</cp:coreProperties>
</file>