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F5298" w14:textId="77777777" w:rsidR="007F2EE8" w:rsidRPr="00F82232" w:rsidRDefault="007F2EE8" w:rsidP="007F2EE8">
      <w:pPr>
        <w:rPr>
          <w:lang w:eastAsia="en-GB" w:bidi="hi-IN"/>
        </w:rPr>
      </w:pPr>
    </w:p>
    <w:p w14:paraId="22E08CDA" w14:textId="588744AB" w:rsidR="007F2EE8" w:rsidRPr="00F82232" w:rsidRDefault="00FE6742" w:rsidP="00FE6742">
      <w:pPr>
        <w:spacing w:after="240"/>
        <w:jc w:val="center"/>
      </w:pPr>
      <w:r>
        <w:rPr>
          <w:noProof/>
        </w:rPr>
        <w:drawing>
          <wp:inline distT="0" distB="0" distL="0" distR="0" wp14:anchorId="5D7A9DD6" wp14:editId="1EEBD641">
            <wp:extent cx="2511425" cy="137858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1425" cy="1378585"/>
                    </a:xfrm>
                    <a:prstGeom prst="rect">
                      <a:avLst/>
                    </a:prstGeom>
                    <a:noFill/>
                    <a:ln>
                      <a:noFill/>
                    </a:ln>
                  </pic:spPr>
                </pic:pic>
              </a:graphicData>
            </a:graphic>
          </wp:inline>
        </w:drawing>
      </w:r>
    </w:p>
    <w:p w14:paraId="1B8855F3" w14:textId="77777777" w:rsidR="007F2EE8" w:rsidRPr="00F82232" w:rsidRDefault="007F2EE8" w:rsidP="007F2EE8">
      <w:pPr>
        <w:spacing w:after="60" w:line="360" w:lineRule="auto"/>
        <w:jc w:val="center"/>
      </w:pPr>
      <w:r w:rsidRPr="00F82232">
        <w:rPr>
          <w:b/>
          <w:bCs/>
        </w:rPr>
        <w:t>UNIVERSITY OF WALES TRINITY SAINT DAVID</w:t>
      </w:r>
    </w:p>
    <w:p w14:paraId="5855FB15" w14:textId="77777777" w:rsidR="007F2EE8" w:rsidRPr="00F82232" w:rsidRDefault="007F2EE8" w:rsidP="007F2EE8">
      <w:pPr>
        <w:spacing w:after="360" w:line="360" w:lineRule="auto"/>
        <w:jc w:val="center"/>
      </w:pPr>
      <w:r w:rsidRPr="00F82232">
        <w:rPr>
          <w:i/>
          <w:iCs/>
        </w:rPr>
        <w:t>Swansea Business School</w:t>
      </w:r>
    </w:p>
    <w:p w14:paraId="758E2A1F" w14:textId="77777777" w:rsidR="007F2EE8" w:rsidRPr="00F82232" w:rsidRDefault="007F2EE8" w:rsidP="007F2EE8">
      <w:pPr>
        <w:rPr>
          <w:lang w:eastAsia="en-GB" w:bidi="hi-IN"/>
        </w:rPr>
      </w:pPr>
    </w:p>
    <w:p w14:paraId="69F2CAC4" w14:textId="77777777" w:rsidR="00797CC3" w:rsidRPr="00F82232" w:rsidRDefault="002029C8" w:rsidP="001A7E8B">
      <w:pPr>
        <w:pStyle w:val="Title"/>
        <w:rPr>
          <w:rFonts w:eastAsia="Times New Roman"/>
          <w:sz w:val="28"/>
          <w:szCs w:val="28"/>
          <w:lang w:eastAsia="en-GB" w:bidi="hi-IN"/>
        </w:rPr>
      </w:pPr>
      <w:r w:rsidRPr="00F82232">
        <w:rPr>
          <w:rFonts w:eastAsia="Times New Roman"/>
          <w:sz w:val="28"/>
          <w:szCs w:val="28"/>
          <w:lang w:eastAsia="en-GB" w:bidi="hi-IN"/>
        </w:rPr>
        <w:t>The Effect of Generative AI Adoption on Employee Productivity and Job Quality in UK SMEs: The Moderating Roles of Training and Governance</w:t>
      </w:r>
    </w:p>
    <w:p w14:paraId="2259A370" w14:textId="77777777" w:rsidR="002029C8" w:rsidRPr="00F82232" w:rsidRDefault="002029C8" w:rsidP="002029C8">
      <w:pPr>
        <w:rPr>
          <w:lang w:eastAsia="en-GB" w:bidi="hi-IN"/>
        </w:rPr>
      </w:pPr>
    </w:p>
    <w:p w14:paraId="63DFB82E" w14:textId="77777777" w:rsidR="007F2EE8" w:rsidRPr="00F82232" w:rsidRDefault="007F2EE8" w:rsidP="007F2EE8">
      <w:pPr>
        <w:spacing w:after="360" w:line="360" w:lineRule="auto"/>
        <w:jc w:val="center"/>
      </w:pPr>
      <w:r w:rsidRPr="00F82232">
        <w:rPr>
          <w:i/>
          <w:iCs/>
        </w:rPr>
        <w:t>A dissertation submitted in partial fulfilment of the requirements for the degree of Master of Business Administration (MBA)</w:t>
      </w:r>
    </w:p>
    <w:p w14:paraId="18A9BB44" w14:textId="77777777" w:rsidR="002029C8" w:rsidRPr="00F82232" w:rsidRDefault="002029C8" w:rsidP="002029C8">
      <w:pPr>
        <w:rPr>
          <w:lang w:eastAsia="en-GB" w:bidi="hi-IN"/>
        </w:rPr>
      </w:pPr>
    </w:p>
    <w:p w14:paraId="4281F186" w14:textId="77777777" w:rsidR="002029C8" w:rsidRPr="00F82232" w:rsidRDefault="002029C8" w:rsidP="002029C8">
      <w:pPr>
        <w:rPr>
          <w:lang w:eastAsia="en-GB" w:bidi="hi-IN"/>
        </w:rPr>
      </w:pPr>
    </w:p>
    <w:p w14:paraId="0E1B8902" w14:textId="1DEB4357" w:rsidR="002029C8" w:rsidRPr="00F82232" w:rsidRDefault="002029C8" w:rsidP="002029C8">
      <w:pPr>
        <w:jc w:val="center"/>
        <w:rPr>
          <w:lang w:eastAsia="en-GB" w:bidi="hi-IN"/>
        </w:rPr>
      </w:pPr>
      <w:r w:rsidRPr="00F82232">
        <w:rPr>
          <w:lang w:eastAsia="en-GB" w:bidi="hi-IN"/>
        </w:rPr>
        <w:t>NAME</w:t>
      </w:r>
      <w:r w:rsidR="00F67F11">
        <w:rPr>
          <w:lang w:eastAsia="en-GB" w:bidi="hi-IN"/>
        </w:rPr>
        <w:t xml:space="preserve"> </w:t>
      </w:r>
      <w:r w:rsidRPr="00F82232">
        <w:rPr>
          <w:lang w:eastAsia="en-GB" w:bidi="hi-IN"/>
        </w:rPr>
        <w:t> Mst Hanna Bagum Rima</w:t>
      </w:r>
    </w:p>
    <w:p w14:paraId="5163D7B5" w14:textId="04C5BC3B" w:rsidR="002029C8" w:rsidRPr="00F82232" w:rsidRDefault="002029C8" w:rsidP="002029C8">
      <w:pPr>
        <w:jc w:val="center"/>
        <w:rPr>
          <w:lang w:eastAsia="en-GB" w:bidi="hi-IN"/>
        </w:rPr>
      </w:pPr>
      <w:r w:rsidRPr="00F82232">
        <w:rPr>
          <w:lang w:eastAsia="en-GB" w:bidi="hi-IN"/>
        </w:rPr>
        <w:t>STUDENT NO.:2437621</w:t>
      </w:r>
    </w:p>
    <w:p w14:paraId="7E572D9E" w14:textId="77777777" w:rsidR="002029C8" w:rsidRPr="00F82232" w:rsidRDefault="002029C8" w:rsidP="002029C8">
      <w:pPr>
        <w:jc w:val="center"/>
        <w:rPr>
          <w:lang w:eastAsia="en-GB" w:bidi="hi-IN"/>
        </w:rPr>
      </w:pPr>
      <w:r w:rsidRPr="00F82232">
        <w:rPr>
          <w:lang w:eastAsia="en-GB" w:bidi="hi-IN"/>
        </w:rPr>
        <w:t>MODULE: BMMB7003 Dissertation</w:t>
      </w:r>
    </w:p>
    <w:p w14:paraId="717DF1B1" w14:textId="77777777" w:rsidR="002029C8" w:rsidRPr="00F82232" w:rsidRDefault="002029C8" w:rsidP="002029C8">
      <w:pPr>
        <w:jc w:val="center"/>
        <w:rPr>
          <w:lang w:eastAsia="en-GB" w:bidi="hi-IN"/>
        </w:rPr>
      </w:pPr>
    </w:p>
    <w:p w14:paraId="07AE17B4" w14:textId="77777777" w:rsidR="002029C8" w:rsidRPr="00F82232" w:rsidRDefault="002029C8">
      <w:pPr>
        <w:spacing w:line="240" w:lineRule="auto"/>
        <w:jc w:val="left"/>
        <w:rPr>
          <w:lang w:eastAsia="en-GB" w:bidi="hi-IN"/>
        </w:rPr>
      </w:pPr>
      <w:r w:rsidRPr="00F82232">
        <w:rPr>
          <w:lang w:eastAsia="en-GB" w:bidi="hi-IN"/>
        </w:rPr>
        <w:br w:type="page"/>
      </w:r>
    </w:p>
    <w:p w14:paraId="3CD0065E" w14:textId="77777777" w:rsidR="007F2EE8" w:rsidRPr="00F82232" w:rsidRDefault="007F2EE8" w:rsidP="007F2EE8">
      <w:pPr>
        <w:pStyle w:val="Heading1"/>
        <w:spacing w:before="240" w:after="140" w:line="360" w:lineRule="auto"/>
      </w:pPr>
      <w:bookmarkStart w:id="0" w:name="_Toc239961450"/>
      <w:bookmarkStart w:id="1" w:name="_Toc240816291"/>
      <w:bookmarkStart w:id="2" w:name="_Toc241050379"/>
      <w:r w:rsidRPr="00F82232">
        <w:rPr>
          <w:bCs/>
          <w:color w:val="000000"/>
        </w:rPr>
        <w:lastRenderedPageBreak/>
        <w:t>Declaration and Statements</w:t>
      </w:r>
      <w:bookmarkEnd w:id="0"/>
      <w:bookmarkEnd w:id="1"/>
      <w:bookmarkEnd w:id="2"/>
    </w:p>
    <w:p w14:paraId="139123E9" w14:textId="77777777" w:rsidR="007F2EE8" w:rsidRPr="00F82232" w:rsidRDefault="007F2EE8" w:rsidP="007F2EE8">
      <w:pPr>
        <w:spacing w:after="200" w:line="360" w:lineRule="auto"/>
      </w:pPr>
      <w:r w:rsidRPr="00F82232">
        <w:rPr>
          <w:b/>
          <w:bCs/>
        </w:rPr>
        <w:t>DECLARATION</w:t>
      </w:r>
    </w:p>
    <w:p w14:paraId="421B5A5E" w14:textId="77777777" w:rsidR="007F2EE8" w:rsidRPr="00F82232" w:rsidRDefault="007F2EE8" w:rsidP="007F2EE8">
      <w:pPr>
        <w:spacing w:after="200" w:line="360" w:lineRule="auto"/>
      </w:pPr>
      <w:r w:rsidRPr="00F82232">
        <w:t>This work has not previously been accepted in substance for any degree and is not being concurrently submitted in candidature for any degree.</w:t>
      </w:r>
    </w:p>
    <w:p w14:paraId="2E668EE2" w14:textId="7BA7EF02" w:rsidR="007F2EE8" w:rsidRPr="00F82232" w:rsidRDefault="007F2EE8" w:rsidP="007F2EE8">
      <w:pPr>
        <w:spacing w:after="200" w:line="360" w:lineRule="auto"/>
      </w:pPr>
      <w:r w:rsidRPr="00F82232">
        <w:t>Signed ..................</w:t>
      </w:r>
      <w:r w:rsidR="00FE6742" w:rsidRPr="00FE6742">
        <w:rPr>
          <w:lang w:eastAsia="en-GB" w:bidi="hi-IN"/>
        </w:rPr>
        <w:t xml:space="preserve"> </w:t>
      </w:r>
      <w:r w:rsidR="00FE6742" w:rsidRPr="00F82232">
        <w:rPr>
          <w:lang w:eastAsia="en-GB" w:bidi="hi-IN"/>
        </w:rPr>
        <w:t>Mst Hanna Bagum Rima</w:t>
      </w:r>
      <w:r w:rsidRPr="00F82232">
        <w:t>.................................................... (candidate)</w:t>
      </w:r>
    </w:p>
    <w:p w14:paraId="2F843990" w14:textId="4814EED5" w:rsidR="007F2EE8" w:rsidRDefault="007F2EE8" w:rsidP="007F2EE8">
      <w:pPr>
        <w:spacing w:after="200" w:line="360" w:lineRule="auto"/>
      </w:pPr>
      <w:r w:rsidRPr="00F82232">
        <w:t>Date ......................</w:t>
      </w:r>
      <w:r w:rsidR="00FE6742">
        <w:t>23/09/2026</w:t>
      </w:r>
      <w:r w:rsidRPr="00F82232">
        <w:t>..................................................</w:t>
      </w:r>
    </w:p>
    <w:p w14:paraId="2F21DBEA" w14:textId="77777777" w:rsidR="003F59ED" w:rsidRPr="00F82232" w:rsidRDefault="003F59ED" w:rsidP="007F2EE8">
      <w:pPr>
        <w:spacing w:after="200" w:line="360" w:lineRule="auto"/>
      </w:pPr>
    </w:p>
    <w:p w14:paraId="7EA10B65" w14:textId="77777777" w:rsidR="007F2EE8" w:rsidRPr="00F82232" w:rsidRDefault="007F2EE8" w:rsidP="007F2EE8">
      <w:pPr>
        <w:spacing w:after="200" w:line="360" w:lineRule="auto"/>
      </w:pPr>
      <w:r w:rsidRPr="00F82232">
        <w:rPr>
          <w:b/>
          <w:bCs/>
        </w:rPr>
        <w:t>STATEMENT 1</w:t>
      </w:r>
    </w:p>
    <w:p w14:paraId="033F29D7" w14:textId="77777777" w:rsidR="007F2EE8" w:rsidRPr="00F82232" w:rsidRDefault="007F2EE8" w:rsidP="007F2EE8">
      <w:pPr>
        <w:spacing w:after="200" w:line="360" w:lineRule="auto"/>
      </w:pPr>
      <w:r w:rsidRPr="00F82232">
        <w:t>This work is the result of my own investigations, except where otherwise stated. Other sources are acknowledged by footnotes giving explicit references. A bibliography is appended.</w:t>
      </w:r>
    </w:p>
    <w:p w14:paraId="49BC57A6" w14:textId="77777777" w:rsidR="00FE6742" w:rsidRPr="00F82232" w:rsidRDefault="00FE6742" w:rsidP="00FE6742">
      <w:pPr>
        <w:spacing w:after="200" w:line="360" w:lineRule="auto"/>
      </w:pPr>
      <w:r w:rsidRPr="00F82232">
        <w:t>Signed ..................</w:t>
      </w:r>
      <w:r w:rsidRPr="00FE6742">
        <w:rPr>
          <w:lang w:eastAsia="en-GB" w:bidi="hi-IN"/>
        </w:rPr>
        <w:t xml:space="preserve"> </w:t>
      </w:r>
      <w:r w:rsidRPr="00F82232">
        <w:rPr>
          <w:lang w:eastAsia="en-GB" w:bidi="hi-IN"/>
        </w:rPr>
        <w:t>Mst Hanna Bagum Rima</w:t>
      </w:r>
      <w:r w:rsidRPr="00F82232">
        <w:t>.................................................... (candidate)</w:t>
      </w:r>
    </w:p>
    <w:p w14:paraId="597B45DB" w14:textId="6F56C820" w:rsidR="00FE6742" w:rsidRDefault="00FE6742" w:rsidP="00FE6742">
      <w:pPr>
        <w:spacing w:after="200" w:line="360" w:lineRule="auto"/>
      </w:pPr>
      <w:r w:rsidRPr="00F82232">
        <w:t>Date ......................</w:t>
      </w:r>
      <w:r>
        <w:t>23/09/2026</w:t>
      </w:r>
      <w:r w:rsidRPr="00F82232">
        <w:t>..................................................</w:t>
      </w:r>
    </w:p>
    <w:p w14:paraId="6F4869EF" w14:textId="77777777" w:rsidR="00FE6742" w:rsidRPr="00F82232" w:rsidRDefault="00FE6742" w:rsidP="00FE6742">
      <w:pPr>
        <w:spacing w:after="200" w:line="360" w:lineRule="auto"/>
      </w:pPr>
    </w:p>
    <w:p w14:paraId="30828376" w14:textId="77777777" w:rsidR="007F2EE8" w:rsidRPr="00F82232" w:rsidRDefault="007F2EE8" w:rsidP="007F2EE8">
      <w:pPr>
        <w:spacing w:after="200" w:line="360" w:lineRule="auto"/>
      </w:pPr>
      <w:r w:rsidRPr="00F82232">
        <w:rPr>
          <w:b/>
          <w:bCs/>
        </w:rPr>
        <w:t>STATEMENT 2</w:t>
      </w:r>
    </w:p>
    <w:p w14:paraId="19FA1345" w14:textId="77777777" w:rsidR="007F2EE8" w:rsidRPr="00F82232" w:rsidRDefault="007F2EE8" w:rsidP="007F2EE8">
      <w:pPr>
        <w:spacing w:after="200" w:line="360" w:lineRule="auto"/>
      </w:pPr>
      <w:r w:rsidRPr="00F82232">
        <w:t>I hereby give consent for my work, if accepted, to be available for photocopying and for inter-library loan, and for the title and summary to be made available to outside organisations.</w:t>
      </w:r>
    </w:p>
    <w:p w14:paraId="38C9E3F6" w14:textId="77777777" w:rsidR="00FE6742" w:rsidRPr="00F82232" w:rsidRDefault="00FE6742" w:rsidP="00FE6742">
      <w:pPr>
        <w:spacing w:after="200" w:line="360" w:lineRule="auto"/>
      </w:pPr>
      <w:r w:rsidRPr="00F82232">
        <w:t>Signed ..................</w:t>
      </w:r>
      <w:r w:rsidRPr="00FE6742">
        <w:rPr>
          <w:lang w:eastAsia="en-GB" w:bidi="hi-IN"/>
        </w:rPr>
        <w:t xml:space="preserve"> </w:t>
      </w:r>
      <w:r w:rsidRPr="00F82232">
        <w:rPr>
          <w:lang w:eastAsia="en-GB" w:bidi="hi-IN"/>
        </w:rPr>
        <w:t>Mst Hanna Bagum Rima</w:t>
      </w:r>
      <w:r w:rsidRPr="00F82232">
        <w:t>.................................................... (candidate)</w:t>
      </w:r>
    </w:p>
    <w:p w14:paraId="343B15A1" w14:textId="40FE7859" w:rsidR="00FE6742" w:rsidRDefault="00FE6742" w:rsidP="00FE6742">
      <w:pPr>
        <w:spacing w:after="200" w:line="360" w:lineRule="auto"/>
      </w:pPr>
      <w:r w:rsidRPr="00F82232">
        <w:t>Date ......................</w:t>
      </w:r>
      <w:r>
        <w:t>23/09/2026</w:t>
      </w:r>
      <w:r w:rsidRPr="00F82232">
        <w:t>..................................................</w:t>
      </w:r>
    </w:p>
    <w:p w14:paraId="7D5BCE16" w14:textId="77777777" w:rsidR="003F59ED" w:rsidRPr="00F82232" w:rsidRDefault="003F59ED" w:rsidP="00FE6742">
      <w:pPr>
        <w:spacing w:after="200" w:line="360" w:lineRule="auto"/>
      </w:pPr>
    </w:p>
    <w:p w14:paraId="3B88407A" w14:textId="77777777" w:rsidR="007F2EE8" w:rsidRPr="00F82232" w:rsidRDefault="007F2EE8" w:rsidP="007F2EE8">
      <w:r w:rsidRPr="00F82232">
        <w:br w:type="page"/>
      </w:r>
    </w:p>
    <w:p w14:paraId="751E5D36" w14:textId="77777777" w:rsidR="007F2EE8" w:rsidRPr="00F82232" w:rsidRDefault="007F2EE8" w:rsidP="003F59ED">
      <w:pPr>
        <w:pStyle w:val="Heading1"/>
        <w:rPr>
          <w:lang w:eastAsia="en-GB" w:bidi="hi-IN"/>
        </w:rPr>
      </w:pPr>
      <w:bookmarkStart w:id="3" w:name="_Toc241050380"/>
      <w:r w:rsidRPr="00F82232">
        <w:rPr>
          <w:lang w:eastAsia="en-GB" w:bidi="hi-IN"/>
        </w:rPr>
        <w:lastRenderedPageBreak/>
        <w:t>Acknowledgements</w:t>
      </w:r>
      <w:bookmarkEnd w:id="3"/>
    </w:p>
    <w:p w14:paraId="56938104" w14:textId="445C89D0" w:rsidR="007F2EE8" w:rsidRPr="00F82232" w:rsidRDefault="00C758CF" w:rsidP="007F2EE8">
      <w:pPr>
        <w:rPr>
          <w:lang w:eastAsia="en-GB" w:bidi="hi-IN"/>
        </w:rPr>
      </w:pPr>
      <w:r w:rsidRPr="00C758CF">
        <w:rPr>
          <w:lang w:eastAsia="en-GB" w:bidi="hi-IN"/>
        </w:rPr>
        <w:t xml:space="preserve">I would like to extend special thanks to my supervisor, James Moore, for his expert and invaluable guidance in this dissertation. </w:t>
      </w:r>
      <w:r>
        <w:rPr>
          <w:lang w:eastAsia="en-GB" w:bidi="hi-IN"/>
        </w:rPr>
        <w:t>I</w:t>
      </w:r>
      <w:r w:rsidRPr="00C758CF">
        <w:rPr>
          <w:lang w:eastAsia="en-GB" w:bidi="hi-IN"/>
        </w:rPr>
        <w:t xml:space="preserve"> </w:t>
      </w:r>
      <w:r>
        <w:rPr>
          <w:lang w:eastAsia="en-GB" w:bidi="hi-IN"/>
        </w:rPr>
        <w:t>would also like</w:t>
      </w:r>
      <w:r w:rsidRPr="00C758CF">
        <w:rPr>
          <w:lang w:eastAsia="en-GB" w:bidi="hi-IN"/>
        </w:rPr>
        <w:t xml:space="preserve"> to </w:t>
      </w:r>
      <w:r>
        <w:rPr>
          <w:lang w:eastAsia="en-GB" w:bidi="hi-IN"/>
        </w:rPr>
        <w:t xml:space="preserve">thank </w:t>
      </w:r>
      <w:r w:rsidRPr="00C758CF">
        <w:rPr>
          <w:lang w:eastAsia="en-GB" w:bidi="hi-IN"/>
        </w:rPr>
        <w:t>the University of Wales Trinity Saint David and Swansea Business School. In addition</w:t>
      </w:r>
      <w:r>
        <w:rPr>
          <w:lang w:eastAsia="en-GB" w:bidi="hi-IN"/>
        </w:rPr>
        <w:t>,</w:t>
      </w:r>
      <w:r w:rsidRPr="00C758CF">
        <w:rPr>
          <w:lang w:eastAsia="en-GB" w:bidi="hi-IN"/>
        </w:rPr>
        <w:t xml:space="preserve"> I am greatly grateful to the UK SME professionals who contributed to this research. Lastly, I would like to express my gratitude to my family for their unconditional support.</w:t>
      </w:r>
    </w:p>
    <w:p w14:paraId="73C96AD0" w14:textId="77777777" w:rsidR="007F2EE8" w:rsidRPr="00F82232" w:rsidRDefault="007F2EE8">
      <w:pPr>
        <w:spacing w:line="240" w:lineRule="auto"/>
        <w:jc w:val="left"/>
        <w:rPr>
          <w:lang w:eastAsia="en-GB" w:bidi="hi-IN"/>
        </w:rPr>
      </w:pPr>
      <w:r w:rsidRPr="00F82232">
        <w:rPr>
          <w:lang w:eastAsia="en-GB" w:bidi="hi-IN"/>
        </w:rPr>
        <w:br w:type="page"/>
      </w:r>
    </w:p>
    <w:p w14:paraId="1113B124" w14:textId="77777777" w:rsidR="007F2EE8" w:rsidRPr="00F82232" w:rsidRDefault="007F2EE8" w:rsidP="003F59ED">
      <w:pPr>
        <w:pStyle w:val="Heading1"/>
        <w:rPr>
          <w:lang w:eastAsia="en-GB" w:bidi="hi-IN"/>
        </w:rPr>
      </w:pPr>
      <w:bookmarkStart w:id="4" w:name="_Toc240816292"/>
      <w:bookmarkStart w:id="5" w:name="_Toc241050381"/>
      <w:r w:rsidRPr="00F82232">
        <w:rPr>
          <w:lang w:eastAsia="en-GB" w:bidi="hi-IN"/>
        </w:rPr>
        <w:lastRenderedPageBreak/>
        <w:t>Abstract</w:t>
      </w:r>
      <w:bookmarkEnd w:id="4"/>
      <w:bookmarkEnd w:id="5"/>
    </w:p>
    <w:p w14:paraId="3B7F640E" w14:textId="17DDA13B" w:rsidR="007F2EE8" w:rsidRDefault="00C758CF" w:rsidP="007F2EE8">
      <w:pPr>
        <w:rPr>
          <w:lang w:eastAsia="en-GB" w:bidi="hi-IN"/>
        </w:rPr>
      </w:pPr>
      <w:r w:rsidRPr="00C758CF">
        <w:rPr>
          <w:lang w:eastAsia="en-GB" w:bidi="hi-IN"/>
        </w:rPr>
        <w:t xml:space="preserve">This is an explanatory sequential mixed-methods study examining how Generative Artificial Intelligence (GenAI) influences employee productivity and job quality within Small and Medium Enterprises (SMEs) in the United Kingdom (UK). A comprehensive survey with 151 SME practitioners was conducted, with thematic interviews to understand the </w:t>
      </w:r>
      <w:r w:rsidR="00A810C1">
        <w:rPr>
          <w:kern w:val="0"/>
          <w:lang w:eastAsia="en-GB" w:bidi="hi-IN"/>
          <w14:ligatures w14:val="none"/>
        </w:rPr>
        <w:t>moderating effect of employee training and AI governance, using the Technology-Organisation-Environment (TOE) framework and the Job</w:t>
      </w:r>
      <w:r w:rsidRPr="00C758CF">
        <w:rPr>
          <w:lang w:eastAsia="en-GB" w:bidi="hi-IN"/>
        </w:rPr>
        <w:t xml:space="preserve"> Demands-Resources (JD-R) model. Over</w:t>
      </w:r>
      <w:r w:rsidR="00A810C1">
        <w:rPr>
          <w:lang w:eastAsia="en-GB" w:bidi="hi-IN"/>
        </w:rPr>
        <w:t>all</w:t>
      </w:r>
      <w:r w:rsidRPr="00C758CF">
        <w:rPr>
          <w:lang w:eastAsia="en-GB" w:bidi="hi-IN"/>
        </w:rPr>
        <w:t xml:space="preserve">, the direct effect pathways of the potential relationship between GenAI adoption and employee productivity and job quality </w:t>
      </w:r>
      <w:r w:rsidR="00A810C1">
        <w:rPr>
          <w:lang w:eastAsia="en-GB" w:bidi="hi-IN"/>
        </w:rPr>
        <w:t>are</w:t>
      </w:r>
      <w:r w:rsidRPr="00C758CF">
        <w:rPr>
          <w:lang w:eastAsia="en-GB" w:bidi="hi-IN"/>
        </w:rPr>
        <w:t xml:space="preserve"> very significant and large, </w:t>
      </w:r>
      <w:r w:rsidR="00A810C1">
        <w:rPr>
          <w:lang w:eastAsia="en-GB" w:bidi="hi-IN"/>
        </w:rPr>
        <w:t>as</w:t>
      </w:r>
      <w:r w:rsidRPr="00C758CF">
        <w:rPr>
          <w:lang w:eastAsia="en-GB" w:bidi="hi-IN"/>
        </w:rPr>
        <w:t xml:space="preserve"> seen from the quantitative analysis based on the Hayes PROCESS macro. On the other hand, both the moderating hypotheses were statistically disconfirmed</w:t>
      </w:r>
      <w:r w:rsidR="00A810C1">
        <w:rPr>
          <w:lang w:eastAsia="en-GB" w:bidi="hi-IN"/>
        </w:rPr>
        <w:t>,</w:t>
      </w:r>
      <w:r w:rsidRPr="00C758CF">
        <w:rPr>
          <w:lang w:eastAsia="en-GB" w:bidi="hi-IN"/>
        </w:rPr>
        <w:t xml:space="preserve"> pointing to a critical institutional void.</w:t>
      </w:r>
      <w:r w:rsidR="00F82232" w:rsidRPr="00F82232">
        <w:rPr>
          <w:lang w:eastAsia="en-GB" w:bidi="hi-IN"/>
        </w:rPr>
        <w:t xml:space="preserve"> This phenomenon was qualitatively analy</w:t>
      </w:r>
      <w:r>
        <w:rPr>
          <w:lang w:eastAsia="en-GB" w:bidi="hi-IN"/>
        </w:rPr>
        <w:t>s</w:t>
      </w:r>
      <w:r w:rsidR="00F82232" w:rsidRPr="00F82232">
        <w:rPr>
          <w:lang w:eastAsia="en-GB" w:bidi="hi-IN"/>
        </w:rPr>
        <w:t>ed, identifying an automation-augmentation paradox. GenAI may offer some cognitive lift and speed for the first draft but at an inflated rate of a Verification Tax to ensure a meticulous and manual audit. What's more, there is always pressure to deliver and a liability mentality regarding policies due to expectation inflation by management. The findings of the study suggest that, while UK SMEs are embracing the technological shock of GenAI, there is a critical need for formalised ethical governance and effective upskilling to maintain human-AI workplace symbiosis.</w:t>
      </w:r>
    </w:p>
    <w:p w14:paraId="2C7F0031" w14:textId="1F3734A4" w:rsidR="003F59ED" w:rsidRDefault="003F59ED" w:rsidP="007F2EE8">
      <w:pPr>
        <w:rPr>
          <w:lang w:eastAsia="en-GB" w:bidi="hi-IN"/>
        </w:rPr>
      </w:pPr>
    </w:p>
    <w:p w14:paraId="23EB2D14" w14:textId="77777777" w:rsidR="003F59ED" w:rsidRPr="00F82232" w:rsidRDefault="003F59ED" w:rsidP="007F2EE8">
      <w:pPr>
        <w:rPr>
          <w:lang w:eastAsia="en-GB" w:bidi="hi-IN"/>
        </w:rPr>
      </w:pPr>
    </w:p>
    <w:p w14:paraId="212E4CD9" w14:textId="77777777" w:rsidR="007F2EE8" w:rsidRPr="00F82232" w:rsidRDefault="007F2EE8">
      <w:pPr>
        <w:spacing w:line="240" w:lineRule="auto"/>
        <w:jc w:val="left"/>
        <w:rPr>
          <w:lang w:eastAsia="en-GB" w:bidi="hi-IN"/>
        </w:rPr>
      </w:pPr>
      <w:r w:rsidRPr="00F82232">
        <w:rPr>
          <w:lang w:eastAsia="en-GB" w:bidi="hi-IN"/>
        </w:rPr>
        <w:br w:type="page"/>
      </w:r>
    </w:p>
    <w:sdt>
      <w:sdtPr>
        <w:rPr>
          <w:b w:val="0"/>
          <w:bCs/>
          <w:sz w:val="24"/>
        </w:rPr>
        <w:id w:val="-591089298"/>
        <w:docPartObj>
          <w:docPartGallery w:val="Table of Contents"/>
          <w:docPartUnique/>
        </w:docPartObj>
      </w:sdtPr>
      <w:sdtEndPr>
        <w:rPr>
          <w:rFonts w:cs="Times New Roman"/>
          <w:bCs w:val="0"/>
          <w:noProof/>
          <w:szCs w:val="24"/>
        </w:rPr>
      </w:sdtEndPr>
      <w:sdtContent>
        <w:p w14:paraId="0AEB3884" w14:textId="07CD69DB" w:rsidR="00AB006B" w:rsidRPr="00AB006B" w:rsidRDefault="00AB006B" w:rsidP="006955F5">
          <w:pPr>
            <w:pStyle w:val="Heading1"/>
          </w:pPr>
          <w:r w:rsidRPr="00AB006B">
            <w:t>Table of Contents</w:t>
          </w:r>
        </w:p>
        <w:p w14:paraId="0C0E72C9" w14:textId="4BF40EB6" w:rsidR="006955F5" w:rsidRPr="006955F5" w:rsidRDefault="00AB006B"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r w:rsidRPr="00AB006B">
            <w:rPr>
              <w:rFonts w:ascii="Times New Roman" w:hAnsi="Times New Roman" w:cs="Times New Roman"/>
            </w:rPr>
            <w:fldChar w:fldCharType="begin"/>
          </w:r>
          <w:r w:rsidRPr="00AB006B">
            <w:rPr>
              <w:rFonts w:ascii="Times New Roman" w:hAnsi="Times New Roman" w:cs="Times New Roman"/>
            </w:rPr>
            <w:instrText xml:space="preserve"> TOC \o "1-3" \h \z \u </w:instrText>
          </w:r>
          <w:r w:rsidRPr="00AB006B">
            <w:rPr>
              <w:rFonts w:ascii="Times New Roman" w:hAnsi="Times New Roman" w:cs="Times New Roman"/>
            </w:rPr>
            <w:fldChar w:fldCharType="separate"/>
          </w:r>
          <w:hyperlink w:anchor="_Toc241050379" w:history="1">
            <w:r w:rsidR="006955F5" w:rsidRPr="006955F5">
              <w:rPr>
                <w:rStyle w:val="Hyperlink"/>
                <w:rFonts w:ascii="Times New Roman" w:hAnsi="Times New Roman" w:cs="Times New Roman"/>
                <w:b w:val="0"/>
                <w:bCs w:val="0"/>
                <w:i w:val="0"/>
                <w:iCs w:val="0"/>
                <w:noProof/>
              </w:rPr>
              <w:t>Declaration and Statements</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_Toc241050379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2</w:t>
            </w:r>
            <w:r w:rsidR="006955F5" w:rsidRPr="006955F5">
              <w:rPr>
                <w:rFonts w:ascii="Times New Roman" w:hAnsi="Times New Roman" w:cs="Times New Roman"/>
                <w:b w:val="0"/>
                <w:bCs w:val="0"/>
                <w:i w:val="0"/>
                <w:iCs w:val="0"/>
                <w:noProof/>
                <w:webHidden/>
              </w:rPr>
              <w:fldChar w:fldCharType="end"/>
            </w:r>
          </w:hyperlink>
        </w:p>
        <w:p w14:paraId="21564783" w14:textId="77A24904"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380" w:history="1">
            <w:r w:rsidR="006955F5" w:rsidRPr="006955F5">
              <w:rPr>
                <w:rStyle w:val="Hyperlink"/>
                <w:rFonts w:ascii="Times New Roman" w:hAnsi="Times New Roman" w:cs="Times New Roman"/>
                <w:b w:val="0"/>
                <w:bCs w:val="0"/>
                <w:i w:val="0"/>
                <w:iCs w:val="0"/>
                <w:noProof/>
                <w:lang w:eastAsia="en-GB" w:bidi="hi-IN"/>
              </w:rPr>
              <w:t>Acknowledgements</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_Toc241050380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3</w:t>
            </w:r>
            <w:r w:rsidR="006955F5" w:rsidRPr="006955F5">
              <w:rPr>
                <w:rFonts w:ascii="Times New Roman" w:hAnsi="Times New Roman" w:cs="Times New Roman"/>
                <w:b w:val="0"/>
                <w:bCs w:val="0"/>
                <w:i w:val="0"/>
                <w:iCs w:val="0"/>
                <w:noProof/>
                <w:webHidden/>
              </w:rPr>
              <w:fldChar w:fldCharType="end"/>
            </w:r>
          </w:hyperlink>
        </w:p>
        <w:p w14:paraId="060232CD" w14:textId="6C6F1D3F"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381" w:history="1">
            <w:r w:rsidR="006955F5" w:rsidRPr="006955F5">
              <w:rPr>
                <w:rStyle w:val="Hyperlink"/>
                <w:rFonts w:ascii="Times New Roman" w:hAnsi="Times New Roman" w:cs="Times New Roman"/>
                <w:b w:val="0"/>
                <w:bCs w:val="0"/>
                <w:i w:val="0"/>
                <w:iCs w:val="0"/>
                <w:noProof/>
                <w:lang w:eastAsia="en-GB" w:bidi="hi-IN"/>
              </w:rPr>
              <w:t>Abstract</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_Toc241050381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4</w:t>
            </w:r>
            <w:r w:rsidR="006955F5" w:rsidRPr="006955F5">
              <w:rPr>
                <w:rFonts w:ascii="Times New Roman" w:hAnsi="Times New Roman" w:cs="Times New Roman"/>
                <w:b w:val="0"/>
                <w:bCs w:val="0"/>
                <w:i w:val="0"/>
                <w:iCs w:val="0"/>
                <w:noProof/>
                <w:webHidden/>
              </w:rPr>
              <w:fldChar w:fldCharType="end"/>
            </w:r>
          </w:hyperlink>
        </w:p>
        <w:p w14:paraId="1D639D85" w14:textId="3D4A4889"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382" w:history="1">
            <w:r w:rsidR="006955F5" w:rsidRPr="006955F5">
              <w:rPr>
                <w:rStyle w:val="Hyperlink"/>
                <w:rFonts w:ascii="Times New Roman" w:hAnsi="Times New Roman" w:cs="Times New Roman"/>
                <w:b w:val="0"/>
                <w:bCs w:val="0"/>
                <w:i w:val="0"/>
                <w:iCs w:val="0"/>
                <w:noProof/>
                <w:lang w:eastAsia="en-GB" w:bidi="hi-IN"/>
              </w:rPr>
              <w:t>List of Figures</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_Toc241050382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8</w:t>
            </w:r>
            <w:r w:rsidR="006955F5" w:rsidRPr="006955F5">
              <w:rPr>
                <w:rFonts w:ascii="Times New Roman" w:hAnsi="Times New Roman" w:cs="Times New Roman"/>
                <w:b w:val="0"/>
                <w:bCs w:val="0"/>
                <w:i w:val="0"/>
                <w:iCs w:val="0"/>
                <w:noProof/>
                <w:webHidden/>
              </w:rPr>
              <w:fldChar w:fldCharType="end"/>
            </w:r>
          </w:hyperlink>
        </w:p>
        <w:p w14:paraId="119EAFE4" w14:textId="67C2F66E"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383" w:history="1">
            <w:r w:rsidR="006955F5" w:rsidRPr="006955F5">
              <w:rPr>
                <w:rStyle w:val="Hyperlink"/>
                <w:rFonts w:ascii="Times New Roman" w:hAnsi="Times New Roman" w:cs="Times New Roman"/>
                <w:b w:val="0"/>
                <w:bCs w:val="0"/>
                <w:i w:val="0"/>
                <w:iCs w:val="0"/>
                <w:noProof/>
                <w:lang w:eastAsia="en-GB" w:bidi="hi-IN"/>
              </w:rPr>
              <w:t>List of Tables</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_Toc241050383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9</w:t>
            </w:r>
            <w:r w:rsidR="006955F5" w:rsidRPr="006955F5">
              <w:rPr>
                <w:rFonts w:ascii="Times New Roman" w:hAnsi="Times New Roman" w:cs="Times New Roman"/>
                <w:b w:val="0"/>
                <w:bCs w:val="0"/>
                <w:i w:val="0"/>
                <w:iCs w:val="0"/>
                <w:noProof/>
                <w:webHidden/>
              </w:rPr>
              <w:fldChar w:fldCharType="end"/>
            </w:r>
          </w:hyperlink>
        </w:p>
        <w:p w14:paraId="0FCE76A1" w14:textId="1F027F2F"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384" w:history="1">
            <w:r w:rsidR="006955F5" w:rsidRPr="006955F5">
              <w:rPr>
                <w:rStyle w:val="Hyperlink"/>
                <w:rFonts w:ascii="Times New Roman" w:hAnsi="Times New Roman" w:cs="Times New Roman"/>
                <w:b w:val="0"/>
                <w:bCs w:val="0"/>
                <w:i w:val="0"/>
                <w:iCs w:val="0"/>
                <w:noProof/>
                <w:lang w:eastAsia="en-GB" w:bidi="hi-IN"/>
              </w:rPr>
              <w:t>Chapter One: Introduction</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_Toc241050384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10</w:t>
            </w:r>
            <w:r w:rsidR="006955F5" w:rsidRPr="006955F5">
              <w:rPr>
                <w:rFonts w:ascii="Times New Roman" w:hAnsi="Times New Roman" w:cs="Times New Roman"/>
                <w:b w:val="0"/>
                <w:bCs w:val="0"/>
                <w:i w:val="0"/>
                <w:iCs w:val="0"/>
                <w:noProof/>
                <w:webHidden/>
              </w:rPr>
              <w:fldChar w:fldCharType="end"/>
            </w:r>
          </w:hyperlink>
        </w:p>
        <w:p w14:paraId="7EA9A5D2" w14:textId="1E4DFB41"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85" w:history="1">
            <w:r w:rsidR="006955F5" w:rsidRPr="006955F5">
              <w:rPr>
                <w:rStyle w:val="Hyperlink"/>
                <w:rFonts w:ascii="Times New Roman" w:hAnsi="Times New Roman" w:cs="Times New Roman"/>
                <w:b w:val="0"/>
                <w:bCs w:val="0"/>
                <w:noProof/>
                <w:sz w:val="24"/>
                <w:szCs w:val="24"/>
                <w:lang w:eastAsia="en-GB" w:bidi="hi-IN"/>
              </w:rPr>
              <w:t>1.1 Background of the study</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_Toc241050385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10</w:t>
            </w:r>
            <w:r w:rsidR="006955F5" w:rsidRPr="006955F5">
              <w:rPr>
                <w:rFonts w:ascii="Times New Roman" w:hAnsi="Times New Roman" w:cs="Times New Roman"/>
                <w:b w:val="0"/>
                <w:bCs w:val="0"/>
                <w:noProof/>
                <w:webHidden/>
                <w:sz w:val="24"/>
                <w:szCs w:val="24"/>
              </w:rPr>
              <w:fldChar w:fldCharType="end"/>
            </w:r>
          </w:hyperlink>
        </w:p>
        <w:p w14:paraId="4D4B775A" w14:textId="220A1943"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86" w:history="1">
            <w:r w:rsidR="006955F5" w:rsidRPr="006955F5">
              <w:rPr>
                <w:rStyle w:val="Hyperlink"/>
                <w:rFonts w:ascii="Times New Roman" w:hAnsi="Times New Roman" w:cs="Times New Roman"/>
                <w:b w:val="0"/>
                <w:bCs w:val="0"/>
                <w:noProof/>
                <w:sz w:val="24"/>
                <w:szCs w:val="24"/>
                <w:lang w:eastAsia="en-GB" w:bidi="hi-IN"/>
              </w:rPr>
              <w:t>1.2 Problem Statement</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_Toc241050386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11</w:t>
            </w:r>
            <w:r w:rsidR="006955F5" w:rsidRPr="006955F5">
              <w:rPr>
                <w:rFonts w:ascii="Times New Roman" w:hAnsi="Times New Roman" w:cs="Times New Roman"/>
                <w:b w:val="0"/>
                <w:bCs w:val="0"/>
                <w:noProof/>
                <w:webHidden/>
                <w:sz w:val="24"/>
                <w:szCs w:val="24"/>
              </w:rPr>
              <w:fldChar w:fldCharType="end"/>
            </w:r>
          </w:hyperlink>
        </w:p>
        <w:p w14:paraId="632EA085" w14:textId="7C3EB162"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87" w:history="1">
            <w:r w:rsidR="006955F5" w:rsidRPr="006955F5">
              <w:rPr>
                <w:rStyle w:val="Hyperlink"/>
                <w:rFonts w:ascii="Times New Roman" w:hAnsi="Times New Roman" w:cs="Times New Roman"/>
                <w:b w:val="0"/>
                <w:bCs w:val="0"/>
                <w:noProof/>
                <w:sz w:val="24"/>
                <w:szCs w:val="24"/>
                <w:lang w:eastAsia="en-GB" w:bidi="hi-IN"/>
              </w:rPr>
              <w:t>1.3 Research Rationale</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_Toc241050387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12</w:t>
            </w:r>
            <w:r w:rsidR="006955F5" w:rsidRPr="006955F5">
              <w:rPr>
                <w:rFonts w:ascii="Times New Roman" w:hAnsi="Times New Roman" w:cs="Times New Roman"/>
                <w:b w:val="0"/>
                <w:bCs w:val="0"/>
                <w:noProof/>
                <w:webHidden/>
                <w:sz w:val="24"/>
                <w:szCs w:val="24"/>
              </w:rPr>
              <w:fldChar w:fldCharType="end"/>
            </w:r>
          </w:hyperlink>
        </w:p>
        <w:p w14:paraId="0ED0EC94" w14:textId="5217CA54"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88" w:history="1">
            <w:r w:rsidR="006955F5" w:rsidRPr="006955F5">
              <w:rPr>
                <w:rStyle w:val="Hyperlink"/>
                <w:rFonts w:ascii="Times New Roman" w:hAnsi="Times New Roman" w:cs="Times New Roman"/>
                <w:b w:val="0"/>
                <w:bCs w:val="0"/>
                <w:noProof/>
                <w:sz w:val="24"/>
                <w:szCs w:val="24"/>
                <w:lang w:eastAsia="en-GB" w:bidi="hi-IN"/>
              </w:rPr>
              <w:t>1.4 Research Aim</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_Toc241050388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13</w:t>
            </w:r>
            <w:r w:rsidR="006955F5" w:rsidRPr="006955F5">
              <w:rPr>
                <w:rFonts w:ascii="Times New Roman" w:hAnsi="Times New Roman" w:cs="Times New Roman"/>
                <w:b w:val="0"/>
                <w:bCs w:val="0"/>
                <w:noProof/>
                <w:webHidden/>
                <w:sz w:val="24"/>
                <w:szCs w:val="24"/>
              </w:rPr>
              <w:fldChar w:fldCharType="end"/>
            </w:r>
          </w:hyperlink>
        </w:p>
        <w:p w14:paraId="0010B094" w14:textId="7C6ECE2A"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89" w:history="1">
            <w:r w:rsidR="006955F5" w:rsidRPr="006955F5">
              <w:rPr>
                <w:rStyle w:val="Hyperlink"/>
                <w:rFonts w:ascii="Times New Roman" w:hAnsi="Times New Roman" w:cs="Times New Roman"/>
                <w:b w:val="0"/>
                <w:bCs w:val="0"/>
                <w:noProof/>
                <w:sz w:val="24"/>
                <w:szCs w:val="24"/>
                <w:lang w:eastAsia="en-GB" w:bidi="hi-IN"/>
              </w:rPr>
              <w:t>1.5 Research Objectives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_Toc241050389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13</w:t>
            </w:r>
            <w:r w:rsidR="006955F5" w:rsidRPr="006955F5">
              <w:rPr>
                <w:rFonts w:ascii="Times New Roman" w:hAnsi="Times New Roman" w:cs="Times New Roman"/>
                <w:b w:val="0"/>
                <w:bCs w:val="0"/>
                <w:noProof/>
                <w:webHidden/>
                <w:sz w:val="24"/>
                <w:szCs w:val="24"/>
              </w:rPr>
              <w:fldChar w:fldCharType="end"/>
            </w:r>
          </w:hyperlink>
        </w:p>
        <w:p w14:paraId="1B52C3D5" w14:textId="72870851"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90" w:history="1">
            <w:r w:rsidR="006955F5" w:rsidRPr="006955F5">
              <w:rPr>
                <w:rStyle w:val="Hyperlink"/>
                <w:rFonts w:ascii="Times New Roman" w:hAnsi="Times New Roman" w:cs="Times New Roman"/>
                <w:b w:val="0"/>
                <w:bCs w:val="0"/>
                <w:noProof/>
                <w:sz w:val="24"/>
                <w:szCs w:val="24"/>
                <w:lang w:eastAsia="en-GB" w:bidi="hi-IN"/>
              </w:rPr>
              <w:t>1.6 Research Question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_Toc241050390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14</w:t>
            </w:r>
            <w:r w:rsidR="006955F5" w:rsidRPr="006955F5">
              <w:rPr>
                <w:rFonts w:ascii="Times New Roman" w:hAnsi="Times New Roman" w:cs="Times New Roman"/>
                <w:b w:val="0"/>
                <w:bCs w:val="0"/>
                <w:noProof/>
                <w:webHidden/>
                <w:sz w:val="24"/>
                <w:szCs w:val="24"/>
              </w:rPr>
              <w:fldChar w:fldCharType="end"/>
            </w:r>
          </w:hyperlink>
        </w:p>
        <w:p w14:paraId="512F8058" w14:textId="5C95D196"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91" w:history="1">
            <w:r w:rsidR="006955F5" w:rsidRPr="006955F5">
              <w:rPr>
                <w:rStyle w:val="Hyperlink"/>
                <w:rFonts w:ascii="Times New Roman" w:hAnsi="Times New Roman" w:cs="Times New Roman"/>
                <w:b w:val="0"/>
                <w:bCs w:val="0"/>
                <w:noProof/>
                <w:sz w:val="24"/>
                <w:szCs w:val="24"/>
                <w:lang w:eastAsia="en-GB" w:bidi="hi-IN"/>
              </w:rPr>
              <w:t>1.7 Research Structure</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_Toc241050391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14</w:t>
            </w:r>
            <w:r w:rsidR="006955F5" w:rsidRPr="006955F5">
              <w:rPr>
                <w:rFonts w:ascii="Times New Roman" w:hAnsi="Times New Roman" w:cs="Times New Roman"/>
                <w:b w:val="0"/>
                <w:bCs w:val="0"/>
                <w:noProof/>
                <w:webHidden/>
                <w:sz w:val="24"/>
                <w:szCs w:val="24"/>
              </w:rPr>
              <w:fldChar w:fldCharType="end"/>
            </w:r>
          </w:hyperlink>
        </w:p>
        <w:p w14:paraId="265B9FC3" w14:textId="41D04CC6"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392" w:history="1">
            <w:r w:rsidR="006955F5" w:rsidRPr="006955F5">
              <w:rPr>
                <w:rStyle w:val="Hyperlink"/>
                <w:rFonts w:ascii="Times New Roman" w:hAnsi="Times New Roman" w:cs="Times New Roman"/>
                <w:b w:val="0"/>
                <w:bCs w:val="0"/>
                <w:i w:val="0"/>
                <w:iCs w:val="0"/>
                <w:noProof/>
                <w:lang w:eastAsia="en-GB" w:bidi="hi-IN"/>
              </w:rPr>
              <w:t>Chapter Two: Literature Review</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_Toc241050392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16</w:t>
            </w:r>
            <w:r w:rsidR="006955F5" w:rsidRPr="006955F5">
              <w:rPr>
                <w:rFonts w:ascii="Times New Roman" w:hAnsi="Times New Roman" w:cs="Times New Roman"/>
                <w:b w:val="0"/>
                <w:bCs w:val="0"/>
                <w:i w:val="0"/>
                <w:iCs w:val="0"/>
                <w:noProof/>
                <w:webHidden/>
              </w:rPr>
              <w:fldChar w:fldCharType="end"/>
            </w:r>
          </w:hyperlink>
        </w:p>
        <w:p w14:paraId="240CD5FB" w14:textId="2B018654"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93" w:history="1">
            <w:r w:rsidR="006955F5" w:rsidRPr="006955F5">
              <w:rPr>
                <w:rStyle w:val="Hyperlink"/>
                <w:rFonts w:ascii="Times New Roman" w:hAnsi="Times New Roman" w:cs="Times New Roman"/>
                <w:b w:val="0"/>
                <w:bCs w:val="0"/>
                <w:noProof/>
                <w:sz w:val="24"/>
                <w:szCs w:val="24"/>
                <w:lang w:eastAsia="en-GB" w:bidi="hi-IN"/>
              </w:rPr>
              <w:t>2.1 Introduction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_Toc241050393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16</w:t>
            </w:r>
            <w:r w:rsidR="006955F5" w:rsidRPr="006955F5">
              <w:rPr>
                <w:rFonts w:ascii="Times New Roman" w:hAnsi="Times New Roman" w:cs="Times New Roman"/>
                <w:b w:val="0"/>
                <w:bCs w:val="0"/>
                <w:noProof/>
                <w:webHidden/>
                <w:sz w:val="24"/>
                <w:szCs w:val="24"/>
              </w:rPr>
              <w:fldChar w:fldCharType="end"/>
            </w:r>
          </w:hyperlink>
        </w:p>
        <w:p w14:paraId="1B79C55E" w14:textId="345E1D1A"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94" w:history="1">
            <w:r w:rsidR="006955F5" w:rsidRPr="006955F5">
              <w:rPr>
                <w:rStyle w:val="Hyperlink"/>
                <w:rFonts w:ascii="Times New Roman" w:hAnsi="Times New Roman" w:cs="Times New Roman"/>
                <w:b w:val="0"/>
                <w:bCs w:val="0"/>
                <w:noProof/>
                <w:sz w:val="24"/>
                <w:szCs w:val="24"/>
              </w:rPr>
              <w:t>2.2 Theoretical Foundations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_Toc241050394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16</w:t>
            </w:r>
            <w:r w:rsidR="006955F5" w:rsidRPr="006955F5">
              <w:rPr>
                <w:rFonts w:ascii="Times New Roman" w:hAnsi="Times New Roman" w:cs="Times New Roman"/>
                <w:b w:val="0"/>
                <w:bCs w:val="0"/>
                <w:noProof/>
                <w:webHidden/>
                <w:sz w:val="24"/>
                <w:szCs w:val="24"/>
              </w:rPr>
              <w:fldChar w:fldCharType="end"/>
            </w:r>
          </w:hyperlink>
        </w:p>
        <w:p w14:paraId="2995700E" w14:textId="7FDEF7E9"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395" w:history="1">
            <w:r w:rsidR="006955F5" w:rsidRPr="006955F5">
              <w:rPr>
                <w:rStyle w:val="Hyperlink"/>
                <w:rFonts w:ascii="Times New Roman" w:hAnsi="Times New Roman" w:cs="Times New Roman"/>
                <w:noProof/>
                <w:sz w:val="24"/>
                <w:szCs w:val="24"/>
              </w:rPr>
              <w:t>2.2.1 The Technology-Organisation-Environment (TOE) Framework</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_Toc241050395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17</w:t>
            </w:r>
            <w:r w:rsidR="006955F5" w:rsidRPr="006955F5">
              <w:rPr>
                <w:rFonts w:ascii="Times New Roman" w:hAnsi="Times New Roman" w:cs="Times New Roman"/>
                <w:noProof/>
                <w:webHidden/>
                <w:sz w:val="24"/>
                <w:szCs w:val="24"/>
              </w:rPr>
              <w:fldChar w:fldCharType="end"/>
            </w:r>
          </w:hyperlink>
        </w:p>
        <w:p w14:paraId="64F898CF" w14:textId="7278EBBF"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396" w:history="1">
            <w:r w:rsidR="006955F5" w:rsidRPr="006955F5">
              <w:rPr>
                <w:rStyle w:val="Hyperlink"/>
                <w:rFonts w:ascii="Times New Roman" w:hAnsi="Times New Roman" w:cs="Times New Roman"/>
                <w:noProof/>
                <w:sz w:val="24"/>
                <w:szCs w:val="24"/>
              </w:rPr>
              <w:t>2.2.2 The Job Demands-Resources (JD-R) Model</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_Toc241050396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18</w:t>
            </w:r>
            <w:r w:rsidR="006955F5" w:rsidRPr="006955F5">
              <w:rPr>
                <w:rFonts w:ascii="Times New Roman" w:hAnsi="Times New Roman" w:cs="Times New Roman"/>
                <w:noProof/>
                <w:webHidden/>
                <w:sz w:val="24"/>
                <w:szCs w:val="24"/>
              </w:rPr>
              <w:fldChar w:fldCharType="end"/>
            </w:r>
          </w:hyperlink>
        </w:p>
        <w:p w14:paraId="300B213B" w14:textId="27314C63"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397" w:history="1">
            <w:r w:rsidR="006955F5" w:rsidRPr="006955F5">
              <w:rPr>
                <w:rStyle w:val="Hyperlink"/>
                <w:rFonts w:ascii="Times New Roman" w:hAnsi="Times New Roman" w:cs="Times New Roman"/>
                <w:noProof/>
                <w:sz w:val="24"/>
                <w:szCs w:val="24"/>
              </w:rPr>
              <w:t>2.2.3 Institutional Theory and Capability Views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_Toc241050397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19</w:t>
            </w:r>
            <w:r w:rsidR="006955F5" w:rsidRPr="006955F5">
              <w:rPr>
                <w:rFonts w:ascii="Times New Roman" w:hAnsi="Times New Roman" w:cs="Times New Roman"/>
                <w:noProof/>
                <w:webHidden/>
                <w:sz w:val="24"/>
                <w:szCs w:val="24"/>
              </w:rPr>
              <w:fldChar w:fldCharType="end"/>
            </w:r>
          </w:hyperlink>
        </w:p>
        <w:p w14:paraId="36069AB8" w14:textId="1A47230B"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398" w:history="1">
            <w:r w:rsidR="006955F5" w:rsidRPr="006955F5">
              <w:rPr>
                <w:rStyle w:val="Hyperlink"/>
                <w:rFonts w:ascii="Times New Roman" w:hAnsi="Times New Roman" w:cs="Times New Roman"/>
                <w:b w:val="0"/>
                <w:bCs w:val="0"/>
                <w:noProof/>
                <w:sz w:val="24"/>
                <w:szCs w:val="24"/>
              </w:rPr>
              <w:t>2.3 Empirical Review of GenAI Integration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_Toc241050398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20</w:t>
            </w:r>
            <w:r w:rsidR="006955F5" w:rsidRPr="006955F5">
              <w:rPr>
                <w:rFonts w:ascii="Times New Roman" w:hAnsi="Times New Roman" w:cs="Times New Roman"/>
                <w:b w:val="0"/>
                <w:bCs w:val="0"/>
                <w:noProof/>
                <w:webHidden/>
                <w:sz w:val="24"/>
                <w:szCs w:val="24"/>
              </w:rPr>
              <w:fldChar w:fldCharType="end"/>
            </w:r>
          </w:hyperlink>
        </w:p>
        <w:p w14:paraId="366A46DB" w14:textId="418726EB"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399" w:history="1">
            <w:r w:rsidR="006955F5" w:rsidRPr="006955F5">
              <w:rPr>
                <w:rStyle w:val="Hyperlink"/>
                <w:rFonts w:ascii="Times New Roman" w:hAnsi="Times New Roman" w:cs="Times New Roman"/>
                <w:noProof/>
                <w:sz w:val="24"/>
                <w:szCs w:val="24"/>
              </w:rPr>
              <w:t>2.3.1 GenAI and Employee Productivity</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_Toc241050399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20</w:t>
            </w:r>
            <w:r w:rsidR="006955F5" w:rsidRPr="006955F5">
              <w:rPr>
                <w:rFonts w:ascii="Times New Roman" w:hAnsi="Times New Roman" w:cs="Times New Roman"/>
                <w:noProof/>
                <w:webHidden/>
                <w:sz w:val="24"/>
                <w:szCs w:val="24"/>
              </w:rPr>
              <w:fldChar w:fldCharType="end"/>
            </w:r>
          </w:hyperlink>
        </w:p>
        <w:p w14:paraId="262D1A60" w14:textId="066DAD78"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00" w:history="1">
            <w:r w:rsidR="006955F5" w:rsidRPr="006955F5">
              <w:rPr>
                <w:rStyle w:val="Hyperlink"/>
                <w:rFonts w:ascii="Times New Roman" w:hAnsi="Times New Roman" w:cs="Times New Roman"/>
                <w:noProof/>
                <w:sz w:val="24"/>
                <w:szCs w:val="24"/>
              </w:rPr>
              <w:t>2.3.2 GenAI and Job Quality: The Automation-Augmentation Paradox</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_Toc241050400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21</w:t>
            </w:r>
            <w:r w:rsidR="006955F5" w:rsidRPr="006955F5">
              <w:rPr>
                <w:rFonts w:ascii="Times New Roman" w:hAnsi="Times New Roman" w:cs="Times New Roman"/>
                <w:noProof/>
                <w:webHidden/>
                <w:sz w:val="24"/>
                <w:szCs w:val="24"/>
              </w:rPr>
              <w:fldChar w:fldCharType="end"/>
            </w:r>
          </w:hyperlink>
        </w:p>
        <w:p w14:paraId="2B598E0C" w14:textId="38DE7D55"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01" w:history="1">
            <w:r w:rsidR="006955F5" w:rsidRPr="006955F5">
              <w:rPr>
                <w:rStyle w:val="Hyperlink"/>
                <w:rFonts w:ascii="Times New Roman" w:hAnsi="Times New Roman" w:cs="Times New Roman"/>
                <w:noProof/>
                <w:sz w:val="24"/>
                <w:szCs w:val="24"/>
              </w:rPr>
              <w:t>2.3.3 The Moderating Role of Employee Training</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_Toc241050401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23</w:t>
            </w:r>
            <w:r w:rsidR="006955F5" w:rsidRPr="006955F5">
              <w:rPr>
                <w:rFonts w:ascii="Times New Roman" w:hAnsi="Times New Roman" w:cs="Times New Roman"/>
                <w:noProof/>
                <w:webHidden/>
                <w:sz w:val="24"/>
                <w:szCs w:val="24"/>
              </w:rPr>
              <w:fldChar w:fldCharType="end"/>
            </w:r>
          </w:hyperlink>
        </w:p>
        <w:p w14:paraId="25AB2C8A" w14:textId="2382E8ED"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02" w:history="1">
            <w:r w:rsidR="006955F5" w:rsidRPr="006955F5">
              <w:rPr>
                <w:rStyle w:val="Hyperlink"/>
                <w:rFonts w:ascii="Times New Roman" w:hAnsi="Times New Roman" w:cs="Times New Roman"/>
                <w:noProof/>
                <w:sz w:val="24"/>
                <w:szCs w:val="24"/>
              </w:rPr>
              <w:t>2.3.4 The Moderating Effect of AI Governance Frameworks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_Toc241050402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24</w:t>
            </w:r>
            <w:r w:rsidR="006955F5" w:rsidRPr="006955F5">
              <w:rPr>
                <w:rFonts w:ascii="Times New Roman" w:hAnsi="Times New Roman" w:cs="Times New Roman"/>
                <w:noProof/>
                <w:webHidden/>
                <w:sz w:val="24"/>
                <w:szCs w:val="24"/>
              </w:rPr>
              <w:fldChar w:fldCharType="end"/>
            </w:r>
          </w:hyperlink>
        </w:p>
        <w:p w14:paraId="32D87D3B" w14:textId="650BF04D"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03" w:history="1">
            <w:r w:rsidR="006955F5" w:rsidRPr="006955F5">
              <w:rPr>
                <w:rStyle w:val="Hyperlink"/>
                <w:rFonts w:ascii="Times New Roman" w:hAnsi="Times New Roman" w:cs="Times New Roman"/>
                <w:b w:val="0"/>
                <w:bCs w:val="0"/>
                <w:noProof/>
                <w:sz w:val="24"/>
                <w:szCs w:val="24"/>
              </w:rPr>
              <w:t>2.4 Conceptual Framework and Hypotheses Development</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_Toc241050403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25</w:t>
            </w:r>
            <w:r w:rsidR="006955F5" w:rsidRPr="006955F5">
              <w:rPr>
                <w:rFonts w:ascii="Times New Roman" w:hAnsi="Times New Roman" w:cs="Times New Roman"/>
                <w:b w:val="0"/>
                <w:bCs w:val="0"/>
                <w:noProof/>
                <w:webHidden/>
                <w:sz w:val="24"/>
                <w:szCs w:val="24"/>
              </w:rPr>
              <w:fldChar w:fldCharType="end"/>
            </w:r>
          </w:hyperlink>
        </w:p>
        <w:p w14:paraId="364904C5" w14:textId="6349A797"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04" w:history="1">
            <w:r w:rsidR="006955F5" w:rsidRPr="006955F5">
              <w:rPr>
                <w:rStyle w:val="Hyperlink"/>
                <w:rFonts w:ascii="Times New Roman" w:hAnsi="Times New Roman" w:cs="Times New Roman"/>
                <w:b w:val="0"/>
                <w:bCs w:val="0"/>
                <w:noProof/>
                <w:sz w:val="24"/>
                <w:szCs w:val="24"/>
              </w:rPr>
              <w:t>2.5 The Empirical Imperative for UK SMEs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_Toc241050404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28</w:t>
            </w:r>
            <w:r w:rsidR="006955F5" w:rsidRPr="006955F5">
              <w:rPr>
                <w:rFonts w:ascii="Times New Roman" w:hAnsi="Times New Roman" w:cs="Times New Roman"/>
                <w:b w:val="0"/>
                <w:bCs w:val="0"/>
                <w:noProof/>
                <w:webHidden/>
                <w:sz w:val="24"/>
                <w:szCs w:val="24"/>
              </w:rPr>
              <w:fldChar w:fldCharType="end"/>
            </w:r>
          </w:hyperlink>
        </w:p>
        <w:p w14:paraId="2A48C638" w14:textId="335A888E"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405" w:history="1">
            <w:r w:rsidR="006955F5" w:rsidRPr="006955F5">
              <w:rPr>
                <w:rStyle w:val="Hyperlink"/>
                <w:rFonts w:ascii="Times New Roman" w:hAnsi="Times New Roman" w:cs="Times New Roman"/>
                <w:b w:val="0"/>
                <w:bCs w:val="0"/>
                <w:i w:val="0"/>
                <w:iCs w:val="0"/>
                <w:noProof/>
              </w:rPr>
              <w:t>Chapter Three: Methodology</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_Toc241050405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30</w:t>
            </w:r>
            <w:r w:rsidR="006955F5" w:rsidRPr="006955F5">
              <w:rPr>
                <w:rFonts w:ascii="Times New Roman" w:hAnsi="Times New Roman" w:cs="Times New Roman"/>
                <w:b w:val="0"/>
                <w:bCs w:val="0"/>
                <w:i w:val="0"/>
                <w:iCs w:val="0"/>
                <w:noProof/>
                <w:webHidden/>
              </w:rPr>
              <w:fldChar w:fldCharType="end"/>
            </w:r>
          </w:hyperlink>
        </w:p>
        <w:p w14:paraId="44E92537" w14:textId="5C8F8BEE"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06" w:history="1">
            <w:r w:rsidR="006955F5" w:rsidRPr="006955F5">
              <w:rPr>
                <w:rStyle w:val="Hyperlink"/>
                <w:rFonts w:ascii="Times New Roman" w:hAnsi="Times New Roman" w:cs="Times New Roman"/>
                <w:b w:val="0"/>
                <w:bCs w:val="0"/>
                <w:noProof/>
                <w:sz w:val="24"/>
                <w:szCs w:val="24"/>
              </w:rPr>
              <w:t>3.1 Introduction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_Toc241050406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30</w:t>
            </w:r>
            <w:r w:rsidR="006955F5" w:rsidRPr="006955F5">
              <w:rPr>
                <w:rFonts w:ascii="Times New Roman" w:hAnsi="Times New Roman" w:cs="Times New Roman"/>
                <w:b w:val="0"/>
                <w:bCs w:val="0"/>
                <w:noProof/>
                <w:webHidden/>
                <w:sz w:val="24"/>
                <w:szCs w:val="24"/>
              </w:rPr>
              <w:fldChar w:fldCharType="end"/>
            </w:r>
          </w:hyperlink>
        </w:p>
        <w:p w14:paraId="3F4584C6" w14:textId="46DB55B7"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07" w:history="1">
            <w:r w:rsidR="006955F5" w:rsidRPr="006955F5">
              <w:rPr>
                <w:rStyle w:val="Hyperlink"/>
                <w:rFonts w:ascii="Times New Roman" w:hAnsi="Times New Roman" w:cs="Times New Roman"/>
                <w:b w:val="0"/>
                <w:bCs w:val="0"/>
                <w:noProof/>
                <w:sz w:val="24"/>
                <w:szCs w:val="24"/>
              </w:rPr>
              <w:t>3.2 Research Rationale</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_Toc241050407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30</w:t>
            </w:r>
            <w:r w:rsidR="006955F5" w:rsidRPr="006955F5">
              <w:rPr>
                <w:rFonts w:ascii="Times New Roman" w:hAnsi="Times New Roman" w:cs="Times New Roman"/>
                <w:b w:val="0"/>
                <w:bCs w:val="0"/>
                <w:noProof/>
                <w:webHidden/>
                <w:sz w:val="24"/>
                <w:szCs w:val="24"/>
              </w:rPr>
              <w:fldChar w:fldCharType="end"/>
            </w:r>
          </w:hyperlink>
        </w:p>
        <w:p w14:paraId="690378F1" w14:textId="1C020315"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08" w:history="1">
            <w:r w:rsidR="006955F5" w:rsidRPr="006955F5">
              <w:rPr>
                <w:rStyle w:val="Hyperlink"/>
                <w:rFonts w:ascii="Times New Roman" w:hAnsi="Times New Roman" w:cs="Times New Roman"/>
                <w:b w:val="0"/>
                <w:bCs w:val="0"/>
                <w:noProof/>
                <w:sz w:val="24"/>
                <w:szCs w:val="24"/>
              </w:rPr>
              <w:t>3.3 Research Design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_Toc241050408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31</w:t>
            </w:r>
            <w:r w:rsidR="006955F5" w:rsidRPr="006955F5">
              <w:rPr>
                <w:rFonts w:ascii="Times New Roman" w:hAnsi="Times New Roman" w:cs="Times New Roman"/>
                <w:b w:val="0"/>
                <w:bCs w:val="0"/>
                <w:noProof/>
                <w:webHidden/>
                <w:sz w:val="24"/>
                <w:szCs w:val="24"/>
              </w:rPr>
              <w:fldChar w:fldCharType="end"/>
            </w:r>
          </w:hyperlink>
        </w:p>
        <w:p w14:paraId="4543ADA9" w14:textId="598187F6"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09" w:history="1">
            <w:r w:rsidR="006955F5" w:rsidRPr="006955F5">
              <w:rPr>
                <w:rStyle w:val="Hyperlink"/>
                <w:rFonts w:ascii="Times New Roman" w:hAnsi="Times New Roman" w:cs="Times New Roman"/>
                <w:b w:val="0"/>
                <w:bCs w:val="0"/>
                <w:noProof/>
                <w:sz w:val="24"/>
                <w:szCs w:val="24"/>
              </w:rPr>
              <w:t>3.4 Research Philosophy</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_Toc241050409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32</w:t>
            </w:r>
            <w:r w:rsidR="006955F5" w:rsidRPr="006955F5">
              <w:rPr>
                <w:rFonts w:ascii="Times New Roman" w:hAnsi="Times New Roman" w:cs="Times New Roman"/>
                <w:b w:val="0"/>
                <w:bCs w:val="0"/>
                <w:noProof/>
                <w:webHidden/>
                <w:sz w:val="24"/>
                <w:szCs w:val="24"/>
              </w:rPr>
              <w:fldChar w:fldCharType="end"/>
            </w:r>
          </w:hyperlink>
        </w:p>
        <w:p w14:paraId="506A0CC0" w14:textId="3DA656D3"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0" w:history="1">
            <w:r w:rsidR="006955F5" w:rsidRPr="006955F5">
              <w:rPr>
                <w:rStyle w:val="Hyperlink"/>
                <w:rFonts w:ascii="Times New Roman" w:hAnsi="Times New Roman" w:cs="Times New Roman"/>
                <w:b w:val="0"/>
                <w:bCs w:val="0"/>
                <w:noProof/>
                <w:sz w:val="24"/>
                <w:szCs w:val="24"/>
              </w:rPr>
              <w:t>3.5 Data Collection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_Toc241050410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33</w:t>
            </w:r>
            <w:r w:rsidR="006955F5" w:rsidRPr="006955F5">
              <w:rPr>
                <w:rFonts w:ascii="Times New Roman" w:hAnsi="Times New Roman" w:cs="Times New Roman"/>
                <w:b w:val="0"/>
                <w:bCs w:val="0"/>
                <w:noProof/>
                <w:webHidden/>
                <w:sz w:val="24"/>
                <w:szCs w:val="24"/>
              </w:rPr>
              <w:fldChar w:fldCharType="end"/>
            </w:r>
          </w:hyperlink>
        </w:p>
        <w:p w14:paraId="0F781238" w14:textId="7655E52B"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1" w:history="1">
            <w:r w:rsidR="006955F5" w:rsidRPr="006955F5">
              <w:rPr>
                <w:rStyle w:val="Hyperlink"/>
                <w:rFonts w:ascii="Times New Roman" w:hAnsi="Times New Roman" w:cs="Times New Roman"/>
                <w:b w:val="0"/>
                <w:bCs w:val="0"/>
                <w:noProof/>
                <w:sz w:val="24"/>
                <w:szCs w:val="24"/>
              </w:rPr>
              <w:t>3.6 Population and Sample</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_Toc241050411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34</w:t>
            </w:r>
            <w:r w:rsidR="006955F5" w:rsidRPr="006955F5">
              <w:rPr>
                <w:rFonts w:ascii="Times New Roman" w:hAnsi="Times New Roman" w:cs="Times New Roman"/>
                <w:b w:val="0"/>
                <w:bCs w:val="0"/>
                <w:noProof/>
                <w:webHidden/>
                <w:sz w:val="24"/>
                <w:szCs w:val="24"/>
              </w:rPr>
              <w:fldChar w:fldCharType="end"/>
            </w:r>
          </w:hyperlink>
        </w:p>
        <w:p w14:paraId="0C5FBA79" w14:textId="3C63171F"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2" w:history="1">
            <w:r w:rsidR="006955F5" w:rsidRPr="006955F5">
              <w:rPr>
                <w:rStyle w:val="Hyperlink"/>
                <w:rFonts w:ascii="Times New Roman" w:hAnsi="Times New Roman" w:cs="Times New Roman"/>
                <w:b w:val="0"/>
                <w:bCs w:val="0"/>
                <w:noProof/>
                <w:sz w:val="24"/>
                <w:szCs w:val="24"/>
              </w:rPr>
              <w:t>3.7 Data and Analysis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_Toc241050412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35</w:t>
            </w:r>
            <w:r w:rsidR="006955F5" w:rsidRPr="006955F5">
              <w:rPr>
                <w:rFonts w:ascii="Times New Roman" w:hAnsi="Times New Roman" w:cs="Times New Roman"/>
                <w:b w:val="0"/>
                <w:bCs w:val="0"/>
                <w:noProof/>
                <w:webHidden/>
                <w:sz w:val="24"/>
                <w:szCs w:val="24"/>
              </w:rPr>
              <w:fldChar w:fldCharType="end"/>
            </w:r>
          </w:hyperlink>
        </w:p>
        <w:p w14:paraId="4F817C69" w14:textId="7A99B2D8"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3" w:history="1">
            <w:r w:rsidR="006955F5" w:rsidRPr="006955F5">
              <w:rPr>
                <w:rStyle w:val="Hyperlink"/>
                <w:rFonts w:ascii="Times New Roman" w:hAnsi="Times New Roman" w:cs="Times New Roman"/>
                <w:b w:val="0"/>
                <w:bCs w:val="0"/>
                <w:noProof/>
                <w:sz w:val="24"/>
                <w:szCs w:val="24"/>
              </w:rPr>
              <w:t>3.8 Reliability and Validity</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_Toc241050413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36</w:t>
            </w:r>
            <w:r w:rsidR="006955F5" w:rsidRPr="006955F5">
              <w:rPr>
                <w:rFonts w:ascii="Times New Roman" w:hAnsi="Times New Roman" w:cs="Times New Roman"/>
                <w:b w:val="0"/>
                <w:bCs w:val="0"/>
                <w:noProof/>
                <w:webHidden/>
                <w:sz w:val="24"/>
                <w:szCs w:val="24"/>
              </w:rPr>
              <w:fldChar w:fldCharType="end"/>
            </w:r>
          </w:hyperlink>
        </w:p>
        <w:p w14:paraId="358EBAC9" w14:textId="0D668EC1"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4" w:history="1">
            <w:r w:rsidR="006955F5" w:rsidRPr="006955F5">
              <w:rPr>
                <w:rStyle w:val="Hyperlink"/>
                <w:rFonts w:ascii="Times New Roman" w:hAnsi="Times New Roman" w:cs="Times New Roman"/>
                <w:b w:val="0"/>
                <w:bCs w:val="0"/>
                <w:noProof/>
                <w:sz w:val="24"/>
                <w:szCs w:val="24"/>
              </w:rPr>
              <w:t>3.9 Limitations of the Research</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_Toc241050414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37</w:t>
            </w:r>
            <w:r w:rsidR="006955F5" w:rsidRPr="006955F5">
              <w:rPr>
                <w:rFonts w:ascii="Times New Roman" w:hAnsi="Times New Roman" w:cs="Times New Roman"/>
                <w:b w:val="0"/>
                <w:bCs w:val="0"/>
                <w:noProof/>
                <w:webHidden/>
                <w:sz w:val="24"/>
                <w:szCs w:val="24"/>
              </w:rPr>
              <w:fldChar w:fldCharType="end"/>
            </w:r>
          </w:hyperlink>
        </w:p>
        <w:p w14:paraId="3FA0876A" w14:textId="52AAE00C"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5" w:history="1">
            <w:r w:rsidR="006955F5" w:rsidRPr="006955F5">
              <w:rPr>
                <w:rStyle w:val="Hyperlink"/>
                <w:rFonts w:ascii="Times New Roman" w:hAnsi="Times New Roman" w:cs="Times New Roman"/>
                <w:b w:val="0"/>
                <w:bCs w:val="0"/>
                <w:noProof/>
                <w:sz w:val="24"/>
                <w:szCs w:val="24"/>
              </w:rPr>
              <w:t>3.10 Research Ethics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_Toc241050415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37</w:t>
            </w:r>
            <w:r w:rsidR="006955F5" w:rsidRPr="006955F5">
              <w:rPr>
                <w:rFonts w:ascii="Times New Roman" w:hAnsi="Times New Roman" w:cs="Times New Roman"/>
                <w:b w:val="0"/>
                <w:bCs w:val="0"/>
                <w:noProof/>
                <w:webHidden/>
                <w:sz w:val="24"/>
                <w:szCs w:val="24"/>
              </w:rPr>
              <w:fldChar w:fldCharType="end"/>
            </w:r>
          </w:hyperlink>
        </w:p>
        <w:p w14:paraId="0C77B18C" w14:textId="43A103EC"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416" w:history="1">
            <w:r w:rsidR="006955F5" w:rsidRPr="006955F5">
              <w:rPr>
                <w:rStyle w:val="Hyperlink"/>
                <w:rFonts w:ascii="Times New Roman" w:hAnsi="Times New Roman" w:cs="Times New Roman"/>
                <w:b w:val="0"/>
                <w:bCs w:val="0"/>
                <w:i w:val="0"/>
                <w:iCs w:val="0"/>
                <w:noProof/>
              </w:rPr>
              <w:t>Chapter Four: Findings and Discussion</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_Toc241050416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39</w:t>
            </w:r>
            <w:r w:rsidR="006955F5" w:rsidRPr="006955F5">
              <w:rPr>
                <w:rFonts w:ascii="Times New Roman" w:hAnsi="Times New Roman" w:cs="Times New Roman"/>
                <w:b w:val="0"/>
                <w:bCs w:val="0"/>
                <w:i w:val="0"/>
                <w:iCs w:val="0"/>
                <w:noProof/>
                <w:webHidden/>
              </w:rPr>
              <w:fldChar w:fldCharType="end"/>
            </w:r>
          </w:hyperlink>
        </w:p>
        <w:p w14:paraId="66E2F8A3" w14:textId="46440540"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7" w:history="1">
            <w:r w:rsidR="006955F5" w:rsidRPr="006955F5">
              <w:rPr>
                <w:rStyle w:val="Hyperlink"/>
                <w:rFonts w:ascii="Times New Roman" w:hAnsi="Times New Roman" w:cs="Times New Roman"/>
                <w:b w:val="0"/>
                <w:bCs w:val="0"/>
                <w:noProof/>
                <w:sz w:val="24"/>
                <w:szCs w:val="24"/>
              </w:rPr>
              <w:t>4.1 Introduction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_Toc241050417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39</w:t>
            </w:r>
            <w:r w:rsidR="006955F5" w:rsidRPr="006955F5">
              <w:rPr>
                <w:rFonts w:ascii="Times New Roman" w:hAnsi="Times New Roman" w:cs="Times New Roman"/>
                <w:b w:val="0"/>
                <w:bCs w:val="0"/>
                <w:noProof/>
                <w:webHidden/>
                <w:sz w:val="24"/>
                <w:szCs w:val="24"/>
              </w:rPr>
              <w:fldChar w:fldCharType="end"/>
            </w:r>
          </w:hyperlink>
        </w:p>
        <w:p w14:paraId="2C696892" w14:textId="30CBC6A9"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18" w:history="1">
            <w:r w:rsidR="006955F5" w:rsidRPr="006955F5">
              <w:rPr>
                <w:rStyle w:val="Hyperlink"/>
                <w:rFonts w:ascii="Times New Roman" w:hAnsi="Times New Roman" w:cs="Times New Roman"/>
                <w:b w:val="0"/>
                <w:bCs w:val="0"/>
                <w:noProof/>
                <w:sz w:val="24"/>
                <w:szCs w:val="24"/>
              </w:rPr>
              <w:t>4.2 Findings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_Toc241050418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39</w:t>
            </w:r>
            <w:r w:rsidR="006955F5" w:rsidRPr="006955F5">
              <w:rPr>
                <w:rFonts w:ascii="Times New Roman" w:hAnsi="Times New Roman" w:cs="Times New Roman"/>
                <w:b w:val="0"/>
                <w:bCs w:val="0"/>
                <w:noProof/>
                <w:webHidden/>
                <w:sz w:val="24"/>
                <w:szCs w:val="24"/>
              </w:rPr>
              <w:fldChar w:fldCharType="end"/>
            </w:r>
          </w:hyperlink>
        </w:p>
        <w:p w14:paraId="62DD7D55" w14:textId="09A35385"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19" w:history="1">
            <w:r w:rsidR="006955F5" w:rsidRPr="006955F5">
              <w:rPr>
                <w:rStyle w:val="Hyperlink"/>
                <w:rFonts w:ascii="Times New Roman" w:hAnsi="Times New Roman" w:cs="Times New Roman"/>
                <w:noProof/>
                <w:sz w:val="24"/>
                <w:szCs w:val="24"/>
              </w:rPr>
              <w:t>4.2.1 Demographic Findings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_Toc241050419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39</w:t>
            </w:r>
            <w:r w:rsidR="006955F5" w:rsidRPr="006955F5">
              <w:rPr>
                <w:rFonts w:ascii="Times New Roman" w:hAnsi="Times New Roman" w:cs="Times New Roman"/>
                <w:noProof/>
                <w:webHidden/>
                <w:sz w:val="24"/>
                <w:szCs w:val="24"/>
              </w:rPr>
              <w:fldChar w:fldCharType="end"/>
            </w:r>
          </w:hyperlink>
        </w:p>
        <w:p w14:paraId="661E0CFA" w14:textId="331690F2"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0" w:history="1">
            <w:r w:rsidR="006955F5" w:rsidRPr="006955F5">
              <w:rPr>
                <w:rStyle w:val="Hyperlink"/>
                <w:rFonts w:ascii="Times New Roman" w:hAnsi="Times New Roman" w:cs="Times New Roman"/>
                <w:noProof/>
                <w:sz w:val="24"/>
                <w:szCs w:val="24"/>
              </w:rPr>
              <w:t>4.2.2 Reliability Test</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_Toc241050420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41</w:t>
            </w:r>
            <w:r w:rsidR="006955F5" w:rsidRPr="006955F5">
              <w:rPr>
                <w:rFonts w:ascii="Times New Roman" w:hAnsi="Times New Roman" w:cs="Times New Roman"/>
                <w:noProof/>
                <w:webHidden/>
                <w:sz w:val="24"/>
                <w:szCs w:val="24"/>
              </w:rPr>
              <w:fldChar w:fldCharType="end"/>
            </w:r>
          </w:hyperlink>
        </w:p>
        <w:p w14:paraId="29E4D0A0" w14:textId="02FA55CF"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1" w:history="1">
            <w:r w:rsidR="006955F5" w:rsidRPr="006955F5">
              <w:rPr>
                <w:rStyle w:val="Hyperlink"/>
                <w:rFonts w:ascii="Times New Roman" w:hAnsi="Times New Roman" w:cs="Times New Roman"/>
                <w:noProof/>
                <w:sz w:val="24"/>
                <w:szCs w:val="24"/>
              </w:rPr>
              <w:t>4.2.3 Descriptive Findings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_Toc241050421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42</w:t>
            </w:r>
            <w:r w:rsidR="006955F5" w:rsidRPr="006955F5">
              <w:rPr>
                <w:rFonts w:ascii="Times New Roman" w:hAnsi="Times New Roman" w:cs="Times New Roman"/>
                <w:noProof/>
                <w:webHidden/>
                <w:sz w:val="24"/>
                <w:szCs w:val="24"/>
              </w:rPr>
              <w:fldChar w:fldCharType="end"/>
            </w:r>
          </w:hyperlink>
        </w:p>
        <w:p w14:paraId="4A2462FD" w14:textId="435C9164"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2" w:history="1">
            <w:r w:rsidR="006955F5" w:rsidRPr="006955F5">
              <w:rPr>
                <w:rStyle w:val="Hyperlink"/>
                <w:rFonts w:ascii="Times New Roman" w:hAnsi="Times New Roman" w:cs="Times New Roman"/>
                <w:noProof/>
                <w:sz w:val="24"/>
                <w:szCs w:val="24"/>
              </w:rPr>
              <w:t>4.2.4 Inferential Analysis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_Toc241050422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47</w:t>
            </w:r>
            <w:r w:rsidR="006955F5" w:rsidRPr="006955F5">
              <w:rPr>
                <w:rFonts w:ascii="Times New Roman" w:hAnsi="Times New Roman" w:cs="Times New Roman"/>
                <w:noProof/>
                <w:webHidden/>
                <w:sz w:val="24"/>
                <w:szCs w:val="24"/>
              </w:rPr>
              <w:fldChar w:fldCharType="end"/>
            </w:r>
          </w:hyperlink>
        </w:p>
        <w:p w14:paraId="70F66E15" w14:textId="782A6940"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3" w:history="1">
            <w:r w:rsidR="006955F5" w:rsidRPr="006955F5">
              <w:rPr>
                <w:rStyle w:val="Hyperlink"/>
                <w:rFonts w:ascii="Times New Roman" w:hAnsi="Times New Roman" w:cs="Times New Roman"/>
                <w:noProof/>
                <w:sz w:val="24"/>
                <w:szCs w:val="24"/>
              </w:rPr>
              <w:t>4.2.5 Thematic Analysis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_Toc241050423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50</w:t>
            </w:r>
            <w:r w:rsidR="006955F5" w:rsidRPr="006955F5">
              <w:rPr>
                <w:rFonts w:ascii="Times New Roman" w:hAnsi="Times New Roman" w:cs="Times New Roman"/>
                <w:noProof/>
                <w:webHidden/>
                <w:sz w:val="24"/>
                <w:szCs w:val="24"/>
              </w:rPr>
              <w:fldChar w:fldCharType="end"/>
            </w:r>
          </w:hyperlink>
        </w:p>
        <w:p w14:paraId="38EA043B" w14:textId="740E87CB"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24" w:history="1">
            <w:r w:rsidR="006955F5" w:rsidRPr="006955F5">
              <w:rPr>
                <w:rStyle w:val="Hyperlink"/>
                <w:rFonts w:ascii="Times New Roman" w:hAnsi="Times New Roman" w:cs="Times New Roman"/>
                <w:b w:val="0"/>
                <w:bCs w:val="0"/>
                <w:noProof/>
                <w:sz w:val="24"/>
                <w:szCs w:val="24"/>
              </w:rPr>
              <w:t>4.3 Discussion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_Toc241050424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52</w:t>
            </w:r>
            <w:r w:rsidR="006955F5" w:rsidRPr="006955F5">
              <w:rPr>
                <w:rFonts w:ascii="Times New Roman" w:hAnsi="Times New Roman" w:cs="Times New Roman"/>
                <w:b w:val="0"/>
                <w:bCs w:val="0"/>
                <w:noProof/>
                <w:webHidden/>
                <w:sz w:val="24"/>
                <w:szCs w:val="24"/>
              </w:rPr>
              <w:fldChar w:fldCharType="end"/>
            </w:r>
          </w:hyperlink>
        </w:p>
        <w:p w14:paraId="04B114CB" w14:textId="4E60136B"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5" w:history="1">
            <w:r w:rsidR="006955F5" w:rsidRPr="006955F5">
              <w:rPr>
                <w:rStyle w:val="Hyperlink"/>
                <w:rFonts w:ascii="Times New Roman" w:hAnsi="Times New Roman" w:cs="Times New Roman"/>
                <w:noProof/>
                <w:sz w:val="24"/>
                <w:szCs w:val="24"/>
              </w:rPr>
              <w:t>4.3.1 The Impact of GenAI on Productivity and the Need for Manual Review</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_Toc241050425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53</w:t>
            </w:r>
            <w:r w:rsidR="006955F5" w:rsidRPr="006955F5">
              <w:rPr>
                <w:rFonts w:ascii="Times New Roman" w:hAnsi="Times New Roman" w:cs="Times New Roman"/>
                <w:noProof/>
                <w:webHidden/>
                <w:sz w:val="24"/>
                <w:szCs w:val="24"/>
              </w:rPr>
              <w:fldChar w:fldCharType="end"/>
            </w:r>
          </w:hyperlink>
        </w:p>
        <w:p w14:paraId="18775C8E" w14:textId="13992587"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6" w:history="1">
            <w:r w:rsidR="006955F5" w:rsidRPr="006955F5">
              <w:rPr>
                <w:rStyle w:val="Hyperlink"/>
                <w:rFonts w:ascii="Times New Roman" w:hAnsi="Times New Roman" w:cs="Times New Roman"/>
                <w:noProof/>
                <w:sz w:val="24"/>
                <w:szCs w:val="24"/>
              </w:rPr>
              <w:t>4.3.2 Job Quality, Workload Pressures, and Changing Expectations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_Toc241050426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54</w:t>
            </w:r>
            <w:r w:rsidR="006955F5" w:rsidRPr="006955F5">
              <w:rPr>
                <w:rFonts w:ascii="Times New Roman" w:hAnsi="Times New Roman" w:cs="Times New Roman"/>
                <w:noProof/>
                <w:webHidden/>
                <w:sz w:val="24"/>
                <w:szCs w:val="24"/>
              </w:rPr>
              <w:fldChar w:fldCharType="end"/>
            </w:r>
          </w:hyperlink>
        </w:p>
        <w:p w14:paraId="36267EE4" w14:textId="2449E615"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7" w:history="1">
            <w:r w:rsidR="006955F5" w:rsidRPr="006955F5">
              <w:rPr>
                <w:rStyle w:val="Hyperlink"/>
                <w:rFonts w:ascii="Times New Roman" w:hAnsi="Times New Roman" w:cs="Times New Roman"/>
                <w:noProof/>
                <w:sz w:val="24"/>
                <w:szCs w:val="24"/>
              </w:rPr>
              <w:t>4.3.3 The Role of Employee Training and Informal Learning in SMEs</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_Toc241050427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55</w:t>
            </w:r>
            <w:r w:rsidR="006955F5" w:rsidRPr="006955F5">
              <w:rPr>
                <w:rFonts w:ascii="Times New Roman" w:hAnsi="Times New Roman" w:cs="Times New Roman"/>
                <w:noProof/>
                <w:webHidden/>
                <w:sz w:val="24"/>
                <w:szCs w:val="24"/>
              </w:rPr>
              <w:fldChar w:fldCharType="end"/>
            </w:r>
          </w:hyperlink>
        </w:p>
        <w:p w14:paraId="7DDEB95B" w14:textId="2BAD9663" w:rsidR="006955F5" w:rsidRPr="006955F5" w:rsidRDefault="00C50013" w:rsidP="006955F5">
          <w:pPr>
            <w:pStyle w:val="TOC3"/>
            <w:tabs>
              <w:tab w:val="right" w:leader="dot" w:pos="9016"/>
            </w:tabs>
            <w:spacing w:after="160" w:line="360" w:lineRule="auto"/>
            <w:rPr>
              <w:rFonts w:ascii="Times New Roman" w:eastAsiaTheme="minorEastAsia" w:hAnsi="Times New Roman" w:cs="Times New Roman"/>
              <w:noProof/>
              <w:color w:val="auto"/>
              <w:kern w:val="0"/>
              <w:sz w:val="24"/>
              <w:szCs w:val="24"/>
              <w:lang w:eastAsia="en-GB" w:bidi="ar-SA"/>
              <w14:ligatures w14:val="none"/>
            </w:rPr>
          </w:pPr>
          <w:hyperlink w:anchor="_Toc241050428" w:history="1">
            <w:r w:rsidR="006955F5" w:rsidRPr="006955F5">
              <w:rPr>
                <w:rStyle w:val="Hyperlink"/>
                <w:rFonts w:ascii="Times New Roman" w:hAnsi="Times New Roman" w:cs="Times New Roman"/>
                <w:noProof/>
                <w:sz w:val="24"/>
                <w:szCs w:val="24"/>
              </w:rPr>
              <w:t>4.3.4 Navigating AI Adoption Without Formal Governance</w:t>
            </w:r>
            <w:r w:rsidR="006955F5" w:rsidRPr="006955F5">
              <w:rPr>
                <w:rFonts w:ascii="Times New Roman" w:hAnsi="Times New Roman" w:cs="Times New Roman"/>
                <w:noProof/>
                <w:webHidden/>
                <w:sz w:val="24"/>
                <w:szCs w:val="24"/>
              </w:rPr>
              <w:tab/>
            </w:r>
            <w:r w:rsidR="006955F5" w:rsidRPr="006955F5">
              <w:rPr>
                <w:rFonts w:ascii="Times New Roman" w:hAnsi="Times New Roman" w:cs="Times New Roman"/>
                <w:noProof/>
                <w:webHidden/>
                <w:sz w:val="24"/>
                <w:szCs w:val="24"/>
              </w:rPr>
              <w:fldChar w:fldCharType="begin"/>
            </w:r>
            <w:r w:rsidR="006955F5" w:rsidRPr="006955F5">
              <w:rPr>
                <w:rFonts w:ascii="Times New Roman" w:hAnsi="Times New Roman" w:cs="Times New Roman"/>
                <w:noProof/>
                <w:webHidden/>
                <w:sz w:val="24"/>
                <w:szCs w:val="24"/>
              </w:rPr>
              <w:instrText xml:space="preserve"> PAGEREF _Toc241050428 \h </w:instrText>
            </w:r>
            <w:r w:rsidR="006955F5" w:rsidRPr="006955F5">
              <w:rPr>
                <w:rFonts w:ascii="Times New Roman" w:hAnsi="Times New Roman" w:cs="Times New Roman"/>
                <w:noProof/>
                <w:webHidden/>
                <w:sz w:val="24"/>
                <w:szCs w:val="24"/>
              </w:rPr>
            </w:r>
            <w:r w:rsidR="006955F5" w:rsidRPr="006955F5">
              <w:rPr>
                <w:rFonts w:ascii="Times New Roman" w:hAnsi="Times New Roman" w:cs="Times New Roman"/>
                <w:noProof/>
                <w:webHidden/>
                <w:sz w:val="24"/>
                <w:szCs w:val="24"/>
              </w:rPr>
              <w:fldChar w:fldCharType="separate"/>
            </w:r>
            <w:r w:rsidR="008F5319">
              <w:rPr>
                <w:rFonts w:ascii="Times New Roman" w:hAnsi="Times New Roman" w:cs="Times New Roman"/>
                <w:noProof/>
                <w:webHidden/>
                <w:sz w:val="24"/>
                <w:szCs w:val="24"/>
              </w:rPr>
              <w:t>55</w:t>
            </w:r>
            <w:r w:rsidR="006955F5" w:rsidRPr="006955F5">
              <w:rPr>
                <w:rFonts w:ascii="Times New Roman" w:hAnsi="Times New Roman" w:cs="Times New Roman"/>
                <w:noProof/>
                <w:webHidden/>
                <w:sz w:val="24"/>
                <w:szCs w:val="24"/>
              </w:rPr>
              <w:fldChar w:fldCharType="end"/>
            </w:r>
          </w:hyperlink>
        </w:p>
        <w:p w14:paraId="6479D1AA" w14:textId="36EA1C0A"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429" w:history="1">
            <w:r w:rsidR="006955F5" w:rsidRPr="006955F5">
              <w:rPr>
                <w:rStyle w:val="Hyperlink"/>
                <w:rFonts w:ascii="Times New Roman" w:hAnsi="Times New Roman" w:cs="Times New Roman"/>
                <w:b w:val="0"/>
                <w:bCs w:val="0"/>
                <w:i w:val="0"/>
                <w:iCs w:val="0"/>
                <w:noProof/>
              </w:rPr>
              <w:t>Chapter Five: Conclusions and Recommendations</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_Toc241050429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57</w:t>
            </w:r>
            <w:r w:rsidR="006955F5" w:rsidRPr="006955F5">
              <w:rPr>
                <w:rFonts w:ascii="Times New Roman" w:hAnsi="Times New Roman" w:cs="Times New Roman"/>
                <w:b w:val="0"/>
                <w:bCs w:val="0"/>
                <w:i w:val="0"/>
                <w:iCs w:val="0"/>
                <w:noProof/>
                <w:webHidden/>
              </w:rPr>
              <w:fldChar w:fldCharType="end"/>
            </w:r>
          </w:hyperlink>
        </w:p>
        <w:p w14:paraId="306D5F78" w14:textId="17F33D05"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0" w:history="1">
            <w:r w:rsidR="006955F5" w:rsidRPr="006955F5">
              <w:rPr>
                <w:rStyle w:val="Hyperlink"/>
                <w:rFonts w:ascii="Times New Roman" w:hAnsi="Times New Roman" w:cs="Times New Roman"/>
                <w:b w:val="0"/>
                <w:bCs w:val="0"/>
                <w:noProof/>
                <w:sz w:val="24"/>
                <w:szCs w:val="24"/>
              </w:rPr>
              <w:t>5.1 Introduction</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_Toc241050430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57</w:t>
            </w:r>
            <w:r w:rsidR="006955F5" w:rsidRPr="006955F5">
              <w:rPr>
                <w:rFonts w:ascii="Times New Roman" w:hAnsi="Times New Roman" w:cs="Times New Roman"/>
                <w:b w:val="0"/>
                <w:bCs w:val="0"/>
                <w:noProof/>
                <w:webHidden/>
                <w:sz w:val="24"/>
                <w:szCs w:val="24"/>
              </w:rPr>
              <w:fldChar w:fldCharType="end"/>
            </w:r>
          </w:hyperlink>
        </w:p>
        <w:p w14:paraId="6EF449F8" w14:textId="516E196C"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1" w:history="1">
            <w:r w:rsidR="006955F5" w:rsidRPr="006955F5">
              <w:rPr>
                <w:rStyle w:val="Hyperlink"/>
                <w:rFonts w:ascii="Times New Roman" w:eastAsia="Times New Roman" w:hAnsi="Times New Roman" w:cs="Times New Roman"/>
                <w:b w:val="0"/>
                <w:bCs w:val="0"/>
                <w:noProof/>
                <w:sz w:val="24"/>
                <w:szCs w:val="24"/>
                <w:lang w:eastAsia="en-GB" w:bidi="hi-IN"/>
              </w:rPr>
              <w:t>5.2 Summary of Conclusions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_Toc241050431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57</w:t>
            </w:r>
            <w:r w:rsidR="006955F5" w:rsidRPr="006955F5">
              <w:rPr>
                <w:rFonts w:ascii="Times New Roman" w:hAnsi="Times New Roman" w:cs="Times New Roman"/>
                <w:b w:val="0"/>
                <w:bCs w:val="0"/>
                <w:noProof/>
                <w:webHidden/>
                <w:sz w:val="24"/>
                <w:szCs w:val="24"/>
              </w:rPr>
              <w:fldChar w:fldCharType="end"/>
            </w:r>
          </w:hyperlink>
        </w:p>
        <w:p w14:paraId="2CC6A4F5" w14:textId="5B819D06"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2" w:history="1">
            <w:r w:rsidR="006955F5" w:rsidRPr="006955F5">
              <w:rPr>
                <w:rStyle w:val="Hyperlink"/>
                <w:rFonts w:ascii="Times New Roman" w:eastAsia="Times New Roman" w:hAnsi="Times New Roman" w:cs="Times New Roman"/>
                <w:b w:val="0"/>
                <w:bCs w:val="0"/>
                <w:noProof/>
                <w:sz w:val="24"/>
                <w:szCs w:val="24"/>
                <w:lang w:eastAsia="en-GB" w:bidi="hi-IN"/>
              </w:rPr>
              <w:t>5.3 Achievement of the Research Objectives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_Toc241050432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58</w:t>
            </w:r>
            <w:r w:rsidR="006955F5" w:rsidRPr="006955F5">
              <w:rPr>
                <w:rFonts w:ascii="Times New Roman" w:hAnsi="Times New Roman" w:cs="Times New Roman"/>
                <w:b w:val="0"/>
                <w:bCs w:val="0"/>
                <w:noProof/>
                <w:webHidden/>
                <w:sz w:val="24"/>
                <w:szCs w:val="24"/>
              </w:rPr>
              <w:fldChar w:fldCharType="end"/>
            </w:r>
          </w:hyperlink>
        </w:p>
        <w:p w14:paraId="5BB31A34" w14:textId="0E1CDAEE"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3" w:history="1">
            <w:r w:rsidR="006955F5" w:rsidRPr="006955F5">
              <w:rPr>
                <w:rStyle w:val="Hyperlink"/>
                <w:rFonts w:ascii="Times New Roman" w:eastAsia="Times New Roman" w:hAnsi="Times New Roman" w:cs="Times New Roman"/>
                <w:b w:val="0"/>
                <w:bCs w:val="0"/>
                <w:noProof/>
                <w:sz w:val="24"/>
                <w:szCs w:val="24"/>
                <w:lang w:eastAsia="en-GB" w:bidi="hi-IN"/>
              </w:rPr>
              <w:t>5.4 Recommendations for Managerial Practice</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_Toc241050433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59</w:t>
            </w:r>
            <w:r w:rsidR="006955F5" w:rsidRPr="006955F5">
              <w:rPr>
                <w:rFonts w:ascii="Times New Roman" w:hAnsi="Times New Roman" w:cs="Times New Roman"/>
                <w:b w:val="0"/>
                <w:bCs w:val="0"/>
                <w:noProof/>
                <w:webHidden/>
                <w:sz w:val="24"/>
                <w:szCs w:val="24"/>
              </w:rPr>
              <w:fldChar w:fldCharType="end"/>
            </w:r>
          </w:hyperlink>
        </w:p>
        <w:p w14:paraId="01011682" w14:textId="777B8BE5"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4" w:history="1">
            <w:r w:rsidR="006955F5" w:rsidRPr="006955F5">
              <w:rPr>
                <w:rStyle w:val="Hyperlink"/>
                <w:rFonts w:ascii="Times New Roman" w:eastAsia="Times New Roman" w:hAnsi="Times New Roman" w:cs="Times New Roman"/>
                <w:b w:val="0"/>
                <w:bCs w:val="0"/>
                <w:noProof/>
                <w:sz w:val="24"/>
                <w:szCs w:val="24"/>
                <w:lang w:eastAsia="en-GB" w:bidi="hi-IN"/>
              </w:rPr>
              <w:t>5.5 Contributions to Theory</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_Toc241050434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60</w:t>
            </w:r>
            <w:r w:rsidR="006955F5" w:rsidRPr="006955F5">
              <w:rPr>
                <w:rFonts w:ascii="Times New Roman" w:hAnsi="Times New Roman" w:cs="Times New Roman"/>
                <w:b w:val="0"/>
                <w:bCs w:val="0"/>
                <w:noProof/>
                <w:webHidden/>
                <w:sz w:val="24"/>
                <w:szCs w:val="24"/>
              </w:rPr>
              <w:fldChar w:fldCharType="end"/>
            </w:r>
          </w:hyperlink>
        </w:p>
        <w:p w14:paraId="21C935FF" w14:textId="6516E9E2"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5" w:history="1">
            <w:r w:rsidR="006955F5" w:rsidRPr="006955F5">
              <w:rPr>
                <w:rStyle w:val="Hyperlink"/>
                <w:rFonts w:ascii="Times New Roman" w:eastAsia="Times New Roman" w:hAnsi="Times New Roman" w:cs="Times New Roman"/>
                <w:b w:val="0"/>
                <w:bCs w:val="0"/>
                <w:noProof/>
                <w:sz w:val="24"/>
                <w:szCs w:val="24"/>
                <w:lang w:eastAsia="en-GB" w:bidi="hi-IN"/>
              </w:rPr>
              <w:t>5.6 Limitations of the Study</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_Toc241050435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61</w:t>
            </w:r>
            <w:r w:rsidR="006955F5" w:rsidRPr="006955F5">
              <w:rPr>
                <w:rFonts w:ascii="Times New Roman" w:hAnsi="Times New Roman" w:cs="Times New Roman"/>
                <w:b w:val="0"/>
                <w:bCs w:val="0"/>
                <w:noProof/>
                <w:webHidden/>
                <w:sz w:val="24"/>
                <w:szCs w:val="24"/>
              </w:rPr>
              <w:fldChar w:fldCharType="end"/>
            </w:r>
          </w:hyperlink>
        </w:p>
        <w:p w14:paraId="3F293707" w14:textId="7BB3A648"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6" w:history="1">
            <w:r w:rsidR="006955F5" w:rsidRPr="006955F5">
              <w:rPr>
                <w:rStyle w:val="Hyperlink"/>
                <w:rFonts w:ascii="Times New Roman" w:eastAsia="Times New Roman" w:hAnsi="Times New Roman" w:cs="Times New Roman"/>
                <w:b w:val="0"/>
                <w:bCs w:val="0"/>
                <w:noProof/>
                <w:sz w:val="24"/>
                <w:szCs w:val="24"/>
                <w:lang w:eastAsia="en-GB" w:bidi="hi-IN"/>
              </w:rPr>
              <w:t>5.7 Recommendations for Future Research</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_Toc241050436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61</w:t>
            </w:r>
            <w:r w:rsidR="006955F5" w:rsidRPr="006955F5">
              <w:rPr>
                <w:rFonts w:ascii="Times New Roman" w:hAnsi="Times New Roman" w:cs="Times New Roman"/>
                <w:b w:val="0"/>
                <w:bCs w:val="0"/>
                <w:noProof/>
                <w:webHidden/>
                <w:sz w:val="24"/>
                <w:szCs w:val="24"/>
              </w:rPr>
              <w:fldChar w:fldCharType="end"/>
            </w:r>
          </w:hyperlink>
        </w:p>
        <w:p w14:paraId="2B30E026" w14:textId="089F7C01"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37" w:history="1">
            <w:r w:rsidR="006955F5" w:rsidRPr="006955F5">
              <w:rPr>
                <w:rStyle w:val="Hyperlink"/>
                <w:rFonts w:ascii="Times New Roman" w:eastAsia="Times New Roman" w:hAnsi="Times New Roman" w:cs="Times New Roman"/>
                <w:b w:val="0"/>
                <w:bCs w:val="0"/>
                <w:noProof/>
                <w:sz w:val="24"/>
                <w:szCs w:val="24"/>
                <w:lang w:eastAsia="en-GB" w:bidi="hi-IN"/>
              </w:rPr>
              <w:t>5.8 Concluding Remarks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_Toc241050437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62</w:t>
            </w:r>
            <w:r w:rsidR="006955F5" w:rsidRPr="006955F5">
              <w:rPr>
                <w:rFonts w:ascii="Times New Roman" w:hAnsi="Times New Roman" w:cs="Times New Roman"/>
                <w:b w:val="0"/>
                <w:bCs w:val="0"/>
                <w:noProof/>
                <w:webHidden/>
                <w:sz w:val="24"/>
                <w:szCs w:val="24"/>
              </w:rPr>
              <w:fldChar w:fldCharType="end"/>
            </w:r>
          </w:hyperlink>
        </w:p>
        <w:p w14:paraId="0D13D073" w14:textId="7CE80F17"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438" w:history="1">
            <w:r w:rsidR="006955F5" w:rsidRPr="006955F5">
              <w:rPr>
                <w:rStyle w:val="Hyperlink"/>
                <w:rFonts w:ascii="Times New Roman" w:hAnsi="Times New Roman" w:cs="Times New Roman"/>
                <w:b w:val="0"/>
                <w:bCs w:val="0"/>
                <w:i w:val="0"/>
                <w:iCs w:val="0"/>
                <w:noProof/>
              </w:rPr>
              <w:t>Reference</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_Toc241050438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63</w:t>
            </w:r>
            <w:r w:rsidR="006955F5" w:rsidRPr="006955F5">
              <w:rPr>
                <w:rFonts w:ascii="Times New Roman" w:hAnsi="Times New Roman" w:cs="Times New Roman"/>
                <w:b w:val="0"/>
                <w:bCs w:val="0"/>
                <w:i w:val="0"/>
                <w:iCs w:val="0"/>
                <w:noProof/>
                <w:webHidden/>
              </w:rPr>
              <w:fldChar w:fldCharType="end"/>
            </w:r>
          </w:hyperlink>
        </w:p>
        <w:p w14:paraId="4C30798F" w14:textId="6B9ECEF5" w:rsidR="006955F5" w:rsidRPr="006955F5" w:rsidRDefault="00C50013" w:rsidP="006955F5">
          <w:pPr>
            <w:pStyle w:val="TOC1"/>
            <w:tabs>
              <w:tab w:val="right" w:leader="dot" w:pos="9016"/>
            </w:tabs>
            <w:spacing w:before="0" w:after="160" w:line="360" w:lineRule="auto"/>
            <w:rPr>
              <w:rFonts w:ascii="Times New Roman" w:eastAsiaTheme="minorEastAsia" w:hAnsi="Times New Roman" w:cs="Times New Roman"/>
              <w:b w:val="0"/>
              <w:bCs w:val="0"/>
              <w:i w:val="0"/>
              <w:iCs w:val="0"/>
              <w:noProof/>
              <w:color w:val="auto"/>
              <w:kern w:val="0"/>
              <w:lang w:eastAsia="en-GB" w:bidi="ar-SA"/>
              <w14:ligatures w14:val="none"/>
            </w:rPr>
          </w:pPr>
          <w:hyperlink w:anchor="_Toc241050439" w:history="1">
            <w:r w:rsidR="006955F5" w:rsidRPr="006955F5">
              <w:rPr>
                <w:rStyle w:val="Hyperlink"/>
                <w:rFonts w:ascii="Times New Roman" w:hAnsi="Times New Roman" w:cs="Times New Roman"/>
                <w:b w:val="0"/>
                <w:bCs w:val="0"/>
                <w:i w:val="0"/>
                <w:iCs w:val="0"/>
                <w:noProof/>
                <w:lang w:eastAsia="en-GB" w:bidi="hi-IN"/>
              </w:rPr>
              <w:t>Appendices</w:t>
            </w:r>
            <w:r w:rsidR="006955F5" w:rsidRPr="006955F5">
              <w:rPr>
                <w:rFonts w:ascii="Times New Roman" w:hAnsi="Times New Roman" w:cs="Times New Roman"/>
                <w:b w:val="0"/>
                <w:bCs w:val="0"/>
                <w:i w:val="0"/>
                <w:iCs w:val="0"/>
                <w:noProof/>
                <w:webHidden/>
              </w:rPr>
              <w:tab/>
            </w:r>
            <w:r w:rsidR="006955F5" w:rsidRPr="006955F5">
              <w:rPr>
                <w:rFonts w:ascii="Times New Roman" w:hAnsi="Times New Roman" w:cs="Times New Roman"/>
                <w:b w:val="0"/>
                <w:bCs w:val="0"/>
                <w:i w:val="0"/>
                <w:iCs w:val="0"/>
                <w:noProof/>
                <w:webHidden/>
              </w:rPr>
              <w:fldChar w:fldCharType="begin"/>
            </w:r>
            <w:r w:rsidR="006955F5" w:rsidRPr="006955F5">
              <w:rPr>
                <w:rFonts w:ascii="Times New Roman" w:hAnsi="Times New Roman" w:cs="Times New Roman"/>
                <w:b w:val="0"/>
                <w:bCs w:val="0"/>
                <w:i w:val="0"/>
                <w:iCs w:val="0"/>
                <w:noProof/>
                <w:webHidden/>
              </w:rPr>
              <w:instrText xml:space="preserve"> PAGEREF _Toc241050439 \h </w:instrText>
            </w:r>
            <w:r w:rsidR="006955F5" w:rsidRPr="006955F5">
              <w:rPr>
                <w:rFonts w:ascii="Times New Roman" w:hAnsi="Times New Roman" w:cs="Times New Roman"/>
                <w:b w:val="0"/>
                <w:bCs w:val="0"/>
                <w:i w:val="0"/>
                <w:iCs w:val="0"/>
                <w:noProof/>
                <w:webHidden/>
              </w:rPr>
            </w:r>
            <w:r w:rsidR="006955F5" w:rsidRPr="006955F5">
              <w:rPr>
                <w:rFonts w:ascii="Times New Roman" w:hAnsi="Times New Roman" w:cs="Times New Roman"/>
                <w:b w:val="0"/>
                <w:bCs w:val="0"/>
                <w:i w:val="0"/>
                <w:iCs w:val="0"/>
                <w:noProof/>
                <w:webHidden/>
              </w:rPr>
              <w:fldChar w:fldCharType="separate"/>
            </w:r>
            <w:r w:rsidR="008F5319">
              <w:rPr>
                <w:rFonts w:ascii="Times New Roman" w:hAnsi="Times New Roman" w:cs="Times New Roman"/>
                <w:b w:val="0"/>
                <w:bCs w:val="0"/>
                <w:i w:val="0"/>
                <w:iCs w:val="0"/>
                <w:noProof/>
                <w:webHidden/>
              </w:rPr>
              <w:t>80</w:t>
            </w:r>
            <w:r w:rsidR="006955F5" w:rsidRPr="006955F5">
              <w:rPr>
                <w:rFonts w:ascii="Times New Roman" w:hAnsi="Times New Roman" w:cs="Times New Roman"/>
                <w:b w:val="0"/>
                <w:bCs w:val="0"/>
                <w:i w:val="0"/>
                <w:iCs w:val="0"/>
                <w:noProof/>
                <w:webHidden/>
              </w:rPr>
              <w:fldChar w:fldCharType="end"/>
            </w:r>
          </w:hyperlink>
        </w:p>
        <w:p w14:paraId="7AB43C1C" w14:textId="75B39AF8"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40" w:history="1">
            <w:r w:rsidR="006955F5" w:rsidRPr="006955F5">
              <w:rPr>
                <w:rStyle w:val="Hyperlink"/>
                <w:rFonts w:ascii="Times New Roman" w:hAnsi="Times New Roman" w:cs="Times New Roman"/>
                <w:b w:val="0"/>
                <w:bCs w:val="0"/>
                <w:noProof/>
                <w:sz w:val="24"/>
                <w:szCs w:val="24"/>
                <w:lang w:eastAsia="en-GB" w:bidi="hi-IN"/>
              </w:rPr>
              <w:t>Appendix-A: Survey Questionnaire</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_Toc241050440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80</w:t>
            </w:r>
            <w:r w:rsidR="006955F5" w:rsidRPr="006955F5">
              <w:rPr>
                <w:rFonts w:ascii="Times New Roman" w:hAnsi="Times New Roman" w:cs="Times New Roman"/>
                <w:b w:val="0"/>
                <w:bCs w:val="0"/>
                <w:noProof/>
                <w:webHidden/>
                <w:sz w:val="24"/>
                <w:szCs w:val="24"/>
              </w:rPr>
              <w:fldChar w:fldCharType="end"/>
            </w:r>
          </w:hyperlink>
        </w:p>
        <w:p w14:paraId="6F730437" w14:textId="6EA02481"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41" w:history="1">
            <w:r w:rsidR="006955F5" w:rsidRPr="006955F5">
              <w:rPr>
                <w:rStyle w:val="Hyperlink"/>
                <w:rFonts w:ascii="Times New Roman" w:hAnsi="Times New Roman" w:cs="Times New Roman"/>
                <w:b w:val="0"/>
                <w:bCs w:val="0"/>
                <w:noProof/>
                <w:sz w:val="24"/>
                <w:szCs w:val="24"/>
              </w:rPr>
              <w:t>Appendix-B: Interview Questions</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_Toc241050441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81</w:t>
            </w:r>
            <w:r w:rsidR="006955F5" w:rsidRPr="006955F5">
              <w:rPr>
                <w:rFonts w:ascii="Times New Roman" w:hAnsi="Times New Roman" w:cs="Times New Roman"/>
                <w:b w:val="0"/>
                <w:bCs w:val="0"/>
                <w:noProof/>
                <w:webHidden/>
                <w:sz w:val="24"/>
                <w:szCs w:val="24"/>
              </w:rPr>
              <w:fldChar w:fldCharType="end"/>
            </w:r>
          </w:hyperlink>
        </w:p>
        <w:p w14:paraId="2A75B089" w14:textId="74435786"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42" w:history="1">
            <w:r w:rsidR="006955F5" w:rsidRPr="006955F5">
              <w:rPr>
                <w:rStyle w:val="Hyperlink"/>
                <w:rFonts w:ascii="Times New Roman" w:hAnsi="Times New Roman" w:cs="Times New Roman"/>
                <w:b w:val="0"/>
                <w:bCs w:val="0"/>
                <w:noProof/>
                <w:sz w:val="24"/>
                <w:szCs w:val="24"/>
              </w:rPr>
              <w:t>Appendix-C: Ethics Form</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_Toc241050442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82</w:t>
            </w:r>
            <w:r w:rsidR="006955F5" w:rsidRPr="006955F5">
              <w:rPr>
                <w:rFonts w:ascii="Times New Roman" w:hAnsi="Times New Roman" w:cs="Times New Roman"/>
                <w:b w:val="0"/>
                <w:bCs w:val="0"/>
                <w:noProof/>
                <w:webHidden/>
                <w:sz w:val="24"/>
                <w:szCs w:val="24"/>
              </w:rPr>
              <w:fldChar w:fldCharType="end"/>
            </w:r>
          </w:hyperlink>
        </w:p>
        <w:p w14:paraId="000249AC" w14:textId="45AEA758" w:rsidR="006955F5" w:rsidRPr="006955F5" w:rsidRDefault="00C50013" w:rsidP="006955F5">
          <w:pPr>
            <w:pStyle w:val="TOC2"/>
            <w:tabs>
              <w:tab w:val="right" w:leader="dot" w:pos="9016"/>
            </w:tabs>
            <w:spacing w:before="0" w:after="160" w:line="360" w:lineRule="auto"/>
            <w:rPr>
              <w:rFonts w:ascii="Times New Roman" w:eastAsiaTheme="minorEastAsia" w:hAnsi="Times New Roman" w:cs="Times New Roman"/>
              <w:b w:val="0"/>
              <w:bCs w:val="0"/>
              <w:noProof/>
              <w:color w:val="auto"/>
              <w:kern w:val="0"/>
              <w:sz w:val="24"/>
              <w:szCs w:val="24"/>
              <w:lang w:eastAsia="en-GB" w:bidi="ar-SA"/>
              <w14:ligatures w14:val="none"/>
            </w:rPr>
          </w:pPr>
          <w:hyperlink w:anchor="_Toc241050443" w:history="1">
            <w:r w:rsidR="006955F5" w:rsidRPr="006955F5">
              <w:rPr>
                <w:rStyle w:val="Hyperlink"/>
                <w:rFonts w:ascii="Times New Roman" w:hAnsi="Times New Roman" w:cs="Times New Roman"/>
                <w:b w:val="0"/>
                <w:bCs w:val="0"/>
                <w:noProof/>
                <w:sz w:val="24"/>
                <w:szCs w:val="24"/>
              </w:rPr>
              <w:t>Appendix-D: Responses Collected</w:t>
            </w:r>
            <w:r w:rsidR="006955F5" w:rsidRPr="006955F5">
              <w:rPr>
                <w:rFonts w:ascii="Times New Roman" w:hAnsi="Times New Roman" w:cs="Times New Roman"/>
                <w:b w:val="0"/>
                <w:bCs w:val="0"/>
                <w:noProof/>
                <w:webHidden/>
                <w:sz w:val="24"/>
                <w:szCs w:val="24"/>
              </w:rPr>
              <w:tab/>
            </w:r>
            <w:r w:rsidR="006955F5" w:rsidRPr="006955F5">
              <w:rPr>
                <w:rFonts w:ascii="Times New Roman" w:hAnsi="Times New Roman" w:cs="Times New Roman"/>
                <w:b w:val="0"/>
                <w:bCs w:val="0"/>
                <w:noProof/>
                <w:webHidden/>
                <w:sz w:val="24"/>
                <w:szCs w:val="24"/>
              </w:rPr>
              <w:fldChar w:fldCharType="begin"/>
            </w:r>
            <w:r w:rsidR="006955F5" w:rsidRPr="006955F5">
              <w:rPr>
                <w:rFonts w:ascii="Times New Roman" w:hAnsi="Times New Roman" w:cs="Times New Roman"/>
                <w:b w:val="0"/>
                <w:bCs w:val="0"/>
                <w:noProof/>
                <w:webHidden/>
                <w:sz w:val="24"/>
                <w:szCs w:val="24"/>
              </w:rPr>
              <w:instrText xml:space="preserve"> PAGEREF _Toc241050443 \h </w:instrText>
            </w:r>
            <w:r w:rsidR="006955F5" w:rsidRPr="006955F5">
              <w:rPr>
                <w:rFonts w:ascii="Times New Roman" w:hAnsi="Times New Roman" w:cs="Times New Roman"/>
                <w:b w:val="0"/>
                <w:bCs w:val="0"/>
                <w:noProof/>
                <w:webHidden/>
                <w:sz w:val="24"/>
                <w:szCs w:val="24"/>
              </w:rPr>
            </w:r>
            <w:r w:rsidR="006955F5" w:rsidRPr="006955F5">
              <w:rPr>
                <w:rFonts w:ascii="Times New Roman" w:hAnsi="Times New Roman" w:cs="Times New Roman"/>
                <w:b w:val="0"/>
                <w:bCs w:val="0"/>
                <w:noProof/>
                <w:webHidden/>
                <w:sz w:val="24"/>
                <w:szCs w:val="24"/>
              </w:rPr>
              <w:fldChar w:fldCharType="separate"/>
            </w:r>
            <w:r w:rsidR="008F5319">
              <w:rPr>
                <w:rFonts w:ascii="Times New Roman" w:hAnsi="Times New Roman" w:cs="Times New Roman"/>
                <w:b w:val="0"/>
                <w:bCs w:val="0"/>
                <w:noProof/>
                <w:webHidden/>
                <w:sz w:val="24"/>
                <w:szCs w:val="24"/>
              </w:rPr>
              <w:t>83</w:t>
            </w:r>
            <w:r w:rsidR="006955F5" w:rsidRPr="006955F5">
              <w:rPr>
                <w:rFonts w:ascii="Times New Roman" w:hAnsi="Times New Roman" w:cs="Times New Roman"/>
                <w:b w:val="0"/>
                <w:bCs w:val="0"/>
                <w:noProof/>
                <w:webHidden/>
                <w:sz w:val="24"/>
                <w:szCs w:val="24"/>
              </w:rPr>
              <w:fldChar w:fldCharType="end"/>
            </w:r>
          </w:hyperlink>
        </w:p>
        <w:p w14:paraId="7CE3D1DA" w14:textId="72D0ED0D" w:rsidR="00AB006B" w:rsidRPr="00AB006B" w:rsidRDefault="00AB006B">
          <w:pPr>
            <w:rPr>
              <w:rFonts w:cs="Times New Roman"/>
              <w:szCs w:val="24"/>
            </w:rPr>
          </w:pPr>
          <w:r w:rsidRPr="00AB006B">
            <w:rPr>
              <w:rFonts w:cs="Times New Roman"/>
              <w:b/>
              <w:bCs/>
              <w:noProof/>
              <w:szCs w:val="24"/>
            </w:rPr>
            <w:fldChar w:fldCharType="end"/>
          </w:r>
        </w:p>
      </w:sdtContent>
    </w:sdt>
    <w:p w14:paraId="7ACCA5E1" w14:textId="77777777" w:rsidR="006955F5" w:rsidRDefault="006955F5">
      <w:pPr>
        <w:spacing w:line="240" w:lineRule="auto"/>
        <w:jc w:val="left"/>
        <w:rPr>
          <w:rFonts w:cs="Times New Roman"/>
          <w:szCs w:val="24"/>
          <w:lang w:eastAsia="en-GB" w:bidi="hi-IN"/>
        </w:rPr>
      </w:pPr>
    </w:p>
    <w:p w14:paraId="3874B799" w14:textId="7BEAD3CF" w:rsidR="00193090" w:rsidRPr="00AB006B" w:rsidRDefault="00193090">
      <w:pPr>
        <w:spacing w:line="240" w:lineRule="auto"/>
        <w:jc w:val="left"/>
        <w:rPr>
          <w:rFonts w:cs="Times New Roman"/>
          <w:szCs w:val="24"/>
          <w:lang w:eastAsia="en-GB" w:bidi="hi-IN"/>
        </w:rPr>
      </w:pPr>
      <w:r w:rsidRPr="00AB006B">
        <w:rPr>
          <w:rFonts w:cs="Times New Roman"/>
          <w:szCs w:val="24"/>
          <w:lang w:eastAsia="en-GB" w:bidi="hi-IN"/>
        </w:rPr>
        <w:br w:type="page"/>
      </w:r>
    </w:p>
    <w:p w14:paraId="70B43AC7" w14:textId="77777777" w:rsidR="00193090" w:rsidRPr="00193090" w:rsidRDefault="00193090" w:rsidP="006955F5">
      <w:pPr>
        <w:pStyle w:val="Heading1"/>
        <w:rPr>
          <w:lang w:eastAsia="en-GB" w:bidi="hi-IN"/>
        </w:rPr>
      </w:pPr>
      <w:bookmarkStart w:id="6" w:name="_Toc241050382"/>
      <w:r w:rsidRPr="00193090">
        <w:rPr>
          <w:lang w:eastAsia="en-GB" w:bidi="hi-IN"/>
        </w:rPr>
        <w:lastRenderedPageBreak/>
        <w:t>List of Figures</w:t>
      </w:r>
      <w:bookmarkEnd w:id="6"/>
    </w:p>
    <w:p w14:paraId="3FC5E816" w14:textId="390043B3" w:rsidR="009F799C" w:rsidRDefault="00193090">
      <w:pPr>
        <w:pStyle w:val="TableofFigures"/>
        <w:tabs>
          <w:tab w:val="right" w:leader="dot" w:pos="9016"/>
        </w:tabs>
        <w:rPr>
          <w:rFonts w:asciiTheme="minorHAnsi" w:eastAsiaTheme="minorEastAsia" w:hAnsiTheme="minorHAnsi" w:cs="Mangal"/>
          <w:noProof/>
          <w:color w:val="auto"/>
          <w:szCs w:val="21"/>
          <w:lang w:eastAsia="en-GB" w:bidi="hi-IN"/>
        </w:rPr>
      </w:pPr>
      <w:r>
        <w:rPr>
          <w:lang w:eastAsia="en-GB" w:bidi="hi-IN"/>
        </w:rPr>
        <w:fldChar w:fldCharType="begin"/>
      </w:r>
      <w:r>
        <w:rPr>
          <w:lang w:eastAsia="en-GB" w:bidi="hi-IN"/>
        </w:rPr>
        <w:instrText xml:space="preserve"> TOC \h \z \c "Figure" </w:instrText>
      </w:r>
      <w:r>
        <w:rPr>
          <w:lang w:eastAsia="en-GB" w:bidi="hi-IN"/>
        </w:rPr>
        <w:fldChar w:fldCharType="separate"/>
      </w:r>
      <w:hyperlink w:anchor="_Toc241052618" w:history="1">
        <w:r w:rsidR="009F799C" w:rsidRPr="00CE0453">
          <w:rPr>
            <w:rStyle w:val="Hyperlink"/>
            <w:noProof/>
          </w:rPr>
          <w:t>Figure 1: The Technology-Organisation-Environment (TOE) Framework</w:t>
        </w:r>
        <w:r w:rsidR="009F799C">
          <w:rPr>
            <w:noProof/>
            <w:webHidden/>
          </w:rPr>
          <w:tab/>
        </w:r>
        <w:r w:rsidR="009F799C">
          <w:rPr>
            <w:noProof/>
            <w:webHidden/>
          </w:rPr>
          <w:fldChar w:fldCharType="begin"/>
        </w:r>
        <w:r w:rsidR="009F799C">
          <w:rPr>
            <w:noProof/>
            <w:webHidden/>
          </w:rPr>
          <w:instrText xml:space="preserve"> PAGEREF _Toc241052618 \h </w:instrText>
        </w:r>
        <w:r w:rsidR="009F799C">
          <w:rPr>
            <w:noProof/>
            <w:webHidden/>
          </w:rPr>
        </w:r>
        <w:r w:rsidR="009F799C">
          <w:rPr>
            <w:noProof/>
            <w:webHidden/>
          </w:rPr>
          <w:fldChar w:fldCharType="separate"/>
        </w:r>
        <w:r w:rsidR="00F67F11">
          <w:rPr>
            <w:noProof/>
            <w:webHidden/>
          </w:rPr>
          <w:t>18</w:t>
        </w:r>
        <w:r w:rsidR="009F799C">
          <w:rPr>
            <w:noProof/>
            <w:webHidden/>
          </w:rPr>
          <w:fldChar w:fldCharType="end"/>
        </w:r>
      </w:hyperlink>
    </w:p>
    <w:p w14:paraId="266568E3" w14:textId="3E8B9117"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19" w:history="1">
        <w:r w:rsidR="009F799C" w:rsidRPr="00CE0453">
          <w:rPr>
            <w:rStyle w:val="Hyperlink"/>
            <w:noProof/>
          </w:rPr>
          <w:t>Figure 2: The Job Demands-Resources (JD-R) Model</w:t>
        </w:r>
        <w:r w:rsidR="009F799C">
          <w:rPr>
            <w:noProof/>
            <w:webHidden/>
          </w:rPr>
          <w:tab/>
        </w:r>
        <w:r w:rsidR="009F799C">
          <w:rPr>
            <w:noProof/>
            <w:webHidden/>
          </w:rPr>
          <w:fldChar w:fldCharType="begin"/>
        </w:r>
        <w:r w:rsidR="009F799C">
          <w:rPr>
            <w:noProof/>
            <w:webHidden/>
          </w:rPr>
          <w:instrText xml:space="preserve"> PAGEREF _Toc241052619 \h </w:instrText>
        </w:r>
        <w:r w:rsidR="009F799C">
          <w:rPr>
            <w:noProof/>
            <w:webHidden/>
          </w:rPr>
        </w:r>
        <w:r w:rsidR="009F799C">
          <w:rPr>
            <w:noProof/>
            <w:webHidden/>
          </w:rPr>
          <w:fldChar w:fldCharType="separate"/>
        </w:r>
        <w:r w:rsidR="00F67F11">
          <w:rPr>
            <w:noProof/>
            <w:webHidden/>
          </w:rPr>
          <w:t>19</w:t>
        </w:r>
        <w:r w:rsidR="009F799C">
          <w:rPr>
            <w:noProof/>
            <w:webHidden/>
          </w:rPr>
          <w:fldChar w:fldCharType="end"/>
        </w:r>
      </w:hyperlink>
    </w:p>
    <w:p w14:paraId="1B759E97" w14:textId="1E84A29F"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20" w:history="1">
        <w:r w:rsidR="009F799C" w:rsidRPr="00CE0453">
          <w:rPr>
            <w:rStyle w:val="Hyperlink"/>
            <w:noProof/>
          </w:rPr>
          <w:t>Figure 3: Conceptual Framework</w:t>
        </w:r>
        <w:r w:rsidR="009F799C">
          <w:rPr>
            <w:noProof/>
            <w:webHidden/>
          </w:rPr>
          <w:tab/>
        </w:r>
        <w:r w:rsidR="009F799C">
          <w:rPr>
            <w:noProof/>
            <w:webHidden/>
          </w:rPr>
          <w:fldChar w:fldCharType="begin"/>
        </w:r>
        <w:r w:rsidR="009F799C">
          <w:rPr>
            <w:noProof/>
            <w:webHidden/>
          </w:rPr>
          <w:instrText xml:space="preserve"> PAGEREF _Toc241052620 \h </w:instrText>
        </w:r>
        <w:r w:rsidR="009F799C">
          <w:rPr>
            <w:noProof/>
            <w:webHidden/>
          </w:rPr>
        </w:r>
        <w:r w:rsidR="009F799C">
          <w:rPr>
            <w:noProof/>
            <w:webHidden/>
          </w:rPr>
          <w:fldChar w:fldCharType="separate"/>
        </w:r>
        <w:r w:rsidR="00F67F11">
          <w:rPr>
            <w:noProof/>
            <w:webHidden/>
          </w:rPr>
          <w:t>26</w:t>
        </w:r>
        <w:r w:rsidR="009F799C">
          <w:rPr>
            <w:noProof/>
            <w:webHidden/>
          </w:rPr>
          <w:fldChar w:fldCharType="end"/>
        </w:r>
      </w:hyperlink>
    </w:p>
    <w:p w14:paraId="0A51BD55" w14:textId="37046325"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21" w:history="1">
        <w:r w:rsidR="009F799C" w:rsidRPr="00CE0453">
          <w:rPr>
            <w:rStyle w:val="Hyperlink"/>
            <w:noProof/>
          </w:rPr>
          <w:t>Figure 4: Respondents utilise Generative AI tools within their daily professional workflows</w:t>
        </w:r>
        <w:r w:rsidR="009F799C">
          <w:rPr>
            <w:noProof/>
            <w:webHidden/>
          </w:rPr>
          <w:tab/>
        </w:r>
        <w:r w:rsidR="009F799C">
          <w:rPr>
            <w:noProof/>
            <w:webHidden/>
          </w:rPr>
          <w:fldChar w:fldCharType="begin"/>
        </w:r>
        <w:r w:rsidR="009F799C">
          <w:rPr>
            <w:noProof/>
            <w:webHidden/>
          </w:rPr>
          <w:instrText xml:space="preserve"> PAGEREF _Toc241052621 \h </w:instrText>
        </w:r>
        <w:r w:rsidR="009F799C">
          <w:rPr>
            <w:noProof/>
            <w:webHidden/>
          </w:rPr>
        </w:r>
        <w:r w:rsidR="009F799C">
          <w:rPr>
            <w:noProof/>
            <w:webHidden/>
          </w:rPr>
          <w:fldChar w:fldCharType="separate"/>
        </w:r>
        <w:r w:rsidR="00F67F11">
          <w:rPr>
            <w:noProof/>
            <w:webHidden/>
          </w:rPr>
          <w:t>39</w:t>
        </w:r>
        <w:r w:rsidR="009F799C">
          <w:rPr>
            <w:noProof/>
            <w:webHidden/>
          </w:rPr>
          <w:fldChar w:fldCharType="end"/>
        </w:r>
      </w:hyperlink>
    </w:p>
    <w:p w14:paraId="7CD91B60" w14:textId="528D5238"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22" w:history="1">
        <w:r w:rsidR="009F799C" w:rsidRPr="00CE0453">
          <w:rPr>
            <w:rStyle w:val="Hyperlink"/>
            <w:noProof/>
          </w:rPr>
          <w:t>Figure 5: Respondents' respective organisations actively operate</w:t>
        </w:r>
        <w:r w:rsidR="009F799C">
          <w:rPr>
            <w:noProof/>
            <w:webHidden/>
          </w:rPr>
          <w:tab/>
        </w:r>
        <w:r w:rsidR="009F799C">
          <w:rPr>
            <w:noProof/>
            <w:webHidden/>
          </w:rPr>
          <w:fldChar w:fldCharType="begin"/>
        </w:r>
        <w:r w:rsidR="009F799C">
          <w:rPr>
            <w:noProof/>
            <w:webHidden/>
          </w:rPr>
          <w:instrText xml:space="preserve"> PAGEREF _Toc241052622 \h </w:instrText>
        </w:r>
        <w:r w:rsidR="009F799C">
          <w:rPr>
            <w:noProof/>
            <w:webHidden/>
          </w:rPr>
        </w:r>
        <w:r w:rsidR="009F799C">
          <w:rPr>
            <w:noProof/>
            <w:webHidden/>
          </w:rPr>
          <w:fldChar w:fldCharType="separate"/>
        </w:r>
        <w:r w:rsidR="00F67F11">
          <w:rPr>
            <w:noProof/>
            <w:webHidden/>
          </w:rPr>
          <w:t>40</w:t>
        </w:r>
        <w:r w:rsidR="009F799C">
          <w:rPr>
            <w:noProof/>
            <w:webHidden/>
          </w:rPr>
          <w:fldChar w:fldCharType="end"/>
        </w:r>
      </w:hyperlink>
    </w:p>
    <w:p w14:paraId="2FFC263D" w14:textId="64504FA7"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23" w:history="1">
        <w:r w:rsidR="009F799C" w:rsidRPr="00CE0453">
          <w:rPr>
            <w:rStyle w:val="Hyperlink"/>
            <w:noProof/>
          </w:rPr>
          <w:t>Figure 6: Occupational role level of the respondents</w:t>
        </w:r>
        <w:r w:rsidR="009F799C">
          <w:rPr>
            <w:noProof/>
            <w:webHidden/>
          </w:rPr>
          <w:tab/>
        </w:r>
        <w:r w:rsidR="009F799C">
          <w:rPr>
            <w:noProof/>
            <w:webHidden/>
          </w:rPr>
          <w:fldChar w:fldCharType="begin"/>
        </w:r>
        <w:r w:rsidR="009F799C">
          <w:rPr>
            <w:noProof/>
            <w:webHidden/>
          </w:rPr>
          <w:instrText xml:space="preserve"> PAGEREF _Toc241052623 \h </w:instrText>
        </w:r>
        <w:r w:rsidR="009F799C">
          <w:rPr>
            <w:noProof/>
            <w:webHidden/>
          </w:rPr>
        </w:r>
        <w:r w:rsidR="009F799C">
          <w:rPr>
            <w:noProof/>
            <w:webHidden/>
          </w:rPr>
          <w:fldChar w:fldCharType="separate"/>
        </w:r>
        <w:r w:rsidR="00F67F11">
          <w:rPr>
            <w:noProof/>
            <w:webHidden/>
          </w:rPr>
          <w:t>41</w:t>
        </w:r>
        <w:r w:rsidR="009F799C">
          <w:rPr>
            <w:noProof/>
            <w:webHidden/>
          </w:rPr>
          <w:fldChar w:fldCharType="end"/>
        </w:r>
      </w:hyperlink>
    </w:p>
    <w:p w14:paraId="29A22D3C" w14:textId="7753CF71" w:rsidR="00193090" w:rsidRDefault="00193090" w:rsidP="00193090">
      <w:pPr>
        <w:rPr>
          <w:lang w:eastAsia="en-GB" w:bidi="hi-IN"/>
        </w:rPr>
      </w:pPr>
      <w:r>
        <w:rPr>
          <w:lang w:eastAsia="en-GB" w:bidi="hi-IN"/>
        </w:rPr>
        <w:fldChar w:fldCharType="end"/>
      </w:r>
    </w:p>
    <w:p w14:paraId="05BAF856" w14:textId="77777777" w:rsidR="006955F5" w:rsidRDefault="006955F5" w:rsidP="00193090">
      <w:pPr>
        <w:rPr>
          <w:lang w:eastAsia="en-GB" w:bidi="hi-IN"/>
        </w:rPr>
      </w:pPr>
    </w:p>
    <w:p w14:paraId="603B55D4" w14:textId="30BEB4A2" w:rsidR="006955F5" w:rsidRDefault="006955F5">
      <w:pPr>
        <w:spacing w:line="240" w:lineRule="auto"/>
        <w:jc w:val="left"/>
        <w:rPr>
          <w:lang w:eastAsia="en-GB" w:bidi="hi-IN"/>
        </w:rPr>
      </w:pPr>
      <w:r>
        <w:rPr>
          <w:lang w:eastAsia="en-GB" w:bidi="hi-IN"/>
        </w:rPr>
        <w:br w:type="page"/>
      </w:r>
    </w:p>
    <w:p w14:paraId="1F247961" w14:textId="77777777" w:rsidR="006955F5" w:rsidRDefault="006955F5" w:rsidP="00193090">
      <w:pPr>
        <w:rPr>
          <w:lang w:eastAsia="en-GB" w:bidi="hi-IN"/>
        </w:rPr>
      </w:pPr>
    </w:p>
    <w:p w14:paraId="4DAE1A88" w14:textId="77777777" w:rsidR="00193090" w:rsidRPr="00193090" w:rsidRDefault="00193090" w:rsidP="006955F5">
      <w:pPr>
        <w:pStyle w:val="Heading1"/>
        <w:rPr>
          <w:lang w:eastAsia="en-GB" w:bidi="hi-IN"/>
        </w:rPr>
      </w:pPr>
      <w:bookmarkStart w:id="7" w:name="_Toc241050383"/>
      <w:r w:rsidRPr="00193090">
        <w:rPr>
          <w:lang w:eastAsia="en-GB" w:bidi="hi-IN"/>
        </w:rPr>
        <w:t>List of Tables</w:t>
      </w:r>
      <w:bookmarkEnd w:id="7"/>
    </w:p>
    <w:p w14:paraId="5FE1BA18" w14:textId="65A4AA27" w:rsidR="009F799C" w:rsidRDefault="00193090">
      <w:pPr>
        <w:pStyle w:val="TableofFigures"/>
        <w:tabs>
          <w:tab w:val="right" w:leader="dot" w:pos="9016"/>
        </w:tabs>
        <w:rPr>
          <w:rFonts w:asciiTheme="minorHAnsi" w:eastAsiaTheme="minorEastAsia" w:hAnsiTheme="minorHAnsi" w:cs="Mangal"/>
          <w:noProof/>
          <w:color w:val="auto"/>
          <w:szCs w:val="21"/>
          <w:lang w:eastAsia="en-GB" w:bidi="hi-IN"/>
        </w:rPr>
      </w:pPr>
      <w:r>
        <w:rPr>
          <w:lang w:eastAsia="en-GB" w:bidi="hi-IN"/>
        </w:rPr>
        <w:fldChar w:fldCharType="begin"/>
      </w:r>
      <w:r>
        <w:rPr>
          <w:lang w:eastAsia="en-GB" w:bidi="hi-IN"/>
        </w:rPr>
        <w:instrText xml:space="preserve"> TOC \h \z \c "Table" </w:instrText>
      </w:r>
      <w:r>
        <w:rPr>
          <w:lang w:eastAsia="en-GB" w:bidi="hi-IN"/>
        </w:rPr>
        <w:fldChar w:fldCharType="separate"/>
      </w:r>
      <w:hyperlink w:anchor="_Toc241052634" w:history="1">
        <w:r w:rsidR="009F799C" w:rsidRPr="00BB2A24">
          <w:rPr>
            <w:rStyle w:val="Hyperlink"/>
            <w:noProof/>
          </w:rPr>
          <w:t>Table 1: Research Structure</w:t>
        </w:r>
        <w:r w:rsidR="009F799C">
          <w:rPr>
            <w:noProof/>
            <w:webHidden/>
          </w:rPr>
          <w:tab/>
        </w:r>
        <w:r w:rsidR="009F799C">
          <w:rPr>
            <w:noProof/>
            <w:webHidden/>
          </w:rPr>
          <w:fldChar w:fldCharType="begin"/>
        </w:r>
        <w:r w:rsidR="009F799C">
          <w:rPr>
            <w:noProof/>
            <w:webHidden/>
          </w:rPr>
          <w:instrText xml:space="preserve"> PAGEREF _Toc241052634 \h </w:instrText>
        </w:r>
        <w:r w:rsidR="009F799C">
          <w:rPr>
            <w:noProof/>
            <w:webHidden/>
          </w:rPr>
        </w:r>
        <w:r w:rsidR="009F799C">
          <w:rPr>
            <w:noProof/>
            <w:webHidden/>
          </w:rPr>
          <w:fldChar w:fldCharType="separate"/>
        </w:r>
        <w:r w:rsidR="008F5319">
          <w:rPr>
            <w:noProof/>
            <w:webHidden/>
          </w:rPr>
          <w:t>14</w:t>
        </w:r>
        <w:r w:rsidR="009F799C">
          <w:rPr>
            <w:noProof/>
            <w:webHidden/>
          </w:rPr>
          <w:fldChar w:fldCharType="end"/>
        </w:r>
      </w:hyperlink>
    </w:p>
    <w:p w14:paraId="71AD18A3" w14:textId="72D8A23C"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35" w:history="1">
        <w:r w:rsidR="009F799C" w:rsidRPr="00BB2A24">
          <w:rPr>
            <w:rStyle w:val="Hyperlink"/>
            <w:noProof/>
          </w:rPr>
          <w:t>Table 2: Reliability Test</w:t>
        </w:r>
        <w:r w:rsidR="009F799C">
          <w:rPr>
            <w:noProof/>
            <w:webHidden/>
          </w:rPr>
          <w:tab/>
        </w:r>
        <w:r w:rsidR="009F799C">
          <w:rPr>
            <w:noProof/>
            <w:webHidden/>
          </w:rPr>
          <w:fldChar w:fldCharType="begin"/>
        </w:r>
        <w:r w:rsidR="009F799C">
          <w:rPr>
            <w:noProof/>
            <w:webHidden/>
          </w:rPr>
          <w:instrText xml:space="preserve"> PAGEREF _Toc241052635 \h </w:instrText>
        </w:r>
        <w:r w:rsidR="009F799C">
          <w:rPr>
            <w:noProof/>
            <w:webHidden/>
          </w:rPr>
        </w:r>
        <w:r w:rsidR="009F799C">
          <w:rPr>
            <w:noProof/>
            <w:webHidden/>
          </w:rPr>
          <w:fldChar w:fldCharType="separate"/>
        </w:r>
        <w:r w:rsidR="008F5319">
          <w:rPr>
            <w:noProof/>
            <w:webHidden/>
          </w:rPr>
          <w:t>41</w:t>
        </w:r>
        <w:r w:rsidR="009F799C">
          <w:rPr>
            <w:noProof/>
            <w:webHidden/>
          </w:rPr>
          <w:fldChar w:fldCharType="end"/>
        </w:r>
      </w:hyperlink>
    </w:p>
    <w:p w14:paraId="189710F7" w14:textId="2C524601"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36" w:history="1">
        <w:r w:rsidR="009F799C" w:rsidRPr="00BB2A24">
          <w:rPr>
            <w:rStyle w:val="Hyperlink"/>
            <w:noProof/>
          </w:rPr>
          <w:t>Table 3: Generative AI Adoption (GAA)</w:t>
        </w:r>
        <w:r w:rsidR="009F799C">
          <w:rPr>
            <w:noProof/>
            <w:webHidden/>
          </w:rPr>
          <w:tab/>
        </w:r>
        <w:r w:rsidR="009F799C">
          <w:rPr>
            <w:noProof/>
            <w:webHidden/>
          </w:rPr>
          <w:fldChar w:fldCharType="begin"/>
        </w:r>
        <w:r w:rsidR="009F799C">
          <w:rPr>
            <w:noProof/>
            <w:webHidden/>
          </w:rPr>
          <w:instrText xml:space="preserve"> PAGEREF _Toc241052636 \h </w:instrText>
        </w:r>
        <w:r w:rsidR="009F799C">
          <w:rPr>
            <w:noProof/>
            <w:webHidden/>
          </w:rPr>
        </w:r>
        <w:r w:rsidR="009F799C">
          <w:rPr>
            <w:noProof/>
            <w:webHidden/>
          </w:rPr>
          <w:fldChar w:fldCharType="separate"/>
        </w:r>
        <w:r w:rsidR="008F5319">
          <w:rPr>
            <w:noProof/>
            <w:webHidden/>
          </w:rPr>
          <w:t>42</w:t>
        </w:r>
        <w:r w:rsidR="009F799C">
          <w:rPr>
            <w:noProof/>
            <w:webHidden/>
          </w:rPr>
          <w:fldChar w:fldCharType="end"/>
        </w:r>
      </w:hyperlink>
    </w:p>
    <w:p w14:paraId="76728ED9" w14:textId="68672082"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37" w:history="1">
        <w:r w:rsidR="009F799C" w:rsidRPr="00BB2A24">
          <w:rPr>
            <w:rStyle w:val="Hyperlink"/>
            <w:noProof/>
          </w:rPr>
          <w:t>Table 4: Employee Productivity (EP)</w:t>
        </w:r>
        <w:r w:rsidR="009F799C">
          <w:rPr>
            <w:noProof/>
            <w:webHidden/>
          </w:rPr>
          <w:tab/>
        </w:r>
        <w:r w:rsidR="009F799C">
          <w:rPr>
            <w:noProof/>
            <w:webHidden/>
          </w:rPr>
          <w:fldChar w:fldCharType="begin"/>
        </w:r>
        <w:r w:rsidR="009F799C">
          <w:rPr>
            <w:noProof/>
            <w:webHidden/>
          </w:rPr>
          <w:instrText xml:space="preserve"> PAGEREF _Toc241052637 \h </w:instrText>
        </w:r>
        <w:r w:rsidR="009F799C">
          <w:rPr>
            <w:noProof/>
            <w:webHidden/>
          </w:rPr>
        </w:r>
        <w:r w:rsidR="009F799C">
          <w:rPr>
            <w:noProof/>
            <w:webHidden/>
          </w:rPr>
          <w:fldChar w:fldCharType="separate"/>
        </w:r>
        <w:r w:rsidR="008F5319">
          <w:rPr>
            <w:noProof/>
            <w:webHidden/>
          </w:rPr>
          <w:t>43</w:t>
        </w:r>
        <w:r w:rsidR="009F799C">
          <w:rPr>
            <w:noProof/>
            <w:webHidden/>
          </w:rPr>
          <w:fldChar w:fldCharType="end"/>
        </w:r>
      </w:hyperlink>
    </w:p>
    <w:p w14:paraId="23DF00BD" w14:textId="481BF2B0"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38" w:history="1">
        <w:r w:rsidR="009F799C" w:rsidRPr="00BB2A24">
          <w:rPr>
            <w:rStyle w:val="Hyperlink"/>
            <w:noProof/>
          </w:rPr>
          <w:t>Table 5: Job Quality (JQ)</w:t>
        </w:r>
        <w:r w:rsidR="009F799C">
          <w:rPr>
            <w:noProof/>
            <w:webHidden/>
          </w:rPr>
          <w:tab/>
        </w:r>
        <w:r w:rsidR="009F799C">
          <w:rPr>
            <w:noProof/>
            <w:webHidden/>
          </w:rPr>
          <w:fldChar w:fldCharType="begin"/>
        </w:r>
        <w:r w:rsidR="009F799C">
          <w:rPr>
            <w:noProof/>
            <w:webHidden/>
          </w:rPr>
          <w:instrText xml:space="preserve"> PAGEREF _Toc241052638 \h </w:instrText>
        </w:r>
        <w:r w:rsidR="009F799C">
          <w:rPr>
            <w:noProof/>
            <w:webHidden/>
          </w:rPr>
        </w:r>
        <w:r w:rsidR="009F799C">
          <w:rPr>
            <w:noProof/>
            <w:webHidden/>
          </w:rPr>
          <w:fldChar w:fldCharType="separate"/>
        </w:r>
        <w:r w:rsidR="008F5319">
          <w:rPr>
            <w:noProof/>
            <w:webHidden/>
          </w:rPr>
          <w:t>44</w:t>
        </w:r>
        <w:r w:rsidR="009F799C">
          <w:rPr>
            <w:noProof/>
            <w:webHidden/>
          </w:rPr>
          <w:fldChar w:fldCharType="end"/>
        </w:r>
      </w:hyperlink>
    </w:p>
    <w:p w14:paraId="3D2C0756" w14:textId="61364256"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39" w:history="1">
        <w:r w:rsidR="009F799C" w:rsidRPr="00BB2A24">
          <w:rPr>
            <w:rStyle w:val="Hyperlink"/>
            <w:noProof/>
          </w:rPr>
          <w:t>Table 6</w:t>
        </w:r>
        <w:r w:rsidR="009F799C" w:rsidRPr="00BB2A24">
          <w:rPr>
            <w:rStyle w:val="Hyperlink"/>
            <w:noProof/>
            <w:lang w:val="en-US"/>
          </w:rPr>
          <w:t>:</w:t>
        </w:r>
        <w:r w:rsidR="009F799C" w:rsidRPr="00BB2A24">
          <w:rPr>
            <w:rStyle w:val="Hyperlink"/>
            <w:rFonts w:eastAsia="Times New Roman" w:cs="Times New Roman"/>
            <w:noProof/>
            <w:kern w:val="0"/>
            <w:lang w:eastAsia="en-GB"/>
            <w14:ligatures w14:val="none"/>
          </w:rPr>
          <w:t>Employee Training (ET)</w:t>
        </w:r>
        <w:r w:rsidR="009F799C">
          <w:rPr>
            <w:noProof/>
            <w:webHidden/>
          </w:rPr>
          <w:tab/>
        </w:r>
        <w:r w:rsidR="009F799C">
          <w:rPr>
            <w:noProof/>
            <w:webHidden/>
          </w:rPr>
          <w:fldChar w:fldCharType="begin"/>
        </w:r>
        <w:r w:rsidR="009F799C">
          <w:rPr>
            <w:noProof/>
            <w:webHidden/>
          </w:rPr>
          <w:instrText xml:space="preserve"> PAGEREF _Toc241052639 \h </w:instrText>
        </w:r>
        <w:r w:rsidR="009F799C">
          <w:rPr>
            <w:noProof/>
            <w:webHidden/>
          </w:rPr>
        </w:r>
        <w:r w:rsidR="009F799C">
          <w:rPr>
            <w:noProof/>
            <w:webHidden/>
          </w:rPr>
          <w:fldChar w:fldCharType="separate"/>
        </w:r>
        <w:r w:rsidR="008F5319">
          <w:rPr>
            <w:noProof/>
            <w:webHidden/>
          </w:rPr>
          <w:t>45</w:t>
        </w:r>
        <w:r w:rsidR="009F799C">
          <w:rPr>
            <w:noProof/>
            <w:webHidden/>
          </w:rPr>
          <w:fldChar w:fldCharType="end"/>
        </w:r>
      </w:hyperlink>
    </w:p>
    <w:p w14:paraId="5D223C51" w14:textId="6A59F87C"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40" w:history="1">
        <w:r w:rsidR="009F799C" w:rsidRPr="00BB2A24">
          <w:rPr>
            <w:rStyle w:val="Hyperlink"/>
            <w:noProof/>
          </w:rPr>
          <w:t>Table 7</w:t>
        </w:r>
        <w:r w:rsidR="009F799C" w:rsidRPr="00BB2A24">
          <w:rPr>
            <w:rStyle w:val="Hyperlink"/>
            <w:noProof/>
            <w:lang w:val="en-US"/>
          </w:rPr>
          <w:t>:</w:t>
        </w:r>
        <w:r w:rsidR="009F799C" w:rsidRPr="00BB2A24">
          <w:rPr>
            <w:rStyle w:val="Hyperlink"/>
            <w:noProof/>
          </w:rPr>
          <w:t>AI Governance (AIG)</w:t>
        </w:r>
        <w:r w:rsidR="009F799C">
          <w:rPr>
            <w:noProof/>
            <w:webHidden/>
          </w:rPr>
          <w:tab/>
        </w:r>
        <w:r w:rsidR="009F799C">
          <w:rPr>
            <w:noProof/>
            <w:webHidden/>
          </w:rPr>
          <w:fldChar w:fldCharType="begin"/>
        </w:r>
        <w:r w:rsidR="009F799C">
          <w:rPr>
            <w:noProof/>
            <w:webHidden/>
          </w:rPr>
          <w:instrText xml:space="preserve"> PAGEREF _Toc241052640 \h </w:instrText>
        </w:r>
        <w:r w:rsidR="009F799C">
          <w:rPr>
            <w:noProof/>
            <w:webHidden/>
          </w:rPr>
        </w:r>
        <w:r w:rsidR="009F799C">
          <w:rPr>
            <w:noProof/>
            <w:webHidden/>
          </w:rPr>
          <w:fldChar w:fldCharType="separate"/>
        </w:r>
        <w:r w:rsidR="008F5319">
          <w:rPr>
            <w:noProof/>
            <w:webHidden/>
          </w:rPr>
          <w:t>46</w:t>
        </w:r>
        <w:r w:rsidR="009F799C">
          <w:rPr>
            <w:noProof/>
            <w:webHidden/>
          </w:rPr>
          <w:fldChar w:fldCharType="end"/>
        </w:r>
      </w:hyperlink>
    </w:p>
    <w:p w14:paraId="0570D39C" w14:textId="2EE36F0B"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41" w:history="1">
        <w:r w:rsidR="009F799C" w:rsidRPr="00BB2A24">
          <w:rPr>
            <w:rStyle w:val="Hyperlink"/>
            <w:noProof/>
          </w:rPr>
          <w:t>Table 8</w:t>
        </w:r>
        <w:r w:rsidR="009F799C" w:rsidRPr="00BB2A24">
          <w:rPr>
            <w:rStyle w:val="Hyperlink"/>
            <w:rFonts w:cs="Times New Roman"/>
            <w:noProof/>
          </w:rPr>
          <w:t xml:space="preserve">: PROCESS Moderation Analysis (Model 1) </w:t>
        </w:r>
        <w:r w:rsidR="0050188E">
          <w:rPr>
            <w:rStyle w:val="Hyperlink"/>
            <w:rFonts w:cs="Times New Roman"/>
            <w:noProof/>
          </w:rPr>
          <w:t>-</w:t>
        </w:r>
        <w:r w:rsidR="009F799C" w:rsidRPr="00BB2A24">
          <w:rPr>
            <w:rStyle w:val="Hyperlink"/>
            <w:rFonts w:cs="Times New Roman"/>
            <w:noProof/>
          </w:rPr>
          <w:t xml:space="preserve"> Predicting Employee Productivity (EP)</w:t>
        </w:r>
        <w:r w:rsidR="009F799C">
          <w:rPr>
            <w:noProof/>
            <w:webHidden/>
          </w:rPr>
          <w:tab/>
        </w:r>
        <w:r w:rsidR="009F799C">
          <w:rPr>
            <w:noProof/>
            <w:webHidden/>
          </w:rPr>
          <w:fldChar w:fldCharType="begin"/>
        </w:r>
        <w:r w:rsidR="009F799C">
          <w:rPr>
            <w:noProof/>
            <w:webHidden/>
          </w:rPr>
          <w:instrText xml:space="preserve"> PAGEREF _Toc241052641 \h </w:instrText>
        </w:r>
        <w:r w:rsidR="009F799C">
          <w:rPr>
            <w:noProof/>
            <w:webHidden/>
          </w:rPr>
        </w:r>
        <w:r w:rsidR="009F799C">
          <w:rPr>
            <w:noProof/>
            <w:webHidden/>
          </w:rPr>
          <w:fldChar w:fldCharType="separate"/>
        </w:r>
        <w:r w:rsidR="008F5319">
          <w:rPr>
            <w:noProof/>
            <w:webHidden/>
          </w:rPr>
          <w:t>47</w:t>
        </w:r>
        <w:r w:rsidR="009F799C">
          <w:rPr>
            <w:noProof/>
            <w:webHidden/>
          </w:rPr>
          <w:fldChar w:fldCharType="end"/>
        </w:r>
      </w:hyperlink>
    </w:p>
    <w:p w14:paraId="5472B587" w14:textId="09A09D55"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42" w:history="1">
        <w:r w:rsidR="009F799C" w:rsidRPr="00BB2A24">
          <w:rPr>
            <w:rStyle w:val="Hyperlink"/>
            <w:noProof/>
          </w:rPr>
          <w:t>Table 9</w:t>
        </w:r>
        <w:r w:rsidR="009F799C" w:rsidRPr="00BB2A24">
          <w:rPr>
            <w:rStyle w:val="Hyperlink"/>
            <w:rFonts w:cs="Times New Roman"/>
            <w:noProof/>
          </w:rPr>
          <w:t>: PROCESS Moderation Analysis (Model 2)-Predicting Job Quality (JQ)</w:t>
        </w:r>
        <w:r w:rsidR="009F799C">
          <w:rPr>
            <w:noProof/>
            <w:webHidden/>
          </w:rPr>
          <w:tab/>
        </w:r>
        <w:r w:rsidR="009F799C">
          <w:rPr>
            <w:noProof/>
            <w:webHidden/>
          </w:rPr>
          <w:fldChar w:fldCharType="begin"/>
        </w:r>
        <w:r w:rsidR="009F799C">
          <w:rPr>
            <w:noProof/>
            <w:webHidden/>
          </w:rPr>
          <w:instrText xml:space="preserve"> PAGEREF _Toc241052642 \h </w:instrText>
        </w:r>
        <w:r w:rsidR="009F799C">
          <w:rPr>
            <w:noProof/>
            <w:webHidden/>
          </w:rPr>
        </w:r>
        <w:r w:rsidR="009F799C">
          <w:rPr>
            <w:noProof/>
            <w:webHidden/>
          </w:rPr>
          <w:fldChar w:fldCharType="separate"/>
        </w:r>
        <w:r w:rsidR="008F5319">
          <w:rPr>
            <w:noProof/>
            <w:webHidden/>
          </w:rPr>
          <w:t>48</w:t>
        </w:r>
        <w:r w:rsidR="009F799C">
          <w:rPr>
            <w:noProof/>
            <w:webHidden/>
          </w:rPr>
          <w:fldChar w:fldCharType="end"/>
        </w:r>
      </w:hyperlink>
    </w:p>
    <w:p w14:paraId="4FAADC2D" w14:textId="6E3C1277" w:rsidR="009F799C" w:rsidRDefault="00C50013">
      <w:pPr>
        <w:pStyle w:val="TableofFigures"/>
        <w:tabs>
          <w:tab w:val="right" w:leader="dot" w:pos="9016"/>
        </w:tabs>
        <w:rPr>
          <w:rFonts w:asciiTheme="minorHAnsi" w:eastAsiaTheme="minorEastAsia" w:hAnsiTheme="minorHAnsi" w:cs="Mangal"/>
          <w:noProof/>
          <w:color w:val="auto"/>
          <w:szCs w:val="21"/>
          <w:lang w:eastAsia="en-GB" w:bidi="hi-IN"/>
        </w:rPr>
      </w:pPr>
      <w:hyperlink w:anchor="_Toc241052643" w:history="1">
        <w:r w:rsidR="009F799C" w:rsidRPr="00BB2A24">
          <w:rPr>
            <w:rStyle w:val="Hyperlink"/>
            <w:noProof/>
          </w:rPr>
          <w:t>Table 10</w:t>
        </w:r>
        <w:r w:rsidR="009F799C" w:rsidRPr="00BB2A24">
          <w:rPr>
            <w:rStyle w:val="Hyperlink"/>
            <w:rFonts w:cs="Times New Roman"/>
            <w:noProof/>
          </w:rPr>
          <w:t>: Alignment of Statistical Findings with Research Hypotheses</w:t>
        </w:r>
        <w:r w:rsidR="009F799C">
          <w:rPr>
            <w:noProof/>
            <w:webHidden/>
          </w:rPr>
          <w:tab/>
        </w:r>
        <w:r w:rsidR="009F799C">
          <w:rPr>
            <w:noProof/>
            <w:webHidden/>
          </w:rPr>
          <w:fldChar w:fldCharType="begin"/>
        </w:r>
        <w:r w:rsidR="009F799C">
          <w:rPr>
            <w:noProof/>
            <w:webHidden/>
          </w:rPr>
          <w:instrText xml:space="preserve"> PAGEREF _Toc241052643 \h </w:instrText>
        </w:r>
        <w:r w:rsidR="009F799C">
          <w:rPr>
            <w:noProof/>
            <w:webHidden/>
          </w:rPr>
        </w:r>
        <w:r w:rsidR="009F799C">
          <w:rPr>
            <w:noProof/>
            <w:webHidden/>
          </w:rPr>
          <w:fldChar w:fldCharType="separate"/>
        </w:r>
        <w:r w:rsidR="008F5319">
          <w:rPr>
            <w:noProof/>
            <w:webHidden/>
          </w:rPr>
          <w:t>49</w:t>
        </w:r>
        <w:r w:rsidR="009F799C">
          <w:rPr>
            <w:noProof/>
            <w:webHidden/>
          </w:rPr>
          <w:fldChar w:fldCharType="end"/>
        </w:r>
      </w:hyperlink>
    </w:p>
    <w:p w14:paraId="50C7B893" w14:textId="68CD85E8" w:rsidR="006955F5" w:rsidRDefault="00193090" w:rsidP="00193090">
      <w:pPr>
        <w:rPr>
          <w:lang w:eastAsia="en-GB" w:bidi="hi-IN"/>
        </w:rPr>
      </w:pPr>
      <w:r>
        <w:rPr>
          <w:lang w:eastAsia="en-GB" w:bidi="hi-IN"/>
        </w:rPr>
        <w:fldChar w:fldCharType="end"/>
      </w:r>
    </w:p>
    <w:p w14:paraId="4DFCF81B" w14:textId="77777777" w:rsidR="006955F5" w:rsidRDefault="006955F5" w:rsidP="00193090">
      <w:pPr>
        <w:rPr>
          <w:lang w:eastAsia="en-GB" w:bidi="hi-IN"/>
        </w:rPr>
      </w:pPr>
    </w:p>
    <w:p w14:paraId="3F18A374" w14:textId="1900C7C8" w:rsidR="002029C8" w:rsidRPr="00F82232" w:rsidRDefault="002029C8" w:rsidP="00193090">
      <w:pPr>
        <w:rPr>
          <w:lang w:eastAsia="en-GB" w:bidi="hi-IN"/>
        </w:rPr>
      </w:pPr>
      <w:r w:rsidRPr="00F82232">
        <w:rPr>
          <w:lang w:eastAsia="en-GB" w:bidi="hi-IN"/>
        </w:rPr>
        <w:br w:type="page"/>
      </w:r>
    </w:p>
    <w:p w14:paraId="2F43687E" w14:textId="77777777" w:rsidR="002029C8" w:rsidRPr="00F82232" w:rsidRDefault="00C77DBA" w:rsidP="00C77DBA">
      <w:pPr>
        <w:pStyle w:val="Heading1"/>
        <w:rPr>
          <w:lang w:eastAsia="en-GB" w:bidi="hi-IN"/>
        </w:rPr>
      </w:pPr>
      <w:bookmarkStart w:id="8" w:name="_Toc240816293"/>
      <w:bookmarkStart w:id="9" w:name="_Toc241050384"/>
      <w:r w:rsidRPr="00F82232">
        <w:rPr>
          <w:lang w:eastAsia="en-GB" w:bidi="hi-IN"/>
        </w:rPr>
        <w:lastRenderedPageBreak/>
        <w:t>Chapter One: Introduction</w:t>
      </w:r>
      <w:bookmarkEnd w:id="8"/>
      <w:bookmarkEnd w:id="9"/>
    </w:p>
    <w:p w14:paraId="480C6AF6" w14:textId="77777777" w:rsidR="00C77DBA" w:rsidRDefault="00C77DBA" w:rsidP="005B2B5C">
      <w:pPr>
        <w:pStyle w:val="Heading2"/>
        <w:rPr>
          <w:lang w:eastAsia="en-GB" w:bidi="hi-IN"/>
        </w:rPr>
      </w:pPr>
      <w:bookmarkStart w:id="10" w:name="_Toc240816294"/>
      <w:bookmarkStart w:id="11" w:name="_Toc241050385"/>
      <w:r w:rsidRPr="00F82232">
        <w:rPr>
          <w:lang w:eastAsia="en-GB" w:bidi="hi-IN"/>
        </w:rPr>
        <w:t>1.1 Background of the study</w:t>
      </w:r>
      <w:bookmarkEnd w:id="10"/>
      <w:bookmarkEnd w:id="11"/>
    </w:p>
    <w:p w14:paraId="1F703A42" w14:textId="6AB81CD9" w:rsidR="00F82232" w:rsidRDefault="00F82232" w:rsidP="00F82232">
      <w:pPr>
        <w:rPr>
          <w:lang w:eastAsia="en-GB" w:bidi="hi-IN"/>
        </w:rPr>
      </w:pPr>
      <w:r>
        <w:rPr>
          <w:lang w:eastAsia="en-GB" w:bidi="hi-IN"/>
        </w:rPr>
        <w:t>The use of Generative Artificial Intelligence (GenAI), as a paradigm shift to smart support or cognitive augmentation for complicated HR jobs, can be seen as an emerging trend (Tiwari et al., 2026). GenAI's ability to do sophisticated cognitive activities that are non-routine knowledge work tasks makes it a promising General Purpose Technology (GPT) (Rao and Shivani, 2026). Although Large Language Models (LLMs) have seen tremendous improvements in productivity (Eloundou et al., 2023), the impact they would have on employees' interactions with them has received scant attention (Jetha et al., 2026). This gap disproportionately impacts SMEs, given the structural and financial differences that SMEs have compared to major international businesses (Sahana, 2025).</w:t>
      </w:r>
    </w:p>
    <w:p w14:paraId="2F77B61E" w14:textId="1D34E912" w:rsidR="00F82232" w:rsidRDefault="00F82232" w:rsidP="00F82232">
      <w:pPr>
        <w:rPr>
          <w:lang w:eastAsia="en-GB" w:bidi="hi-IN"/>
        </w:rPr>
      </w:pPr>
      <w:r>
        <w:rPr>
          <w:lang w:eastAsia="en-GB" w:bidi="hi-IN"/>
        </w:rPr>
        <w:t>As a major contributor to the UK economy, SMEs often struggle to transition to a digital age due to a shortage of financing and a shortage of experts in AI in their own fields of research</w:t>
      </w:r>
      <w:r w:rsidR="0018725E">
        <w:rPr>
          <w:lang w:eastAsia="en-GB" w:bidi="hi-IN"/>
        </w:rPr>
        <w:t xml:space="preserve"> (Rajagukguk, 2026)</w:t>
      </w:r>
      <w:r>
        <w:rPr>
          <w:lang w:eastAsia="en-GB" w:bidi="hi-IN"/>
        </w:rPr>
        <w:t xml:space="preserve">. GenAI has been employed for these types of strategic modifications in critical business processes, where there are high risks involved (Parida, Sjödin and Reim, 2019). </w:t>
      </w:r>
      <w:r w:rsidR="0018725E">
        <w:rPr>
          <w:lang w:eastAsia="en-GB" w:bidi="hi-IN"/>
        </w:rPr>
        <w:t>Westover (2025)</w:t>
      </w:r>
      <w:r>
        <w:rPr>
          <w:lang w:eastAsia="en-GB" w:bidi="hi-IN"/>
        </w:rPr>
        <w:t xml:space="preserve"> suggest</w:t>
      </w:r>
      <w:r w:rsidR="0018725E">
        <w:rPr>
          <w:lang w:eastAsia="en-GB" w:bidi="hi-IN"/>
        </w:rPr>
        <w:t>s</w:t>
      </w:r>
      <w:r>
        <w:rPr>
          <w:lang w:eastAsia="en-GB" w:bidi="hi-IN"/>
        </w:rPr>
        <w:t xml:space="preserve"> the potential to enhance the productivity of workers by relieving them of the brainwork needed to perform more complex tasks, especially for those who are newer to the workforce. An experimental study reveals that employing GenAI augmentation improves writing quality (Noy and Zhang, 2023). However, its potential as a career is different for various jobs (Chui et al., 2023).</w:t>
      </w:r>
    </w:p>
    <w:p w14:paraId="1E9262F5" w14:textId="6B3754EB" w:rsidR="00F82232" w:rsidRDefault="00F82232" w:rsidP="00F82232">
      <w:pPr>
        <w:rPr>
          <w:lang w:eastAsia="en-GB" w:bidi="hi-IN"/>
        </w:rPr>
      </w:pPr>
      <w:r>
        <w:rPr>
          <w:lang w:eastAsia="en-GB" w:bidi="hi-IN"/>
        </w:rPr>
        <w:t xml:space="preserve">Most important is the ‘automation-augmentation paradox’, which applies to the design of work and the functions of artificial intelligence as an augmentation of humans working in AI-supported scenarios (Raisch and Krakowski, 2021). Though the human-AI symbiosis has the potential to enhance decision-making and foster greater work meaning (Wang and Long, 2025), human-AI symbiosis can also lead to increases in workplace monitoring and decreases in </w:t>
      </w:r>
      <w:r>
        <w:rPr>
          <w:lang w:eastAsia="en-GB" w:bidi="hi-IN"/>
        </w:rPr>
        <w:lastRenderedPageBreak/>
        <w:t xml:space="preserve">employee autonomy (Kellogg et al., 2020). Therefore, the following factors have to be studied through </w:t>
      </w:r>
      <w:r w:rsidR="0018725E">
        <w:rPr>
          <w:lang w:eastAsia="en-GB" w:bidi="hi-IN"/>
        </w:rPr>
        <w:t xml:space="preserve">the </w:t>
      </w:r>
      <w:r>
        <w:rPr>
          <w:lang w:eastAsia="en-GB" w:bidi="hi-IN"/>
        </w:rPr>
        <w:t xml:space="preserve">moderating variables </w:t>
      </w:r>
      <w:r w:rsidR="0018725E">
        <w:rPr>
          <w:lang w:eastAsia="en-GB" w:bidi="hi-IN"/>
        </w:rPr>
        <w:t xml:space="preserve">of </w:t>
      </w:r>
      <w:r>
        <w:rPr>
          <w:lang w:eastAsia="en-GB" w:bidi="hi-IN"/>
        </w:rPr>
        <w:t>Organisational Training and Internal AI Governance (Mikalef and Gupta, 2021). Reskilling of the population is recommended by global organisations to avoid technology displacement (World Economic Forum, 2023), but in SMEs, it is often the lack of tools that is the issue (Jaciow et al., 2026). Therefore, there is a need to become familiar with corporate governance and training techniques that help to counteract the control of algorithms and increase productivity in an ethical fashion. SME life has been buried in stories of how things are in the corporate world, which can result in a harmonious reduction in employee experience (Tanni et al., 2026).</w:t>
      </w:r>
    </w:p>
    <w:p w14:paraId="70EB2479" w14:textId="77777777" w:rsidR="00C77DBA" w:rsidRPr="00F82232" w:rsidRDefault="00DA022E" w:rsidP="005B2B5C">
      <w:pPr>
        <w:pStyle w:val="Heading2"/>
        <w:rPr>
          <w:lang w:eastAsia="en-GB" w:bidi="hi-IN"/>
        </w:rPr>
      </w:pPr>
      <w:bookmarkStart w:id="12" w:name="_Toc240816295"/>
      <w:bookmarkStart w:id="13" w:name="_Toc241050386"/>
      <w:r w:rsidRPr="00F82232">
        <w:rPr>
          <w:lang w:eastAsia="en-GB" w:bidi="hi-IN"/>
        </w:rPr>
        <w:t>1.2 Problem Statement</w:t>
      </w:r>
      <w:bookmarkEnd w:id="12"/>
      <w:bookmarkEnd w:id="13"/>
    </w:p>
    <w:p w14:paraId="07E31D23" w14:textId="5B5EB5A5" w:rsidR="00F82232" w:rsidRDefault="00F82232" w:rsidP="00F82232">
      <w:r>
        <w:t>GenAI has been growing rapidly and has demonstrated itself to be disruptive, speeding up the value of knowledge work (Brown et al., 2024), but what happens to GenAI in SMEs remains not that well understood. Scholarly debate is dominated by macroeconomic productivity frontiers (Chui et al., 2023) and the multiculturalisation strategies of MNCs (Muraleedharan and Velmurugan, 2025), when well-capitalised. As UK SMEs lack scarce resources and digital infrastructure, and there is no AI research division (Ben Slimane et al., 2022), SME operations are understudied. At the core of the matter is that if integrating GenAI causes disruptions in the workflow, especially within SMEs, it will make it impossible to achieve the promised (theoretical) productivity gains (Tokkozhina et al., 2025).</w:t>
      </w:r>
    </w:p>
    <w:p w14:paraId="2EE17FD6" w14:textId="29CE1B1E" w:rsidR="00F82232" w:rsidRDefault="00F82232" w:rsidP="00F82232">
      <w:r>
        <w:t xml:space="preserve">As part of a complex ‘automation-augmentation conundrum', work design and duties will undergo a drastic change with the advent of GenAI (Raisch and Krakowski, 2021). Human-AI symbiosis promises work without drudgery; however, it often translates to mechanical management, which drives up employee monitoring, job expectations and autonomy (Kellogg et al., 2020). When there is no robust HR structure to regulate work quality based on AI technology, it comes down to a significant decrease (Lévesque et al., 2024). Considering the </w:t>
      </w:r>
      <w:r>
        <w:lastRenderedPageBreak/>
        <w:t>effects, GenAI is changing the limits of what can be done cognitively and may cause psychological fatigue in applying it as a safeguard to reduce costs</w:t>
      </w:r>
      <w:r w:rsidR="0018725E">
        <w:t xml:space="preserve"> (Söllner et al., 2025)</w:t>
      </w:r>
      <w:r>
        <w:t>.</w:t>
      </w:r>
      <w:r w:rsidR="0018725E">
        <w:t xml:space="preserve"> </w:t>
      </w:r>
    </w:p>
    <w:p w14:paraId="1BF21075" w14:textId="77777777" w:rsidR="004E2853" w:rsidRPr="00F82232" w:rsidRDefault="00F82232" w:rsidP="004E4AF7">
      <w:r>
        <w:t>Lastly, big firms have expansive internal governance mechanisms and re-skilling initiatives in place to be able to face technology shocks, while UK SME's don't have either (Moch and Oberdieck, 2025). The direct impacts of a lack of organised ethical governance and focused GenAI training on SME work quality and productivity increases are unknown (Singh et al., 2024). This study addresses this gap in the literature by empirically measuring the concurrent impact of GenAI on both employee productivity and well-being in the workplace and meticulously uncovers the role of both organisational upskilling initiatives and internal governance in this effect.</w:t>
      </w:r>
    </w:p>
    <w:p w14:paraId="306E1892" w14:textId="77777777" w:rsidR="00DA022E" w:rsidRPr="00F82232" w:rsidRDefault="00DA022E" w:rsidP="005B2B5C">
      <w:pPr>
        <w:pStyle w:val="Heading2"/>
        <w:rPr>
          <w:lang w:eastAsia="en-GB" w:bidi="hi-IN"/>
        </w:rPr>
      </w:pPr>
      <w:bookmarkStart w:id="14" w:name="_Toc240816296"/>
      <w:bookmarkStart w:id="15" w:name="_Toc241050387"/>
      <w:r w:rsidRPr="00F82232">
        <w:rPr>
          <w:lang w:eastAsia="en-GB" w:bidi="hi-IN"/>
        </w:rPr>
        <w:t>1.3 Research Rationale</w:t>
      </w:r>
      <w:bookmarkEnd w:id="14"/>
      <w:bookmarkEnd w:id="15"/>
    </w:p>
    <w:p w14:paraId="0AB15822" w14:textId="21E1B04B" w:rsidR="00F82232" w:rsidRDefault="00F82232" w:rsidP="00F82232">
      <w:r>
        <w:t>This study was inspired by the differential use of Generative Artificial Intelligence (GenAI) in the UK economy (Chui et al., 2023). Despite its promise for the future, forecasts of the productivity impact of GenAI are often stated, such as in Sahoo et al. (2023). SMEs are resource-constrained entities, and an overly complex digital transformation could turn into an operational threat instead of a competence enabler (Ben Slimane et al., 2022). There is only limited literature with little academic interest or research on operating GenAI in SME with limited infrastructure (Shafik, 2025), while the empirical literature dangerously favours the well-capitalised multinational companies (Lusiah and Parulian, 2025).</w:t>
      </w:r>
    </w:p>
    <w:p w14:paraId="508EC194" w14:textId="1CAE02BA" w:rsidR="00F82232" w:rsidRDefault="00F82232" w:rsidP="00F82232">
      <w:r>
        <w:t xml:space="preserve">Automatic and Academic Issues of the "Automation-augmentation paradox" (Raisch and Krakowski, 2021) </w:t>
      </w:r>
      <w:r>
        <w:rPr>
          <w:kern w:val="0"/>
          <w14:ligatures w14:val="none"/>
        </w:rPr>
        <w:t>at the job-design level also have</w:t>
      </w:r>
      <w:r>
        <w:t xml:space="preserve"> to be addressed. Operational productivity measures should not be viewed in isolation, as whilst GenAI will significantly decrease cognitive burden and increase job speed (Noy and Zhang, 2023), various other factors make up the broader business. Algorithms used in the workplace could result in highly prescribed jobs, leading to less autonomy and psychological well-being (Benlian et al., 2022). The use of </w:t>
      </w:r>
      <w:r>
        <w:lastRenderedPageBreak/>
        <w:t>human-AI symbiosis, as proposed by several theoretical models (Jarrahi, 2018), either enhances work quality or adds to the stress of work in SMEs is the key question.</w:t>
      </w:r>
    </w:p>
    <w:p w14:paraId="0FA53192" w14:textId="77777777" w:rsidR="004E2853" w:rsidRPr="00F82232" w:rsidRDefault="00F82232" w:rsidP="00F82232">
      <w:r>
        <w:t>Finally, the moderating processes of digital transition ethics are assessed in the study in a rigorous way, thus validating it. The policy goal of technology adoption is among the highest on the agenda globally, but good governance (OECD, 2023) and ongoing and frequent re-skilling (World Economic Forum, 2023) may minimise job losses. Because SMEs seldom have the money to create AI ethical committees or custom upskilling programs (Singh et al., 2024), this research will provide much-needed concrete advice. The aim of this work is to measure and quantify the GenAI-productivity-welfare nexus, enabling UK SME practitioners and policymakers to have specific and detailed empirical data to assist in the safe navigation of the technologically dense future of work (Carayannis et al., 2024).</w:t>
      </w:r>
    </w:p>
    <w:p w14:paraId="4F6B699B" w14:textId="77777777" w:rsidR="00006DA3" w:rsidRPr="00F82232" w:rsidRDefault="00006DA3" w:rsidP="005B2B5C">
      <w:pPr>
        <w:pStyle w:val="Heading2"/>
        <w:rPr>
          <w:lang w:eastAsia="en-GB" w:bidi="hi-IN"/>
        </w:rPr>
      </w:pPr>
      <w:bookmarkStart w:id="16" w:name="_Toc240816297"/>
      <w:bookmarkStart w:id="17" w:name="_Toc241050388"/>
      <w:r w:rsidRPr="00F82232">
        <w:rPr>
          <w:lang w:eastAsia="en-GB" w:bidi="hi-IN"/>
        </w:rPr>
        <w:t>1.4 Research Aim</w:t>
      </w:r>
      <w:bookmarkEnd w:id="16"/>
      <w:bookmarkEnd w:id="17"/>
    </w:p>
    <w:p w14:paraId="6A6C82FA" w14:textId="28BF2EE6" w:rsidR="006955F5" w:rsidRPr="00F82232" w:rsidRDefault="006955F5" w:rsidP="00F702A7">
      <w:pPr>
        <w:rPr>
          <w:lang w:eastAsia="en-GB" w:bidi="hi-IN"/>
        </w:rPr>
      </w:pPr>
      <w:r w:rsidRPr="006955F5">
        <w:rPr>
          <w:lang w:eastAsia="en-GB" w:bidi="hi-IN"/>
        </w:rPr>
        <w:t>This study focuses on analysing the dual effects of the implementation of Generative AI on both operational output and employee well-being in UK SMEs and on finally providing an evidence-based framework for maximally successful and ethical Generative AI integration.</w:t>
      </w:r>
    </w:p>
    <w:p w14:paraId="53533DB5" w14:textId="77777777" w:rsidR="00006DA3" w:rsidRPr="00F82232" w:rsidRDefault="00006DA3" w:rsidP="005B2B5C">
      <w:pPr>
        <w:pStyle w:val="Heading2"/>
        <w:rPr>
          <w:lang w:eastAsia="en-GB" w:bidi="hi-IN"/>
        </w:rPr>
      </w:pPr>
      <w:bookmarkStart w:id="18" w:name="_Toc240816298"/>
      <w:bookmarkStart w:id="19" w:name="_Toc241050389"/>
      <w:r w:rsidRPr="00F82232">
        <w:rPr>
          <w:lang w:eastAsia="en-GB" w:bidi="hi-IN"/>
        </w:rPr>
        <w:t>1.5 Research Objectives</w:t>
      </w:r>
      <w:bookmarkEnd w:id="18"/>
      <w:bookmarkEnd w:id="19"/>
    </w:p>
    <w:p w14:paraId="3B731914" w14:textId="77777777" w:rsidR="00F702A7" w:rsidRPr="00F82232" w:rsidRDefault="004E2853" w:rsidP="00F702A7">
      <w:pPr>
        <w:rPr>
          <w:lang w:eastAsia="en-GB" w:bidi="hi-IN"/>
        </w:rPr>
      </w:pPr>
      <w:r w:rsidRPr="00F82232">
        <w:rPr>
          <w:lang w:eastAsia="en-GB" w:bidi="hi-IN"/>
        </w:rPr>
        <w:t>The objectives of the study are:</w:t>
      </w:r>
    </w:p>
    <w:p w14:paraId="7B4F01B4" w14:textId="77777777" w:rsidR="006955F5" w:rsidRDefault="006955F5" w:rsidP="006955F5">
      <w:pPr>
        <w:pStyle w:val="ListParagraph"/>
        <w:numPr>
          <w:ilvl w:val="0"/>
          <w:numId w:val="1"/>
        </w:numPr>
        <w:rPr>
          <w:lang w:eastAsia="en-GB" w:bidi="hi-IN"/>
        </w:rPr>
      </w:pPr>
      <w:r>
        <w:rPr>
          <w:lang w:eastAsia="en-GB" w:bidi="hi-IN"/>
        </w:rPr>
        <w:t>To measure the direct impact of GenAI tools on employee productivity, including an increase in self-reported output volume, task completion speed and output quality.</w:t>
      </w:r>
    </w:p>
    <w:p w14:paraId="21016176" w14:textId="77777777" w:rsidR="006955F5" w:rsidRDefault="006955F5" w:rsidP="006955F5">
      <w:pPr>
        <w:pStyle w:val="ListParagraph"/>
        <w:numPr>
          <w:ilvl w:val="0"/>
          <w:numId w:val="1"/>
        </w:numPr>
        <w:rPr>
          <w:lang w:eastAsia="en-GB" w:bidi="hi-IN"/>
        </w:rPr>
      </w:pPr>
      <w:r>
        <w:rPr>
          <w:lang w:eastAsia="en-GB" w:bidi="hi-IN"/>
        </w:rPr>
        <w:t>To measure the effects of GenAI on aspects of job quality that are limited to employee autonomy, workload intensity, and algorithmic surveillance.</w:t>
      </w:r>
    </w:p>
    <w:p w14:paraId="4D04A423" w14:textId="76563F9D" w:rsidR="006955F5" w:rsidRDefault="006955F5" w:rsidP="006955F5">
      <w:pPr>
        <w:pStyle w:val="ListParagraph"/>
        <w:numPr>
          <w:ilvl w:val="0"/>
          <w:numId w:val="1"/>
        </w:numPr>
        <w:rPr>
          <w:lang w:eastAsia="en-GB" w:bidi="hi-IN"/>
        </w:rPr>
      </w:pPr>
      <w:r>
        <w:rPr>
          <w:lang w:eastAsia="en-GB" w:bidi="hi-IN"/>
        </w:rPr>
        <w:t xml:space="preserve">To understand the moderating effect of employee training </w:t>
      </w:r>
      <w:r w:rsidR="0050188E">
        <w:rPr>
          <w:lang w:eastAsia="en-GB" w:bidi="hi-IN"/>
        </w:rPr>
        <w:t>-</w:t>
      </w:r>
      <w:r>
        <w:rPr>
          <w:lang w:eastAsia="en-GB" w:bidi="hi-IN"/>
        </w:rPr>
        <w:t xml:space="preserve"> whether structured organisational employee training moderates the possible negative effect on job quality and boosts the rate of productivity gains.</w:t>
      </w:r>
    </w:p>
    <w:p w14:paraId="630A669F" w14:textId="4619BC5D" w:rsidR="006955F5" w:rsidRPr="00F82232" w:rsidRDefault="006955F5" w:rsidP="006955F5">
      <w:pPr>
        <w:pStyle w:val="ListParagraph"/>
        <w:numPr>
          <w:ilvl w:val="0"/>
          <w:numId w:val="1"/>
        </w:numPr>
        <w:rPr>
          <w:lang w:eastAsia="en-GB" w:bidi="hi-IN"/>
        </w:rPr>
      </w:pPr>
      <w:r>
        <w:rPr>
          <w:lang w:eastAsia="en-GB" w:bidi="hi-IN"/>
        </w:rPr>
        <w:lastRenderedPageBreak/>
        <w:t>To evaluate the impact of AI governance, examining the impact of internal ethical policies and regulatory compliance on employee satisfaction and performance indicators.</w:t>
      </w:r>
    </w:p>
    <w:p w14:paraId="24EF6A9B" w14:textId="77777777" w:rsidR="00006DA3" w:rsidRPr="00F82232" w:rsidRDefault="00006DA3" w:rsidP="005B2B5C">
      <w:pPr>
        <w:pStyle w:val="Heading2"/>
        <w:rPr>
          <w:lang w:eastAsia="en-GB" w:bidi="hi-IN"/>
        </w:rPr>
      </w:pPr>
      <w:bookmarkStart w:id="20" w:name="_Toc240816299"/>
      <w:bookmarkStart w:id="21" w:name="_Toc241050390"/>
      <w:r w:rsidRPr="00F82232">
        <w:rPr>
          <w:lang w:eastAsia="en-GB" w:bidi="hi-IN"/>
        </w:rPr>
        <w:t>1.6 Research Question</w:t>
      </w:r>
      <w:bookmarkEnd w:id="20"/>
      <w:bookmarkEnd w:id="21"/>
    </w:p>
    <w:p w14:paraId="71B78111" w14:textId="2AFB40C4" w:rsidR="006955F5" w:rsidRPr="00F82232" w:rsidRDefault="006955F5" w:rsidP="004E2853">
      <w:pPr>
        <w:rPr>
          <w:lang w:eastAsia="en-GB" w:bidi="hi-IN"/>
        </w:rPr>
      </w:pPr>
      <w:r w:rsidRPr="006955F5">
        <w:rPr>
          <w:lang w:eastAsia="en-GB" w:bidi="hi-IN"/>
        </w:rPr>
        <w:t>What are the likely short-term and long-term effects of the use of Generative AI on employee productivity and job quality in UK SMEs, and how do structure employee training and internal governance over AI moderate these effects?</w:t>
      </w:r>
    </w:p>
    <w:p w14:paraId="294822A4" w14:textId="77777777" w:rsidR="00006DA3" w:rsidRPr="00F82232" w:rsidRDefault="00006DA3" w:rsidP="005B2B5C">
      <w:pPr>
        <w:pStyle w:val="Heading2"/>
        <w:rPr>
          <w:lang w:eastAsia="en-GB" w:bidi="hi-IN"/>
        </w:rPr>
      </w:pPr>
      <w:bookmarkStart w:id="22" w:name="_Toc240816300"/>
      <w:bookmarkStart w:id="23" w:name="_Toc241050391"/>
      <w:r w:rsidRPr="00F82232">
        <w:rPr>
          <w:lang w:eastAsia="en-GB" w:bidi="hi-IN"/>
        </w:rPr>
        <w:t>1.7 Research Structure</w:t>
      </w:r>
      <w:bookmarkEnd w:id="22"/>
      <w:bookmarkEnd w:id="23"/>
    </w:p>
    <w:p w14:paraId="0B9DF7EC" w14:textId="15978479" w:rsidR="006955F5" w:rsidRPr="00F82232" w:rsidRDefault="006955F5" w:rsidP="00513D45">
      <w:r w:rsidRPr="006955F5">
        <w:t>The dissertation follows a well-structured plan to allow a logical and rigorous flow from theoretical conceptualisation to empirical synthesis, within the required word count limits of the institution.</w:t>
      </w:r>
    </w:p>
    <w:p w14:paraId="0E5E0885" w14:textId="529800CA" w:rsidR="00D655E3" w:rsidRPr="00F82232" w:rsidRDefault="00D655E3" w:rsidP="00D655E3">
      <w:pPr>
        <w:pStyle w:val="Caption"/>
      </w:pPr>
      <w:bookmarkStart w:id="24" w:name="_Toc241052634"/>
      <w:r w:rsidRPr="00F82232">
        <w:t xml:space="preserve">Table </w:t>
      </w:r>
      <w:fldSimple w:instr=" SEQ Table \* ARABIC ">
        <w:r w:rsidR="009F799C">
          <w:rPr>
            <w:noProof/>
          </w:rPr>
          <w:t>1</w:t>
        </w:r>
      </w:fldSimple>
      <w:r w:rsidRPr="00F82232">
        <w:t>: Research Structure</w:t>
      </w:r>
      <w:bookmarkEnd w:id="24"/>
    </w:p>
    <w:tbl>
      <w:tblPr>
        <w:tblStyle w:val="TableGrid"/>
        <w:tblW w:w="0" w:type="auto"/>
        <w:tblLook w:val="04A0" w:firstRow="1" w:lastRow="0" w:firstColumn="1" w:lastColumn="0" w:noHBand="0" w:noVBand="1"/>
      </w:tblPr>
      <w:tblGrid>
        <w:gridCol w:w="1093"/>
        <w:gridCol w:w="2340"/>
        <w:gridCol w:w="5583"/>
      </w:tblGrid>
      <w:tr w:rsidR="00513D45" w:rsidRPr="00F82232" w14:paraId="51922437" w14:textId="77777777" w:rsidTr="00513D45">
        <w:tc>
          <w:tcPr>
            <w:tcW w:w="0" w:type="auto"/>
            <w:hideMark/>
          </w:tcPr>
          <w:p w14:paraId="48799B66" w14:textId="77777777" w:rsidR="00513D45" w:rsidRPr="00F82232" w:rsidRDefault="00513D45">
            <w:pPr>
              <w:rPr>
                <w:rFonts w:cs="Times New Roman"/>
                <w:color w:val="auto"/>
                <w:szCs w:val="24"/>
              </w:rPr>
            </w:pPr>
            <w:r w:rsidRPr="00F82232">
              <w:rPr>
                <w:rStyle w:val="Strong"/>
                <w:rFonts w:cs="Times New Roman"/>
                <w:szCs w:val="24"/>
              </w:rPr>
              <w:t>Chapter</w:t>
            </w:r>
          </w:p>
        </w:tc>
        <w:tc>
          <w:tcPr>
            <w:tcW w:w="0" w:type="auto"/>
            <w:hideMark/>
          </w:tcPr>
          <w:p w14:paraId="7C4B8406" w14:textId="77777777" w:rsidR="00513D45" w:rsidRPr="00F82232" w:rsidRDefault="00513D45">
            <w:pPr>
              <w:rPr>
                <w:rFonts w:cs="Times New Roman"/>
                <w:szCs w:val="24"/>
              </w:rPr>
            </w:pPr>
            <w:r w:rsidRPr="00F82232">
              <w:rPr>
                <w:rStyle w:val="Strong"/>
                <w:rFonts w:cs="Times New Roman"/>
                <w:szCs w:val="24"/>
              </w:rPr>
              <w:t>Focus Area</w:t>
            </w:r>
          </w:p>
        </w:tc>
        <w:tc>
          <w:tcPr>
            <w:tcW w:w="0" w:type="auto"/>
            <w:hideMark/>
          </w:tcPr>
          <w:p w14:paraId="7814D090" w14:textId="77777777" w:rsidR="00513D45" w:rsidRPr="00F82232" w:rsidRDefault="00513D45">
            <w:pPr>
              <w:rPr>
                <w:rFonts w:cs="Times New Roman"/>
                <w:szCs w:val="24"/>
              </w:rPr>
            </w:pPr>
            <w:r w:rsidRPr="00F82232">
              <w:rPr>
                <w:rStyle w:val="Strong"/>
                <w:rFonts w:cs="Times New Roman"/>
                <w:szCs w:val="24"/>
              </w:rPr>
              <w:t>Chapter Description</w:t>
            </w:r>
          </w:p>
        </w:tc>
      </w:tr>
      <w:tr w:rsidR="00513D45" w:rsidRPr="00F82232" w14:paraId="20A3ECEF" w14:textId="77777777" w:rsidTr="00513D45">
        <w:tc>
          <w:tcPr>
            <w:tcW w:w="0" w:type="auto"/>
            <w:hideMark/>
          </w:tcPr>
          <w:p w14:paraId="6E842E37" w14:textId="77777777" w:rsidR="00513D45" w:rsidRPr="00F82232" w:rsidRDefault="00513D45">
            <w:pPr>
              <w:rPr>
                <w:rFonts w:cs="Times New Roman"/>
                <w:szCs w:val="24"/>
              </w:rPr>
            </w:pPr>
            <w:r w:rsidRPr="00F82232">
              <w:rPr>
                <w:rFonts w:cs="Times New Roman"/>
                <w:b/>
                <w:bCs/>
                <w:szCs w:val="24"/>
              </w:rPr>
              <w:t>Chapter 1</w:t>
            </w:r>
          </w:p>
        </w:tc>
        <w:tc>
          <w:tcPr>
            <w:tcW w:w="0" w:type="auto"/>
            <w:hideMark/>
          </w:tcPr>
          <w:p w14:paraId="5FEDE4D2" w14:textId="77777777" w:rsidR="00513D45" w:rsidRPr="00F82232" w:rsidRDefault="00513D45">
            <w:pPr>
              <w:rPr>
                <w:rFonts w:cs="Times New Roman"/>
                <w:szCs w:val="24"/>
              </w:rPr>
            </w:pPr>
            <w:r w:rsidRPr="00F82232">
              <w:rPr>
                <w:rFonts w:cs="Times New Roman"/>
                <w:b/>
                <w:bCs/>
                <w:szCs w:val="24"/>
              </w:rPr>
              <w:t>Introduction</w:t>
            </w:r>
          </w:p>
        </w:tc>
        <w:tc>
          <w:tcPr>
            <w:tcW w:w="0" w:type="auto"/>
            <w:hideMark/>
          </w:tcPr>
          <w:p w14:paraId="44703B68" w14:textId="1D322AC1" w:rsidR="00513D45" w:rsidRPr="00F82232" w:rsidRDefault="00C758CF">
            <w:pPr>
              <w:rPr>
                <w:rFonts w:cs="Times New Roman"/>
                <w:szCs w:val="24"/>
              </w:rPr>
            </w:pPr>
            <w:r w:rsidRPr="00C758CF">
              <w:rPr>
                <w:rFonts w:cs="Times New Roman"/>
                <w:szCs w:val="24"/>
              </w:rPr>
              <w:t>Provides context for the research, clearly delineates the research problem and states the main research goals and objectives It offers a strong academic justification for the research exploring the micro-level implications of SME GenAI adoption in the particular context of resource poverty.</w:t>
            </w:r>
          </w:p>
        </w:tc>
      </w:tr>
      <w:tr w:rsidR="00513D45" w:rsidRPr="00F82232" w14:paraId="320FB710" w14:textId="77777777" w:rsidTr="00513D45">
        <w:tc>
          <w:tcPr>
            <w:tcW w:w="0" w:type="auto"/>
            <w:hideMark/>
          </w:tcPr>
          <w:p w14:paraId="4BC552BB" w14:textId="77777777" w:rsidR="00513D45" w:rsidRPr="00F82232" w:rsidRDefault="00513D45">
            <w:pPr>
              <w:rPr>
                <w:rFonts w:cs="Times New Roman"/>
                <w:szCs w:val="24"/>
              </w:rPr>
            </w:pPr>
            <w:r w:rsidRPr="00F82232">
              <w:rPr>
                <w:rFonts w:cs="Times New Roman"/>
                <w:b/>
                <w:bCs/>
                <w:szCs w:val="24"/>
              </w:rPr>
              <w:t>Chapter 2</w:t>
            </w:r>
          </w:p>
        </w:tc>
        <w:tc>
          <w:tcPr>
            <w:tcW w:w="0" w:type="auto"/>
            <w:hideMark/>
          </w:tcPr>
          <w:p w14:paraId="6C03BBD4" w14:textId="77777777" w:rsidR="00513D45" w:rsidRPr="00F82232" w:rsidRDefault="00513D45">
            <w:pPr>
              <w:rPr>
                <w:rFonts w:cs="Times New Roman"/>
                <w:szCs w:val="24"/>
              </w:rPr>
            </w:pPr>
            <w:r w:rsidRPr="00F82232">
              <w:rPr>
                <w:rFonts w:cs="Times New Roman"/>
                <w:b/>
                <w:bCs/>
                <w:szCs w:val="24"/>
              </w:rPr>
              <w:t>Literature Review</w:t>
            </w:r>
          </w:p>
        </w:tc>
        <w:tc>
          <w:tcPr>
            <w:tcW w:w="0" w:type="auto"/>
            <w:hideMark/>
          </w:tcPr>
          <w:p w14:paraId="6649A36F" w14:textId="78BD92F0" w:rsidR="00513D45" w:rsidRPr="00F82232" w:rsidRDefault="00C758CF">
            <w:pPr>
              <w:rPr>
                <w:rFonts w:cs="Times New Roman"/>
                <w:szCs w:val="24"/>
              </w:rPr>
            </w:pPr>
            <w:r w:rsidRPr="00C758CF">
              <w:rPr>
                <w:rFonts w:cs="Times New Roman"/>
                <w:szCs w:val="24"/>
              </w:rPr>
              <w:t>Offers an in-depth overview of the key and current literature. It challenges the automation-augmentation paradox, situating itself in the TOE perspective and JD-R, and clearly elucidates the gap in the empirical studies on AI governance and digital transformation in SMEs.</w:t>
            </w:r>
          </w:p>
        </w:tc>
      </w:tr>
      <w:tr w:rsidR="00513D45" w:rsidRPr="00F82232" w14:paraId="1327392D" w14:textId="77777777" w:rsidTr="00513D45">
        <w:tc>
          <w:tcPr>
            <w:tcW w:w="0" w:type="auto"/>
            <w:hideMark/>
          </w:tcPr>
          <w:p w14:paraId="1FEE9D35" w14:textId="77777777" w:rsidR="00513D45" w:rsidRPr="00F82232" w:rsidRDefault="00513D45">
            <w:pPr>
              <w:rPr>
                <w:rFonts w:cs="Times New Roman"/>
                <w:szCs w:val="24"/>
              </w:rPr>
            </w:pPr>
            <w:r w:rsidRPr="00F82232">
              <w:rPr>
                <w:rFonts w:cs="Times New Roman"/>
                <w:b/>
                <w:bCs/>
                <w:szCs w:val="24"/>
              </w:rPr>
              <w:lastRenderedPageBreak/>
              <w:t>Chapter 3</w:t>
            </w:r>
          </w:p>
        </w:tc>
        <w:tc>
          <w:tcPr>
            <w:tcW w:w="0" w:type="auto"/>
            <w:hideMark/>
          </w:tcPr>
          <w:p w14:paraId="2011BD2B" w14:textId="77777777" w:rsidR="00513D45" w:rsidRPr="00F82232" w:rsidRDefault="00513D45">
            <w:pPr>
              <w:rPr>
                <w:rFonts w:cs="Times New Roman"/>
                <w:szCs w:val="24"/>
              </w:rPr>
            </w:pPr>
            <w:r w:rsidRPr="00F82232">
              <w:rPr>
                <w:rFonts w:cs="Times New Roman"/>
                <w:b/>
                <w:bCs/>
                <w:szCs w:val="24"/>
              </w:rPr>
              <w:t>Methodology</w:t>
            </w:r>
          </w:p>
        </w:tc>
        <w:tc>
          <w:tcPr>
            <w:tcW w:w="0" w:type="auto"/>
            <w:hideMark/>
          </w:tcPr>
          <w:p w14:paraId="6392D5F6" w14:textId="5AAB5EE1" w:rsidR="00513D45" w:rsidRPr="00F82232" w:rsidRDefault="00C758CF">
            <w:pPr>
              <w:rPr>
                <w:rFonts w:cs="Times New Roman"/>
                <w:szCs w:val="24"/>
              </w:rPr>
            </w:pPr>
            <w:r w:rsidRPr="00C758CF">
              <w:rPr>
                <w:rFonts w:cs="Times New Roman"/>
                <w:szCs w:val="24"/>
              </w:rPr>
              <w:t>Justifies the use of a pragmatist paradigm and explanatory sequential mixed</w:t>
            </w:r>
            <w:r w:rsidR="0018725E">
              <w:rPr>
                <w:rFonts w:cs="Times New Roman"/>
                <w:szCs w:val="24"/>
              </w:rPr>
              <w:t xml:space="preserve"> </w:t>
            </w:r>
            <w:r w:rsidRPr="00C758CF">
              <w:rPr>
                <w:rFonts w:cs="Times New Roman"/>
                <w:szCs w:val="24"/>
              </w:rPr>
              <w:t>methods design. It meticulously explains the quantitative and qualitative research data collection tools, sampling approach, analysis method with particular attention on ethical issues of the institution.</w:t>
            </w:r>
          </w:p>
        </w:tc>
      </w:tr>
      <w:tr w:rsidR="00513D45" w:rsidRPr="00F82232" w14:paraId="7B8E8F52" w14:textId="77777777" w:rsidTr="00513D45">
        <w:tc>
          <w:tcPr>
            <w:tcW w:w="0" w:type="auto"/>
            <w:hideMark/>
          </w:tcPr>
          <w:p w14:paraId="62C94205" w14:textId="77777777" w:rsidR="00513D45" w:rsidRPr="00F82232" w:rsidRDefault="00513D45">
            <w:pPr>
              <w:rPr>
                <w:rFonts w:cs="Times New Roman"/>
                <w:szCs w:val="24"/>
              </w:rPr>
            </w:pPr>
            <w:r w:rsidRPr="00F82232">
              <w:rPr>
                <w:rFonts w:cs="Times New Roman"/>
                <w:b/>
                <w:bCs/>
                <w:szCs w:val="24"/>
              </w:rPr>
              <w:t>Chapter 4</w:t>
            </w:r>
          </w:p>
        </w:tc>
        <w:tc>
          <w:tcPr>
            <w:tcW w:w="0" w:type="auto"/>
            <w:hideMark/>
          </w:tcPr>
          <w:p w14:paraId="5DF6AF61" w14:textId="77777777" w:rsidR="00513D45" w:rsidRPr="00F82232" w:rsidRDefault="00513D45">
            <w:pPr>
              <w:rPr>
                <w:rFonts w:cs="Times New Roman"/>
                <w:szCs w:val="24"/>
              </w:rPr>
            </w:pPr>
            <w:r w:rsidRPr="00F82232">
              <w:rPr>
                <w:rFonts w:cs="Times New Roman"/>
                <w:b/>
                <w:bCs/>
                <w:szCs w:val="24"/>
              </w:rPr>
              <w:t>Data Analysis</w:t>
            </w:r>
          </w:p>
        </w:tc>
        <w:tc>
          <w:tcPr>
            <w:tcW w:w="0" w:type="auto"/>
            <w:hideMark/>
          </w:tcPr>
          <w:p w14:paraId="5BB2F5DA" w14:textId="46167EC9" w:rsidR="00513D45" w:rsidRPr="00F82232" w:rsidRDefault="00C758CF">
            <w:pPr>
              <w:rPr>
                <w:rFonts w:cs="Times New Roman"/>
                <w:szCs w:val="24"/>
              </w:rPr>
            </w:pPr>
            <w:r w:rsidRPr="00C758CF">
              <w:rPr>
                <w:rFonts w:cs="Times New Roman"/>
                <w:szCs w:val="24"/>
              </w:rPr>
              <w:t>Carries out empirical investigation using quantitative outputs (from SPSS) for regression and qualitative manual thematic coding. It attempts a careful analysis and discussion of these two-phase results while directly triangulating the emerging data with the theoretical frameworks and primary research questions.</w:t>
            </w:r>
          </w:p>
        </w:tc>
      </w:tr>
      <w:tr w:rsidR="00513D45" w:rsidRPr="00F82232" w14:paraId="07B28096" w14:textId="77777777" w:rsidTr="00513D45">
        <w:tc>
          <w:tcPr>
            <w:tcW w:w="0" w:type="auto"/>
            <w:hideMark/>
          </w:tcPr>
          <w:p w14:paraId="271D48E8" w14:textId="77777777" w:rsidR="00513D45" w:rsidRPr="00F82232" w:rsidRDefault="00513D45">
            <w:pPr>
              <w:rPr>
                <w:rFonts w:cs="Times New Roman"/>
                <w:szCs w:val="24"/>
              </w:rPr>
            </w:pPr>
            <w:r w:rsidRPr="00F82232">
              <w:rPr>
                <w:rFonts w:cs="Times New Roman"/>
                <w:b/>
                <w:bCs/>
                <w:szCs w:val="24"/>
              </w:rPr>
              <w:t>Chapter 5</w:t>
            </w:r>
          </w:p>
        </w:tc>
        <w:tc>
          <w:tcPr>
            <w:tcW w:w="0" w:type="auto"/>
            <w:hideMark/>
          </w:tcPr>
          <w:p w14:paraId="2982B989" w14:textId="77777777" w:rsidR="00513D45" w:rsidRPr="00F82232" w:rsidRDefault="00513D45">
            <w:pPr>
              <w:rPr>
                <w:rFonts w:cs="Times New Roman"/>
                <w:szCs w:val="24"/>
              </w:rPr>
            </w:pPr>
            <w:r w:rsidRPr="00F82232">
              <w:rPr>
                <w:rFonts w:cs="Times New Roman"/>
                <w:b/>
                <w:bCs/>
                <w:szCs w:val="24"/>
              </w:rPr>
              <w:t>Conclusions and Recommendations</w:t>
            </w:r>
          </w:p>
        </w:tc>
        <w:tc>
          <w:tcPr>
            <w:tcW w:w="0" w:type="auto"/>
            <w:hideMark/>
          </w:tcPr>
          <w:p w14:paraId="17147AAA" w14:textId="6D3CD8D9" w:rsidR="00513D45" w:rsidRPr="00F82232" w:rsidRDefault="00C758CF">
            <w:pPr>
              <w:rPr>
                <w:rFonts w:cs="Times New Roman"/>
                <w:szCs w:val="24"/>
              </w:rPr>
            </w:pPr>
            <w:r w:rsidRPr="00C758CF">
              <w:rPr>
                <w:rFonts w:cs="Times New Roman"/>
                <w:szCs w:val="24"/>
              </w:rPr>
              <w:t>Draws conclusions and reasons about the overall research results and determines whether all objectives were met. Its aim is to provide useful, scientific feedback for the managerial practices of small and medium enterprises and to clearly identify the limitations of the study and provide some parameters for further in-depth studies.</w:t>
            </w:r>
          </w:p>
        </w:tc>
      </w:tr>
    </w:tbl>
    <w:p w14:paraId="584D76FB" w14:textId="77777777" w:rsidR="006955F5" w:rsidRDefault="006955F5" w:rsidP="006955F5"/>
    <w:p w14:paraId="0D3B27F8" w14:textId="77777777" w:rsidR="006955F5" w:rsidRDefault="006955F5" w:rsidP="006955F5"/>
    <w:p w14:paraId="0D7E015E" w14:textId="77777777" w:rsidR="006955F5" w:rsidRDefault="006955F5" w:rsidP="006955F5"/>
    <w:p w14:paraId="65FBB024" w14:textId="31791742" w:rsidR="002029C8" w:rsidRPr="00F82232" w:rsidRDefault="00513D45">
      <w:pPr>
        <w:spacing w:line="240" w:lineRule="auto"/>
        <w:jc w:val="left"/>
        <w:rPr>
          <w:lang w:eastAsia="en-GB" w:bidi="hi-IN"/>
        </w:rPr>
      </w:pPr>
      <w:r w:rsidRPr="00F82232">
        <w:rPr>
          <w:lang w:eastAsia="en-GB" w:bidi="hi-IN"/>
        </w:rPr>
        <w:t xml:space="preserve"> </w:t>
      </w:r>
      <w:r w:rsidR="002029C8" w:rsidRPr="00F82232">
        <w:rPr>
          <w:lang w:eastAsia="en-GB" w:bidi="hi-IN"/>
        </w:rPr>
        <w:br w:type="page"/>
      </w:r>
    </w:p>
    <w:p w14:paraId="03A13105" w14:textId="77777777" w:rsidR="002029C8" w:rsidRPr="00F82232" w:rsidRDefault="00477A2D" w:rsidP="00477A2D">
      <w:pPr>
        <w:pStyle w:val="Heading1"/>
        <w:rPr>
          <w:lang w:eastAsia="en-GB" w:bidi="hi-IN"/>
        </w:rPr>
      </w:pPr>
      <w:bookmarkStart w:id="25" w:name="_Toc240816301"/>
      <w:bookmarkStart w:id="26" w:name="_Toc241050392"/>
      <w:r w:rsidRPr="00F82232">
        <w:rPr>
          <w:lang w:eastAsia="en-GB" w:bidi="hi-IN"/>
        </w:rPr>
        <w:lastRenderedPageBreak/>
        <w:t>Chapter Two: Literature Review</w:t>
      </w:r>
      <w:bookmarkEnd w:id="25"/>
      <w:bookmarkEnd w:id="26"/>
    </w:p>
    <w:p w14:paraId="59E23B6C" w14:textId="77777777" w:rsidR="00477A2D" w:rsidRPr="00F82232" w:rsidRDefault="00477A2D" w:rsidP="00477A2D">
      <w:pPr>
        <w:pStyle w:val="Heading2"/>
        <w:rPr>
          <w:lang w:eastAsia="en-GB" w:bidi="hi-IN"/>
        </w:rPr>
      </w:pPr>
      <w:bookmarkStart w:id="27" w:name="_Toc240816302"/>
      <w:bookmarkStart w:id="28" w:name="_Toc241050393"/>
      <w:r w:rsidRPr="00F82232">
        <w:rPr>
          <w:lang w:eastAsia="en-GB" w:bidi="hi-IN"/>
        </w:rPr>
        <w:t>2.1 Introduction</w:t>
      </w:r>
      <w:bookmarkEnd w:id="27"/>
      <w:bookmarkEnd w:id="28"/>
    </w:p>
    <w:p w14:paraId="570E7753" w14:textId="49D2D997" w:rsidR="00477A2D" w:rsidRPr="00F82232" w:rsidRDefault="00C758CF" w:rsidP="00477A2D">
      <w:r w:rsidRPr="00C758CF">
        <w:t xml:space="preserve">Despite some arguing that GenAI is also effective in gaining efficiency, the application of Generative Artificial Intelligence (GenAI) in organising knowledge work is increasing, especially in large companies (Chui et al., 2023). </w:t>
      </w:r>
      <w:r w:rsidR="00F82232" w:rsidRPr="00F82232">
        <w:t xml:space="preserve"> This chapter examines the current research and identifies potential application</w:t>
      </w:r>
      <w:r w:rsidR="00F82232">
        <w:t>s</w:t>
      </w:r>
      <w:r w:rsidR="00F82232" w:rsidRPr="00F82232">
        <w:t xml:space="preserve"> of these technological trends in the operation of United Kingdom Small and Medium-sized Enterprises (SMEs) on a day</w:t>
      </w:r>
      <w:r w:rsidR="00F82232">
        <w:t>-to-</w:t>
      </w:r>
      <w:r w:rsidR="00F82232" w:rsidRPr="00F82232">
        <w:t xml:space="preserve">day basis. For this, the review first considers the "Technology-Organisation-Environment" (TOE) framework and the "Job Demands-Resources" (JD-R) model to see how the balancing act between automation and augmentation (Raisch and Krakowski, 2021) can be explained. After that, recent empirical research analysis on the impact of GenAI on employee productivity, the influence of GenAI on job quality (autonomy and surveillance) and the potential for employee training and AI governance are examined. The chapter shows the knowledge gaps </w:t>
      </w:r>
      <w:r w:rsidR="00F82232">
        <w:t>that</w:t>
      </w:r>
      <w:r w:rsidR="00F82232" w:rsidRPr="00F82232">
        <w:t xml:space="preserve"> aid this research in identifying key areas that further add to the existing literature on UK SMEs (Soudi and Bauters, 2024).</w:t>
      </w:r>
    </w:p>
    <w:p w14:paraId="610483DE" w14:textId="77777777" w:rsidR="00477A2D" w:rsidRPr="00F82232" w:rsidRDefault="00477A2D" w:rsidP="00477A2D">
      <w:pPr>
        <w:pStyle w:val="Heading2"/>
      </w:pPr>
      <w:bookmarkStart w:id="29" w:name="_Toc240816303"/>
      <w:bookmarkStart w:id="30" w:name="_Toc241050394"/>
      <w:r w:rsidRPr="00F82232">
        <w:t>2.2 Theoretical Foundations</w:t>
      </w:r>
      <w:bookmarkEnd w:id="29"/>
      <w:bookmarkEnd w:id="30"/>
    </w:p>
    <w:p w14:paraId="0543B7E4" w14:textId="77777777" w:rsidR="00477A2D" w:rsidRPr="00F82232" w:rsidRDefault="00F82232" w:rsidP="00477A2D">
      <w:r w:rsidRPr="00F82232">
        <w:t>To understand the role of GenAI in Small and Medium-sized Enterprises (SMEs), it is important to delve beyond simply the software's capabilities. This section reviews three frameworks that may bear relevance to the different factors influencing the adoption of AI: the Technology-Organisation-Environment (TOE) framework, the Job Demands-Resources (JD-R) model and Institutional Capability theories. These theories work together to explain that organisational support can enable employees to attain resources, which can help to mitigate the stress that may develop when new technology is introduced in smaller organisations (Sun and Bunchapattanasakda, 2019).</w:t>
      </w:r>
    </w:p>
    <w:p w14:paraId="11F249F2" w14:textId="77777777" w:rsidR="00477A2D" w:rsidRPr="00F82232" w:rsidRDefault="00477A2D" w:rsidP="00477A2D">
      <w:pPr>
        <w:pStyle w:val="Heading3"/>
      </w:pPr>
      <w:bookmarkStart w:id="31" w:name="_Toc240816304"/>
      <w:bookmarkStart w:id="32" w:name="_Toc241050395"/>
      <w:r w:rsidRPr="00F82232">
        <w:lastRenderedPageBreak/>
        <w:t>2.2.1 The Technology-</w:t>
      </w:r>
      <w:r w:rsidR="00221C32" w:rsidRPr="00F82232">
        <w:t>Organisation</w:t>
      </w:r>
      <w:r w:rsidRPr="00F82232">
        <w:t>-Environment (TOE) Framework</w:t>
      </w:r>
      <w:bookmarkEnd w:id="31"/>
      <w:bookmarkEnd w:id="32"/>
    </w:p>
    <w:p w14:paraId="170B9186" w14:textId="575A32DA" w:rsidR="00F82232" w:rsidRPr="00F82232" w:rsidRDefault="00F82232" w:rsidP="00F82232">
      <w:r w:rsidRPr="00F82232">
        <w:t>This research adopts the Technology-Organisation-Environment (TOE) framework (Tornatzky and Fleischer, 1990) in order to understand the other factors that would affect the adoption of GenAI. With regard to the external environment, pressures are often at the heart of engaging in digital transformation; whilst organisational structure influences how these goals are achieved and the way individuals are brought on board to make it happen</w:t>
      </w:r>
      <w:r>
        <w:t>,</w:t>
      </w:r>
      <w:r w:rsidRPr="00F82232">
        <w:t xml:space="preserve"> technological readiness is a key enabler that often triggers the actual digital transformation process once pressure is applied</w:t>
      </w:r>
      <w:r w:rsidR="0018725E">
        <w:t xml:space="preserve"> (</w:t>
      </w:r>
      <w:r w:rsidR="0018725E" w:rsidRPr="00F82232">
        <w:t>Cuong et al., 2025</w:t>
      </w:r>
      <w:r w:rsidR="0018725E">
        <w:t>)</w:t>
      </w:r>
      <w:r w:rsidRPr="00F82232">
        <w:t>.</w:t>
      </w:r>
      <w:r>
        <w:t xml:space="preserve"> </w:t>
      </w:r>
      <w:r w:rsidRPr="00F82232">
        <w:t xml:space="preserve">According to the TOE framework, </w:t>
      </w:r>
      <w:r>
        <w:t xml:space="preserve">the </w:t>
      </w:r>
      <w:r w:rsidRPr="00F82232">
        <w:t>provision of digital technology to boost digital transformation is rarely merely purchasing it from an outside source; it is rather moulded by three different pillars of the external and internal environment: Technological readiness, Internal organisational structure and External environmental pressures (Parida, Sjödin and Reim, 2019). Although large multinational companies sometimes have the extra capital and dedicated research and development units to embrace technological changes</w:t>
      </w:r>
      <w:r w:rsidR="0018725E">
        <w:t xml:space="preserve"> (</w:t>
      </w:r>
      <w:r w:rsidR="0018725E" w:rsidRPr="00F82232">
        <w:t>Do et al., 2021</w:t>
      </w:r>
      <w:r w:rsidR="0018725E">
        <w:t>).</w:t>
      </w:r>
      <w:r w:rsidRPr="00F82232">
        <w:t xml:space="preserve"> </w:t>
      </w:r>
      <w:r w:rsidR="0018725E">
        <w:t>T</w:t>
      </w:r>
      <w:r w:rsidRPr="00F82232">
        <w:t>he situation of SMEs is different</w:t>
      </w:r>
      <w:r>
        <w:t>;</w:t>
      </w:r>
      <w:r w:rsidRPr="00F82232">
        <w:t xml:space="preserve"> they are limited in resources and may have high operational constraints (Ben Slimane et al., 2022).</w:t>
      </w:r>
    </w:p>
    <w:p w14:paraId="31DA7588" w14:textId="77777777" w:rsidR="00477A2D" w:rsidRPr="00F82232" w:rsidRDefault="00477A2D" w:rsidP="00477A2D"/>
    <w:p w14:paraId="24DBB08F" w14:textId="77777777" w:rsidR="00167033" w:rsidRPr="00F82232" w:rsidRDefault="00167033" w:rsidP="00477A2D">
      <w:r w:rsidRPr="00F82232">
        <w:fldChar w:fldCharType="begin"/>
      </w:r>
      <w:r w:rsidRPr="00F82232">
        <w:instrText xml:space="preserve"> INCLUDEPICTURE "/Users/fahimhassan/Library/Group Containers/UBF8T346G9.ms/WebArchiveCopyPasteTempFiles/com.microsoft.Word/TOE_Model.jpg" \* MERGEFORMATINET </w:instrText>
      </w:r>
      <w:r w:rsidRPr="00F82232">
        <w:fldChar w:fldCharType="separate"/>
      </w:r>
      <w:r w:rsidRPr="00F82232">
        <w:rPr>
          <w:noProof/>
        </w:rPr>
        <w:drawing>
          <wp:inline distT="0" distB="0" distL="0" distR="0" wp14:anchorId="1AD20583" wp14:editId="062A3940">
            <wp:extent cx="5731510" cy="2918460"/>
            <wp:effectExtent l="0" t="0" r="0" b="2540"/>
            <wp:docPr id="203166489" name="Picture 1" descr="Technology-organization-environment framework - EduTech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organization-environment framework - EduTech Wik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18460"/>
                    </a:xfrm>
                    <a:prstGeom prst="rect">
                      <a:avLst/>
                    </a:prstGeom>
                    <a:noFill/>
                    <a:ln>
                      <a:noFill/>
                    </a:ln>
                  </pic:spPr>
                </pic:pic>
              </a:graphicData>
            </a:graphic>
          </wp:inline>
        </w:drawing>
      </w:r>
      <w:r w:rsidRPr="00F82232">
        <w:fldChar w:fldCharType="end"/>
      </w:r>
    </w:p>
    <w:p w14:paraId="1B1122BC" w14:textId="0C579A63" w:rsidR="00167033" w:rsidRPr="00F82232" w:rsidRDefault="00167033" w:rsidP="00167033">
      <w:pPr>
        <w:pStyle w:val="Caption"/>
      </w:pPr>
      <w:bookmarkStart w:id="33" w:name="_Toc241052618"/>
      <w:r w:rsidRPr="00F82232">
        <w:lastRenderedPageBreak/>
        <w:t xml:space="preserve">Figure </w:t>
      </w:r>
      <w:fldSimple w:instr=" SEQ Figure \* ARABIC ">
        <w:r w:rsidR="009F799C">
          <w:rPr>
            <w:noProof/>
          </w:rPr>
          <w:t>1</w:t>
        </w:r>
      </w:fldSimple>
      <w:r w:rsidRPr="00F82232">
        <w:t>: The Technology-</w:t>
      </w:r>
      <w:r w:rsidR="00221C32" w:rsidRPr="00F82232">
        <w:t>Organisation</w:t>
      </w:r>
      <w:r w:rsidRPr="00F82232">
        <w:t>-Environment (TOE) Framework</w:t>
      </w:r>
      <w:bookmarkEnd w:id="33"/>
    </w:p>
    <w:p w14:paraId="7B6E5664" w14:textId="77777777" w:rsidR="00477A2D" w:rsidRPr="00F82232" w:rsidRDefault="00F82232" w:rsidP="00477A2D">
      <w:r w:rsidRPr="00F82232">
        <w:t>Adoption of GenAI typically involves paradigm shifts, not just buying new tools. The most recent uses of the framework highlight how much the ability for the SME to transform existing processes is key for alleviating environmental pressures, such as competition or shifting regulations, rather than the algorithms themselves (Tiago and Almeida, 2026). Adoption is an ongoing process rather than a one-stop solution; to this end, this framework can be useful in understanding why we can expect very different outcomes from the same GenAI tools depending on the specific SME environment.</w:t>
      </w:r>
    </w:p>
    <w:p w14:paraId="52F54133" w14:textId="77777777" w:rsidR="00477A2D" w:rsidRPr="00F82232" w:rsidRDefault="00477A2D" w:rsidP="00477A2D">
      <w:pPr>
        <w:pStyle w:val="Heading3"/>
      </w:pPr>
      <w:bookmarkStart w:id="34" w:name="_Toc240816305"/>
      <w:bookmarkStart w:id="35" w:name="_Toc241050396"/>
      <w:r w:rsidRPr="00F82232">
        <w:t>2.2.2 The Job Demands-Resources (JD-R) Model</w:t>
      </w:r>
      <w:bookmarkEnd w:id="34"/>
      <w:bookmarkEnd w:id="35"/>
    </w:p>
    <w:p w14:paraId="25D31992" w14:textId="2764B780" w:rsidR="00477A2D" w:rsidRPr="00F82232" w:rsidRDefault="00F82232" w:rsidP="00477A2D">
      <w:r w:rsidRPr="00F82232">
        <w:t>The TOE framework is useful for explaining organisational adoption</w:t>
      </w:r>
      <w:r w:rsidR="0018725E">
        <w:t>,</w:t>
      </w:r>
      <w:r w:rsidRPr="00F82232">
        <w:t xml:space="preserve"> whilst the Job Demands-Resources (JD-R) model can be used to explore how such tools are used to impact individual employees (Bakker and Demerouti, 2007). The JD-R model distinguishes between 'job demands' (e.g. physical, psychological or </w:t>
      </w:r>
      <w:r w:rsidR="0018725E">
        <w:rPr>
          <w:kern w:val="0"/>
          <w14:ligatures w14:val="none"/>
        </w:rPr>
        <w:t>organisational), which come at a cost and 'job resources' (e.g. aids or outcomes), which help to accomplish work goals</w:t>
      </w:r>
      <w:r w:rsidRPr="00F82232">
        <w:t xml:space="preserve"> and can stimulate growth</w:t>
      </w:r>
      <w:r w:rsidR="0018725E">
        <w:t xml:space="preserve"> (</w:t>
      </w:r>
      <w:r w:rsidR="0018725E" w:rsidRPr="00F82232">
        <w:t>Raisch and Krakowski, 2021</w:t>
      </w:r>
      <w:r w:rsidR="0018725E">
        <w:t>)</w:t>
      </w:r>
      <w:r w:rsidRPr="00F82232">
        <w:t>. One challenge associated with bringing GenAI to the workspace is that it will change the existing job design</w:t>
      </w:r>
      <w:r w:rsidR="0018725E">
        <w:t>,</w:t>
      </w:r>
      <w:r w:rsidRPr="00F82232">
        <w:t xml:space="preserve"> which may lead to tension between automation and augmentation of human abilities (Çoegenli, 2026).</w:t>
      </w:r>
    </w:p>
    <w:p w14:paraId="2E88B9ED" w14:textId="77777777" w:rsidR="00167033" w:rsidRPr="00F82232" w:rsidRDefault="00167033" w:rsidP="00477A2D">
      <w:r w:rsidRPr="00F82232">
        <w:lastRenderedPageBreak/>
        <w:fldChar w:fldCharType="begin"/>
      </w:r>
      <w:r w:rsidRPr="00F82232">
        <w:instrText xml:space="preserve"> INCLUDEPICTURE "/Users/fahimhassan/Library/Group Containers/UBF8T346G9.ms/WebArchiveCopyPasteTempFiles/com.microsoft.Word/The-Job-Demands-Resources-model.png" \* MERGEFORMATINET </w:instrText>
      </w:r>
      <w:r w:rsidRPr="00F82232">
        <w:fldChar w:fldCharType="separate"/>
      </w:r>
      <w:r w:rsidRPr="00F82232">
        <w:rPr>
          <w:noProof/>
        </w:rPr>
        <w:drawing>
          <wp:inline distT="0" distB="0" distL="0" distR="0" wp14:anchorId="1CE30ABE" wp14:editId="4D1FE13B">
            <wp:extent cx="5731510" cy="3588385"/>
            <wp:effectExtent l="0" t="0" r="0" b="5715"/>
            <wp:docPr id="1711523574" name="Picture 2" descr="The Job Demands-Resources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Job Demands-Resources mode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88385"/>
                    </a:xfrm>
                    <a:prstGeom prst="rect">
                      <a:avLst/>
                    </a:prstGeom>
                    <a:noFill/>
                    <a:ln>
                      <a:noFill/>
                    </a:ln>
                  </pic:spPr>
                </pic:pic>
              </a:graphicData>
            </a:graphic>
          </wp:inline>
        </w:drawing>
      </w:r>
      <w:r w:rsidRPr="00F82232">
        <w:fldChar w:fldCharType="end"/>
      </w:r>
    </w:p>
    <w:p w14:paraId="4E51824D" w14:textId="7B98E325" w:rsidR="00167033" w:rsidRPr="00F82232" w:rsidRDefault="00167033" w:rsidP="00167033">
      <w:pPr>
        <w:pStyle w:val="Caption"/>
      </w:pPr>
      <w:bookmarkStart w:id="36" w:name="_Toc241052619"/>
      <w:r w:rsidRPr="00F82232">
        <w:t xml:space="preserve">Figure </w:t>
      </w:r>
      <w:fldSimple w:instr=" SEQ Figure \* ARABIC ">
        <w:r w:rsidR="009F799C">
          <w:rPr>
            <w:noProof/>
          </w:rPr>
          <w:t>2</w:t>
        </w:r>
      </w:fldSimple>
      <w:r w:rsidRPr="00F82232">
        <w:t>: The Job Demands-Resources (JD-R) Model</w:t>
      </w:r>
      <w:bookmarkEnd w:id="36"/>
    </w:p>
    <w:p w14:paraId="2800AF92" w14:textId="4F7E0B1C" w:rsidR="00477A2D" w:rsidRPr="00F82232" w:rsidRDefault="00F82232" w:rsidP="00477A2D">
      <w:r w:rsidRPr="00F82232">
        <w:t>With the JD-R, use of GenAI can be a valuable job resource when used the right way, that is</w:t>
      </w:r>
      <w:r>
        <w:t>,</w:t>
      </w:r>
      <w:r w:rsidRPr="00F82232">
        <w:t xml:space="preserve"> supportively. It can reduce cognitive load, automate trivial task administration, and free up time for employees to devote to more complex decision-making, possibly increasing work's meaningfulness (Jarrahi, 2018). On the other hand, GenAI, when poorly implemented, has the potential to create a new job demand</w:t>
      </w:r>
      <w:r w:rsidR="0018725E">
        <w:t xml:space="preserve"> (</w:t>
      </w:r>
      <w:r w:rsidR="0018725E" w:rsidRPr="00F82232">
        <w:t>Bankins and Formosa, 2023</w:t>
      </w:r>
      <w:r w:rsidR="0018725E">
        <w:t>)</w:t>
      </w:r>
      <w:r w:rsidRPr="00F82232">
        <w:t>. Algorithmic management systems sometimes involve work assessment of the employee that remains opaque, and greater employee surveillance, which may diminish work autonomy (Kellogg</w:t>
      </w:r>
      <w:r w:rsidR="0018725E">
        <w:t xml:space="preserve"> et al.</w:t>
      </w:r>
      <w:r w:rsidRPr="00F82232">
        <w:t xml:space="preserve">, 2020). Thus, GenAI is neither inherently good </w:t>
      </w:r>
      <w:r w:rsidR="0018725E">
        <w:t>n</w:t>
      </w:r>
      <w:r w:rsidRPr="00F82232">
        <w:t>or bad but rather could have positive or negative effects on SME staff based on the alteration of the daily pressures they are under and whether they are receiving sufficient support to adapt to these changes (Block 2024).</w:t>
      </w:r>
    </w:p>
    <w:p w14:paraId="3D5C4796" w14:textId="77777777" w:rsidR="00477A2D" w:rsidRPr="00F82232" w:rsidRDefault="00477A2D" w:rsidP="00477A2D">
      <w:pPr>
        <w:pStyle w:val="Heading3"/>
      </w:pPr>
      <w:bookmarkStart w:id="37" w:name="_Toc240816306"/>
      <w:bookmarkStart w:id="38" w:name="_Toc241050397"/>
      <w:r w:rsidRPr="00F82232">
        <w:t>2.2.3 Institutional Theory and Capability Views</w:t>
      </w:r>
      <w:bookmarkEnd w:id="37"/>
      <w:bookmarkEnd w:id="38"/>
    </w:p>
    <w:p w14:paraId="18330D47" w14:textId="28A4EC35" w:rsidR="00F82232" w:rsidRDefault="00F82232" w:rsidP="00F82232">
      <w:r>
        <w:t xml:space="preserve">The institutional theory (DiMaggio and Powell, 1983) and resource-based view (Barney, 1991) are also included in this research. The institutional theory examines how institutional </w:t>
      </w:r>
      <w:r>
        <w:lastRenderedPageBreak/>
        <w:t>organisations respond to external pressures to maintain their legitimacy. In the business sector, SMEs can be forced to put in place transparent internal governance with regard to AI by macroeconomic policies and ethical compliance standards (Kabir, 2025).</w:t>
      </w:r>
    </w:p>
    <w:p w14:paraId="799110B7" w14:textId="0841AC02" w:rsidR="00477A2D" w:rsidRPr="00F82232" w:rsidRDefault="00F82232" w:rsidP="00F82232">
      <w:r>
        <w:t>Concurrently, capability theories indicate that a firm's advantage does not only result from the software that is easily copied but also from immobility in intangible sources such as adaptability in staff (Mikalef and Gupta, 2021). The mere introduction of new technology is not a panacea in itself</w:t>
      </w:r>
      <w:r w:rsidR="0018725E">
        <w:t>,</w:t>
      </w:r>
      <w:r>
        <w:t xml:space="preserve"> given that GenAI is changing fundamental HRM processes (Fenwick et al., 2024). </w:t>
      </w:r>
      <w:r w:rsidR="0018725E">
        <w:t xml:space="preserve">Rana et al. (2024) </w:t>
      </w:r>
      <w:r>
        <w:t>show that developing in-house capabilities is a continuous process that involves training and reskilling of employees. These theories indicate that both training and governance are not merely administrative boxes to be ticked</w:t>
      </w:r>
      <w:r w:rsidR="0018725E">
        <w:t xml:space="preserve"> (Cappelli, Tambe and Yakubovich, 2019).</w:t>
      </w:r>
      <w:r>
        <w:t xml:space="preserve"> </w:t>
      </w:r>
      <w:r w:rsidR="0018725E">
        <w:t>B</w:t>
      </w:r>
      <w:r>
        <w:t>ut rather tools and facilitators that can either utilise a new technology to become a useful capability or cause workplace stress</w:t>
      </w:r>
      <w:r w:rsidR="0018725E">
        <w:t xml:space="preserve"> (Nyberg et al., 2025)</w:t>
      </w:r>
      <w:r>
        <w:t>.</w:t>
      </w:r>
    </w:p>
    <w:p w14:paraId="4D3B37F6" w14:textId="77777777" w:rsidR="007F2EE8" w:rsidRPr="00F82232" w:rsidRDefault="00477A2D" w:rsidP="00F82232">
      <w:pPr>
        <w:pStyle w:val="Heading2"/>
      </w:pPr>
      <w:bookmarkStart w:id="39" w:name="_Toc240816307"/>
      <w:bookmarkStart w:id="40" w:name="_Toc241050398"/>
      <w:r w:rsidRPr="00F82232">
        <w:t>2.3 Empirical Review of GenAI Integration</w:t>
      </w:r>
      <w:bookmarkEnd w:id="39"/>
      <w:bookmarkEnd w:id="40"/>
    </w:p>
    <w:p w14:paraId="73DEBF64" w14:textId="77777777" w:rsidR="00477A2D" w:rsidRPr="00F82232" w:rsidRDefault="00F82232" w:rsidP="007F2EE8">
      <w:r w:rsidRPr="00F82232">
        <w:t>With regard to the theoretical models, this section summari</w:t>
      </w:r>
      <w:r>
        <w:t>s</w:t>
      </w:r>
      <w:r w:rsidRPr="00F82232">
        <w:t>es recent empirical studies associated with the primary research topics of the study. This review is to evaluate the current state of research and determine the research gap, especially for the SME sector in the United Kingdom.</w:t>
      </w:r>
    </w:p>
    <w:p w14:paraId="4361562A" w14:textId="77777777" w:rsidR="00477A2D" w:rsidRPr="00F82232" w:rsidRDefault="00477A2D" w:rsidP="00477A2D">
      <w:pPr>
        <w:pStyle w:val="Heading3"/>
      </w:pPr>
      <w:bookmarkStart w:id="41" w:name="_Toc240816308"/>
      <w:bookmarkStart w:id="42" w:name="_Toc241050399"/>
      <w:r w:rsidRPr="00F82232">
        <w:t>2.3.1 GenAI and Employee Productivity</w:t>
      </w:r>
      <w:bookmarkEnd w:id="41"/>
      <w:bookmarkEnd w:id="42"/>
      <w:r w:rsidRPr="00F82232">
        <w:t xml:space="preserve"> </w:t>
      </w:r>
    </w:p>
    <w:p w14:paraId="08336666" w14:textId="4D43616E" w:rsidR="00F82232" w:rsidRDefault="00F82232" w:rsidP="00F82232">
      <w:r>
        <w:t>There is wide agreement on its potential, though the</w:t>
      </w:r>
      <w:r w:rsidR="0018725E">
        <w:t xml:space="preserve"> it</w:t>
      </w:r>
      <w:r>
        <w:t xml:space="preserve"> is often taken from a very specific context and applied to the field of knowledge work</w:t>
      </w:r>
      <w:r w:rsidR="0018725E">
        <w:t xml:space="preserve"> (Grange et al., 2025)</w:t>
      </w:r>
      <w:r>
        <w:t xml:space="preserve">. </w:t>
      </w:r>
      <w:r w:rsidR="0018725E">
        <w:t>Bran et al. (2025)</w:t>
      </w:r>
      <w:r>
        <w:t xml:space="preserve"> show much higher output volume and execution time when performing tasks in white-collar professions. Noy and Zhang (2023) showed in a randomi</w:t>
      </w:r>
      <w:r w:rsidR="0018725E">
        <w:t>s</w:t>
      </w:r>
      <w:r>
        <w:t xml:space="preserve">ed controlled trial of professional writing tasks how the technology can “cognitively augment” </w:t>
      </w:r>
      <w:r w:rsidR="0018725E">
        <w:t>with</w:t>
      </w:r>
      <w:r>
        <w:t xml:space="preserve"> measurable improvements in quality and shorter time spent doing the task. </w:t>
      </w:r>
      <w:r w:rsidR="0018725E">
        <w:t>Brynjolfsson et al. (2023)</w:t>
      </w:r>
      <w:r>
        <w:t xml:space="preserve"> studied customer support centers with generative AI </w:t>
      </w:r>
      <w:r w:rsidR="0018725E">
        <w:t>and</w:t>
      </w:r>
      <w:r>
        <w:t xml:space="preserve"> highlighted that the rates of issue resolution have </w:t>
      </w:r>
      <w:r>
        <w:lastRenderedPageBreak/>
        <w:t>increased, especially for newer employees. Most of the time, expectations spread informally within countries and are leveraged to create aggregate economic forecasts, and so it was with GenAI and its impact on the economy</w:t>
      </w:r>
      <w:r w:rsidR="0018725E">
        <w:t xml:space="preserve"> (Jakranpally, 2022)</w:t>
      </w:r>
      <w:r>
        <w:t>.</w:t>
      </w:r>
    </w:p>
    <w:p w14:paraId="36EC0210" w14:textId="1CE381E5" w:rsidR="00F82232" w:rsidRDefault="00F82232" w:rsidP="00F82232">
      <w:r>
        <w:t>The daily life of an SME undergoing digital transformation is often ignored, while macro analyses are completed in highly skilled jobs (Naqbi, Bahroun and Ahmed, 2024). Many of the written materials assume that there is a fair amount of IT integration that has already occurred in the company and that the employees will just switch to it (Mou et al., 2022).</w:t>
      </w:r>
    </w:p>
    <w:p w14:paraId="171803B2" w14:textId="65780250" w:rsidR="00477A2D" w:rsidRPr="00F82232" w:rsidRDefault="00F82232" w:rsidP="00F82232">
      <w:r>
        <w:t>A counter-argument is going on that says that productivity gains are by no means automatic and/or ‘scalable’ (Markelius et al., 2024; Damioli et al., 2021). However, gradual costs, legacy system issues, and business-specific technical shortcomings eradicate any gains in productivity potential, posing a problem for SMEs (Al-Amin et al., 2024). For instance, relying too heavily on GenAI, lacking education, may necessitate additional administrative efforts to verify the quality and accuracy of the generated results, which could counterbalance the efficiencies and benefits it is expected to bring</w:t>
      </w:r>
      <w:r w:rsidR="0018725E">
        <w:t xml:space="preserve"> (Eloundou et al., 2023)</w:t>
      </w:r>
      <w:r>
        <w:t xml:space="preserve">. The results on the usefulness of using GenAI in real-world and low-resource settings to obtain efficiency are divided between these two works (Dinh et al., 2025). </w:t>
      </w:r>
      <w:r w:rsidR="0018725E">
        <w:t xml:space="preserve">Shore et al. (2024) </w:t>
      </w:r>
      <w:r>
        <w:t>look at these measures of productivity in particular, taking at odds with the corporate approximations, but applied in the context of SME.</w:t>
      </w:r>
    </w:p>
    <w:p w14:paraId="0F527C03" w14:textId="77777777" w:rsidR="00477A2D" w:rsidRPr="00F82232" w:rsidRDefault="00477A2D" w:rsidP="00477A2D">
      <w:pPr>
        <w:pStyle w:val="Heading3"/>
      </w:pPr>
      <w:bookmarkStart w:id="43" w:name="_Toc240816309"/>
      <w:bookmarkStart w:id="44" w:name="_Toc241050400"/>
      <w:r w:rsidRPr="00F82232">
        <w:t>2.3.2 GenAI and Job Quality: The Automation-Augmentation Paradox</w:t>
      </w:r>
      <w:bookmarkEnd w:id="43"/>
      <w:bookmarkEnd w:id="44"/>
      <w:r w:rsidRPr="00F82232">
        <w:t xml:space="preserve"> </w:t>
      </w:r>
    </w:p>
    <w:p w14:paraId="1EBCF689" w14:textId="608AA941" w:rsidR="00C76F22" w:rsidRDefault="00C76F22" w:rsidP="00C76F22">
      <w:r>
        <w:t xml:space="preserve">An automation-augmentation paradox with respect to the use of algorithmic systems in the workplace has been discussed (Raisch and Krakowski, 202). </w:t>
      </w:r>
      <w:r w:rsidR="0018725E">
        <w:t>Sankaran et al. (2026)</w:t>
      </w:r>
      <w:r>
        <w:t xml:space="preserve"> </w:t>
      </w:r>
      <w:r w:rsidR="0018725E">
        <w:t xml:space="preserve">discuss this, </w:t>
      </w:r>
      <w:r>
        <w:t xml:space="preserve">especially </w:t>
      </w:r>
      <w:r w:rsidR="0018725E">
        <w:t>with</w:t>
      </w:r>
      <w:r>
        <w:t xml:space="preserve"> regard to the degree of autonomy and amount of labour intensity. Others argue that due to the higher cognitive strain on AI, there are more opportunities for an all</w:t>
      </w:r>
      <w:r w:rsidR="0018725E">
        <w:t>-the-</w:t>
      </w:r>
      <w:r>
        <w:t xml:space="preserve">more digital form of supervision (Giering </w:t>
      </w:r>
      <w:r w:rsidR="0018725E">
        <w:t>and</w:t>
      </w:r>
      <w:r>
        <w:t xml:space="preserve"> Kirchner, 2025). Some put the spotlight on the way AI can help enhance the learning and performance of their employees (Ponca and Kotanch, 2025)</w:t>
      </w:r>
      <w:r w:rsidR="0018725E">
        <w:t>;</w:t>
      </w:r>
      <w:r>
        <w:t xml:space="preserve"> others contend that it can increase the digital supervision of their work.</w:t>
      </w:r>
    </w:p>
    <w:p w14:paraId="524AA78E" w14:textId="0E39E1E2" w:rsidR="00C76F22" w:rsidRDefault="00C76F22" w:rsidP="00C76F22">
      <w:r>
        <w:lastRenderedPageBreak/>
        <w:t>A significant aspect of this discourse is what is called the symposium that's happening between human</w:t>
      </w:r>
      <w:r w:rsidR="0018725E">
        <w:t>s</w:t>
      </w:r>
      <w:r>
        <w:t xml:space="preserve"> and AI. </w:t>
      </w:r>
      <w:r w:rsidR="0018725E">
        <w:t xml:space="preserve">Lee and Cha (2026) argue </w:t>
      </w:r>
      <w:r>
        <w:t>that work involving free thinking and decision</w:t>
      </w:r>
      <w:r w:rsidR="0018725E">
        <w:t>-</w:t>
      </w:r>
      <w:r>
        <w:t>making can be carried out by human</w:t>
      </w:r>
      <w:r w:rsidR="0018725E">
        <w:t>s,</w:t>
      </w:r>
      <w:r>
        <w:t xml:space="preserve"> while work involving machine intelligence and processing a lot of data can be carried out by machines. Generative artificial intelligence is believed to be a valuable tool in this context</w:t>
      </w:r>
      <w:r w:rsidR="0018725E">
        <w:t>,</w:t>
      </w:r>
      <w:r>
        <w:t xml:space="preserve"> as it could alleviate mental effort; it also could make work more meaningful and give workers more autonomy (Liu et al., 2025).</w:t>
      </w:r>
    </w:p>
    <w:p w14:paraId="150ADEDC" w14:textId="5CA62513" w:rsidR="00C76F22" w:rsidRDefault="00C76F22" w:rsidP="00C76F22">
      <w:r>
        <w:t>The importance of other group</w:t>
      </w:r>
      <w:r w:rsidR="0018725E">
        <w:t>s</w:t>
      </w:r>
      <w:r>
        <w:t xml:space="preserve"> of research can be stressed in the context of assessment of the current situation as recognized by </w:t>
      </w:r>
      <w:r w:rsidR="0018725E">
        <w:t>Mohamad et al. (2026)</w:t>
      </w:r>
      <w:r>
        <w:t>. In most scenarios</w:t>
      </w:r>
      <w:r w:rsidR="0018725E">
        <w:t>,</w:t>
      </w:r>
      <w:r>
        <w:t xml:space="preserve"> the use of Artificial Intelligence (AI) can be considered as a cost reduction option but may </w:t>
      </w:r>
      <w:r w:rsidR="0018725E">
        <w:t xml:space="preserve">come </w:t>
      </w:r>
      <w:r>
        <w:t>with the drawback of even more demanding algorithm management</w:t>
      </w:r>
      <w:r w:rsidR="0018725E">
        <w:t xml:space="preserve"> (Nassiri and El Mzabi, 2026)</w:t>
      </w:r>
      <w:r>
        <w:t xml:space="preserve">. Thus, this can not only create a space for asserting power over the professionals in the workplace (Deranty and Corbin, 2022), but also further reduce their autonomy, since algorithms remain to evaluate them. Besides that, the application of AI in HRM systems </w:t>
      </w:r>
      <w:r w:rsidR="0018725E">
        <w:t>raise</w:t>
      </w:r>
      <w:r>
        <w:t>s questions concerning justice, algorithm</w:t>
      </w:r>
      <w:r w:rsidR="0018725E">
        <w:t>ic</w:t>
      </w:r>
      <w:r>
        <w:t xml:space="preserve"> bias</w:t>
      </w:r>
      <w:r w:rsidR="0018725E">
        <w:t>,</w:t>
      </w:r>
      <w:r>
        <w:t xml:space="preserve"> as well as the lack of a touch of humanism (Kertechian and El-Farr, 2024).</w:t>
      </w:r>
    </w:p>
    <w:p w14:paraId="55EDBE12" w14:textId="03471076" w:rsidR="00477A2D" w:rsidRPr="00F82232" w:rsidRDefault="00C76F22" w:rsidP="00C76F22">
      <w:r>
        <w:t xml:space="preserve">Within the realm of small and medium-sized enterprises (SMEs), this balance is not fully understood. Marimon, Hendy, et al. </w:t>
      </w:r>
      <w:r w:rsidR="0018725E">
        <w:t>(</w:t>
      </w:r>
      <w:r>
        <w:t xml:space="preserve">2024) demonstrated that in the context of the workplace, this ‘psychological level’ of integration of GenAI can have significant associations </w:t>
      </w:r>
      <w:r w:rsidR="0018725E">
        <w:t>with</w:t>
      </w:r>
      <w:r>
        <w:t xml:space="preserve"> both basic job design and </w:t>
      </w:r>
      <w:r w:rsidR="0018725E">
        <w:t>a</w:t>
      </w:r>
      <w:r>
        <w:t xml:space="preserve"> trust-supportive context (institutions). Some workers might experience 'algorithmic anxiety ' and feel like they are being put under a ‘monitoring machine' to maximise their time use, affecting the quality of their employment (Zhu et al., 2020). Even if algorithmic monitoring is used in a serious, rigorous approach and used within small and medium-sized enterprises (SMEs), it is likely to affect the workers' morale, according to Leicht-Deobald et al. (2019). This is because of a more flexible working life for those who work in these organisations and the relative laxity in a job's location and distribution. The current research </w:t>
      </w:r>
      <w:r>
        <w:lastRenderedPageBreak/>
        <w:t>study on the impact of such automation augmentation in the context of resource constraints is carried out to determine the opportunities it affords to make work more enriched, but also the risks that it may introduce.</w:t>
      </w:r>
    </w:p>
    <w:p w14:paraId="1CA1AE41" w14:textId="77777777" w:rsidR="00477A2D" w:rsidRPr="00F82232" w:rsidRDefault="00477A2D" w:rsidP="00477A2D">
      <w:pPr>
        <w:pStyle w:val="Heading3"/>
      </w:pPr>
      <w:bookmarkStart w:id="45" w:name="_Toc240816310"/>
      <w:bookmarkStart w:id="46" w:name="_Toc241050401"/>
      <w:r w:rsidRPr="00F82232">
        <w:t>2.3.3 The Moderating Role of Employee Training</w:t>
      </w:r>
      <w:bookmarkEnd w:id="45"/>
      <w:bookmarkEnd w:id="46"/>
      <w:r w:rsidRPr="00F82232">
        <w:t xml:space="preserve"> </w:t>
      </w:r>
    </w:p>
    <w:p w14:paraId="32B3C5D2" w14:textId="7DA66F93" w:rsidR="00C76F22" w:rsidRDefault="00C76F22" w:rsidP="00C76F22">
      <w:r>
        <w:t xml:space="preserve">From a local and international perspective, it is acknowledged by practitioners (citizens and industries) </w:t>
      </w:r>
      <w:r w:rsidR="0018725E">
        <w:t>that</w:t>
      </w:r>
      <w:r>
        <w:t xml:space="preserve"> some capital investment in human beings is required to achieve a successful disruptive technology. This has led to the observation that a continuous process of retraining has been noticed, which has to be organized (Ajayi and Udeh, 2024). This reflects the concepts of capability theory</w:t>
      </w:r>
      <w:r w:rsidR="0018725E">
        <w:t>,</w:t>
      </w:r>
      <w:r>
        <w:t xml:space="preserve"> which emphasi</w:t>
      </w:r>
      <w:r w:rsidR="0018725E">
        <w:t>s</w:t>
      </w:r>
      <w:r>
        <w:t xml:space="preserve">e that the achievement of success in a specific field of AI is not as dependent on the available hardware or software resources as it is on the ‘softer assets’ such as flexibility, culture or the skills of the workforce (Mikalef and Gupta, 2021). With this, and with the knowledge of the impact of stress on turnover, one can now speculate that training plays an important role for employees as a possible buffer to reduce the strain of having to deal with the switch </w:t>
      </w:r>
      <w:r w:rsidR="0018725E">
        <w:t>to</w:t>
      </w:r>
      <w:r>
        <w:t xml:space="preserve"> technology and can have a positive effect on raising productivity</w:t>
      </w:r>
      <w:r w:rsidR="0018725E">
        <w:t xml:space="preserve"> (Levin et al., 2024)</w:t>
      </w:r>
      <w:r>
        <w:t>.</w:t>
      </w:r>
    </w:p>
    <w:p w14:paraId="35B8CD53" w14:textId="3BF4EC11" w:rsidR="00C76F22" w:rsidRDefault="00C76F22" w:rsidP="00C76F22">
      <w:r>
        <w:t xml:space="preserve">On the other hand, </w:t>
      </w:r>
      <w:r w:rsidR="0018725E">
        <w:t xml:space="preserve">Ghobakhloo et al. (2024) </w:t>
      </w:r>
      <w:r>
        <w:t>studies of the effectiveness of digital upskilling show that the majority of studies have been done with large companies. Most of the time</w:t>
      </w:r>
      <w:r w:rsidR="0018725E">
        <w:t>,</w:t>
      </w:r>
      <w:r>
        <w:t xml:space="preserve"> and in a majority of cases</w:t>
      </w:r>
      <w:r w:rsidR="0018725E">
        <w:t>,</w:t>
      </w:r>
      <w:r>
        <w:t xml:space="preserve"> where there's a global corporation</w:t>
      </w:r>
      <w:r w:rsidR="0018725E">
        <w:t>,</w:t>
      </w:r>
      <w:r>
        <w:t xml:space="preserve"> there's also a Learning and Development (LandD) team, as well as a fairly large training budget. This provides the organization with more time, let's say, years, to prepare for the changes in the workforce in the future (Jaiswal, Arun, and Varma, 2021). As it pertains to formalised training, research ha</w:t>
      </w:r>
      <w:r w:rsidR="0018725E">
        <w:t>s</w:t>
      </w:r>
      <w:r>
        <w:t xml:space="preserve"> shown that whilst there may be a decline in employee unwillingness to interact with AI systems, there may likewise be a decline in algorithmic anxiety and the development of new skills thanks to increased utilization of AI in the workplace (Olutimehin et al., 2024).</w:t>
      </w:r>
    </w:p>
    <w:p w14:paraId="1C886AED" w14:textId="2CFDA8D5" w:rsidR="00477A2D" w:rsidRPr="00F82232" w:rsidRDefault="00C76F22" w:rsidP="00C76F22">
      <w:r>
        <w:lastRenderedPageBreak/>
        <w:t>The large-to-very-large enterprise industry might have several obstacles to directly applying the results to the small and medium-sized enterprise sector. In the UK, small and medium-sized enterprises (SMEs) tend not to have a separate budget for training; this leads to ad hoc, reactive and intra-organisational training (Clifton et al., 2020). Moreover, and most importantly, the roles of the LandD tend to be informal. There is a lack of holistic understanding of the prevailing on how the use of GenAI is being leveraged without trained specialists</w:t>
      </w:r>
      <w:r w:rsidR="0018725E">
        <w:t xml:space="preserve"> (Toorajipour et al., 2026)</w:t>
      </w:r>
      <w:r>
        <w:t>. Without having predefined ways to upskill, small and medium-sized enterprise (SME) employees run the risk of being unable to create higher quality work products or becoming stressed while collaborating with consumer-grade artificial intelligence (GenAI) (Hogemann et al., 2025</w:t>
      </w:r>
      <w:r w:rsidR="0018725E">
        <w:t>)</w:t>
      </w:r>
      <w:r>
        <w:t>. The moderating effect of training is examined in this specific research on small and medium enterprises (SMEs) to gain insights into informal or nonexistent upskilling and its impact on productivity and job quality in the context of technological transformation, as done in other studies (NguyenDuc et al., 2023).</w:t>
      </w:r>
    </w:p>
    <w:p w14:paraId="387AD7B2" w14:textId="77777777" w:rsidR="00477A2D" w:rsidRPr="00F82232" w:rsidRDefault="00477A2D" w:rsidP="00477A2D">
      <w:pPr>
        <w:pStyle w:val="Heading3"/>
      </w:pPr>
      <w:bookmarkStart w:id="47" w:name="_Toc240816311"/>
      <w:bookmarkStart w:id="48" w:name="_Toc241050402"/>
      <w:r w:rsidRPr="00F82232">
        <w:t>2.3.4 The Moderating Effect of AI Governance Frameworks</w:t>
      </w:r>
      <w:bookmarkEnd w:id="47"/>
      <w:bookmarkEnd w:id="48"/>
      <w:r w:rsidRPr="00F82232">
        <w:t xml:space="preserve"> </w:t>
      </w:r>
    </w:p>
    <w:p w14:paraId="5BB19A15" w14:textId="65B92657" w:rsidR="00F82232" w:rsidRDefault="0018725E" w:rsidP="00F82232">
      <w:r>
        <w:t xml:space="preserve">Chen et al. (2025) </w:t>
      </w:r>
      <w:r w:rsidR="00F82232">
        <w:t>highlight the issue of institutional governance of AI. Policies at a macro level emphasise responsible and transparent use of AI, with the goal of equitable impacts on the labour market (Ghosh, Saini, and Barad 2025). The government’s "pro-innovation stance on AI regulation" in the UK aims to balance the facilitation of technology use with the right ethical limits (Batool et al., 2025). The general direction suggests companies should possess a governance mechanism within the organization regarding data privacy, algorithmic bias in the system and business compliance (Pokhrel and Somasiri, 2026).</w:t>
      </w:r>
    </w:p>
    <w:p w14:paraId="47711057" w14:textId="409CBA12" w:rsidR="00F82232" w:rsidRDefault="00F82232" w:rsidP="00F82232">
      <w:r>
        <w:t>While in the corporate world, algorithmic governance's transparent implementation is linked to trust, psychological safety and more engaged employees (Williams et al., 2023). The implementation of ethical guidelines regarding the use and assessment of AI may encourage employees to embrace the technology, promoting positive interactions with AI</w:t>
      </w:r>
      <w:r w:rsidR="0018725E">
        <w:t xml:space="preserve"> (Jiang and </w:t>
      </w:r>
      <w:r w:rsidR="0018725E">
        <w:lastRenderedPageBreak/>
        <w:t>Abdullah, 2026)</w:t>
      </w:r>
      <w:r>
        <w:t>.</w:t>
      </w:r>
      <w:r w:rsidR="0018725E">
        <w:t xml:space="preserve"> </w:t>
      </w:r>
      <w:r>
        <w:t>Clear guidelines around the ethical use of AI and how the output will be assessed could result in positive interactions with AI (Robles and Mallinson, 2025). During the digital transformation journey, ethical governance can provide a psychological cushion that helps maintain the trust and sense of procedural justice (Machkour and Abriane, 2026).</w:t>
      </w:r>
    </w:p>
    <w:p w14:paraId="578CA4FB" w14:textId="4A07DE71" w:rsidR="0018725E" w:rsidRPr="00F82232" w:rsidRDefault="00F82232" w:rsidP="0018725E">
      <w:r>
        <w:t>There is, however, a dearth of knowledge about the workings of these governance bodies in SMEs</w:t>
      </w:r>
      <w:r w:rsidR="0018725E">
        <w:t xml:space="preserve"> (Panda and Puri, 2025)</w:t>
      </w:r>
      <w:r>
        <w:t xml:space="preserve">. There is a lack of understanding of the relevance of ‘principled AI' promotions, which are high-level ethical guidance published by the Government, but smaller companies struggle to make them action-oriented and translate </w:t>
      </w:r>
      <w:r w:rsidR="0018725E">
        <w:t xml:space="preserve">them </w:t>
      </w:r>
      <w:r>
        <w:t xml:space="preserve">(Ali et al., 2025). Creating and applying a custom-made AI internal governance charter can be onerous and demands a level of legal expertise which may not be readily available in the UK for SMEs (Qin et al., 2025). This can lead to a situation where SMEs are using GenAI without any policy on data security and acceptable use. </w:t>
      </w:r>
      <w:r w:rsidR="0018725E">
        <w:t>Furqan et al. (2026)</w:t>
      </w:r>
      <w:r>
        <w:t xml:space="preserve"> conceptuali</w:t>
      </w:r>
      <w:r w:rsidR="0018725E">
        <w:t>se</w:t>
      </w:r>
      <w:r>
        <w:t xml:space="preserve"> the implications of this field of action </w:t>
      </w:r>
      <w:r w:rsidR="0018725E">
        <w:t>a</w:t>
      </w:r>
      <w:r>
        <w:t>s still in the process of formation (empirical research). This research tries to identify and understand if the absence of structured AI governance in SMEs has a negative effect on the automation-augmentation paradox (Raisch and Krakowski, 2021). Uncertainty, loss of trust, and reduced productivity benefits of GenAI can arise from a lack of clear guidelines</w:t>
      </w:r>
      <w:r w:rsidR="0018725E">
        <w:t xml:space="preserve"> (Nguyen et al., 2026)</w:t>
      </w:r>
      <w:r>
        <w:t xml:space="preserve">. </w:t>
      </w:r>
      <w:r w:rsidR="0018725E">
        <w:t>Abrokwah-Larbi (2023)</w:t>
      </w:r>
      <w:r>
        <w:t xml:space="preserve"> therefore explored the implications of GenAI in the practical context of SME's without any institutional rules or regulations</w:t>
      </w:r>
      <w:bookmarkStart w:id="49" w:name="_Toc240816312"/>
      <w:r w:rsidR="0018725E">
        <w:t>.</w:t>
      </w:r>
    </w:p>
    <w:p w14:paraId="49A2270C" w14:textId="3845F817" w:rsidR="00477A2D" w:rsidRPr="00F82232" w:rsidRDefault="0018725E" w:rsidP="00477A2D">
      <w:pPr>
        <w:pStyle w:val="Heading2"/>
      </w:pPr>
      <w:bookmarkStart w:id="50" w:name="_Toc241050403"/>
      <w:r>
        <w:t xml:space="preserve">2.4 </w:t>
      </w:r>
      <w:r w:rsidR="00477A2D" w:rsidRPr="00F82232">
        <w:t>Conceptual Framework and Hypotheses Development</w:t>
      </w:r>
      <w:bookmarkEnd w:id="49"/>
      <w:bookmarkEnd w:id="50"/>
    </w:p>
    <w:p w14:paraId="6CC0C67B" w14:textId="04A0A5B2" w:rsidR="00477A2D" w:rsidRPr="00F82232" w:rsidRDefault="00F82232" w:rsidP="00F82232">
      <w:pPr>
        <w:rPr>
          <w:lang w:eastAsia="en-GB" w:bidi="hi-IN"/>
        </w:rPr>
      </w:pPr>
      <w:r w:rsidRPr="00F82232">
        <w:rPr>
          <w:lang w:eastAsia="en-GB" w:bidi="hi-IN"/>
        </w:rPr>
        <w:t>The conceptual framework is a combination of elements from the Technology-Organisation-Environment (TOE) paradigm (Parida, Sjödin and Reim, 2019) and the Job Demands-Resources (JD-R) model (Raisch and Krakowski, 2021). By combining these models, the study tries to isolate the structure and the psychological aspects of the Digital transformation of SMEs. Based on variance-based structural model</w:t>
      </w:r>
      <w:r w:rsidR="0018725E">
        <w:rPr>
          <w:lang w:eastAsia="en-GB" w:bidi="hi-IN"/>
        </w:rPr>
        <w:t>l</w:t>
      </w:r>
      <w:r w:rsidRPr="00F82232">
        <w:rPr>
          <w:lang w:eastAsia="en-GB" w:bidi="hi-IN"/>
        </w:rPr>
        <w:t xml:space="preserve">ing principles (Hair et al., 2022), it is </w:t>
      </w:r>
      <w:r w:rsidR="0018725E">
        <w:rPr>
          <w:lang w:eastAsia="en-GB" w:bidi="hi-IN"/>
        </w:rPr>
        <w:t>intend</w:t>
      </w:r>
      <w:r w:rsidRPr="00F82232">
        <w:rPr>
          <w:lang w:eastAsia="en-GB" w:bidi="hi-IN"/>
        </w:rPr>
        <w:t>ed to quantify real experiences with the automation-augmentation paradox.</w:t>
      </w:r>
    </w:p>
    <w:p w14:paraId="3A8B55B2" w14:textId="77777777" w:rsidR="00477A2D" w:rsidRPr="00F82232" w:rsidRDefault="00477A2D" w:rsidP="00477A2D">
      <w:pPr>
        <w:rPr>
          <w:lang w:eastAsia="en-GB" w:bidi="hi-IN"/>
        </w:rPr>
      </w:pPr>
      <w:r w:rsidRPr="00F82232">
        <w:rPr>
          <w:noProof/>
          <w:lang w:eastAsia="en-GB" w:bidi="hi-IN"/>
        </w:rPr>
        <w:lastRenderedPageBreak/>
        <w:drawing>
          <wp:inline distT="0" distB="0" distL="0" distR="0" wp14:anchorId="36DBD497" wp14:editId="474EB55D">
            <wp:extent cx="5731510" cy="3223895"/>
            <wp:effectExtent l="0" t="0" r="0" b="0"/>
            <wp:docPr id="757812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12551" name=""/>
                    <pic:cNvPicPr/>
                  </pic:nvPicPr>
                  <pic:blipFill>
                    <a:blip r:embed="rId11"/>
                    <a:stretch>
                      <a:fillRect/>
                    </a:stretch>
                  </pic:blipFill>
                  <pic:spPr>
                    <a:xfrm>
                      <a:off x="0" y="0"/>
                      <a:ext cx="5731510" cy="3223895"/>
                    </a:xfrm>
                    <a:prstGeom prst="rect">
                      <a:avLst/>
                    </a:prstGeom>
                  </pic:spPr>
                </pic:pic>
              </a:graphicData>
            </a:graphic>
          </wp:inline>
        </w:drawing>
      </w:r>
    </w:p>
    <w:p w14:paraId="0E634EA1" w14:textId="1DD39DF6" w:rsidR="00477A2D" w:rsidRPr="00F82232" w:rsidRDefault="00477A2D" w:rsidP="00477A2D">
      <w:pPr>
        <w:pStyle w:val="Caption"/>
        <w:rPr>
          <w:lang w:eastAsia="en-GB" w:bidi="hi-IN"/>
        </w:rPr>
      </w:pPr>
      <w:bookmarkStart w:id="51" w:name="_Toc241052620"/>
      <w:r w:rsidRPr="00F82232">
        <w:t xml:space="preserve">Figure </w:t>
      </w:r>
      <w:fldSimple w:instr=" SEQ Figure \* ARABIC ">
        <w:r w:rsidR="009F799C">
          <w:rPr>
            <w:noProof/>
          </w:rPr>
          <w:t>3</w:t>
        </w:r>
      </w:fldSimple>
      <w:r w:rsidRPr="00F82232">
        <w:t>: Conceptual Framework</w:t>
      </w:r>
      <w:bookmarkEnd w:id="51"/>
    </w:p>
    <w:p w14:paraId="12CC3C79" w14:textId="77777777" w:rsidR="00477A2D" w:rsidRPr="00F82232" w:rsidRDefault="00F82232" w:rsidP="00477A2D">
      <w:pPr>
        <w:rPr>
          <w:lang w:eastAsia="en-GB" w:bidi="hi-IN"/>
        </w:rPr>
      </w:pPr>
      <w:r w:rsidRPr="00F82232">
        <w:rPr>
          <w:lang w:eastAsia="en-GB" w:bidi="hi-IN"/>
        </w:rPr>
        <w:t>The model concept is that there is one variable, Generative AI Adoption. This adoption may have a variety of positive and psychological effects, which are measured by 2 Dependent Variables (DVs): Employee Productivity and Job Quality. Direct pathways by which AI replaces human skills are moderated by Employee Training and AI Governance and thus are specifically placed in measurement to correctly capture the moderating effect of Employee Training and AI Governance.</w:t>
      </w:r>
    </w:p>
    <w:p w14:paraId="4038BA76" w14:textId="77777777" w:rsidR="00477A2D" w:rsidRPr="00F82232" w:rsidRDefault="00477A2D" w:rsidP="00477A2D">
      <w:pPr>
        <w:rPr>
          <w:rStyle w:val="apple-converted-space"/>
          <w:rFonts w:ascii="Arial" w:hAnsi="Arial" w:cs="Arial"/>
          <w:color w:val="000000"/>
        </w:rPr>
      </w:pPr>
      <w:r w:rsidRPr="00F82232">
        <w:rPr>
          <w:b/>
          <w:bCs/>
        </w:rPr>
        <w:t>H1: The adoption of GenAI has a significant positive effect on employee productivity within SMEs.</w:t>
      </w:r>
      <w:r w:rsidRPr="00F82232">
        <w:rPr>
          <w:rStyle w:val="apple-converted-space"/>
          <w:rFonts w:ascii="Arial" w:hAnsi="Arial" w:cs="Arial"/>
          <w:color w:val="000000"/>
        </w:rPr>
        <w:t> </w:t>
      </w:r>
    </w:p>
    <w:p w14:paraId="5B5605CD" w14:textId="77777777" w:rsidR="00477A2D" w:rsidRPr="00F82232" w:rsidRDefault="00F82232" w:rsidP="00477A2D">
      <w:r w:rsidRPr="00F82232">
        <w:t>GenAI is based on recent experimental evidence (Noy and Zhang, 2023) and can be assumed to be a highly leveraged cognitive tool. GenAI drastically reduces time spent on tasks by automating the process of performing repetitive tasks and processing complex data sets rapidly (Deveciyan et al., 2026). The technological support has been viewed as a productivity booster for the staff of resource-challenged SMEs to produce larger quantities of high</w:t>
      </w:r>
      <w:r>
        <w:t>-</w:t>
      </w:r>
      <w:r w:rsidRPr="00F82232">
        <w:t>quality products (Ekrokpe, Jayawickrama and Butun, 2025).</w:t>
      </w:r>
    </w:p>
    <w:p w14:paraId="0E296783" w14:textId="77777777" w:rsidR="00477A2D" w:rsidRPr="00F82232" w:rsidRDefault="00477A2D" w:rsidP="00477A2D">
      <w:pPr>
        <w:rPr>
          <w:b/>
          <w:bCs/>
          <w:i/>
          <w:iCs/>
        </w:rPr>
      </w:pPr>
      <w:r w:rsidRPr="00F82232">
        <w:rPr>
          <w:b/>
          <w:bCs/>
        </w:rPr>
        <w:lastRenderedPageBreak/>
        <w:t xml:space="preserve">H2: </w:t>
      </w:r>
      <w:r w:rsidR="007F2EE8" w:rsidRPr="00F82232">
        <w:rPr>
          <w:b/>
          <w:bCs/>
        </w:rPr>
        <w:t>The adoption of GenAI has a significant positive effect</w:t>
      </w:r>
      <w:r w:rsidRPr="00F82232">
        <w:rPr>
          <w:b/>
          <w:bCs/>
        </w:rPr>
        <w:t xml:space="preserve"> on job quality.</w:t>
      </w:r>
      <w:r w:rsidRPr="00F82232">
        <w:rPr>
          <w:rStyle w:val="apple-converted-space"/>
          <w:rFonts w:ascii="Arial" w:hAnsi="Arial" w:cs="Arial"/>
          <w:b/>
          <w:bCs/>
          <w:color w:val="000000"/>
        </w:rPr>
        <w:t> </w:t>
      </w:r>
    </w:p>
    <w:p w14:paraId="6574BE7D" w14:textId="412CFA63" w:rsidR="00477A2D" w:rsidRPr="00F82232" w:rsidRDefault="00F82232" w:rsidP="00477A2D">
      <w:r w:rsidRPr="00F82232">
        <w:t>Adoption of AI is a natural outgrowth of the disruption of job design (Raisch and Krakowski, 2021). If implemented solely for economic motives, this could result in a "job demand" use of GenAI, as described by Kellogg, Valentine and Christin (2020), that will lead to increased algorithmic control (e.g., replacing the professional writing of muckrakers as a cost-containment measure, and thereby diminishing the space for professional autonomy). This can bring about algorithmic anxiety and impact general job quality (Pak, Rovira and McLaughlin, 2026).</w:t>
      </w:r>
    </w:p>
    <w:p w14:paraId="4ABCC090" w14:textId="77777777" w:rsidR="00477A2D" w:rsidRPr="00F82232" w:rsidRDefault="00477A2D" w:rsidP="00477A2D">
      <w:pPr>
        <w:rPr>
          <w:b/>
          <w:bCs/>
          <w:i/>
          <w:iCs/>
        </w:rPr>
      </w:pPr>
      <w:r w:rsidRPr="00F82232">
        <w:rPr>
          <w:b/>
          <w:bCs/>
        </w:rPr>
        <w:t>H3: Structured employee training positively moderates the relationship between GenAI adoption and job quality, mitigating algorithmic anxiety.</w:t>
      </w:r>
      <w:r w:rsidRPr="00F82232">
        <w:rPr>
          <w:rStyle w:val="apple-converted-space"/>
          <w:rFonts w:ascii="Arial" w:hAnsi="Arial" w:cs="Arial"/>
          <w:b/>
          <w:bCs/>
          <w:color w:val="000000"/>
        </w:rPr>
        <w:t> </w:t>
      </w:r>
    </w:p>
    <w:p w14:paraId="46343784" w14:textId="45D207A3" w:rsidR="00477A2D" w:rsidRPr="00F82232" w:rsidRDefault="00F82232" w:rsidP="00477A2D">
      <w:r w:rsidRPr="00F82232">
        <w:t>The formalised training serves as an important "job resource". Digital upskilling gives employees an opportunity to move from the passive to the active</w:t>
      </w:r>
      <w:r w:rsidR="0018725E">
        <w:t>,</w:t>
      </w:r>
      <w:r w:rsidRPr="00F82232">
        <w:t xml:space="preserve"> </w:t>
      </w:r>
      <w:r w:rsidR="0018725E">
        <w:t xml:space="preserve">from </w:t>
      </w:r>
      <w:r w:rsidRPr="00F82232">
        <w:t xml:space="preserve">being performed by machines </w:t>
      </w:r>
      <w:r w:rsidR="0018725E">
        <w:t>to</w:t>
      </w:r>
      <w:r w:rsidRPr="00F82232">
        <w:t xml:space="preserve"> becom</w:t>
      </w:r>
      <w:r w:rsidR="0018725E">
        <w:t>ing</w:t>
      </w:r>
      <w:r w:rsidRPr="00F82232">
        <w:t xml:space="preserve"> operators </w:t>
      </w:r>
      <w:r w:rsidR="0018725E">
        <w:t>(</w:t>
      </w:r>
      <w:r w:rsidR="0018725E" w:rsidRPr="00F82232">
        <w:t>Savolainen et al., 2025</w:t>
      </w:r>
      <w:r w:rsidR="0018725E">
        <w:t>)</w:t>
      </w:r>
      <w:r w:rsidRPr="00F82232">
        <w:t xml:space="preserve">. Training can help demystify the technology and foster </w:t>
      </w:r>
      <w:r w:rsidR="0018725E">
        <w:t xml:space="preserve">a </w:t>
      </w:r>
      <w:r w:rsidRPr="00F82232">
        <w:t xml:space="preserve">positive attitude towards AI (Jarrahi, 2018) and reconstitute professional autonomy. Therefore, it is assumed that a </w:t>
      </w:r>
      <w:r w:rsidR="0018725E">
        <w:t>higher</w:t>
      </w:r>
      <w:r w:rsidRPr="00F82232">
        <w:t xml:space="preserve"> level of training will act as a buffer to offset any potential negative impact and consequently have an empowering effect on GenAI (Asif and Bashir, 2026).</w:t>
      </w:r>
    </w:p>
    <w:p w14:paraId="5C42AFAC" w14:textId="77777777" w:rsidR="00477A2D" w:rsidRPr="00F82232" w:rsidRDefault="00477A2D" w:rsidP="00477A2D">
      <w:pPr>
        <w:rPr>
          <w:rStyle w:val="apple-converted-space"/>
          <w:rFonts w:ascii="Arial" w:eastAsiaTheme="majorEastAsia" w:hAnsi="Arial" w:cs="Arial"/>
          <w:b/>
          <w:bCs/>
          <w:color w:val="000000"/>
        </w:rPr>
      </w:pPr>
      <w:r w:rsidRPr="00F82232">
        <w:rPr>
          <w:b/>
          <w:bCs/>
        </w:rPr>
        <w:t xml:space="preserve">H4: Transparent AI governance frameworks positively moderate the relationship between GenAI adoption and employee productivity, </w:t>
      </w:r>
      <w:r w:rsidR="00F82232">
        <w:rPr>
          <w:b/>
          <w:bCs/>
        </w:rPr>
        <w:t>maximis</w:t>
      </w:r>
      <w:r w:rsidRPr="00F82232">
        <w:rPr>
          <w:b/>
          <w:bCs/>
        </w:rPr>
        <w:t>ing operational output.</w:t>
      </w:r>
      <w:r w:rsidRPr="00F82232">
        <w:rPr>
          <w:rStyle w:val="apple-converted-space"/>
          <w:rFonts w:ascii="Arial" w:hAnsi="Arial" w:cs="Arial"/>
          <w:b/>
          <w:bCs/>
          <w:color w:val="000000"/>
        </w:rPr>
        <w:t> </w:t>
      </w:r>
    </w:p>
    <w:p w14:paraId="055A48D5" w14:textId="77777777" w:rsidR="00477A2D" w:rsidRPr="00F82232" w:rsidRDefault="00F82232" w:rsidP="00477A2D">
      <w:r w:rsidRPr="00F82232">
        <w:t>According to Institutional theory</w:t>
      </w:r>
      <w:r>
        <w:t>,</w:t>
      </w:r>
      <w:r w:rsidRPr="00F82232">
        <w:t xml:space="preserve"> in order to be well-functioning, a clear structure and legitimacy of the institution are crucial (OECD, 2023). In the absence of good governance, there could be a void where, similarly, SMEs could work in a void where they are unable to attain productivity improvements as a result of operating within a domain of unclear rules to follow. A transparent ethical policy of SMEs related to AI and data security, on the contrary, assists them in creating psychological safety (Ahmed, 2025). Having this trust can allow the </w:t>
      </w:r>
      <w:r w:rsidRPr="00F82232">
        <w:lastRenderedPageBreak/>
        <w:t>employees to fully experiment and leverage the technology without fearing the possibility of it being non-compliant, which in turn can reduce the impact on productivity.</w:t>
      </w:r>
    </w:p>
    <w:p w14:paraId="73A8C3B4" w14:textId="77777777" w:rsidR="00477A2D" w:rsidRPr="00F82232" w:rsidRDefault="00477A2D" w:rsidP="00477A2D">
      <w:pPr>
        <w:pStyle w:val="Heading2"/>
      </w:pPr>
      <w:bookmarkStart w:id="52" w:name="_Toc240816313"/>
      <w:bookmarkStart w:id="53" w:name="_Toc241050404"/>
      <w:r w:rsidRPr="00F82232">
        <w:t>2.5 The Empirical Imperative for UK SMEs</w:t>
      </w:r>
      <w:bookmarkEnd w:id="52"/>
      <w:bookmarkEnd w:id="53"/>
    </w:p>
    <w:p w14:paraId="2C68D6AA" w14:textId="35B23F49" w:rsidR="00F82232" w:rsidRDefault="00F82232" w:rsidP="00F82232">
      <w:r>
        <w:t xml:space="preserve">There is a consolidated interest </w:t>
      </w:r>
      <w:r w:rsidR="0018725E">
        <w:t>i</w:t>
      </w:r>
      <w:r>
        <w:t>n GenAI integration</w:t>
      </w:r>
      <w:r w:rsidR="0018725E">
        <w:t>,</w:t>
      </w:r>
      <w:r>
        <w:t xml:space="preserve"> yet it is very fragmented. From a macroeconomic point of view, models and theories (such as TOE) view GenAI as a disruptive technology (Parida, Sjödin and Reim, 2019)</w:t>
      </w:r>
      <w:r w:rsidR="0018725E">
        <w:t>.</w:t>
      </w:r>
      <w:r>
        <w:t xml:space="preserve"> </w:t>
      </w:r>
      <w:r w:rsidR="0018725E">
        <w:t>H</w:t>
      </w:r>
      <w:r>
        <w:t>owever, the practicalities of its operation are disputed. The application of the JD-R model brings the continuing automation-augmentation paradox (Raisch and Krakowski, 2021) to attention. Essentially, human-AI symbiosis has the potential to enhance the meaningfulness of work (Noy and Zhang, 2023; Jarrahi, 2018). In fact, sometimes the operation of algorithms as automatic management systems intensifies digital surveillance, which deprives autonomy (Kellogg, Valentine and Christin, 2020).</w:t>
      </w:r>
    </w:p>
    <w:p w14:paraId="4CFFFE6A" w14:textId="36C96CB4" w:rsidR="00F82232" w:rsidRDefault="00F82232" w:rsidP="00F82232">
      <w:r>
        <w:t xml:space="preserve">The notable in this debate is that </w:t>
      </w:r>
      <w:r w:rsidR="0018725E">
        <w:t xml:space="preserve">the </w:t>
      </w:r>
      <w:r>
        <w:t xml:space="preserve">present study draws on studies that tend to </w:t>
      </w:r>
      <w:r w:rsidR="0018725E">
        <w:t xml:space="preserve">engage </w:t>
      </w:r>
      <w:r>
        <w:t xml:space="preserve">more heavily </w:t>
      </w:r>
      <w:r w:rsidR="0018725E">
        <w:t>with</w:t>
      </w:r>
      <w:r>
        <w:t xml:space="preserve"> information harvested from large multinational corporations (Chui et al., 2023). These are able to absorb technological shifts with robust and supportive reskilling mechanisms approved by the ecosystem (WEF, 2023) and all-encompassing compliance plans (OECD, 2023). Thus, there is a need for further research on the functioning of GenAI in the resource</w:t>
      </w:r>
      <w:r w:rsidR="0018725E">
        <w:t>-limited</w:t>
      </w:r>
      <w:r>
        <w:t xml:space="preserve"> environments that SMEs are confronted </w:t>
      </w:r>
      <w:r w:rsidR="0018725E">
        <w:t>with</w:t>
      </w:r>
      <w:r>
        <w:t xml:space="preserve"> (Ben Slimane et al., 2022). The ability to </w:t>
      </w:r>
      <w:r w:rsidR="0018725E">
        <w:t>adopt</w:t>
      </w:r>
      <w:r>
        <w:t xml:space="preserve"> innovations is also challenging for UK SMEs due to limited internal capacities to execute and perform new innovations efficiently. </w:t>
      </w:r>
      <w:r w:rsidR="0018725E">
        <w:t>Dwivedi et al., (2021)</w:t>
      </w:r>
      <w:r>
        <w:t xml:space="preserve"> has not investigated much on how this lack of formalised training and clarity in AI governance affects productivity and algorithmic anxiety.</w:t>
      </w:r>
    </w:p>
    <w:p w14:paraId="13D00D5D" w14:textId="49A097FD" w:rsidR="00477A2D" w:rsidRPr="00F82232" w:rsidRDefault="00F82232" w:rsidP="00F82232">
      <w:r>
        <w:t>The need to transcend the general macroeconomic forecast is practical</w:t>
      </w:r>
      <w:r w:rsidR="0018725E">
        <w:t>:</w:t>
      </w:r>
      <w:r>
        <w:t xml:space="preserve"> getting a glimpse of SME staff's daily life. Managerial practices guided by these corporate approximations can be at risk of creating a workplace that is unsuitable for the SME workforce (Zhang et al., 2025). </w:t>
      </w:r>
      <w:r>
        <w:lastRenderedPageBreak/>
        <w:t>Thus, this study shifts the focus to primary data collection to identify and understand the moderating variables of upskilling and governance in smaller businesses.</w:t>
      </w:r>
      <w:r w:rsidR="00477A2D" w:rsidRPr="00F82232">
        <w:br w:type="page"/>
      </w:r>
    </w:p>
    <w:p w14:paraId="2F9D6EFF" w14:textId="77777777" w:rsidR="00477A2D" w:rsidRPr="00F82232" w:rsidRDefault="00477A2D" w:rsidP="00477A2D">
      <w:pPr>
        <w:pStyle w:val="Heading1"/>
      </w:pPr>
      <w:bookmarkStart w:id="54" w:name="_Toc240816314"/>
      <w:bookmarkStart w:id="55" w:name="_Toc241050405"/>
      <w:r w:rsidRPr="00F82232">
        <w:lastRenderedPageBreak/>
        <w:t>Chapter Three: Methodology</w:t>
      </w:r>
      <w:bookmarkEnd w:id="54"/>
      <w:bookmarkEnd w:id="55"/>
    </w:p>
    <w:p w14:paraId="45B7E7AE" w14:textId="77777777" w:rsidR="00477A2D" w:rsidRPr="00F82232" w:rsidRDefault="00477A2D" w:rsidP="00477A2D">
      <w:pPr>
        <w:pStyle w:val="Heading2"/>
      </w:pPr>
      <w:bookmarkStart w:id="56" w:name="_Toc240816315"/>
      <w:bookmarkStart w:id="57" w:name="_Toc241050406"/>
      <w:r w:rsidRPr="00F82232">
        <w:t>3.1 Introduction</w:t>
      </w:r>
      <w:bookmarkEnd w:id="56"/>
      <w:bookmarkEnd w:id="57"/>
    </w:p>
    <w:p w14:paraId="3B3FDD25" w14:textId="77777777" w:rsidR="00477A2D" w:rsidRPr="00F82232" w:rsidRDefault="00F82232" w:rsidP="00477A2D">
      <w:r w:rsidRPr="00F82232">
        <w:t xml:space="preserve">The chapter explains the methodology for the study of the effects of Generative Artificial Intelligence (GenAI) on employee productivity and job quality in Small to Medium-sized Enterprises (SMEs) in the UK. This chapter does not provide a comprehensive list of research strategies, but </w:t>
      </w:r>
      <w:r>
        <w:t>rather</w:t>
      </w:r>
      <w:r w:rsidRPr="00F82232">
        <w:t xml:space="preserve"> practical considerations that were made during the study to address the research questions. It includes information about the purpose of the study, why such an explanatory sequential mixed methods design was shown to be fitting for a pragmatic study, and the clear procedures for collecting, sampling and analy</w:t>
      </w:r>
      <w:r>
        <w:t>s</w:t>
      </w:r>
      <w:r w:rsidRPr="00F82232">
        <w:t>ing data. Additionally, it explores efforts to ensure that there are methods of guaranteeing statistical reliability, qualitative trustworthiness and institutional ethics.</w:t>
      </w:r>
    </w:p>
    <w:p w14:paraId="63C94248" w14:textId="000D19E9" w:rsidR="00477A2D" w:rsidRPr="00F82232" w:rsidRDefault="00477A2D" w:rsidP="00477A2D">
      <w:pPr>
        <w:pStyle w:val="Heading2"/>
      </w:pPr>
      <w:bookmarkStart w:id="58" w:name="_Toc240816317"/>
      <w:bookmarkStart w:id="59" w:name="_Toc241050407"/>
      <w:r w:rsidRPr="00F82232">
        <w:t>3.</w:t>
      </w:r>
      <w:r w:rsidR="00C758CF">
        <w:t xml:space="preserve">2 </w:t>
      </w:r>
      <w:r w:rsidRPr="00F82232">
        <w:t>Research Rationale</w:t>
      </w:r>
      <w:bookmarkEnd w:id="58"/>
      <w:bookmarkEnd w:id="59"/>
    </w:p>
    <w:p w14:paraId="3B00B6CC" w14:textId="267686C3" w:rsidR="00F82232" w:rsidRDefault="00F82232" w:rsidP="00F82232">
      <w:r>
        <w:t xml:space="preserve">The methodological justification for this research lies in the fact that many macroeconomic forecasts are presented in terms of AI and require investigation when looking at the on-the-ground operational realities of SMEs. </w:t>
      </w:r>
      <w:r w:rsidR="0018725E">
        <w:t xml:space="preserve">Chui et al. (2023) argued that </w:t>
      </w:r>
      <w:r>
        <w:t xml:space="preserve">available </w:t>
      </w:r>
      <w:r w:rsidR="0018725E">
        <w:t xml:space="preserve">information </w:t>
      </w:r>
      <w:r>
        <w:t>primarily uses information from large, heavily financed multinational corporations, and this information may not accurately represent the experiences of smaller corporations. SMEs' assets are limited, and they do not have time to dedicate to AI research teams or funds to play out contingencies typical of a corporate ecosystem environment (Ben Slimane et al., 2022). Therefore, it might be hard to make managerial suggestions if the understanding of SME digital transformation is based only on models found in a corporate-centric approach (Sirinanda and Balota, 2024).</w:t>
      </w:r>
    </w:p>
    <w:p w14:paraId="25718681" w14:textId="77777777" w:rsidR="00477A2D" w:rsidRPr="00F82232" w:rsidRDefault="00F82232" w:rsidP="00F82232">
      <w:r>
        <w:t xml:space="preserve">This research utilises a two-stage methodological approach to try to incorporate both the statistical variation of the diffusion of AI and the "human friction" when AI technologies are </w:t>
      </w:r>
      <w:r>
        <w:lastRenderedPageBreak/>
        <w:t>applied in unstructured environments with no formal training and governance infrastructure (Brynjolfsson, Li and Raymond, 2023). This study operationalises the Technology-Organisation-Environment (TOE) and the Job Demands-Resources (JD-R) framework by collecting primary data from which to gain grounded insights that can be useful for SME practitioners and policymakers both in the UK and when considering how to navigate the automation-augmentation paradox (Raisch and Krakowski, 2021).</w:t>
      </w:r>
    </w:p>
    <w:p w14:paraId="0F41C6E7" w14:textId="3B1F7A83" w:rsidR="00477A2D" w:rsidRPr="00F82232" w:rsidRDefault="00477A2D" w:rsidP="00477A2D">
      <w:pPr>
        <w:pStyle w:val="Heading2"/>
        <w:rPr>
          <w:rFonts w:cs="Vrinda"/>
        </w:rPr>
      </w:pPr>
      <w:bookmarkStart w:id="60" w:name="_Toc240816318"/>
      <w:bookmarkStart w:id="61" w:name="_Toc241050408"/>
      <w:r w:rsidRPr="00F82232">
        <w:t>3.</w:t>
      </w:r>
      <w:r w:rsidR="00C758CF">
        <w:t>3</w:t>
      </w:r>
      <w:r w:rsidRPr="00F82232">
        <w:t xml:space="preserve"> Research Design</w:t>
      </w:r>
      <w:bookmarkEnd w:id="60"/>
      <w:bookmarkEnd w:id="61"/>
    </w:p>
    <w:p w14:paraId="69783CB2" w14:textId="77777777" w:rsidR="00F82232" w:rsidRDefault="00F82232" w:rsidP="00F82232">
      <w:r>
        <w:t>The Explanatory Sequential Mixed-Methods Design (ESMMD) was used in this research (Creswell and Creswell, 2018).</w:t>
      </w:r>
    </w:p>
    <w:p w14:paraId="44BD5C05" w14:textId="6BC5FAE1" w:rsidR="00F82232" w:rsidRDefault="00F82232" w:rsidP="00F82232">
      <w:r>
        <w:t>A mono-method approach was taken into consideration, but was insufficient to explore the complexity of human-AI symbiosis in detail. While a purely quantitative, deductive approach is valuable in terms of productivity gains, the approach is unable to capture more nuanced psychological aspects of algorithmic surveillance and the deterioration of job quality (Basu et al., 2022). On the other hand, a purely qualitative and inductive approach provides deep insights into how the employee experience is, but cannot be very powerful and statistically sound for testing the moderation of training and governance. Hence, using a mixed method was the best option</w:t>
      </w:r>
      <w:r w:rsidR="0018725E">
        <w:t>,</w:t>
      </w:r>
      <w:r>
        <w:t xml:space="preserve"> </w:t>
      </w:r>
      <w:r w:rsidR="0018725E">
        <w:t>with</w:t>
      </w:r>
      <w:r>
        <w:t xml:space="preserve"> an almost even distribution of the two methods (Saunders et al., 2023).</w:t>
      </w:r>
    </w:p>
    <w:p w14:paraId="2F80001D" w14:textId="77777777" w:rsidR="00477A2D" w:rsidRPr="00F82232" w:rsidRDefault="00F82232" w:rsidP="00F82232">
      <w:r>
        <w:t xml:space="preserve">The methodological triangulation of the specific </w:t>
      </w:r>
      <w:r>
        <w:rPr>
          <w:kern w:val="0"/>
          <w14:ligatures w14:val="none"/>
        </w:rPr>
        <w:t>choice of Explanatory Sequential (Quantitative Phase 1 followed by Qualitative Phase 2) is justified by the need, when it is essential,</w:t>
      </w:r>
      <w:r>
        <w:t xml:space="preserve"> to have the support of an adequate method to show what is really the case. Phase 1 aims to set up an initial baseline of statistical linkages among GenAI use, productivity, and job quality. But it is not possible to elucidate fully through regression coefficients why certain variables interact. The results of these quantitative data analyses are then used in Phase 2 to deliberately choose an appropriate case for in-depth semi-structured interviews. Using this sequential bridging procedure allows for the qualitative inquiry to interpret the data in greater </w:t>
      </w:r>
      <w:r>
        <w:lastRenderedPageBreak/>
        <w:t>detail, as it is grounded in the statistical phenomena identified in Phase 1 (Gempes and Obenza, 2025).</w:t>
      </w:r>
    </w:p>
    <w:p w14:paraId="5C911946" w14:textId="7650EE00" w:rsidR="00477A2D" w:rsidRPr="00F82232" w:rsidRDefault="00477A2D" w:rsidP="00477A2D">
      <w:pPr>
        <w:pStyle w:val="Heading2"/>
      </w:pPr>
      <w:bookmarkStart w:id="62" w:name="_Toc240816319"/>
      <w:bookmarkStart w:id="63" w:name="_Toc241050409"/>
      <w:r w:rsidRPr="00F82232">
        <w:t>3.</w:t>
      </w:r>
      <w:r w:rsidR="00C758CF">
        <w:t>4</w:t>
      </w:r>
      <w:r w:rsidRPr="00F82232">
        <w:t xml:space="preserve"> Research Philosophy</w:t>
      </w:r>
      <w:bookmarkEnd w:id="62"/>
      <w:bookmarkEnd w:id="63"/>
    </w:p>
    <w:p w14:paraId="458369DF" w14:textId="77777777" w:rsidR="00F82232" w:rsidRDefault="00F82232" w:rsidP="00F82232">
      <w:r>
        <w:t>Research philosophy refers to the fundamental ontological (nature of reality) and epistemological (nature of knowledge) assumptions that underpin the research (Saunders et al., 2023).</w:t>
      </w:r>
    </w:p>
    <w:p w14:paraId="5D8168E0" w14:textId="77777777" w:rsidR="00F82232" w:rsidRDefault="00F82232" w:rsidP="00F82232">
      <w:r>
        <w:t>Positivism takes the form of a single reality that is measurable by deduction and a high level of structured, quantitative instrumentation (Park et al., 2020). Useful for the productivity indicator specifically being used for this study, strict positivism has difficulty in revealing the realities that are socially constructed, such as employee anxiety and employee perceived autonomy.</w:t>
      </w:r>
    </w:p>
    <w:p w14:paraId="48A1438C" w14:textId="77777777" w:rsidR="00F82232" w:rsidRDefault="00F82232" w:rsidP="00F82232">
      <w:r>
        <w:t>Interpretivism: Interpretivism posits that reality is subjective and multiple, and it is built by human interaction, and a researcher needs to immerse themselves in qualitative data to understand the meaning (Aguzzoli et al., 2024). Interpretivism, generally, does not test the statistical significance often required to address the primary hypotheses of this study to understand the concept of job quality; however, it is important for this understanding.</w:t>
      </w:r>
    </w:p>
    <w:p w14:paraId="6DA93A75" w14:textId="28A5F32A" w:rsidR="00477A2D" w:rsidRPr="00F82232" w:rsidRDefault="00F82232" w:rsidP="00F82232">
      <w:r>
        <w:t>The research has a Pragmatist philosophy. Pragmatism, therefore, challenges the dogmatic dichotomy of positivism and interpretivism</w:t>
      </w:r>
      <w:r w:rsidR="0018725E">
        <w:t xml:space="preserve"> </w:t>
      </w:r>
      <w:r>
        <w:t xml:space="preserve">and proposes that it is the question itself that should determine which epistemology is used to conduct the research (Casula et al., 2021). As this study asks a dual-nature question, the former being the objective of quantifying the efficiency in which AI devices are processed, and the latter subjective in terms of how AI devices impact humans' behaviours when interacting, the pragmatic approach was considered the most viable given the motivation of the study and the necessity to ask both questions (Jarrahi, 2018). It allows the researcher to include objective metrics and qualitative stories, knowing that job </w:t>
      </w:r>
      <w:r>
        <w:lastRenderedPageBreak/>
        <w:t>quality is subjective and experienced, and productivity is an objectively measurable reality (Borkowska and Jackson, 2026).</w:t>
      </w:r>
    </w:p>
    <w:p w14:paraId="10348A3A" w14:textId="14B25332" w:rsidR="00477A2D" w:rsidRPr="00F82232" w:rsidRDefault="00477A2D" w:rsidP="00477A2D">
      <w:pPr>
        <w:pStyle w:val="Heading2"/>
      </w:pPr>
      <w:bookmarkStart w:id="64" w:name="_Toc240816320"/>
      <w:bookmarkStart w:id="65" w:name="_Toc241050410"/>
      <w:r w:rsidRPr="00F82232">
        <w:t>3.</w:t>
      </w:r>
      <w:r w:rsidR="00C758CF">
        <w:t>5</w:t>
      </w:r>
      <w:r w:rsidRPr="00F82232">
        <w:t xml:space="preserve"> Data Collection</w:t>
      </w:r>
      <w:bookmarkEnd w:id="64"/>
      <w:bookmarkEnd w:id="65"/>
    </w:p>
    <w:p w14:paraId="4AA77FF4" w14:textId="77777777" w:rsidR="00F82232" w:rsidRDefault="00F82232" w:rsidP="00F82232">
      <w:r w:rsidRPr="00F82232">
        <w:t>Data collection was done in two stages in a sequence, which consisted of different and unique tools but with a structural connection.</w:t>
      </w:r>
    </w:p>
    <w:p w14:paraId="16E485EA" w14:textId="77777777" w:rsidR="00F82232" w:rsidRDefault="00F82232" w:rsidP="00F82232">
      <w:r>
        <w:t xml:space="preserve">Stage 1: Structured Online Questionnaire (Quantitative): </w:t>
      </w:r>
      <w:r w:rsidRPr="00F82232">
        <w:t>The major quantitative instrument used was a cross</w:t>
      </w:r>
      <w:r>
        <w:t>-</w:t>
      </w:r>
      <w:r w:rsidRPr="00F82232">
        <w:t>sectional survey which was sent out online using Qualtrics. Due to the requirement for inferential statistical testing for Hypotheses 1 through 4</w:t>
      </w:r>
      <w:r>
        <w:t>,</w:t>
      </w:r>
      <w:r w:rsidRPr="00F82232">
        <w:t xml:space="preserve"> a survey was used to collect standard data for the disparate geographic population quickly (Dillman, Smyth and Christian, 2014). In order to establish the construct validity, the questionnaire was based on pre-validated scales adapted from the literature and was peer-reviewed. Productivity constructs</w:t>
      </w:r>
      <w:r>
        <w:t>,</w:t>
      </w:r>
      <w:r w:rsidRPr="00F82232">
        <w:t xml:space="preserve"> task speed</w:t>
      </w:r>
      <w:r>
        <w:t xml:space="preserve"> and</w:t>
      </w:r>
      <w:r w:rsidRPr="00F82232">
        <w:t xml:space="preserve"> output quality, are directly reproduced from the experimental framework of Noy and Zhang (2023). The Job quality dimensions are </w:t>
      </w:r>
      <w:r>
        <w:t>operationalis</w:t>
      </w:r>
      <w:r w:rsidRPr="00F82232">
        <w:t>ed by scales taking into account the theoretical dimensions presented by Kellogg, Valentine and Christin (2020), which refer in their work to autonomy and algorithmic control. Governance and training effectiveness indicators are aligned with the institutions set up by the OECD (2023) and the World Economic Forum (2023). To collect responses, a 5-point Likert scale was used for obtaining the robust variance analysis.</w:t>
      </w:r>
    </w:p>
    <w:p w14:paraId="57F2266B" w14:textId="77777777" w:rsidR="00477A2D" w:rsidRPr="00F82232" w:rsidRDefault="00F82232" w:rsidP="00F82232">
      <w:r>
        <w:t xml:space="preserve">Stage 2: Semi-Structured Interviews (Qualitative): </w:t>
      </w:r>
      <w:r w:rsidRPr="00F82232">
        <w:t>To put the survey data into perspective, Phase 2 involved 25-minute semi</w:t>
      </w:r>
      <w:r>
        <w:t>-</w:t>
      </w:r>
      <w:r w:rsidRPr="00F82232">
        <w:t xml:space="preserve">structured interviews on Microsoft Teams or Zoom. The interview protocol was geared toward discussing the preliminary trends that were identified in the SPSS analysis for Stage 1. The instrument consists of open-ended questions to gain insightful and chronological responses regarding disruption in the workflow, cognitive load reduction in their daily lives and the effectiveness of the informal SME training activities (Kallmuenzer et al., 2024). The use of semi-structured interviews is justified here, as it is </w:t>
      </w:r>
      <w:r w:rsidRPr="00F82232">
        <w:lastRenderedPageBreak/>
        <w:t>necessary to ensure the discussion will focus on the research objectives, while also allowing flexibility for any ascertained employee insights to be explored (Bell and Bryman, 2022).</w:t>
      </w:r>
    </w:p>
    <w:p w14:paraId="7FB8AA7D" w14:textId="4445062C" w:rsidR="00477A2D" w:rsidRPr="00F82232" w:rsidRDefault="00477A2D" w:rsidP="00477A2D">
      <w:pPr>
        <w:pStyle w:val="Heading2"/>
      </w:pPr>
      <w:bookmarkStart w:id="66" w:name="_Toc240816321"/>
      <w:bookmarkStart w:id="67" w:name="_Toc241050411"/>
      <w:r w:rsidRPr="00F82232">
        <w:t>3.</w:t>
      </w:r>
      <w:r w:rsidR="00C758CF">
        <w:t>6</w:t>
      </w:r>
      <w:r w:rsidRPr="00F82232">
        <w:t xml:space="preserve"> Population and Sample</w:t>
      </w:r>
      <w:bookmarkEnd w:id="66"/>
      <w:bookmarkEnd w:id="67"/>
    </w:p>
    <w:p w14:paraId="6A717285" w14:textId="002AFB51" w:rsidR="00F82232" w:rsidRDefault="00F82232" w:rsidP="00F82232">
      <w:r>
        <w:t>The target population is clearly defined as professional full</w:t>
      </w:r>
      <w:r w:rsidR="0018725E">
        <w:t>-</w:t>
      </w:r>
      <w:r>
        <w:t>time workers who have actively worked with Generative AI tools in their weekly work in the past year, in SME organisations (those that employ less than 250 people) in the UK.</w:t>
      </w:r>
    </w:p>
    <w:p w14:paraId="1D4354ED" w14:textId="77777777" w:rsidR="00F82232" w:rsidRDefault="00F82232" w:rsidP="00F82232">
      <w:r>
        <w:t>For the quantitative component, it was planned to attain a statistically valid sample of 100-150 valid responses at the initial stage. G*Power software was used to calculate an a priori power analysis and recommended that if we include up to 5 predictors, we need at least 92 to get the standard statistical power of 0.80 based on a medium effect size (f^2 = 0.15) and alpha of 0.05 (Faul et al., 2009).</w:t>
      </w:r>
    </w:p>
    <w:p w14:paraId="3B1DBE32" w14:textId="77777777" w:rsidR="00F82232" w:rsidRDefault="00F82232" w:rsidP="00F82232">
      <w:r>
        <w:t>This was done by sharing the survey link for a four-week data collection period. The participants were actively sought via reputable job contacts on LinkedIn and through job boards of industry job groups that cover manufacturing, retail and professional services (Chui et al., 2023). The collection platform got 184 first clicks on the links and 166 returns. Then, in the subsequent data cleaning process in SPSS, 15 responses were excluded. These were due to the following: either the responses were mainly incomplete (e.g., the respondents gave up working through the survey), or they failed the initial screening questions (e.g., the respondent was an employee of a large corporation instead of an SME). This practical data cleaning process yielded a sample size of N=151 that was valid. For good statistical validity of the regression models, this sample size is more than sufficient as compared to the minimum sample size set by G*Power.</w:t>
      </w:r>
    </w:p>
    <w:p w14:paraId="7F16638B" w14:textId="77777777" w:rsidR="00F82232" w:rsidRDefault="00F82232" w:rsidP="00F82232">
      <w:r>
        <w:t xml:space="preserve">The purpose of the qualitative phase was to draw 5-6 individuals from the survey group by purposive sub-sampling. The strength of the Explanatory Sequential design is not volume, that is, 10-12 interviews for the standard qualitative mono-methodology, but "Information Power" </w:t>
      </w:r>
      <w:r>
        <w:lastRenderedPageBreak/>
        <w:t>(Malterud et al., 2015). As these are very specific, information-rich cases that were deliberately chosen to explain already existing quantitative data, the smaller sample does not have scarcity of content in terms of its explanatory power (Bouncken et al., 2025).</w:t>
      </w:r>
    </w:p>
    <w:p w14:paraId="18F5D478" w14:textId="77777777" w:rsidR="00477A2D" w:rsidRPr="00F82232" w:rsidRDefault="00F82232" w:rsidP="00F82232">
      <w:r>
        <w:t>The survey concluded with an enquiry as to whether respondents would be willing to attend a follow-up interview. The initial response was 9 persons who gave their contact particulars, showing they were interested. Nonetheless, because of scheduling conflicts, non-responses to follow-up and time limitations brought on by the dissertation deadline, five interviews were scheduled and finished up. The relatively large sample size of N=5 was considered to be enough for this explanatory phase because the interviews offered a lot of contextual detail, and directly addressed the anomalies in the survey results.</w:t>
      </w:r>
    </w:p>
    <w:p w14:paraId="29E4B492" w14:textId="5FEF78D0" w:rsidR="00477A2D" w:rsidRPr="00F82232" w:rsidRDefault="00477A2D" w:rsidP="00477A2D">
      <w:pPr>
        <w:pStyle w:val="Heading2"/>
      </w:pPr>
      <w:bookmarkStart w:id="68" w:name="_Toc240816322"/>
      <w:bookmarkStart w:id="69" w:name="_Toc241050412"/>
      <w:r w:rsidRPr="00F82232">
        <w:t>3.</w:t>
      </w:r>
      <w:r w:rsidR="00C758CF">
        <w:t>7</w:t>
      </w:r>
      <w:r w:rsidRPr="00F82232">
        <w:t xml:space="preserve"> Data and Analysis</w:t>
      </w:r>
      <w:bookmarkEnd w:id="68"/>
      <w:bookmarkEnd w:id="69"/>
    </w:p>
    <w:p w14:paraId="45F008A0" w14:textId="77777777" w:rsidR="00F82232" w:rsidRDefault="00F82232" w:rsidP="00F82232">
      <w:r>
        <w:t>The mixed-methods design means a two-step analysis, including computational statistics and manual thematic coding.</w:t>
      </w:r>
    </w:p>
    <w:p w14:paraId="2487B5D2" w14:textId="77777777" w:rsidR="00F82232" w:rsidRDefault="00F82232" w:rsidP="00F82232">
      <w:r>
        <w:t>All options of the raw survey data that contained incomplete answers were filtered out and coded into IBM SPSS Statistics. To arrive at the demographic variance profile of the SME respondents, descriptive statistics (m, s, skewness, kurtosis) were obtained from the initial procedures (Noel et al., 2026). Inferential statistics were used to test our main hypotheses. Multiple linear regression analysis was used to examine the direct impact of the independent variable (GenAI Adoption) on the dependent variables (Productivity and Job Quality). To check the moderating effects of Training and Governance (Hypotheses 3 and 4) Hayes' PROCESS macro for SPSS was used (Hayes, 2018). This higher-order technique identifies the interaction terms in a mathematical model, finding out how much more variance in the quality of jobs or productivity can be captured by adding governance and training on top of the direct effect of the technology.</w:t>
      </w:r>
    </w:p>
    <w:p w14:paraId="05570F03" w14:textId="77777777" w:rsidR="00477A2D" w:rsidRPr="00F82232" w:rsidRDefault="00F82232" w:rsidP="00F82232">
      <w:r>
        <w:lastRenderedPageBreak/>
        <w:t>The challenging analysis was done making use of the approach of Reflexive Thematic Analysis (TA) developed by Braun and Clarke (2006). This procedure includes (1) getting reacquainted with the data; (2) creation of initial semantic codes and latent codes; (3) looking for broad themes; (4) reviewing and refining the themes; (5) defining and naming themes; and (6) the analytical synthesis. The researcher used a manual method of ‘Describe-Analyse-Synthesise ', which provided the opportunity to relate individually with the participants' experiences in relation to the integration of the algorithm and pressures in the workplace.</w:t>
      </w:r>
    </w:p>
    <w:p w14:paraId="77E791C5" w14:textId="29446C4A" w:rsidR="00477A2D" w:rsidRPr="00F82232" w:rsidRDefault="00477A2D" w:rsidP="00477A2D">
      <w:pPr>
        <w:pStyle w:val="Heading2"/>
      </w:pPr>
      <w:bookmarkStart w:id="70" w:name="_Toc240816323"/>
      <w:bookmarkStart w:id="71" w:name="_Toc241050413"/>
      <w:r w:rsidRPr="00F82232">
        <w:t>3.</w:t>
      </w:r>
      <w:r w:rsidR="00C758CF">
        <w:t>8</w:t>
      </w:r>
      <w:r w:rsidRPr="00F82232">
        <w:t xml:space="preserve"> Reliability and Validity</w:t>
      </w:r>
      <w:bookmarkEnd w:id="70"/>
      <w:bookmarkEnd w:id="71"/>
    </w:p>
    <w:p w14:paraId="09D02ECD" w14:textId="77777777" w:rsidR="00F82232" w:rsidRDefault="00F82232" w:rsidP="00F82232">
      <w:r>
        <w:t>To maintain the integrity of the results, the quantitative and qualitative paradigms have specific criteria.</w:t>
      </w:r>
    </w:p>
    <w:p w14:paraId="12A0283F" w14:textId="77777777" w:rsidR="00F82232" w:rsidRDefault="00F82232" w:rsidP="00F82232">
      <w:r>
        <w:t>As part of the face-validation process, the survey instrument was given to a small number of SME professionals (n=10) as a pilot test to check for ambiguities in syntax and to operationalise the definitions, prior to its complete implementation. Multi-item constructs had external consistency (reliability) values which were deemed to be sufficient, with Cronbach's alpha coefficient values obtained within SPSS, using a threshold of alpha value &gt; 0.70. (DeVellis, 2016). Construct validity was accomplished by adopting scales from peer-reviewed publications as opposed to creating proprietary, untested scales.</w:t>
      </w:r>
    </w:p>
    <w:p w14:paraId="2534AE16" w14:textId="77777777" w:rsidR="00477A2D" w:rsidRPr="00F82232" w:rsidRDefault="00F82232" w:rsidP="00F82232">
      <w:r>
        <w:t>The criteria of trustworthiness: credibility, transferability, dependability and confirmability (Ahmed, 2024) were used to assess qualitative rigour. To ensure credibility, the interviewees were asked to review the initial thematic summations to confirm that there were accurate narratives in the data, namely “member checking”. Thick description of the SME contexts given in the final reporting helps in transferability. The theme analysis ran through Braun and Clarke (2006) positioning methodology to establish a clear methodological audit trail to support dependability and confirmability by documenting coding decisions.</w:t>
      </w:r>
    </w:p>
    <w:p w14:paraId="71075A7B" w14:textId="5BAE2FB3" w:rsidR="00477A2D" w:rsidRPr="00F82232" w:rsidRDefault="00477A2D" w:rsidP="00477A2D">
      <w:pPr>
        <w:pStyle w:val="Heading2"/>
      </w:pPr>
      <w:bookmarkStart w:id="72" w:name="_Toc240816324"/>
      <w:bookmarkStart w:id="73" w:name="_Toc241050414"/>
      <w:r w:rsidRPr="00F82232">
        <w:lastRenderedPageBreak/>
        <w:t>3.</w:t>
      </w:r>
      <w:r w:rsidR="00C758CF">
        <w:t>9</w:t>
      </w:r>
      <w:r w:rsidRPr="00F82232">
        <w:t xml:space="preserve"> Limitations of the Research</w:t>
      </w:r>
      <w:bookmarkEnd w:id="72"/>
      <w:bookmarkEnd w:id="73"/>
    </w:p>
    <w:p w14:paraId="42270E61" w14:textId="5022E94D" w:rsidR="00477A2D" w:rsidRPr="00F82232" w:rsidRDefault="00F82232" w:rsidP="00477A2D">
      <w:r w:rsidRPr="00F82232">
        <w:t>The methodological rigor was maintained</w:t>
      </w:r>
      <w:r>
        <w:t>,</w:t>
      </w:r>
      <w:r w:rsidRPr="00F82232">
        <w:t xml:space="preserve"> but some practical constraints and limitations of </w:t>
      </w:r>
      <w:r>
        <w:t>this</w:t>
      </w:r>
      <w:r w:rsidRPr="00F82232">
        <w:t xml:space="preserve"> type of study must be pointed out. First, th</w:t>
      </w:r>
      <w:r>
        <w:t>e</w:t>
      </w:r>
      <w:r w:rsidRPr="00F82232">
        <w:t xml:space="preserve"> </w:t>
      </w:r>
      <w:r>
        <w:t>cross-sectional</w:t>
      </w:r>
      <w:r w:rsidRPr="00F82232">
        <w:t xml:space="preserve"> quantitative survey gives a snapshot of the situation with GenAI integration at a certain moment in time. However, the regression models are not as reliable for indicating the long-term causal relationship of the variables in this case because of the lack of long</w:t>
      </w:r>
      <w:r>
        <w:t>-term</w:t>
      </w:r>
      <w:r w:rsidRPr="00F82232">
        <w:t xml:space="preserve"> data</w:t>
      </w:r>
      <w:r>
        <w:t>;</w:t>
      </w:r>
      <w:r w:rsidRPr="00F82232">
        <w:t xml:space="preserve"> only stronger relationships can be indicated (Soykan </w:t>
      </w:r>
      <w:r>
        <w:t>and</w:t>
      </w:r>
      <w:r w:rsidR="0018725E">
        <w:t xml:space="preserve"> </w:t>
      </w:r>
      <w:r w:rsidRPr="00F82232">
        <w:t>Wang 2025). Secondly, self-reported questionnaires to measure workplace productivity and subjective job quality are given in the same place of occurrence, which means there is a possibility of Common Method Bias (CMB) and social desirability bias. Employees can intentionally overestimate their technological skills and underestimate their job difficulties in accordance with management expectations (Podsakoff et al., 2003). To investigate these self-defining claims, the qualitative interview phase was included</w:t>
      </w:r>
      <w:r w:rsidR="0018725E">
        <w:t>,</w:t>
      </w:r>
      <w:r w:rsidRPr="00F82232">
        <w:t xml:space="preserve"> but given that only five interviews were carried out</w:t>
      </w:r>
      <w:r w:rsidR="0018725E">
        <w:t>,</w:t>
      </w:r>
      <w:r w:rsidRPr="00F82232">
        <w:t xml:space="preserve"> this may not completely eliminate bias in the wider faith community.</w:t>
      </w:r>
    </w:p>
    <w:p w14:paraId="6F5F7614" w14:textId="03B7A0C1" w:rsidR="00477A2D" w:rsidRPr="00F82232" w:rsidRDefault="00477A2D" w:rsidP="00477A2D">
      <w:pPr>
        <w:pStyle w:val="Heading2"/>
      </w:pPr>
      <w:bookmarkStart w:id="74" w:name="_Toc240816325"/>
      <w:bookmarkStart w:id="75" w:name="_Toc241050415"/>
      <w:r w:rsidRPr="00F82232">
        <w:t>3.1</w:t>
      </w:r>
      <w:r w:rsidR="00C758CF">
        <w:t>0</w:t>
      </w:r>
      <w:r w:rsidRPr="00F82232">
        <w:t xml:space="preserve"> Research Ethics</w:t>
      </w:r>
      <w:bookmarkEnd w:id="74"/>
      <w:bookmarkEnd w:id="75"/>
    </w:p>
    <w:p w14:paraId="3C41CB1C" w14:textId="77777777" w:rsidR="00F82232" w:rsidRDefault="00F82232" w:rsidP="00F82232">
      <w:r>
        <w:t>This study has been carried out in accordance with the ethical guidelines laid out by the University of Wales Trinity Saint David (UWTSD). Primary data collections involved a detailed application for ethical approval formulated and ratified for each collection. It adheres to the ethical rules of research such as Voluntary participation, informed consent and safeguarding participants from physical, psychological and other harms (Bell and Bryman, 2022). Sensitive topics have been covered in the study in terms of job security and organisation monitoring, so protection of psychological well-being of participants and SMEs' commercial sensitivity was paramount.</w:t>
      </w:r>
    </w:p>
    <w:p w14:paraId="4319D61A" w14:textId="77777777" w:rsidR="00477A2D" w:rsidRPr="00F82232" w:rsidRDefault="00F82232" w:rsidP="00F82232">
      <w:r>
        <w:t xml:space="preserve">Informed consent was obtained digitally prior to completing the online survey, and in writing prior to conducting the interviews. They were told that they could stop taking part in the </w:t>
      </w:r>
      <w:r>
        <w:lastRenderedPageBreak/>
        <w:t>research at that point without penalty or prejudice. Each set of data was intentionally de-identified in order to ensure the anonymity of the participants; the survey data was anonymised, and the interview transcripts were pseudonymised (e.g., Participant 1, UK Manufacturing). All the raw material, including encoded sound recordings and SPSS files, is securely stored on UWTSD-approved servers in accordance with the Research Data Management Policy (UWTSD).</w:t>
      </w:r>
    </w:p>
    <w:p w14:paraId="5137709F" w14:textId="77777777" w:rsidR="007F2EE8" w:rsidRPr="00F82232" w:rsidRDefault="007F2EE8">
      <w:pPr>
        <w:spacing w:line="240" w:lineRule="auto"/>
        <w:jc w:val="left"/>
      </w:pPr>
      <w:r w:rsidRPr="00F82232">
        <w:br w:type="page"/>
      </w:r>
    </w:p>
    <w:p w14:paraId="56E8610C" w14:textId="77777777" w:rsidR="007F2EE8" w:rsidRPr="00F82232" w:rsidRDefault="007F2EE8" w:rsidP="007F2EE8">
      <w:pPr>
        <w:pStyle w:val="Heading1"/>
      </w:pPr>
      <w:bookmarkStart w:id="76" w:name="_Toc240816326"/>
      <w:bookmarkStart w:id="77" w:name="_Toc241050416"/>
      <w:r w:rsidRPr="00F82232">
        <w:lastRenderedPageBreak/>
        <w:t>Chapter Four: Findings and Discussion</w:t>
      </w:r>
      <w:bookmarkEnd w:id="76"/>
      <w:bookmarkEnd w:id="77"/>
    </w:p>
    <w:p w14:paraId="2BDFE8AB" w14:textId="77777777" w:rsidR="007F2EE8" w:rsidRDefault="007F2EE8" w:rsidP="007F2EE8">
      <w:pPr>
        <w:pStyle w:val="Heading2"/>
      </w:pPr>
      <w:bookmarkStart w:id="78" w:name="_Toc240816327"/>
      <w:bookmarkStart w:id="79" w:name="_Toc241050417"/>
      <w:r w:rsidRPr="00F82232">
        <w:t>4.1 Introduction</w:t>
      </w:r>
      <w:bookmarkEnd w:id="78"/>
      <w:bookmarkEnd w:id="79"/>
    </w:p>
    <w:p w14:paraId="47EDC3C2" w14:textId="77777777" w:rsidR="00F82232" w:rsidRPr="00F82232" w:rsidRDefault="00F82232" w:rsidP="00F82232">
      <w:r w:rsidRPr="00F82232">
        <w:t>The chapter provides the results of the mixed-methods data collection, which corresponds to the objectives of the study related to the integration of Generative AI in UK SMEs. First, it presents the quantitative findings from the surveys (N=151), using PROCESS moderation analysis to assess the associations among GenAI adoption, productivity, job quality, training, and governance. Second, it offers a thematic analysis of five interviews conducted at the end of the study to follow up. This qualitative phase is necessary to make sense of the statistical trends and get a deeper sense of the lived reality of the SME staff's operational experiences.</w:t>
      </w:r>
    </w:p>
    <w:p w14:paraId="077BC8F0" w14:textId="77777777" w:rsidR="007F2EE8" w:rsidRPr="00F82232" w:rsidRDefault="007F2EE8" w:rsidP="007F2EE8">
      <w:pPr>
        <w:pStyle w:val="Heading2"/>
      </w:pPr>
      <w:bookmarkStart w:id="80" w:name="_Toc240816328"/>
      <w:bookmarkStart w:id="81" w:name="_Toc241050418"/>
      <w:r w:rsidRPr="00F82232">
        <w:t>4.2 Findings</w:t>
      </w:r>
      <w:bookmarkEnd w:id="80"/>
      <w:bookmarkEnd w:id="81"/>
    </w:p>
    <w:p w14:paraId="22C38549" w14:textId="224FEBC8" w:rsidR="009F799C" w:rsidRDefault="007F2EE8" w:rsidP="009F799C">
      <w:pPr>
        <w:pStyle w:val="Heading3"/>
      </w:pPr>
      <w:bookmarkStart w:id="82" w:name="_Toc240816329"/>
      <w:bookmarkStart w:id="83" w:name="_Toc241050419"/>
      <w:r w:rsidRPr="00F82232">
        <w:t>4.2.1 Demographic Findings</w:t>
      </w:r>
      <w:bookmarkEnd w:id="82"/>
      <w:bookmarkEnd w:id="83"/>
    </w:p>
    <w:p w14:paraId="779AE34C" w14:textId="0A3BE6D6" w:rsidR="009F799C" w:rsidRDefault="009F799C" w:rsidP="009F799C">
      <w:pPr>
        <w:autoSpaceDE w:val="0"/>
        <w:autoSpaceDN w:val="0"/>
        <w:adjustRightInd w:val="0"/>
        <w:spacing w:line="240" w:lineRule="auto"/>
        <w:jc w:val="left"/>
        <w:rPr>
          <w:rFonts w:cs="Times New Roman"/>
          <w:color w:val="auto"/>
          <w:kern w:val="0"/>
          <w:szCs w:val="24"/>
          <w:lang w:bidi="hi-IN"/>
        </w:rPr>
      </w:pPr>
      <w:r>
        <w:rPr>
          <w:rFonts w:cs="Times New Roman"/>
          <w:noProof/>
          <w:color w:val="auto"/>
          <w:kern w:val="0"/>
          <w:szCs w:val="24"/>
          <w:lang w:bidi="hi-IN"/>
        </w:rPr>
        <w:drawing>
          <wp:inline distT="0" distB="0" distL="0" distR="0" wp14:anchorId="6D465A24" wp14:editId="132B9691">
            <wp:extent cx="5731510" cy="3377565"/>
            <wp:effectExtent l="0" t="0" r="0" b="635"/>
            <wp:docPr id="844295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14:paraId="7195FE76" w14:textId="5CCBDEDD" w:rsidR="009F799C" w:rsidRDefault="009F799C" w:rsidP="009F799C">
      <w:pPr>
        <w:pStyle w:val="Caption"/>
        <w:rPr>
          <w:rFonts w:cs="Times New Roman"/>
          <w:color w:val="auto"/>
          <w:kern w:val="0"/>
          <w:szCs w:val="24"/>
          <w:lang w:bidi="hi-IN"/>
        </w:rPr>
      </w:pPr>
      <w:bookmarkStart w:id="84" w:name="_Toc241052621"/>
      <w:r>
        <w:t xml:space="preserve">Figure </w:t>
      </w:r>
      <w:fldSimple w:instr=" SEQ Figure \* ARABIC ">
        <w:r>
          <w:rPr>
            <w:noProof/>
          </w:rPr>
          <w:t>4</w:t>
        </w:r>
      </w:fldSimple>
      <w:r>
        <w:t>: R</w:t>
      </w:r>
      <w:r w:rsidRPr="009F799C">
        <w:t>espondents utilise Generative AI tools within their daily professional workflows</w:t>
      </w:r>
      <w:bookmarkEnd w:id="84"/>
    </w:p>
    <w:p w14:paraId="304C368E" w14:textId="41992DDB" w:rsidR="009F799C" w:rsidRPr="009F799C" w:rsidRDefault="009F799C" w:rsidP="009F799C">
      <w:r w:rsidRPr="009F799C">
        <w:t xml:space="preserve">The first pie chart, "Figure 4", provides insights into how and how often surveyed respondents use Generative AI tools as part of their daily professional workflow. It was found that the majority of users use these every day without issues, with a high rate of those users (64.24%) </w:t>
      </w:r>
      <w:r w:rsidRPr="009F799C">
        <w:lastRenderedPageBreak/>
        <w:t>using these tools daily. 23.18% is the second</w:t>
      </w:r>
      <w:r>
        <w:t>-</w:t>
      </w:r>
      <w:r w:rsidRPr="009F799C">
        <w:t xml:space="preserve">largest group who stated that they use emerging technology more than once a week. The true using group (once a week) </w:t>
      </w:r>
      <w:r>
        <w:t xml:space="preserve">is </w:t>
      </w:r>
      <w:r w:rsidRPr="009F799C">
        <w:t>shown as a much smaller portion, 9.27% of the sample, with exactly 3.31% reporting using GenAI rarely.</w:t>
      </w:r>
    </w:p>
    <w:p w14:paraId="76D5A02D" w14:textId="1EC26B61" w:rsidR="009F799C" w:rsidRDefault="009F799C" w:rsidP="009F799C">
      <w:pPr>
        <w:autoSpaceDE w:val="0"/>
        <w:autoSpaceDN w:val="0"/>
        <w:adjustRightInd w:val="0"/>
        <w:spacing w:line="240" w:lineRule="auto"/>
        <w:jc w:val="left"/>
        <w:rPr>
          <w:rFonts w:cs="Times New Roman"/>
          <w:color w:val="auto"/>
          <w:kern w:val="0"/>
          <w:szCs w:val="24"/>
          <w:lang w:bidi="hi-IN"/>
        </w:rPr>
      </w:pPr>
      <w:r>
        <w:rPr>
          <w:rFonts w:cs="Times New Roman"/>
          <w:noProof/>
          <w:color w:val="auto"/>
          <w:kern w:val="0"/>
          <w:szCs w:val="24"/>
          <w:lang w:bidi="hi-IN"/>
        </w:rPr>
        <w:drawing>
          <wp:inline distT="0" distB="0" distL="0" distR="0" wp14:anchorId="3EFD0A3E" wp14:editId="22292022">
            <wp:extent cx="5731510" cy="3377565"/>
            <wp:effectExtent l="0" t="0" r="0" b="635"/>
            <wp:docPr id="2289519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14:paraId="7C6EE032" w14:textId="77777777" w:rsidR="009F799C" w:rsidRDefault="009F799C" w:rsidP="009F799C">
      <w:pPr>
        <w:autoSpaceDE w:val="0"/>
        <w:autoSpaceDN w:val="0"/>
        <w:adjustRightInd w:val="0"/>
        <w:spacing w:line="240" w:lineRule="auto"/>
        <w:jc w:val="left"/>
        <w:rPr>
          <w:rFonts w:cs="Times New Roman"/>
          <w:color w:val="auto"/>
          <w:kern w:val="0"/>
          <w:szCs w:val="24"/>
          <w:lang w:bidi="hi-IN"/>
        </w:rPr>
      </w:pPr>
    </w:p>
    <w:p w14:paraId="58AEA257" w14:textId="3847AC14" w:rsidR="009F799C" w:rsidRDefault="009F799C" w:rsidP="009F799C">
      <w:pPr>
        <w:pStyle w:val="Caption"/>
      </w:pPr>
      <w:bookmarkStart w:id="85" w:name="_Toc241052622"/>
      <w:r>
        <w:t xml:space="preserve">Figure </w:t>
      </w:r>
      <w:fldSimple w:instr=" SEQ Figure \* ARABIC ">
        <w:r>
          <w:rPr>
            <w:noProof/>
          </w:rPr>
          <w:t>5</w:t>
        </w:r>
      </w:fldSimple>
      <w:r>
        <w:t>: R</w:t>
      </w:r>
      <w:r w:rsidRPr="009F799C">
        <w:t>espondents' respective organi</w:t>
      </w:r>
      <w:r>
        <w:t>s</w:t>
      </w:r>
      <w:r w:rsidRPr="009F799C">
        <w:t>ations actively operate</w:t>
      </w:r>
      <w:bookmarkEnd w:id="85"/>
    </w:p>
    <w:p w14:paraId="6EE593F4" w14:textId="550356A1" w:rsidR="009F799C" w:rsidRPr="009F799C" w:rsidRDefault="009F799C" w:rsidP="009F799C">
      <w:r>
        <w:t xml:space="preserve">The second pie chart, "Figure 5", shows details about the various primary industry sectors respondents' own organisations are engaged in, which illustrates a variety of professional fields. It's 36.42% of the respondents and is the largest proportion of participants working directly in the Professional Services sector. The next most prominent sector is Retail and E-commerce, which directly accounts for exactly 27.15% of the respondents. The other key piece of manufacturing and engineering would be another big one at 21.19%. As far as key industry segments are concerned, the largest is Technology and IT Services, accounting for 9.93% of the sample, followed by the Healthcare and Life Sciences sector, which represents the smallest with 5.30%.   </w:t>
      </w:r>
    </w:p>
    <w:p w14:paraId="29725C1F" w14:textId="05B5EA66" w:rsidR="009F799C" w:rsidRDefault="009F799C" w:rsidP="009F799C">
      <w:pPr>
        <w:autoSpaceDE w:val="0"/>
        <w:autoSpaceDN w:val="0"/>
        <w:adjustRightInd w:val="0"/>
        <w:spacing w:line="240" w:lineRule="auto"/>
        <w:jc w:val="left"/>
        <w:rPr>
          <w:rFonts w:cs="Times New Roman"/>
          <w:color w:val="auto"/>
          <w:kern w:val="0"/>
          <w:szCs w:val="24"/>
          <w:lang w:bidi="hi-IN"/>
        </w:rPr>
      </w:pPr>
      <w:r>
        <w:rPr>
          <w:rFonts w:cs="Times New Roman"/>
          <w:noProof/>
          <w:color w:val="auto"/>
          <w:kern w:val="0"/>
          <w:szCs w:val="24"/>
          <w:lang w:bidi="hi-IN"/>
        </w:rPr>
        <w:lastRenderedPageBreak/>
        <w:drawing>
          <wp:inline distT="0" distB="0" distL="0" distR="0" wp14:anchorId="0C7ECD69" wp14:editId="42244D4A">
            <wp:extent cx="5731510" cy="3377565"/>
            <wp:effectExtent l="0" t="0" r="0" b="635"/>
            <wp:docPr id="133068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14:paraId="2344EA94" w14:textId="19459A71" w:rsidR="009F799C" w:rsidRDefault="009F799C" w:rsidP="009F799C">
      <w:pPr>
        <w:pStyle w:val="Caption"/>
        <w:rPr>
          <w:rFonts w:cs="Times New Roman"/>
          <w:color w:val="auto"/>
          <w:kern w:val="0"/>
          <w:szCs w:val="24"/>
          <w:lang w:bidi="hi-IN"/>
        </w:rPr>
      </w:pPr>
      <w:bookmarkStart w:id="86" w:name="_Toc241052623"/>
      <w:r>
        <w:t xml:space="preserve">Figure </w:t>
      </w:r>
      <w:fldSimple w:instr=" SEQ Figure \* ARABIC ">
        <w:r>
          <w:rPr>
            <w:noProof/>
          </w:rPr>
          <w:t>6</w:t>
        </w:r>
      </w:fldSimple>
      <w:r>
        <w:t>: O</w:t>
      </w:r>
      <w:r w:rsidRPr="009F799C">
        <w:t>ccupational role level</w:t>
      </w:r>
      <w:r>
        <w:t xml:space="preserve"> of the respondents</w:t>
      </w:r>
      <w:bookmarkEnd w:id="86"/>
    </w:p>
    <w:p w14:paraId="3243BA46" w14:textId="70AF5E2E" w:rsidR="007F2EE8" w:rsidRPr="00193090" w:rsidRDefault="009F799C" w:rsidP="009F799C">
      <w:pPr>
        <w:rPr>
          <w:lang w:bidi="hi-IN"/>
        </w:rPr>
      </w:pPr>
      <w:r w:rsidRPr="009F799C">
        <w:rPr>
          <w:lang w:bidi="hi-IN"/>
        </w:rPr>
        <w:t>The third pie chart, “Figure 6", categori</w:t>
      </w:r>
      <w:r>
        <w:rPr>
          <w:lang w:bidi="hi-IN"/>
        </w:rPr>
        <w:t>se</w:t>
      </w:r>
      <w:r w:rsidRPr="009F799C">
        <w:rPr>
          <w:lang w:bidi="hi-IN"/>
        </w:rPr>
        <w:t>s all the surveyed respondents simply according to their primary occupation role level. The largest age group is understandably the group of Entry-level or Junior participants with 40.40%. Mid-level Professionals and Specialists are also not far behind, accounting for exactly 35.76% of the overall workforce sample. Those engaged in Management or Supervisory professions comprise about one-fifth of the respondents (specifically 19.87%). Lastly, Executive &amp; C-Suite is clearly the smallest segment of this population with just 3.97% of the population.</w:t>
      </w:r>
    </w:p>
    <w:p w14:paraId="3925FD7E" w14:textId="77777777" w:rsidR="007F2EE8" w:rsidRDefault="007F2EE8" w:rsidP="00F82232">
      <w:pPr>
        <w:pStyle w:val="Heading3"/>
      </w:pPr>
      <w:bookmarkStart w:id="87" w:name="_Toc240816330"/>
      <w:bookmarkStart w:id="88" w:name="_Toc241050420"/>
      <w:r w:rsidRPr="00F82232">
        <w:t>4.2.2 Reliability Test</w:t>
      </w:r>
      <w:bookmarkEnd w:id="87"/>
      <w:bookmarkEnd w:id="88"/>
    </w:p>
    <w:p w14:paraId="017A98EE" w14:textId="0B81F8B3" w:rsidR="00193090" w:rsidRPr="00193090" w:rsidRDefault="009F799C" w:rsidP="009F799C">
      <w:pPr>
        <w:pStyle w:val="Caption"/>
      </w:pPr>
      <w:bookmarkStart w:id="89" w:name="_Toc241052635"/>
      <w:r>
        <w:t xml:space="preserve">Table </w:t>
      </w:r>
      <w:fldSimple w:instr=" SEQ Table \* ARABIC ">
        <w:r>
          <w:rPr>
            <w:noProof/>
          </w:rPr>
          <w:t>2</w:t>
        </w:r>
      </w:fldSimple>
      <w:r>
        <w:t xml:space="preserve">: </w:t>
      </w:r>
      <w:r w:rsidR="00193090" w:rsidRPr="00F82232">
        <w:t>Reliability Test</w:t>
      </w:r>
      <w:bookmarkEnd w:id="89"/>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4760"/>
        <w:gridCol w:w="4266"/>
      </w:tblGrid>
      <w:tr w:rsidR="007F2EE8" w:rsidRPr="00F82232" w14:paraId="39E22E34" w14:textId="77777777" w:rsidTr="007F2EE8">
        <w:trPr>
          <w:cantSplit/>
        </w:trPr>
        <w:tc>
          <w:tcPr>
            <w:tcW w:w="5000" w:type="pct"/>
            <w:gridSpan w:val="2"/>
            <w:tcBorders>
              <w:top w:val="nil"/>
              <w:left w:val="nil"/>
              <w:bottom w:val="nil"/>
              <w:right w:val="nil"/>
            </w:tcBorders>
            <w:shd w:val="clear" w:color="auto" w:fill="FFFFFF"/>
            <w:vAlign w:val="center"/>
          </w:tcPr>
          <w:p w14:paraId="574980E1"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i/>
                <w:iCs/>
                <w:color w:val="000000"/>
                <w:kern w:val="0"/>
                <w:szCs w:val="24"/>
                <w:lang w:bidi="hi-IN"/>
              </w:rPr>
              <w:t>Reliability Statistics</w:t>
            </w:r>
          </w:p>
        </w:tc>
      </w:tr>
      <w:tr w:rsidR="007F2EE8" w:rsidRPr="00F82232" w14:paraId="56442A38" w14:textId="77777777" w:rsidTr="007F2EE8">
        <w:trPr>
          <w:cantSplit/>
        </w:trPr>
        <w:tc>
          <w:tcPr>
            <w:tcW w:w="2637" w:type="pct"/>
            <w:tcBorders>
              <w:left w:val="nil"/>
              <w:right w:val="nil"/>
            </w:tcBorders>
            <w:shd w:val="clear" w:color="auto" w:fill="FFFFFF"/>
            <w:vAlign w:val="bottom"/>
          </w:tcPr>
          <w:p w14:paraId="3513468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Cronbach's Alpha</w:t>
            </w:r>
          </w:p>
        </w:tc>
        <w:tc>
          <w:tcPr>
            <w:tcW w:w="2363" w:type="pct"/>
            <w:tcBorders>
              <w:left w:val="nil"/>
              <w:right w:val="nil"/>
            </w:tcBorders>
            <w:shd w:val="clear" w:color="auto" w:fill="FFFFFF"/>
            <w:vAlign w:val="bottom"/>
          </w:tcPr>
          <w:p w14:paraId="3F846C86"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N of Items</w:t>
            </w:r>
          </w:p>
        </w:tc>
      </w:tr>
      <w:tr w:rsidR="007F2EE8" w:rsidRPr="00F82232" w14:paraId="0127B764" w14:textId="77777777" w:rsidTr="007F2EE8">
        <w:trPr>
          <w:cantSplit/>
        </w:trPr>
        <w:tc>
          <w:tcPr>
            <w:tcW w:w="2637" w:type="pct"/>
            <w:tcBorders>
              <w:left w:val="nil"/>
              <w:right w:val="nil"/>
            </w:tcBorders>
            <w:shd w:val="clear" w:color="auto" w:fill="FFFFFF"/>
          </w:tcPr>
          <w:p w14:paraId="1014828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.968</w:t>
            </w:r>
          </w:p>
        </w:tc>
        <w:tc>
          <w:tcPr>
            <w:tcW w:w="2363" w:type="pct"/>
            <w:tcBorders>
              <w:left w:val="nil"/>
              <w:right w:val="nil"/>
            </w:tcBorders>
            <w:shd w:val="clear" w:color="auto" w:fill="FFFFFF"/>
          </w:tcPr>
          <w:p w14:paraId="7DDF78B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21</w:t>
            </w:r>
          </w:p>
        </w:tc>
      </w:tr>
    </w:tbl>
    <w:p w14:paraId="6BB32ACD" w14:textId="77777777" w:rsidR="007F2EE8" w:rsidRPr="00F82232" w:rsidRDefault="007F2EE8" w:rsidP="007F2EE8">
      <w:pPr>
        <w:autoSpaceDE w:val="0"/>
        <w:autoSpaceDN w:val="0"/>
        <w:adjustRightInd w:val="0"/>
        <w:spacing w:line="400" w:lineRule="atLeast"/>
        <w:jc w:val="left"/>
        <w:rPr>
          <w:rFonts w:cs="Times New Roman"/>
          <w:color w:val="auto"/>
          <w:kern w:val="0"/>
          <w:szCs w:val="24"/>
          <w:lang w:bidi="hi-IN"/>
        </w:rPr>
      </w:pPr>
    </w:p>
    <w:p w14:paraId="537DF282" w14:textId="7AD98959" w:rsidR="007F2EE8" w:rsidRPr="00F82232" w:rsidRDefault="007F2EE8" w:rsidP="007F2EE8">
      <w:pPr>
        <w:rPr>
          <w:lang w:bidi="hi-IN"/>
        </w:rPr>
      </w:pPr>
      <w:r w:rsidRPr="00F82232">
        <w:rPr>
          <w:lang w:bidi="hi-IN"/>
        </w:rPr>
        <w:t>The internal consistency of the survey instrument was evaluated using Cronbach’s Alpha</w:t>
      </w:r>
      <w:r w:rsidR="00F82232" w:rsidRPr="00F82232">
        <w:rPr>
          <w:lang w:bidi="hi-IN"/>
        </w:rPr>
        <w:t xml:space="preserve">. There was a coefficient of .968 with the 21 measurement items. This is well above the .70 academic </w:t>
      </w:r>
      <w:r w:rsidR="00F82232" w:rsidRPr="00F82232">
        <w:rPr>
          <w:lang w:bidi="hi-IN"/>
        </w:rPr>
        <w:lastRenderedPageBreak/>
        <w:t>cutoff</w:t>
      </w:r>
      <w:r w:rsidR="00F82232">
        <w:rPr>
          <w:lang w:bidi="hi-IN"/>
        </w:rPr>
        <w:t>,</w:t>
      </w:r>
      <w:r w:rsidR="00F82232" w:rsidRPr="00F82232">
        <w:rPr>
          <w:lang w:bidi="hi-IN"/>
        </w:rPr>
        <w:t xml:space="preserve"> indicating a very high internal reliability. This indicates that all of the items in the survey are highly correlated and they measure the same latent variable. Therefore, the scale used in the measurement has good psychometric properties</w:t>
      </w:r>
      <w:r w:rsidR="007D4D16">
        <w:rPr>
          <w:lang w:bidi="hi-IN"/>
        </w:rPr>
        <w:t>,</w:t>
      </w:r>
      <w:r w:rsidR="00F82232" w:rsidRPr="00F82232">
        <w:rPr>
          <w:lang w:bidi="hi-IN"/>
        </w:rPr>
        <w:t xml:space="preserve"> so that the data obtained are very reliable for later inferential and regression analysis.</w:t>
      </w:r>
    </w:p>
    <w:p w14:paraId="21CD4A28" w14:textId="77777777" w:rsidR="007F2EE8" w:rsidRPr="00F82232" w:rsidRDefault="007F2EE8" w:rsidP="007F2EE8">
      <w:pPr>
        <w:pStyle w:val="Heading3"/>
      </w:pPr>
      <w:bookmarkStart w:id="90" w:name="_Toc240816331"/>
      <w:bookmarkStart w:id="91" w:name="_Toc241050421"/>
      <w:r w:rsidRPr="00F82232">
        <w:t>4.2.3 Descriptive Findings</w:t>
      </w:r>
      <w:bookmarkEnd w:id="90"/>
      <w:bookmarkEnd w:id="91"/>
    </w:p>
    <w:p w14:paraId="5BA2ADB5" w14:textId="60970F26" w:rsidR="007F2EE8" w:rsidRPr="00193090" w:rsidRDefault="00193090" w:rsidP="00193090">
      <w:pPr>
        <w:pStyle w:val="Caption"/>
      </w:pPr>
      <w:bookmarkStart w:id="92" w:name="_Toc241052636"/>
      <w:r>
        <w:t xml:space="preserve">Table </w:t>
      </w:r>
      <w:fldSimple w:instr=" SEQ Table \* ARABIC ">
        <w:r w:rsidR="009F799C">
          <w:rPr>
            <w:noProof/>
          </w:rPr>
          <w:t>3</w:t>
        </w:r>
      </w:fldSimple>
      <w:r>
        <w:t xml:space="preserve">: </w:t>
      </w:r>
      <w:r w:rsidR="007F2EE8" w:rsidRPr="00193090">
        <w:t>Generative AI Adoption (GAA)</w:t>
      </w:r>
      <w:bookmarkEnd w:id="92"/>
      <w:r w:rsidR="007F2EE8" w:rsidRPr="00193090">
        <w:rPr>
          <w:rStyle w:val="apple-converted-space"/>
          <w:rFonts w:ascii="-webkit-standard" w:hAnsi="-webkit-standard"/>
          <w:color w:val="000000"/>
          <w:sz w:val="27"/>
          <w:szCs w:val="27"/>
        </w:rPr>
        <w:t>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48"/>
        <w:gridCol w:w="905"/>
        <w:gridCol w:w="905"/>
        <w:gridCol w:w="691"/>
        <w:gridCol w:w="1087"/>
        <w:gridCol w:w="1007"/>
        <w:gridCol w:w="904"/>
        <w:gridCol w:w="691"/>
        <w:gridCol w:w="904"/>
        <w:gridCol w:w="684"/>
      </w:tblGrid>
      <w:tr w:rsidR="007F2EE8" w:rsidRPr="00F82232" w14:paraId="07961CF2" w14:textId="77777777" w:rsidTr="007F2EE8">
        <w:trPr>
          <w:cantSplit/>
        </w:trPr>
        <w:tc>
          <w:tcPr>
            <w:tcW w:w="5000" w:type="pct"/>
            <w:gridSpan w:val="10"/>
            <w:tcBorders>
              <w:top w:val="nil"/>
              <w:left w:val="nil"/>
              <w:bottom w:val="nil"/>
              <w:right w:val="nil"/>
            </w:tcBorders>
            <w:shd w:val="clear" w:color="auto" w:fill="FFFFFF"/>
            <w:vAlign w:val="center"/>
          </w:tcPr>
          <w:p w14:paraId="0AEED60B"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i/>
                <w:iCs/>
                <w:color w:val="000000"/>
                <w:kern w:val="0"/>
                <w:szCs w:val="24"/>
                <w:lang w:bidi="hi-IN"/>
              </w:rPr>
              <w:t>Descriptive Statistics</w:t>
            </w:r>
          </w:p>
        </w:tc>
      </w:tr>
      <w:tr w:rsidR="007F2EE8" w:rsidRPr="00F82232" w14:paraId="206FDE02" w14:textId="77777777" w:rsidTr="00C758CF">
        <w:trPr>
          <w:cantSplit/>
        </w:trPr>
        <w:tc>
          <w:tcPr>
            <w:tcW w:w="691" w:type="pct"/>
            <w:vMerge w:val="restart"/>
            <w:tcBorders>
              <w:left w:val="nil"/>
              <w:bottom w:val="nil"/>
              <w:right w:val="nil"/>
            </w:tcBorders>
            <w:shd w:val="clear" w:color="auto" w:fill="FFFFFF"/>
            <w:vAlign w:val="bottom"/>
          </w:tcPr>
          <w:p w14:paraId="24E12531" w14:textId="77777777" w:rsidR="007F2EE8" w:rsidRPr="00F82232" w:rsidRDefault="007F2EE8" w:rsidP="007F2EE8">
            <w:pPr>
              <w:autoSpaceDE w:val="0"/>
              <w:autoSpaceDN w:val="0"/>
              <w:adjustRightInd w:val="0"/>
              <w:jc w:val="left"/>
              <w:rPr>
                <w:rFonts w:cs="Mangal"/>
                <w:color w:val="auto"/>
                <w:kern w:val="0"/>
                <w:szCs w:val="24"/>
                <w:lang w:bidi="hi-IN"/>
              </w:rPr>
            </w:pPr>
          </w:p>
        </w:tc>
        <w:tc>
          <w:tcPr>
            <w:tcW w:w="501" w:type="pct"/>
            <w:tcBorders>
              <w:left w:val="nil"/>
            </w:tcBorders>
            <w:shd w:val="clear" w:color="auto" w:fill="FFFFFF"/>
            <w:vAlign w:val="bottom"/>
          </w:tcPr>
          <w:p w14:paraId="6C5C81E5"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N</w:t>
            </w:r>
          </w:p>
        </w:tc>
        <w:tc>
          <w:tcPr>
            <w:tcW w:w="884" w:type="pct"/>
            <w:gridSpan w:val="2"/>
            <w:tcBorders>
              <w:left w:val="nil"/>
            </w:tcBorders>
            <w:shd w:val="clear" w:color="auto" w:fill="FFFFFF"/>
            <w:vAlign w:val="bottom"/>
          </w:tcPr>
          <w:p w14:paraId="33F017C4"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Mean</w:t>
            </w:r>
          </w:p>
        </w:tc>
        <w:tc>
          <w:tcPr>
            <w:tcW w:w="602" w:type="pct"/>
            <w:tcBorders>
              <w:left w:val="nil"/>
            </w:tcBorders>
            <w:shd w:val="clear" w:color="auto" w:fill="FFFFFF"/>
            <w:vAlign w:val="bottom"/>
          </w:tcPr>
          <w:p w14:paraId="1CCC917F"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Deviation</w:t>
            </w:r>
          </w:p>
        </w:tc>
        <w:tc>
          <w:tcPr>
            <w:tcW w:w="558" w:type="pct"/>
            <w:tcBorders>
              <w:left w:val="nil"/>
            </w:tcBorders>
            <w:shd w:val="clear" w:color="auto" w:fill="FFFFFF"/>
            <w:vAlign w:val="bottom"/>
          </w:tcPr>
          <w:p w14:paraId="6EF6801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Variance</w:t>
            </w:r>
          </w:p>
        </w:tc>
        <w:tc>
          <w:tcPr>
            <w:tcW w:w="884" w:type="pct"/>
            <w:gridSpan w:val="2"/>
            <w:tcBorders>
              <w:left w:val="nil"/>
            </w:tcBorders>
            <w:shd w:val="clear" w:color="auto" w:fill="FFFFFF"/>
            <w:vAlign w:val="bottom"/>
          </w:tcPr>
          <w:p w14:paraId="019BD83B"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Skewness</w:t>
            </w:r>
          </w:p>
        </w:tc>
        <w:tc>
          <w:tcPr>
            <w:tcW w:w="881" w:type="pct"/>
            <w:gridSpan w:val="2"/>
            <w:tcBorders>
              <w:left w:val="nil"/>
              <w:right w:val="nil"/>
            </w:tcBorders>
            <w:shd w:val="clear" w:color="auto" w:fill="FFFFFF"/>
            <w:vAlign w:val="bottom"/>
          </w:tcPr>
          <w:p w14:paraId="52C310FF"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Kurtosis</w:t>
            </w:r>
          </w:p>
        </w:tc>
      </w:tr>
      <w:tr w:rsidR="007F2EE8" w:rsidRPr="00F82232" w14:paraId="0C9DB24F" w14:textId="77777777" w:rsidTr="00C758CF">
        <w:trPr>
          <w:cantSplit/>
        </w:trPr>
        <w:tc>
          <w:tcPr>
            <w:tcW w:w="691" w:type="pct"/>
            <w:vMerge/>
            <w:tcBorders>
              <w:left w:val="nil"/>
              <w:bottom w:val="nil"/>
              <w:right w:val="nil"/>
            </w:tcBorders>
            <w:shd w:val="clear" w:color="auto" w:fill="FFFFFF"/>
            <w:vAlign w:val="bottom"/>
          </w:tcPr>
          <w:p w14:paraId="7EA4A9B8" w14:textId="77777777" w:rsidR="007F2EE8" w:rsidRPr="00F82232" w:rsidRDefault="007F2EE8" w:rsidP="007F2EE8">
            <w:pPr>
              <w:autoSpaceDE w:val="0"/>
              <w:autoSpaceDN w:val="0"/>
              <w:adjustRightInd w:val="0"/>
              <w:jc w:val="left"/>
              <w:rPr>
                <w:rFonts w:cs="Times New Roman"/>
                <w:color w:val="000000"/>
                <w:kern w:val="0"/>
                <w:szCs w:val="24"/>
                <w:lang w:bidi="hi-IN"/>
              </w:rPr>
            </w:pPr>
          </w:p>
        </w:tc>
        <w:tc>
          <w:tcPr>
            <w:tcW w:w="501" w:type="pct"/>
            <w:tcBorders>
              <w:left w:val="nil"/>
            </w:tcBorders>
            <w:shd w:val="clear" w:color="auto" w:fill="FFFFFF"/>
            <w:vAlign w:val="bottom"/>
          </w:tcPr>
          <w:p w14:paraId="0E10047D"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1788E0A4"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791EB40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602" w:type="pct"/>
            <w:tcBorders>
              <w:left w:val="nil"/>
            </w:tcBorders>
            <w:shd w:val="clear" w:color="auto" w:fill="FFFFFF"/>
            <w:vAlign w:val="bottom"/>
          </w:tcPr>
          <w:p w14:paraId="29ECDF6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58" w:type="pct"/>
            <w:tcBorders>
              <w:left w:val="nil"/>
            </w:tcBorders>
            <w:shd w:val="clear" w:color="auto" w:fill="FFFFFF"/>
            <w:vAlign w:val="bottom"/>
          </w:tcPr>
          <w:p w14:paraId="7F429C06"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396881D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7949480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501" w:type="pct"/>
            <w:tcBorders>
              <w:left w:val="nil"/>
              <w:right w:val="nil"/>
            </w:tcBorders>
            <w:shd w:val="clear" w:color="auto" w:fill="FFFFFF"/>
            <w:vAlign w:val="bottom"/>
          </w:tcPr>
          <w:p w14:paraId="0B5C2BBA"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0" w:type="pct"/>
            <w:tcBorders>
              <w:left w:val="nil"/>
              <w:right w:val="nil"/>
            </w:tcBorders>
            <w:shd w:val="clear" w:color="auto" w:fill="FFFFFF"/>
            <w:vAlign w:val="bottom"/>
          </w:tcPr>
          <w:p w14:paraId="6A063EA2"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r>
      <w:tr w:rsidR="007F2EE8" w:rsidRPr="00F82232" w14:paraId="489A7A6B" w14:textId="77777777" w:rsidTr="00C758CF">
        <w:trPr>
          <w:cantSplit/>
        </w:trPr>
        <w:tc>
          <w:tcPr>
            <w:tcW w:w="691" w:type="pct"/>
            <w:tcBorders>
              <w:left w:val="nil"/>
              <w:bottom w:val="nil"/>
              <w:right w:val="nil"/>
            </w:tcBorders>
            <w:shd w:val="clear" w:color="auto" w:fill="FFFFFF"/>
          </w:tcPr>
          <w:p w14:paraId="18CE31EE"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GAA1</w:t>
            </w:r>
          </w:p>
        </w:tc>
        <w:tc>
          <w:tcPr>
            <w:tcW w:w="501" w:type="pct"/>
            <w:tcBorders>
              <w:left w:val="nil"/>
              <w:bottom w:val="nil"/>
            </w:tcBorders>
            <w:shd w:val="clear" w:color="auto" w:fill="FFFFFF"/>
          </w:tcPr>
          <w:p w14:paraId="395E37E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left w:val="nil"/>
              <w:bottom w:val="nil"/>
              <w:right w:val="nil"/>
            </w:tcBorders>
            <w:shd w:val="clear" w:color="auto" w:fill="FFFFFF"/>
          </w:tcPr>
          <w:p w14:paraId="6E93547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4.77</w:t>
            </w:r>
          </w:p>
        </w:tc>
        <w:tc>
          <w:tcPr>
            <w:tcW w:w="383" w:type="pct"/>
            <w:tcBorders>
              <w:left w:val="nil"/>
              <w:bottom w:val="nil"/>
            </w:tcBorders>
            <w:shd w:val="clear" w:color="auto" w:fill="FFFFFF"/>
          </w:tcPr>
          <w:p w14:paraId="251D026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.057</w:t>
            </w:r>
          </w:p>
        </w:tc>
        <w:tc>
          <w:tcPr>
            <w:tcW w:w="602" w:type="pct"/>
            <w:tcBorders>
              <w:left w:val="nil"/>
              <w:bottom w:val="nil"/>
            </w:tcBorders>
            <w:shd w:val="clear" w:color="auto" w:fill="FFFFFF"/>
          </w:tcPr>
          <w:p w14:paraId="64F1C58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.697</w:t>
            </w:r>
          </w:p>
        </w:tc>
        <w:tc>
          <w:tcPr>
            <w:tcW w:w="558" w:type="pct"/>
            <w:tcBorders>
              <w:left w:val="nil"/>
              <w:bottom w:val="nil"/>
            </w:tcBorders>
            <w:shd w:val="clear" w:color="auto" w:fill="FFFFFF"/>
          </w:tcPr>
          <w:p w14:paraId="2A33373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.486</w:t>
            </w:r>
          </w:p>
        </w:tc>
        <w:tc>
          <w:tcPr>
            <w:tcW w:w="501" w:type="pct"/>
            <w:tcBorders>
              <w:left w:val="nil"/>
              <w:bottom w:val="nil"/>
              <w:right w:val="nil"/>
            </w:tcBorders>
            <w:shd w:val="clear" w:color="auto" w:fill="FFFFFF"/>
          </w:tcPr>
          <w:p w14:paraId="09D9FFC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-3.599</w:t>
            </w:r>
          </w:p>
        </w:tc>
        <w:tc>
          <w:tcPr>
            <w:tcW w:w="383" w:type="pct"/>
            <w:tcBorders>
              <w:left w:val="nil"/>
              <w:bottom w:val="nil"/>
            </w:tcBorders>
            <w:shd w:val="clear" w:color="auto" w:fill="FFFFFF"/>
          </w:tcPr>
          <w:p w14:paraId="0B36B4D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left w:val="nil"/>
              <w:bottom w:val="nil"/>
              <w:right w:val="nil"/>
            </w:tcBorders>
            <w:shd w:val="clear" w:color="auto" w:fill="FFFFFF"/>
          </w:tcPr>
          <w:p w14:paraId="4CC34D8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13.801</w:t>
            </w:r>
          </w:p>
        </w:tc>
        <w:tc>
          <w:tcPr>
            <w:tcW w:w="380" w:type="pct"/>
            <w:tcBorders>
              <w:left w:val="nil"/>
              <w:bottom w:val="nil"/>
              <w:right w:val="nil"/>
            </w:tcBorders>
            <w:shd w:val="clear" w:color="auto" w:fill="FFFFFF"/>
          </w:tcPr>
          <w:p w14:paraId="7B82163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2028AACD" w14:textId="77777777" w:rsidTr="00C758CF">
        <w:trPr>
          <w:cantSplit/>
        </w:trPr>
        <w:tc>
          <w:tcPr>
            <w:tcW w:w="691" w:type="pct"/>
            <w:tcBorders>
              <w:top w:val="nil"/>
              <w:left w:val="nil"/>
              <w:bottom w:val="nil"/>
              <w:right w:val="nil"/>
            </w:tcBorders>
            <w:shd w:val="clear" w:color="auto" w:fill="FFFFFF"/>
          </w:tcPr>
          <w:p w14:paraId="69573741"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GAA2</w:t>
            </w:r>
          </w:p>
        </w:tc>
        <w:tc>
          <w:tcPr>
            <w:tcW w:w="501" w:type="pct"/>
            <w:tcBorders>
              <w:top w:val="nil"/>
              <w:left w:val="nil"/>
              <w:bottom w:val="nil"/>
            </w:tcBorders>
            <w:shd w:val="clear" w:color="auto" w:fill="FFFFFF"/>
          </w:tcPr>
          <w:p w14:paraId="51EFB76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745B5E0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3.95</w:t>
            </w:r>
          </w:p>
        </w:tc>
        <w:tc>
          <w:tcPr>
            <w:tcW w:w="383" w:type="pct"/>
            <w:tcBorders>
              <w:top w:val="nil"/>
              <w:left w:val="nil"/>
              <w:bottom w:val="nil"/>
            </w:tcBorders>
            <w:shd w:val="clear" w:color="auto" w:fill="FFFFFF"/>
          </w:tcPr>
          <w:p w14:paraId="70341A0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.045</w:t>
            </w:r>
          </w:p>
        </w:tc>
        <w:tc>
          <w:tcPr>
            <w:tcW w:w="602" w:type="pct"/>
            <w:tcBorders>
              <w:top w:val="nil"/>
              <w:left w:val="nil"/>
              <w:bottom w:val="nil"/>
            </w:tcBorders>
            <w:shd w:val="clear" w:color="auto" w:fill="FFFFFF"/>
          </w:tcPr>
          <w:p w14:paraId="19D82BF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.558</w:t>
            </w:r>
          </w:p>
        </w:tc>
        <w:tc>
          <w:tcPr>
            <w:tcW w:w="558" w:type="pct"/>
            <w:tcBorders>
              <w:top w:val="nil"/>
              <w:left w:val="nil"/>
              <w:bottom w:val="nil"/>
            </w:tcBorders>
            <w:shd w:val="clear" w:color="auto" w:fill="FFFFFF"/>
          </w:tcPr>
          <w:p w14:paraId="151C0C2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.311</w:t>
            </w:r>
          </w:p>
        </w:tc>
        <w:tc>
          <w:tcPr>
            <w:tcW w:w="501" w:type="pct"/>
            <w:tcBorders>
              <w:top w:val="nil"/>
              <w:left w:val="nil"/>
              <w:bottom w:val="nil"/>
              <w:right w:val="nil"/>
            </w:tcBorders>
            <w:shd w:val="clear" w:color="auto" w:fill="FFFFFF"/>
          </w:tcPr>
          <w:p w14:paraId="700A46E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-3.055</w:t>
            </w:r>
          </w:p>
        </w:tc>
        <w:tc>
          <w:tcPr>
            <w:tcW w:w="383" w:type="pct"/>
            <w:tcBorders>
              <w:top w:val="nil"/>
              <w:left w:val="nil"/>
              <w:bottom w:val="nil"/>
            </w:tcBorders>
            <w:shd w:val="clear" w:color="auto" w:fill="FFFFFF"/>
          </w:tcPr>
          <w:p w14:paraId="554FAC0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6C86FF0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15.560</w:t>
            </w:r>
          </w:p>
        </w:tc>
        <w:tc>
          <w:tcPr>
            <w:tcW w:w="380" w:type="pct"/>
            <w:tcBorders>
              <w:top w:val="nil"/>
              <w:left w:val="nil"/>
              <w:bottom w:val="nil"/>
              <w:right w:val="nil"/>
            </w:tcBorders>
            <w:shd w:val="clear" w:color="auto" w:fill="FFFFFF"/>
          </w:tcPr>
          <w:p w14:paraId="11F286C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1AF134C9" w14:textId="77777777" w:rsidTr="00C758CF">
        <w:trPr>
          <w:cantSplit/>
        </w:trPr>
        <w:tc>
          <w:tcPr>
            <w:tcW w:w="691" w:type="pct"/>
            <w:tcBorders>
              <w:top w:val="nil"/>
              <w:left w:val="nil"/>
              <w:bottom w:val="nil"/>
              <w:right w:val="nil"/>
            </w:tcBorders>
            <w:shd w:val="clear" w:color="auto" w:fill="FFFFFF"/>
          </w:tcPr>
          <w:p w14:paraId="532D4AA5"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GAA3</w:t>
            </w:r>
          </w:p>
        </w:tc>
        <w:tc>
          <w:tcPr>
            <w:tcW w:w="501" w:type="pct"/>
            <w:tcBorders>
              <w:top w:val="nil"/>
              <w:left w:val="nil"/>
              <w:bottom w:val="nil"/>
            </w:tcBorders>
            <w:shd w:val="clear" w:color="auto" w:fill="FFFFFF"/>
          </w:tcPr>
          <w:p w14:paraId="0B95836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01DF73C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4.70</w:t>
            </w:r>
          </w:p>
        </w:tc>
        <w:tc>
          <w:tcPr>
            <w:tcW w:w="383" w:type="pct"/>
            <w:tcBorders>
              <w:top w:val="nil"/>
              <w:left w:val="nil"/>
              <w:bottom w:val="nil"/>
            </w:tcBorders>
            <w:shd w:val="clear" w:color="auto" w:fill="FFFFFF"/>
          </w:tcPr>
          <w:p w14:paraId="7469F70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.056</w:t>
            </w:r>
          </w:p>
        </w:tc>
        <w:tc>
          <w:tcPr>
            <w:tcW w:w="602" w:type="pct"/>
            <w:tcBorders>
              <w:top w:val="nil"/>
              <w:left w:val="nil"/>
              <w:bottom w:val="nil"/>
            </w:tcBorders>
            <w:shd w:val="clear" w:color="auto" w:fill="FFFFFF"/>
          </w:tcPr>
          <w:p w14:paraId="2035CD6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.683</w:t>
            </w:r>
          </w:p>
        </w:tc>
        <w:tc>
          <w:tcPr>
            <w:tcW w:w="558" w:type="pct"/>
            <w:tcBorders>
              <w:top w:val="nil"/>
              <w:left w:val="nil"/>
              <w:bottom w:val="nil"/>
            </w:tcBorders>
            <w:shd w:val="clear" w:color="auto" w:fill="FFFFFF"/>
          </w:tcPr>
          <w:p w14:paraId="4B16233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.467</w:t>
            </w:r>
          </w:p>
        </w:tc>
        <w:tc>
          <w:tcPr>
            <w:tcW w:w="501" w:type="pct"/>
            <w:tcBorders>
              <w:top w:val="nil"/>
              <w:left w:val="nil"/>
              <w:bottom w:val="nil"/>
              <w:right w:val="nil"/>
            </w:tcBorders>
            <w:shd w:val="clear" w:color="auto" w:fill="FFFFFF"/>
          </w:tcPr>
          <w:p w14:paraId="2B51C84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-2.836</w:t>
            </w:r>
          </w:p>
        </w:tc>
        <w:tc>
          <w:tcPr>
            <w:tcW w:w="383" w:type="pct"/>
            <w:tcBorders>
              <w:top w:val="nil"/>
              <w:left w:val="nil"/>
              <w:bottom w:val="nil"/>
            </w:tcBorders>
            <w:shd w:val="clear" w:color="auto" w:fill="FFFFFF"/>
          </w:tcPr>
          <w:p w14:paraId="7B7E0B3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2D80FD4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9.202</w:t>
            </w:r>
          </w:p>
        </w:tc>
        <w:tc>
          <w:tcPr>
            <w:tcW w:w="380" w:type="pct"/>
            <w:tcBorders>
              <w:top w:val="nil"/>
              <w:left w:val="nil"/>
              <w:bottom w:val="nil"/>
              <w:right w:val="nil"/>
            </w:tcBorders>
            <w:shd w:val="clear" w:color="auto" w:fill="FFFFFF"/>
          </w:tcPr>
          <w:p w14:paraId="4881143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40D4209C" w14:textId="77777777" w:rsidTr="00C758CF">
        <w:trPr>
          <w:cantSplit/>
        </w:trPr>
        <w:tc>
          <w:tcPr>
            <w:tcW w:w="691" w:type="pct"/>
            <w:tcBorders>
              <w:top w:val="nil"/>
              <w:left w:val="nil"/>
              <w:bottom w:val="single" w:sz="4" w:space="0" w:color="auto"/>
              <w:right w:val="nil"/>
            </w:tcBorders>
            <w:shd w:val="clear" w:color="auto" w:fill="FFFFFF"/>
          </w:tcPr>
          <w:p w14:paraId="3282BC57"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GAA4</w:t>
            </w:r>
          </w:p>
        </w:tc>
        <w:tc>
          <w:tcPr>
            <w:tcW w:w="501" w:type="pct"/>
            <w:tcBorders>
              <w:top w:val="nil"/>
              <w:left w:val="nil"/>
              <w:bottom w:val="single" w:sz="4" w:space="0" w:color="auto"/>
            </w:tcBorders>
            <w:shd w:val="clear" w:color="auto" w:fill="FFFFFF"/>
          </w:tcPr>
          <w:p w14:paraId="5C802DB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single" w:sz="4" w:space="0" w:color="auto"/>
              <w:right w:val="nil"/>
            </w:tcBorders>
            <w:shd w:val="clear" w:color="auto" w:fill="FFFFFF"/>
          </w:tcPr>
          <w:p w14:paraId="3C66DD1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4.01</w:t>
            </w:r>
          </w:p>
        </w:tc>
        <w:tc>
          <w:tcPr>
            <w:tcW w:w="383" w:type="pct"/>
            <w:tcBorders>
              <w:top w:val="nil"/>
              <w:left w:val="nil"/>
              <w:bottom w:val="single" w:sz="4" w:space="0" w:color="auto"/>
            </w:tcBorders>
            <w:shd w:val="clear" w:color="auto" w:fill="FFFFFF"/>
          </w:tcPr>
          <w:p w14:paraId="513B73E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.054</w:t>
            </w:r>
          </w:p>
        </w:tc>
        <w:tc>
          <w:tcPr>
            <w:tcW w:w="602" w:type="pct"/>
            <w:tcBorders>
              <w:top w:val="nil"/>
              <w:left w:val="nil"/>
              <w:bottom w:val="single" w:sz="4" w:space="0" w:color="auto"/>
            </w:tcBorders>
            <w:shd w:val="clear" w:color="auto" w:fill="FFFFFF"/>
          </w:tcPr>
          <w:p w14:paraId="70DA042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.668</w:t>
            </w:r>
          </w:p>
        </w:tc>
        <w:tc>
          <w:tcPr>
            <w:tcW w:w="558" w:type="pct"/>
            <w:tcBorders>
              <w:top w:val="nil"/>
              <w:left w:val="nil"/>
              <w:bottom w:val="single" w:sz="4" w:space="0" w:color="auto"/>
            </w:tcBorders>
            <w:shd w:val="clear" w:color="auto" w:fill="FFFFFF"/>
          </w:tcPr>
          <w:p w14:paraId="76DE8F4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.447</w:t>
            </w:r>
          </w:p>
        </w:tc>
        <w:tc>
          <w:tcPr>
            <w:tcW w:w="501" w:type="pct"/>
            <w:tcBorders>
              <w:top w:val="nil"/>
              <w:left w:val="nil"/>
              <w:bottom w:val="single" w:sz="4" w:space="0" w:color="auto"/>
              <w:right w:val="nil"/>
            </w:tcBorders>
            <w:shd w:val="clear" w:color="auto" w:fill="FFFFFF"/>
          </w:tcPr>
          <w:p w14:paraId="532B96B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-1.909</w:t>
            </w:r>
          </w:p>
        </w:tc>
        <w:tc>
          <w:tcPr>
            <w:tcW w:w="383" w:type="pct"/>
            <w:tcBorders>
              <w:top w:val="nil"/>
              <w:left w:val="nil"/>
              <w:bottom w:val="single" w:sz="4" w:space="0" w:color="auto"/>
            </w:tcBorders>
            <w:shd w:val="clear" w:color="auto" w:fill="FFFFFF"/>
          </w:tcPr>
          <w:p w14:paraId="4A4106E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single" w:sz="4" w:space="0" w:color="auto"/>
              <w:right w:val="nil"/>
            </w:tcBorders>
            <w:shd w:val="clear" w:color="auto" w:fill="FFFFFF"/>
          </w:tcPr>
          <w:p w14:paraId="3BB2966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7.695</w:t>
            </w:r>
          </w:p>
        </w:tc>
        <w:tc>
          <w:tcPr>
            <w:tcW w:w="380" w:type="pct"/>
            <w:tcBorders>
              <w:top w:val="nil"/>
              <w:left w:val="nil"/>
              <w:bottom w:val="single" w:sz="4" w:space="0" w:color="auto"/>
              <w:right w:val="nil"/>
            </w:tcBorders>
            <w:shd w:val="clear" w:color="auto" w:fill="FFFFFF"/>
          </w:tcPr>
          <w:p w14:paraId="4D408FA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bl>
    <w:p w14:paraId="24F3CED3" w14:textId="2379A9B7" w:rsidR="007F2EE8" w:rsidRPr="00F82232" w:rsidRDefault="00C758CF" w:rsidP="007F2EE8">
      <w:pPr>
        <w:rPr>
          <w:rFonts w:cs="Times New Roman"/>
          <w:color w:val="auto"/>
          <w:kern w:val="0"/>
          <w:szCs w:val="24"/>
          <w:lang w:bidi="hi-IN"/>
        </w:rPr>
      </w:pPr>
      <w:r w:rsidRPr="00C758CF">
        <w:t xml:space="preserve">Table 1 presents descriptive statistics of the Generative AI Adoption (GAA) construct, indicating that the sample (N=151) has a high extreme skewness and a high ceiling effect. Overall ratings are high with a very high score for GAA1 (M=4.77) and GAA3 (M=4.70) indicating very widespread use for complex cognitive use of GenAI. The values of the standard deviations vary from 0.558 to 0.697 which are relatively low meaning that there was not much variation, with the sampled SMEs having very homogenous operational environment. From a rather strict methodological perspective, the skewness and the kurtosis are important values. There is very negative skewness (that is −3.599 to −1.909) and very leptokurtic with highest Kurtosis statistics (Kurtosis statistics = 13.801 (GAA1); 15.560 (GAA2) respectively). Kurtosis is &gt;3.0, indicating that responses were extremely kurtotic, and that the majority of the </w:t>
      </w:r>
      <w:r w:rsidRPr="00C758CF">
        <w:lastRenderedPageBreak/>
        <w:t>respondents has opted a 'strongest' choice for Likert item. These extreme properties conflict sorely with the assumptions of univariate normality that are required of traditional parametric testing, statistically. Both of these are quite appropriate given the use of Hayes PROCESS macro with bootstrap confidence intervals: bootstrapping does not make the assumption of a normal sampling distribution. As far as attitudes are concerned, it shows that GenAI is no longer an experimental and emerging technology in these SME but has become one the technology that these SME can no longer go away with.</w:t>
      </w:r>
    </w:p>
    <w:p w14:paraId="38523970" w14:textId="4A298565" w:rsidR="007F2EE8" w:rsidRPr="00F82232" w:rsidRDefault="00193090" w:rsidP="00193090">
      <w:pPr>
        <w:pStyle w:val="Caption"/>
        <w:rPr>
          <w:rFonts w:cs="Times New Roman"/>
          <w:b/>
          <w:bCs/>
          <w:color w:val="auto"/>
          <w:kern w:val="0"/>
          <w:szCs w:val="24"/>
          <w:lang w:bidi="hi-IN"/>
        </w:rPr>
      </w:pPr>
      <w:bookmarkStart w:id="93" w:name="_Toc241052637"/>
      <w:r>
        <w:t xml:space="preserve">Table </w:t>
      </w:r>
      <w:fldSimple w:instr=" SEQ Table \* ARABIC ">
        <w:r w:rsidR="009F799C">
          <w:rPr>
            <w:noProof/>
          </w:rPr>
          <w:t>4</w:t>
        </w:r>
      </w:fldSimple>
      <w:r>
        <w:t xml:space="preserve">: </w:t>
      </w:r>
      <w:r w:rsidR="007F2EE8" w:rsidRPr="00193090">
        <w:t>Employee Productivity (EP)</w:t>
      </w:r>
      <w:bookmarkEnd w:id="93"/>
      <w:r w:rsidR="007F2EE8" w:rsidRPr="00F82232">
        <w:rPr>
          <w:rStyle w:val="apple-converted-space"/>
          <w:rFonts w:ascii="-webkit-standard" w:hAnsi="-webkit-standard"/>
          <w:b/>
          <w:bCs/>
          <w:color w:val="000000"/>
          <w:sz w:val="27"/>
          <w:szCs w:val="27"/>
        </w:rPr>
        <w:t>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48"/>
        <w:gridCol w:w="905"/>
        <w:gridCol w:w="905"/>
        <w:gridCol w:w="691"/>
        <w:gridCol w:w="1087"/>
        <w:gridCol w:w="1007"/>
        <w:gridCol w:w="904"/>
        <w:gridCol w:w="691"/>
        <w:gridCol w:w="904"/>
        <w:gridCol w:w="684"/>
      </w:tblGrid>
      <w:tr w:rsidR="007F2EE8" w:rsidRPr="00F82232" w14:paraId="4D1EF887" w14:textId="77777777" w:rsidTr="007F2EE8">
        <w:trPr>
          <w:cantSplit/>
        </w:trPr>
        <w:tc>
          <w:tcPr>
            <w:tcW w:w="5000" w:type="pct"/>
            <w:gridSpan w:val="10"/>
            <w:tcBorders>
              <w:top w:val="nil"/>
              <w:left w:val="nil"/>
              <w:bottom w:val="nil"/>
              <w:right w:val="nil"/>
            </w:tcBorders>
            <w:shd w:val="clear" w:color="auto" w:fill="FFFFFF"/>
            <w:vAlign w:val="center"/>
          </w:tcPr>
          <w:p w14:paraId="45724DC9"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i/>
                <w:iCs/>
                <w:color w:val="000000"/>
                <w:kern w:val="0"/>
                <w:szCs w:val="24"/>
                <w:lang w:bidi="hi-IN"/>
              </w:rPr>
              <w:t>Descriptive Statistics</w:t>
            </w:r>
          </w:p>
        </w:tc>
      </w:tr>
      <w:tr w:rsidR="007F2EE8" w:rsidRPr="00F82232" w14:paraId="3C5A63CA" w14:textId="77777777" w:rsidTr="00C758CF">
        <w:trPr>
          <w:cantSplit/>
        </w:trPr>
        <w:tc>
          <w:tcPr>
            <w:tcW w:w="691" w:type="pct"/>
            <w:vMerge w:val="restart"/>
            <w:tcBorders>
              <w:left w:val="nil"/>
              <w:bottom w:val="nil"/>
              <w:right w:val="nil"/>
            </w:tcBorders>
            <w:shd w:val="clear" w:color="auto" w:fill="FFFFFF"/>
            <w:vAlign w:val="bottom"/>
          </w:tcPr>
          <w:p w14:paraId="38312B16" w14:textId="77777777" w:rsidR="007F2EE8" w:rsidRPr="00F82232" w:rsidRDefault="007F2EE8" w:rsidP="007F2EE8">
            <w:pPr>
              <w:autoSpaceDE w:val="0"/>
              <w:autoSpaceDN w:val="0"/>
              <w:adjustRightInd w:val="0"/>
              <w:jc w:val="left"/>
              <w:rPr>
                <w:rFonts w:cs="Mangal"/>
                <w:color w:val="auto"/>
                <w:kern w:val="0"/>
                <w:szCs w:val="24"/>
                <w:lang w:bidi="hi-IN"/>
              </w:rPr>
            </w:pPr>
          </w:p>
        </w:tc>
        <w:tc>
          <w:tcPr>
            <w:tcW w:w="501" w:type="pct"/>
            <w:tcBorders>
              <w:left w:val="nil"/>
            </w:tcBorders>
            <w:shd w:val="clear" w:color="auto" w:fill="FFFFFF"/>
            <w:vAlign w:val="bottom"/>
          </w:tcPr>
          <w:p w14:paraId="514EAEE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N</w:t>
            </w:r>
          </w:p>
        </w:tc>
        <w:tc>
          <w:tcPr>
            <w:tcW w:w="884" w:type="pct"/>
            <w:gridSpan w:val="2"/>
            <w:tcBorders>
              <w:left w:val="nil"/>
            </w:tcBorders>
            <w:shd w:val="clear" w:color="auto" w:fill="FFFFFF"/>
            <w:vAlign w:val="bottom"/>
          </w:tcPr>
          <w:p w14:paraId="5297B6F1"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Mean</w:t>
            </w:r>
          </w:p>
        </w:tc>
        <w:tc>
          <w:tcPr>
            <w:tcW w:w="602" w:type="pct"/>
            <w:tcBorders>
              <w:left w:val="nil"/>
            </w:tcBorders>
            <w:shd w:val="clear" w:color="auto" w:fill="FFFFFF"/>
            <w:vAlign w:val="bottom"/>
          </w:tcPr>
          <w:p w14:paraId="21522726"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Deviation</w:t>
            </w:r>
          </w:p>
        </w:tc>
        <w:tc>
          <w:tcPr>
            <w:tcW w:w="558" w:type="pct"/>
            <w:tcBorders>
              <w:left w:val="nil"/>
            </w:tcBorders>
            <w:shd w:val="clear" w:color="auto" w:fill="FFFFFF"/>
            <w:vAlign w:val="bottom"/>
          </w:tcPr>
          <w:p w14:paraId="67B4B059"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Variance</w:t>
            </w:r>
          </w:p>
        </w:tc>
        <w:tc>
          <w:tcPr>
            <w:tcW w:w="884" w:type="pct"/>
            <w:gridSpan w:val="2"/>
            <w:tcBorders>
              <w:left w:val="nil"/>
            </w:tcBorders>
            <w:shd w:val="clear" w:color="auto" w:fill="FFFFFF"/>
            <w:vAlign w:val="bottom"/>
          </w:tcPr>
          <w:p w14:paraId="19DE347B"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Skewness</w:t>
            </w:r>
          </w:p>
        </w:tc>
        <w:tc>
          <w:tcPr>
            <w:tcW w:w="881" w:type="pct"/>
            <w:gridSpan w:val="2"/>
            <w:tcBorders>
              <w:left w:val="nil"/>
              <w:right w:val="nil"/>
            </w:tcBorders>
            <w:shd w:val="clear" w:color="auto" w:fill="FFFFFF"/>
            <w:vAlign w:val="bottom"/>
          </w:tcPr>
          <w:p w14:paraId="7C90069B"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Kurtosis</w:t>
            </w:r>
          </w:p>
        </w:tc>
      </w:tr>
      <w:tr w:rsidR="007F2EE8" w:rsidRPr="00F82232" w14:paraId="7E608FD6" w14:textId="77777777" w:rsidTr="00C758CF">
        <w:trPr>
          <w:cantSplit/>
        </w:trPr>
        <w:tc>
          <w:tcPr>
            <w:tcW w:w="691" w:type="pct"/>
            <w:vMerge/>
            <w:tcBorders>
              <w:left w:val="nil"/>
              <w:bottom w:val="nil"/>
              <w:right w:val="nil"/>
            </w:tcBorders>
            <w:shd w:val="clear" w:color="auto" w:fill="FFFFFF"/>
            <w:vAlign w:val="bottom"/>
          </w:tcPr>
          <w:p w14:paraId="72B32368" w14:textId="77777777" w:rsidR="007F2EE8" w:rsidRPr="00F82232" w:rsidRDefault="007F2EE8" w:rsidP="007F2EE8">
            <w:pPr>
              <w:autoSpaceDE w:val="0"/>
              <w:autoSpaceDN w:val="0"/>
              <w:adjustRightInd w:val="0"/>
              <w:jc w:val="left"/>
              <w:rPr>
                <w:rFonts w:cs="Times New Roman"/>
                <w:color w:val="000000"/>
                <w:kern w:val="0"/>
                <w:szCs w:val="24"/>
                <w:lang w:bidi="hi-IN"/>
              </w:rPr>
            </w:pPr>
          </w:p>
        </w:tc>
        <w:tc>
          <w:tcPr>
            <w:tcW w:w="501" w:type="pct"/>
            <w:tcBorders>
              <w:left w:val="nil"/>
            </w:tcBorders>
            <w:shd w:val="clear" w:color="auto" w:fill="FFFFFF"/>
            <w:vAlign w:val="bottom"/>
          </w:tcPr>
          <w:p w14:paraId="5D62439E"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1DC8E189"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3E811624"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602" w:type="pct"/>
            <w:tcBorders>
              <w:left w:val="nil"/>
            </w:tcBorders>
            <w:shd w:val="clear" w:color="auto" w:fill="FFFFFF"/>
            <w:vAlign w:val="bottom"/>
          </w:tcPr>
          <w:p w14:paraId="793B46F4"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58" w:type="pct"/>
            <w:tcBorders>
              <w:left w:val="nil"/>
            </w:tcBorders>
            <w:shd w:val="clear" w:color="auto" w:fill="FFFFFF"/>
            <w:vAlign w:val="bottom"/>
          </w:tcPr>
          <w:p w14:paraId="721E03B6"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04814DBD"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6F8FFF6F"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501" w:type="pct"/>
            <w:tcBorders>
              <w:left w:val="nil"/>
              <w:right w:val="nil"/>
            </w:tcBorders>
            <w:shd w:val="clear" w:color="auto" w:fill="FFFFFF"/>
            <w:vAlign w:val="bottom"/>
          </w:tcPr>
          <w:p w14:paraId="024732E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0" w:type="pct"/>
            <w:tcBorders>
              <w:left w:val="nil"/>
              <w:right w:val="nil"/>
            </w:tcBorders>
            <w:shd w:val="clear" w:color="auto" w:fill="FFFFFF"/>
            <w:vAlign w:val="bottom"/>
          </w:tcPr>
          <w:p w14:paraId="00775E12"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r>
      <w:tr w:rsidR="007F2EE8" w:rsidRPr="00F82232" w14:paraId="1585CF34" w14:textId="77777777" w:rsidTr="00C758CF">
        <w:trPr>
          <w:cantSplit/>
        </w:trPr>
        <w:tc>
          <w:tcPr>
            <w:tcW w:w="691" w:type="pct"/>
            <w:tcBorders>
              <w:left w:val="nil"/>
              <w:bottom w:val="nil"/>
              <w:right w:val="nil"/>
            </w:tcBorders>
            <w:shd w:val="clear" w:color="auto" w:fill="FFFFFF"/>
          </w:tcPr>
          <w:p w14:paraId="597AF786"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EP1</w:t>
            </w:r>
          </w:p>
        </w:tc>
        <w:tc>
          <w:tcPr>
            <w:tcW w:w="501" w:type="pct"/>
            <w:tcBorders>
              <w:left w:val="nil"/>
              <w:bottom w:val="nil"/>
            </w:tcBorders>
            <w:shd w:val="clear" w:color="auto" w:fill="FFFFFF"/>
          </w:tcPr>
          <w:p w14:paraId="5D76C75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left w:val="nil"/>
              <w:bottom w:val="nil"/>
              <w:right w:val="nil"/>
            </w:tcBorders>
            <w:shd w:val="clear" w:color="auto" w:fill="FFFFFF"/>
          </w:tcPr>
          <w:p w14:paraId="30CA318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4.54</w:t>
            </w:r>
          </w:p>
        </w:tc>
        <w:tc>
          <w:tcPr>
            <w:tcW w:w="383" w:type="pct"/>
            <w:tcBorders>
              <w:left w:val="nil"/>
              <w:bottom w:val="nil"/>
            </w:tcBorders>
            <w:shd w:val="clear" w:color="auto" w:fill="FFFFFF"/>
          </w:tcPr>
          <w:p w14:paraId="57DA77C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.068</w:t>
            </w:r>
          </w:p>
        </w:tc>
        <w:tc>
          <w:tcPr>
            <w:tcW w:w="602" w:type="pct"/>
            <w:tcBorders>
              <w:left w:val="nil"/>
              <w:bottom w:val="nil"/>
            </w:tcBorders>
            <w:shd w:val="clear" w:color="auto" w:fill="FFFFFF"/>
          </w:tcPr>
          <w:p w14:paraId="733223E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.831</w:t>
            </w:r>
          </w:p>
        </w:tc>
        <w:tc>
          <w:tcPr>
            <w:tcW w:w="558" w:type="pct"/>
            <w:tcBorders>
              <w:left w:val="nil"/>
              <w:bottom w:val="nil"/>
            </w:tcBorders>
            <w:shd w:val="clear" w:color="auto" w:fill="FFFFFF"/>
          </w:tcPr>
          <w:p w14:paraId="65980C2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.690</w:t>
            </w:r>
          </w:p>
        </w:tc>
        <w:tc>
          <w:tcPr>
            <w:tcW w:w="501" w:type="pct"/>
            <w:tcBorders>
              <w:left w:val="nil"/>
              <w:bottom w:val="nil"/>
              <w:right w:val="nil"/>
            </w:tcBorders>
            <w:shd w:val="clear" w:color="auto" w:fill="FFFFFF"/>
          </w:tcPr>
          <w:p w14:paraId="151695F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-2.014</w:t>
            </w:r>
          </w:p>
        </w:tc>
        <w:tc>
          <w:tcPr>
            <w:tcW w:w="383" w:type="pct"/>
            <w:tcBorders>
              <w:left w:val="nil"/>
              <w:bottom w:val="nil"/>
            </w:tcBorders>
            <w:shd w:val="clear" w:color="auto" w:fill="FFFFFF"/>
          </w:tcPr>
          <w:p w14:paraId="1E84439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left w:val="nil"/>
              <w:bottom w:val="nil"/>
              <w:right w:val="nil"/>
            </w:tcBorders>
            <w:shd w:val="clear" w:color="auto" w:fill="FFFFFF"/>
          </w:tcPr>
          <w:p w14:paraId="5321619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3.745</w:t>
            </w:r>
          </w:p>
        </w:tc>
        <w:tc>
          <w:tcPr>
            <w:tcW w:w="380" w:type="pct"/>
            <w:tcBorders>
              <w:left w:val="nil"/>
              <w:bottom w:val="nil"/>
              <w:right w:val="nil"/>
            </w:tcBorders>
            <w:shd w:val="clear" w:color="auto" w:fill="FFFFFF"/>
          </w:tcPr>
          <w:p w14:paraId="42AA2CC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2598E9BF" w14:textId="77777777" w:rsidTr="00C758CF">
        <w:trPr>
          <w:cantSplit/>
        </w:trPr>
        <w:tc>
          <w:tcPr>
            <w:tcW w:w="691" w:type="pct"/>
            <w:tcBorders>
              <w:top w:val="nil"/>
              <w:left w:val="nil"/>
              <w:bottom w:val="nil"/>
              <w:right w:val="nil"/>
            </w:tcBorders>
            <w:shd w:val="clear" w:color="auto" w:fill="FFFFFF"/>
          </w:tcPr>
          <w:p w14:paraId="496AB4BD"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EP2</w:t>
            </w:r>
          </w:p>
        </w:tc>
        <w:tc>
          <w:tcPr>
            <w:tcW w:w="501" w:type="pct"/>
            <w:tcBorders>
              <w:top w:val="nil"/>
              <w:left w:val="nil"/>
              <w:bottom w:val="nil"/>
            </w:tcBorders>
            <w:shd w:val="clear" w:color="auto" w:fill="FFFFFF"/>
          </w:tcPr>
          <w:p w14:paraId="1DA48F0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4D0ED2C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3.86</w:t>
            </w:r>
          </w:p>
        </w:tc>
        <w:tc>
          <w:tcPr>
            <w:tcW w:w="383" w:type="pct"/>
            <w:tcBorders>
              <w:top w:val="nil"/>
              <w:left w:val="nil"/>
              <w:bottom w:val="nil"/>
            </w:tcBorders>
            <w:shd w:val="clear" w:color="auto" w:fill="FFFFFF"/>
          </w:tcPr>
          <w:p w14:paraId="4CB83B8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.051</w:t>
            </w:r>
          </w:p>
        </w:tc>
        <w:tc>
          <w:tcPr>
            <w:tcW w:w="602" w:type="pct"/>
            <w:tcBorders>
              <w:top w:val="nil"/>
              <w:left w:val="nil"/>
              <w:bottom w:val="nil"/>
            </w:tcBorders>
            <w:shd w:val="clear" w:color="auto" w:fill="FFFFFF"/>
          </w:tcPr>
          <w:p w14:paraId="52D1CA0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.622</w:t>
            </w:r>
          </w:p>
        </w:tc>
        <w:tc>
          <w:tcPr>
            <w:tcW w:w="558" w:type="pct"/>
            <w:tcBorders>
              <w:top w:val="nil"/>
              <w:left w:val="nil"/>
              <w:bottom w:val="nil"/>
            </w:tcBorders>
            <w:shd w:val="clear" w:color="auto" w:fill="FFFFFF"/>
          </w:tcPr>
          <w:p w14:paraId="5540F3D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.387</w:t>
            </w:r>
          </w:p>
        </w:tc>
        <w:tc>
          <w:tcPr>
            <w:tcW w:w="501" w:type="pct"/>
            <w:tcBorders>
              <w:top w:val="nil"/>
              <w:left w:val="nil"/>
              <w:bottom w:val="nil"/>
              <w:right w:val="nil"/>
            </w:tcBorders>
            <w:shd w:val="clear" w:color="auto" w:fill="FFFFFF"/>
          </w:tcPr>
          <w:p w14:paraId="37D6816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-2.758</w:t>
            </w:r>
          </w:p>
        </w:tc>
        <w:tc>
          <w:tcPr>
            <w:tcW w:w="383" w:type="pct"/>
            <w:tcBorders>
              <w:top w:val="nil"/>
              <w:left w:val="nil"/>
              <w:bottom w:val="nil"/>
            </w:tcBorders>
            <w:shd w:val="clear" w:color="auto" w:fill="FFFFFF"/>
          </w:tcPr>
          <w:p w14:paraId="3B2E21A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73CE057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9.689</w:t>
            </w:r>
          </w:p>
        </w:tc>
        <w:tc>
          <w:tcPr>
            <w:tcW w:w="380" w:type="pct"/>
            <w:tcBorders>
              <w:top w:val="nil"/>
              <w:left w:val="nil"/>
              <w:bottom w:val="nil"/>
              <w:right w:val="nil"/>
            </w:tcBorders>
            <w:shd w:val="clear" w:color="auto" w:fill="FFFFFF"/>
          </w:tcPr>
          <w:p w14:paraId="41B3B0F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62D5937B" w14:textId="77777777" w:rsidTr="00C758CF">
        <w:trPr>
          <w:cantSplit/>
        </w:trPr>
        <w:tc>
          <w:tcPr>
            <w:tcW w:w="691" w:type="pct"/>
            <w:tcBorders>
              <w:top w:val="nil"/>
              <w:left w:val="nil"/>
              <w:bottom w:val="nil"/>
              <w:right w:val="nil"/>
            </w:tcBorders>
            <w:shd w:val="clear" w:color="auto" w:fill="FFFFFF"/>
          </w:tcPr>
          <w:p w14:paraId="764BFB15"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EP3</w:t>
            </w:r>
          </w:p>
        </w:tc>
        <w:tc>
          <w:tcPr>
            <w:tcW w:w="501" w:type="pct"/>
            <w:tcBorders>
              <w:top w:val="nil"/>
              <w:left w:val="nil"/>
              <w:bottom w:val="nil"/>
            </w:tcBorders>
            <w:shd w:val="clear" w:color="auto" w:fill="FFFFFF"/>
          </w:tcPr>
          <w:p w14:paraId="5BEC456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122F1BC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4.56</w:t>
            </w:r>
          </w:p>
        </w:tc>
        <w:tc>
          <w:tcPr>
            <w:tcW w:w="383" w:type="pct"/>
            <w:tcBorders>
              <w:top w:val="nil"/>
              <w:left w:val="nil"/>
              <w:bottom w:val="nil"/>
            </w:tcBorders>
            <w:shd w:val="clear" w:color="auto" w:fill="FFFFFF"/>
          </w:tcPr>
          <w:p w14:paraId="3449138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.063</w:t>
            </w:r>
          </w:p>
        </w:tc>
        <w:tc>
          <w:tcPr>
            <w:tcW w:w="602" w:type="pct"/>
            <w:tcBorders>
              <w:top w:val="nil"/>
              <w:left w:val="nil"/>
              <w:bottom w:val="nil"/>
            </w:tcBorders>
            <w:shd w:val="clear" w:color="auto" w:fill="FFFFFF"/>
          </w:tcPr>
          <w:p w14:paraId="727E2BE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.771</w:t>
            </w:r>
          </w:p>
        </w:tc>
        <w:tc>
          <w:tcPr>
            <w:tcW w:w="558" w:type="pct"/>
            <w:tcBorders>
              <w:top w:val="nil"/>
              <w:left w:val="nil"/>
              <w:bottom w:val="nil"/>
            </w:tcBorders>
            <w:shd w:val="clear" w:color="auto" w:fill="FFFFFF"/>
          </w:tcPr>
          <w:p w14:paraId="6D6645C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.595</w:t>
            </w:r>
          </w:p>
        </w:tc>
        <w:tc>
          <w:tcPr>
            <w:tcW w:w="501" w:type="pct"/>
            <w:tcBorders>
              <w:top w:val="nil"/>
              <w:left w:val="nil"/>
              <w:bottom w:val="nil"/>
              <w:right w:val="nil"/>
            </w:tcBorders>
            <w:shd w:val="clear" w:color="auto" w:fill="FFFFFF"/>
          </w:tcPr>
          <w:p w14:paraId="078FEAF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-1.957</w:t>
            </w:r>
          </w:p>
        </w:tc>
        <w:tc>
          <w:tcPr>
            <w:tcW w:w="383" w:type="pct"/>
            <w:tcBorders>
              <w:top w:val="nil"/>
              <w:left w:val="nil"/>
              <w:bottom w:val="nil"/>
            </w:tcBorders>
            <w:shd w:val="clear" w:color="auto" w:fill="FFFFFF"/>
          </w:tcPr>
          <w:p w14:paraId="3736C3F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4B082B8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3.985</w:t>
            </w:r>
          </w:p>
        </w:tc>
        <w:tc>
          <w:tcPr>
            <w:tcW w:w="380" w:type="pct"/>
            <w:tcBorders>
              <w:top w:val="nil"/>
              <w:left w:val="nil"/>
              <w:bottom w:val="nil"/>
              <w:right w:val="nil"/>
            </w:tcBorders>
            <w:shd w:val="clear" w:color="auto" w:fill="FFFFFF"/>
          </w:tcPr>
          <w:p w14:paraId="137AA34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114F496E" w14:textId="77777777" w:rsidTr="00C758CF">
        <w:trPr>
          <w:cantSplit/>
        </w:trPr>
        <w:tc>
          <w:tcPr>
            <w:tcW w:w="691" w:type="pct"/>
            <w:tcBorders>
              <w:top w:val="nil"/>
              <w:left w:val="nil"/>
              <w:bottom w:val="single" w:sz="4" w:space="0" w:color="auto"/>
              <w:right w:val="nil"/>
            </w:tcBorders>
            <w:shd w:val="clear" w:color="auto" w:fill="FFFFFF"/>
          </w:tcPr>
          <w:p w14:paraId="3687CF98"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EP4</w:t>
            </w:r>
          </w:p>
        </w:tc>
        <w:tc>
          <w:tcPr>
            <w:tcW w:w="501" w:type="pct"/>
            <w:tcBorders>
              <w:top w:val="nil"/>
              <w:left w:val="nil"/>
              <w:bottom w:val="single" w:sz="4" w:space="0" w:color="auto"/>
            </w:tcBorders>
            <w:shd w:val="clear" w:color="auto" w:fill="FFFFFF"/>
          </w:tcPr>
          <w:p w14:paraId="1333C20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single" w:sz="4" w:space="0" w:color="auto"/>
              <w:right w:val="nil"/>
            </w:tcBorders>
            <w:shd w:val="clear" w:color="auto" w:fill="FFFFFF"/>
          </w:tcPr>
          <w:p w14:paraId="43A6544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3.94</w:t>
            </w:r>
          </w:p>
        </w:tc>
        <w:tc>
          <w:tcPr>
            <w:tcW w:w="383" w:type="pct"/>
            <w:tcBorders>
              <w:top w:val="nil"/>
              <w:left w:val="nil"/>
              <w:bottom w:val="single" w:sz="4" w:space="0" w:color="auto"/>
            </w:tcBorders>
            <w:shd w:val="clear" w:color="auto" w:fill="FFFFFF"/>
          </w:tcPr>
          <w:p w14:paraId="5EFC700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.053</w:t>
            </w:r>
          </w:p>
        </w:tc>
        <w:tc>
          <w:tcPr>
            <w:tcW w:w="602" w:type="pct"/>
            <w:tcBorders>
              <w:top w:val="nil"/>
              <w:left w:val="nil"/>
              <w:bottom w:val="single" w:sz="4" w:space="0" w:color="auto"/>
            </w:tcBorders>
            <w:shd w:val="clear" w:color="auto" w:fill="FFFFFF"/>
          </w:tcPr>
          <w:p w14:paraId="1561970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.645</w:t>
            </w:r>
          </w:p>
        </w:tc>
        <w:tc>
          <w:tcPr>
            <w:tcW w:w="558" w:type="pct"/>
            <w:tcBorders>
              <w:top w:val="nil"/>
              <w:left w:val="nil"/>
              <w:bottom w:val="single" w:sz="4" w:space="0" w:color="auto"/>
            </w:tcBorders>
            <w:shd w:val="clear" w:color="auto" w:fill="FFFFFF"/>
          </w:tcPr>
          <w:p w14:paraId="5BEBB80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.416</w:t>
            </w:r>
          </w:p>
        </w:tc>
        <w:tc>
          <w:tcPr>
            <w:tcW w:w="501" w:type="pct"/>
            <w:tcBorders>
              <w:top w:val="nil"/>
              <w:left w:val="nil"/>
              <w:bottom w:val="single" w:sz="4" w:space="0" w:color="auto"/>
              <w:right w:val="nil"/>
            </w:tcBorders>
            <w:shd w:val="clear" w:color="auto" w:fill="FFFFFF"/>
          </w:tcPr>
          <w:p w14:paraId="7CFF4E7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-1.906</w:t>
            </w:r>
          </w:p>
        </w:tc>
        <w:tc>
          <w:tcPr>
            <w:tcW w:w="383" w:type="pct"/>
            <w:tcBorders>
              <w:top w:val="nil"/>
              <w:left w:val="nil"/>
              <w:bottom w:val="single" w:sz="4" w:space="0" w:color="auto"/>
            </w:tcBorders>
            <w:shd w:val="clear" w:color="auto" w:fill="FFFFFF"/>
          </w:tcPr>
          <w:p w14:paraId="6971087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single" w:sz="4" w:space="0" w:color="auto"/>
              <w:right w:val="nil"/>
            </w:tcBorders>
            <w:shd w:val="clear" w:color="auto" w:fill="FFFFFF"/>
          </w:tcPr>
          <w:p w14:paraId="305F692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6.846</w:t>
            </w:r>
          </w:p>
        </w:tc>
        <w:tc>
          <w:tcPr>
            <w:tcW w:w="380" w:type="pct"/>
            <w:tcBorders>
              <w:top w:val="nil"/>
              <w:left w:val="nil"/>
              <w:bottom w:val="single" w:sz="4" w:space="0" w:color="auto"/>
              <w:right w:val="nil"/>
            </w:tcBorders>
            <w:shd w:val="clear" w:color="auto" w:fill="FFFFFF"/>
          </w:tcPr>
          <w:p w14:paraId="5752749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bl>
    <w:p w14:paraId="29C0B783" w14:textId="6E4F4F81" w:rsidR="007F2EE8" w:rsidRPr="00F82232" w:rsidRDefault="00C758CF" w:rsidP="007F2EE8">
      <w:pPr>
        <w:rPr>
          <w:rFonts w:cs="Times New Roman"/>
          <w:color w:val="auto"/>
          <w:kern w:val="0"/>
          <w:szCs w:val="24"/>
          <w:lang w:bidi="hi-IN"/>
        </w:rPr>
      </w:pPr>
      <w:r w:rsidRPr="00C758CF">
        <w:t xml:space="preserve">The consensus for the Employee Productivity (EP) construct is good, and it's more sophisticated than are the adoption measures. The mean depict higher scores, indicating that the most powerful perception by the respondents is associated to output quality (EP3, M=4.56) and task speed (EP1, M=4.54) in terms of efficiency. In contrast, the mean scores for raw output volume (EP2: M=3.86) and administrative tasks being eliminated (EP4: M=3.94) are slightly lower, suggesting that AI can benefit from the quality and speed of its individual work, but its capacity to take over the amount of work is constrained by a requirement for human validation. Standard deviations (ranging between 0.622 and 0.831) of user experience with the IOM, as </w:t>
      </w:r>
      <w:r w:rsidRPr="00C758CF">
        <w:lastRenderedPageBreak/>
        <w:t xml:space="preserve">influenced by different occupations, show the marginal differences. The values of the skewness statistics (-1.906 to -2.758) also indicate </w:t>
      </w:r>
      <w:r>
        <w:rPr>
          <w:kern w:val="0"/>
          <w14:ligatures w14:val="none"/>
        </w:rPr>
        <w:t>a heavy distribution in the negative direction, as is well known from the self-report bias well documented for self-assessed</w:t>
      </w:r>
      <w:r w:rsidRPr="00C758CF">
        <w:t xml:space="preserve"> productivity. The kurtosis values also range from 3.745 to 9.689 indicating concentration of data in particular, for EP2. The sample is universal (increased productivity)</w:t>
      </w:r>
      <w:r>
        <w:t>,</w:t>
      </w:r>
      <w:r w:rsidRPr="00C758CF">
        <w:t xml:space="preserve"> and the upper part of the distribution has a leptokurtic curve, which may be limiting </w:t>
      </w:r>
      <w:r>
        <w:t xml:space="preserve">the </w:t>
      </w:r>
      <w:r w:rsidRPr="00C758CF">
        <w:t>variance of the construct. These low levels of variability indicate that the perceived improvements in product quality when using GenAI are more or less the same in industries, resulting in a very stable but not normally distributed dependent variable for the subsequent hierarchical models.</w:t>
      </w:r>
    </w:p>
    <w:p w14:paraId="614CD90E" w14:textId="43CB717D" w:rsidR="007F2EE8" w:rsidRPr="00193090" w:rsidRDefault="00193090" w:rsidP="00193090">
      <w:pPr>
        <w:pStyle w:val="Caption"/>
        <w:rPr>
          <w:rFonts w:cs="Times New Roman"/>
          <w:color w:val="auto"/>
          <w:kern w:val="0"/>
          <w:szCs w:val="24"/>
          <w:lang w:bidi="hi-IN"/>
        </w:rPr>
      </w:pPr>
      <w:bookmarkStart w:id="94" w:name="_Toc241052638"/>
      <w:r>
        <w:t xml:space="preserve">Table </w:t>
      </w:r>
      <w:fldSimple w:instr=" SEQ Table \* ARABIC ">
        <w:r w:rsidR="009F799C">
          <w:rPr>
            <w:noProof/>
          </w:rPr>
          <w:t>5</w:t>
        </w:r>
      </w:fldSimple>
      <w:r>
        <w:t xml:space="preserve">: </w:t>
      </w:r>
      <w:r w:rsidR="007F2EE8" w:rsidRPr="00193090">
        <w:t>Job Quality (JQ)</w:t>
      </w:r>
      <w:bookmarkEnd w:id="94"/>
      <w:r w:rsidR="007F2EE8" w:rsidRPr="00193090">
        <w:rPr>
          <w:rStyle w:val="apple-converted-space"/>
          <w:rFonts w:ascii="-webkit-standard" w:hAnsi="-webkit-standard"/>
          <w:color w:val="000000"/>
          <w:sz w:val="27"/>
          <w:szCs w:val="27"/>
        </w:rPr>
        <w:t>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43"/>
        <w:gridCol w:w="905"/>
        <w:gridCol w:w="904"/>
        <w:gridCol w:w="691"/>
        <w:gridCol w:w="1087"/>
        <w:gridCol w:w="1007"/>
        <w:gridCol w:w="904"/>
        <w:gridCol w:w="691"/>
        <w:gridCol w:w="904"/>
        <w:gridCol w:w="690"/>
      </w:tblGrid>
      <w:tr w:rsidR="007F2EE8" w:rsidRPr="00F82232" w14:paraId="33711A1A" w14:textId="77777777" w:rsidTr="007F2EE8">
        <w:trPr>
          <w:cantSplit/>
        </w:trPr>
        <w:tc>
          <w:tcPr>
            <w:tcW w:w="5000" w:type="pct"/>
            <w:gridSpan w:val="10"/>
            <w:tcBorders>
              <w:top w:val="nil"/>
              <w:left w:val="nil"/>
              <w:bottom w:val="nil"/>
              <w:right w:val="nil"/>
            </w:tcBorders>
            <w:shd w:val="clear" w:color="auto" w:fill="FFFFFF"/>
            <w:vAlign w:val="center"/>
          </w:tcPr>
          <w:p w14:paraId="5C2FDE54"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i/>
                <w:iCs/>
                <w:color w:val="000000"/>
                <w:kern w:val="0"/>
                <w:szCs w:val="24"/>
                <w:lang w:bidi="hi-IN"/>
              </w:rPr>
              <w:t>Descriptive Statistics</w:t>
            </w:r>
          </w:p>
        </w:tc>
      </w:tr>
      <w:tr w:rsidR="007F2EE8" w:rsidRPr="00F82232" w14:paraId="3FD15D6B" w14:textId="77777777" w:rsidTr="007F2EE8">
        <w:trPr>
          <w:cantSplit/>
        </w:trPr>
        <w:tc>
          <w:tcPr>
            <w:tcW w:w="688" w:type="pct"/>
            <w:vMerge w:val="restart"/>
            <w:tcBorders>
              <w:left w:val="nil"/>
              <w:bottom w:val="nil"/>
              <w:right w:val="nil"/>
            </w:tcBorders>
            <w:shd w:val="clear" w:color="auto" w:fill="FFFFFF"/>
            <w:vAlign w:val="bottom"/>
          </w:tcPr>
          <w:p w14:paraId="15032C44" w14:textId="77777777" w:rsidR="007F2EE8" w:rsidRPr="00F82232" w:rsidRDefault="007F2EE8" w:rsidP="007F2EE8">
            <w:pPr>
              <w:autoSpaceDE w:val="0"/>
              <w:autoSpaceDN w:val="0"/>
              <w:adjustRightInd w:val="0"/>
              <w:jc w:val="left"/>
              <w:rPr>
                <w:rFonts w:cs="Mangal"/>
                <w:color w:val="auto"/>
                <w:kern w:val="0"/>
                <w:szCs w:val="24"/>
                <w:lang w:bidi="hi-IN"/>
              </w:rPr>
            </w:pPr>
          </w:p>
        </w:tc>
        <w:tc>
          <w:tcPr>
            <w:tcW w:w="501" w:type="pct"/>
            <w:tcBorders>
              <w:left w:val="nil"/>
            </w:tcBorders>
            <w:shd w:val="clear" w:color="auto" w:fill="FFFFFF"/>
            <w:vAlign w:val="bottom"/>
          </w:tcPr>
          <w:p w14:paraId="35C5F7DB"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N</w:t>
            </w:r>
          </w:p>
        </w:tc>
        <w:tc>
          <w:tcPr>
            <w:tcW w:w="884" w:type="pct"/>
            <w:gridSpan w:val="2"/>
            <w:tcBorders>
              <w:left w:val="nil"/>
            </w:tcBorders>
            <w:shd w:val="clear" w:color="auto" w:fill="FFFFFF"/>
            <w:vAlign w:val="bottom"/>
          </w:tcPr>
          <w:p w14:paraId="06C26D85"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Mean</w:t>
            </w:r>
          </w:p>
        </w:tc>
        <w:tc>
          <w:tcPr>
            <w:tcW w:w="602" w:type="pct"/>
            <w:tcBorders>
              <w:left w:val="nil"/>
            </w:tcBorders>
            <w:shd w:val="clear" w:color="auto" w:fill="FFFFFF"/>
            <w:vAlign w:val="bottom"/>
          </w:tcPr>
          <w:p w14:paraId="6BF03C7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Deviation</w:t>
            </w:r>
          </w:p>
        </w:tc>
        <w:tc>
          <w:tcPr>
            <w:tcW w:w="558" w:type="pct"/>
            <w:tcBorders>
              <w:left w:val="nil"/>
            </w:tcBorders>
            <w:shd w:val="clear" w:color="auto" w:fill="FFFFFF"/>
            <w:vAlign w:val="bottom"/>
          </w:tcPr>
          <w:p w14:paraId="7A4B8C92"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Variance</w:t>
            </w:r>
          </w:p>
        </w:tc>
        <w:tc>
          <w:tcPr>
            <w:tcW w:w="884" w:type="pct"/>
            <w:gridSpan w:val="2"/>
            <w:tcBorders>
              <w:left w:val="nil"/>
            </w:tcBorders>
            <w:shd w:val="clear" w:color="auto" w:fill="FFFFFF"/>
            <w:vAlign w:val="bottom"/>
          </w:tcPr>
          <w:p w14:paraId="3F5CAEDB"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Skewness</w:t>
            </w:r>
          </w:p>
        </w:tc>
        <w:tc>
          <w:tcPr>
            <w:tcW w:w="884" w:type="pct"/>
            <w:gridSpan w:val="2"/>
            <w:tcBorders>
              <w:left w:val="nil"/>
              <w:right w:val="nil"/>
            </w:tcBorders>
            <w:shd w:val="clear" w:color="auto" w:fill="FFFFFF"/>
            <w:vAlign w:val="bottom"/>
          </w:tcPr>
          <w:p w14:paraId="61ACDE19"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Kurtosis</w:t>
            </w:r>
          </w:p>
        </w:tc>
      </w:tr>
      <w:tr w:rsidR="007F2EE8" w:rsidRPr="00F82232" w14:paraId="18CFB797" w14:textId="77777777" w:rsidTr="007F2EE8">
        <w:trPr>
          <w:cantSplit/>
        </w:trPr>
        <w:tc>
          <w:tcPr>
            <w:tcW w:w="688" w:type="pct"/>
            <w:vMerge/>
            <w:tcBorders>
              <w:left w:val="nil"/>
              <w:bottom w:val="nil"/>
              <w:right w:val="nil"/>
            </w:tcBorders>
            <w:shd w:val="clear" w:color="auto" w:fill="FFFFFF"/>
            <w:vAlign w:val="bottom"/>
          </w:tcPr>
          <w:p w14:paraId="5DF9A0C5" w14:textId="77777777" w:rsidR="007F2EE8" w:rsidRPr="00F82232" w:rsidRDefault="007F2EE8" w:rsidP="007F2EE8">
            <w:pPr>
              <w:autoSpaceDE w:val="0"/>
              <w:autoSpaceDN w:val="0"/>
              <w:adjustRightInd w:val="0"/>
              <w:jc w:val="left"/>
              <w:rPr>
                <w:rFonts w:cs="Times New Roman"/>
                <w:color w:val="000000"/>
                <w:kern w:val="0"/>
                <w:szCs w:val="24"/>
                <w:lang w:bidi="hi-IN"/>
              </w:rPr>
            </w:pPr>
          </w:p>
        </w:tc>
        <w:tc>
          <w:tcPr>
            <w:tcW w:w="501" w:type="pct"/>
            <w:tcBorders>
              <w:left w:val="nil"/>
            </w:tcBorders>
            <w:shd w:val="clear" w:color="auto" w:fill="FFFFFF"/>
            <w:vAlign w:val="bottom"/>
          </w:tcPr>
          <w:p w14:paraId="4C9989AC"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394358BC"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67B0088D"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602" w:type="pct"/>
            <w:tcBorders>
              <w:left w:val="nil"/>
            </w:tcBorders>
            <w:shd w:val="clear" w:color="auto" w:fill="FFFFFF"/>
            <w:vAlign w:val="bottom"/>
          </w:tcPr>
          <w:p w14:paraId="6744E469"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58" w:type="pct"/>
            <w:tcBorders>
              <w:left w:val="nil"/>
            </w:tcBorders>
            <w:shd w:val="clear" w:color="auto" w:fill="FFFFFF"/>
            <w:vAlign w:val="bottom"/>
          </w:tcPr>
          <w:p w14:paraId="58FB6C28"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40711678"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4D77CE9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501" w:type="pct"/>
            <w:tcBorders>
              <w:left w:val="nil"/>
              <w:right w:val="nil"/>
            </w:tcBorders>
            <w:shd w:val="clear" w:color="auto" w:fill="FFFFFF"/>
            <w:vAlign w:val="bottom"/>
          </w:tcPr>
          <w:p w14:paraId="083C4368"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right w:val="nil"/>
            </w:tcBorders>
            <w:shd w:val="clear" w:color="auto" w:fill="FFFFFF"/>
            <w:vAlign w:val="bottom"/>
          </w:tcPr>
          <w:p w14:paraId="0AF29F2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r>
      <w:tr w:rsidR="007F2EE8" w:rsidRPr="00F82232" w14:paraId="4B4EA553" w14:textId="77777777" w:rsidTr="007F2EE8">
        <w:trPr>
          <w:cantSplit/>
        </w:trPr>
        <w:tc>
          <w:tcPr>
            <w:tcW w:w="688" w:type="pct"/>
            <w:tcBorders>
              <w:left w:val="nil"/>
              <w:bottom w:val="nil"/>
              <w:right w:val="nil"/>
            </w:tcBorders>
            <w:shd w:val="clear" w:color="auto" w:fill="FFFFFF"/>
          </w:tcPr>
          <w:p w14:paraId="73C2E655"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JQ1</w:t>
            </w:r>
          </w:p>
        </w:tc>
        <w:tc>
          <w:tcPr>
            <w:tcW w:w="501" w:type="pct"/>
            <w:tcBorders>
              <w:left w:val="nil"/>
              <w:bottom w:val="nil"/>
            </w:tcBorders>
            <w:shd w:val="clear" w:color="auto" w:fill="FFFFFF"/>
          </w:tcPr>
          <w:p w14:paraId="170B39D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left w:val="nil"/>
              <w:bottom w:val="nil"/>
              <w:right w:val="nil"/>
            </w:tcBorders>
            <w:shd w:val="clear" w:color="auto" w:fill="FFFFFF"/>
          </w:tcPr>
          <w:p w14:paraId="24B7141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4.47</w:t>
            </w:r>
          </w:p>
        </w:tc>
        <w:tc>
          <w:tcPr>
            <w:tcW w:w="383" w:type="pct"/>
            <w:tcBorders>
              <w:left w:val="nil"/>
              <w:bottom w:val="nil"/>
            </w:tcBorders>
            <w:shd w:val="clear" w:color="auto" w:fill="FFFFFF"/>
          </w:tcPr>
          <w:p w14:paraId="1E8BBE6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.071</w:t>
            </w:r>
          </w:p>
        </w:tc>
        <w:tc>
          <w:tcPr>
            <w:tcW w:w="602" w:type="pct"/>
            <w:tcBorders>
              <w:left w:val="nil"/>
              <w:bottom w:val="nil"/>
            </w:tcBorders>
            <w:shd w:val="clear" w:color="auto" w:fill="FFFFFF"/>
          </w:tcPr>
          <w:p w14:paraId="7213764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.878</w:t>
            </w:r>
          </w:p>
        </w:tc>
        <w:tc>
          <w:tcPr>
            <w:tcW w:w="558" w:type="pct"/>
            <w:tcBorders>
              <w:left w:val="nil"/>
              <w:bottom w:val="nil"/>
            </w:tcBorders>
            <w:shd w:val="clear" w:color="auto" w:fill="FFFFFF"/>
          </w:tcPr>
          <w:p w14:paraId="6FACDF2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.771</w:t>
            </w:r>
          </w:p>
        </w:tc>
        <w:tc>
          <w:tcPr>
            <w:tcW w:w="501" w:type="pct"/>
            <w:tcBorders>
              <w:left w:val="nil"/>
              <w:bottom w:val="nil"/>
              <w:right w:val="nil"/>
            </w:tcBorders>
            <w:shd w:val="clear" w:color="auto" w:fill="FFFFFF"/>
          </w:tcPr>
          <w:p w14:paraId="55FA9E7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-1.795</w:t>
            </w:r>
          </w:p>
        </w:tc>
        <w:tc>
          <w:tcPr>
            <w:tcW w:w="383" w:type="pct"/>
            <w:tcBorders>
              <w:left w:val="nil"/>
              <w:bottom w:val="nil"/>
            </w:tcBorders>
            <w:shd w:val="clear" w:color="auto" w:fill="FFFFFF"/>
          </w:tcPr>
          <w:p w14:paraId="0A9ECC7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left w:val="nil"/>
              <w:bottom w:val="nil"/>
              <w:right w:val="nil"/>
            </w:tcBorders>
            <w:shd w:val="clear" w:color="auto" w:fill="FFFFFF"/>
          </w:tcPr>
          <w:p w14:paraId="0917E8A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2.994</w:t>
            </w:r>
          </w:p>
        </w:tc>
        <w:tc>
          <w:tcPr>
            <w:tcW w:w="383" w:type="pct"/>
            <w:tcBorders>
              <w:left w:val="nil"/>
              <w:bottom w:val="nil"/>
              <w:right w:val="nil"/>
            </w:tcBorders>
            <w:shd w:val="clear" w:color="auto" w:fill="FFFFFF"/>
          </w:tcPr>
          <w:p w14:paraId="7543F65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1938CF0A" w14:textId="77777777" w:rsidTr="007F2EE8">
        <w:trPr>
          <w:cantSplit/>
        </w:trPr>
        <w:tc>
          <w:tcPr>
            <w:tcW w:w="688" w:type="pct"/>
            <w:tcBorders>
              <w:top w:val="nil"/>
              <w:left w:val="nil"/>
              <w:bottom w:val="nil"/>
              <w:right w:val="nil"/>
            </w:tcBorders>
            <w:shd w:val="clear" w:color="auto" w:fill="FFFFFF"/>
          </w:tcPr>
          <w:p w14:paraId="232937B2"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JQ2</w:t>
            </w:r>
          </w:p>
        </w:tc>
        <w:tc>
          <w:tcPr>
            <w:tcW w:w="501" w:type="pct"/>
            <w:tcBorders>
              <w:top w:val="nil"/>
              <w:left w:val="nil"/>
              <w:bottom w:val="nil"/>
            </w:tcBorders>
            <w:shd w:val="clear" w:color="auto" w:fill="FFFFFF"/>
          </w:tcPr>
          <w:p w14:paraId="7F4A79A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6729311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3.85</w:t>
            </w:r>
          </w:p>
        </w:tc>
        <w:tc>
          <w:tcPr>
            <w:tcW w:w="383" w:type="pct"/>
            <w:tcBorders>
              <w:top w:val="nil"/>
              <w:left w:val="nil"/>
              <w:bottom w:val="nil"/>
            </w:tcBorders>
            <w:shd w:val="clear" w:color="auto" w:fill="FFFFFF"/>
          </w:tcPr>
          <w:p w14:paraId="324E09B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.058</w:t>
            </w:r>
          </w:p>
        </w:tc>
        <w:tc>
          <w:tcPr>
            <w:tcW w:w="602" w:type="pct"/>
            <w:tcBorders>
              <w:top w:val="nil"/>
              <w:left w:val="nil"/>
              <w:bottom w:val="nil"/>
            </w:tcBorders>
            <w:shd w:val="clear" w:color="auto" w:fill="FFFFFF"/>
          </w:tcPr>
          <w:p w14:paraId="76D785B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.719</w:t>
            </w:r>
          </w:p>
        </w:tc>
        <w:tc>
          <w:tcPr>
            <w:tcW w:w="558" w:type="pct"/>
            <w:tcBorders>
              <w:top w:val="nil"/>
              <w:left w:val="nil"/>
              <w:bottom w:val="nil"/>
            </w:tcBorders>
            <w:shd w:val="clear" w:color="auto" w:fill="FFFFFF"/>
          </w:tcPr>
          <w:p w14:paraId="4531042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.517</w:t>
            </w:r>
          </w:p>
        </w:tc>
        <w:tc>
          <w:tcPr>
            <w:tcW w:w="501" w:type="pct"/>
            <w:tcBorders>
              <w:top w:val="nil"/>
              <w:left w:val="nil"/>
              <w:bottom w:val="nil"/>
              <w:right w:val="nil"/>
            </w:tcBorders>
            <w:shd w:val="clear" w:color="auto" w:fill="FFFFFF"/>
          </w:tcPr>
          <w:p w14:paraId="0479748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-1.948</w:t>
            </w:r>
          </w:p>
        </w:tc>
        <w:tc>
          <w:tcPr>
            <w:tcW w:w="383" w:type="pct"/>
            <w:tcBorders>
              <w:top w:val="nil"/>
              <w:left w:val="nil"/>
              <w:bottom w:val="nil"/>
            </w:tcBorders>
            <w:shd w:val="clear" w:color="auto" w:fill="FFFFFF"/>
          </w:tcPr>
          <w:p w14:paraId="427864D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1FC25BD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5.177</w:t>
            </w:r>
          </w:p>
        </w:tc>
        <w:tc>
          <w:tcPr>
            <w:tcW w:w="383" w:type="pct"/>
            <w:tcBorders>
              <w:top w:val="nil"/>
              <w:left w:val="nil"/>
              <w:bottom w:val="nil"/>
              <w:right w:val="nil"/>
            </w:tcBorders>
            <w:shd w:val="clear" w:color="auto" w:fill="FFFFFF"/>
          </w:tcPr>
          <w:p w14:paraId="7E4ADE2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48D4FCC6" w14:textId="77777777" w:rsidTr="007F2EE8">
        <w:trPr>
          <w:cantSplit/>
        </w:trPr>
        <w:tc>
          <w:tcPr>
            <w:tcW w:w="688" w:type="pct"/>
            <w:tcBorders>
              <w:top w:val="nil"/>
              <w:left w:val="nil"/>
              <w:bottom w:val="nil"/>
              <w:right w:val="nil"/>
            </w:tcBorders>
            <w:shd w:val="clear" w:color="auto" w:fill="FFFFFF"/>
          </w:tcPr>
          <w:p w14:paraId="336B82E2"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JQ3</w:t>
            </w:r>
          </w:p>
        </w:tc>
        <w:tc>
          <w:tcPr>
            <w:tcW w:w="501" w:type="pct"/>
            <w:tcBorders>
              <w:top w:val="nil"/>
              <w:left w:val="nil"/>
              <w:bottom w:val="nil"/>
            </w:tcBorders>
            <w:shd w:val="clear" w:color="auto" w:fill="FFFFFF"/>
          </w:tcPr>
          <w:p w14:paraId="3E88E02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240D3AE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4.53</w:t>
            </w:r>
          </w:p>
        </w:tc>
        <w:tc>
          <w:tcPr>
            <w:tcW w:w="383" w:type="pct"/>
            <w:tcBorders>
              <w:top w:val="nil"/>
              <w:left w:val="nil"/>
              <w:bottom w:val="nil"/>
            </w:tcBorders>
            <w:shd w:val="clear" w:color="auto" w:fill="FFFFFF"/>
          </w:tcPr>
          <w:p w14:paraId="2A98680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.066</w:t>
            </w:r>
          </w:p>
        </w:tc>
        <w:tc>
          <w:tcPr>
            <w:tcW w:w="602" w:type="pct"/>
            <w:tcBorders>
              <w:top w:val="nil"/>
              <w:left w:val="nil"/>
              <w:bottom w:val="nil"/>
            </w:tcBorders>
            <w:shd w:val="clear" w:color="auto" w:fill="FFFFFF"/>
          </w:tcPr>
          <w:p w14:paraId="33DAFD4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.807</w:t>
            </w:r>
          </w:p>
        </w:tc>
        <w:tc>
          <w:tcPr>
            <w:tcW w:w="558" w:type="pct"/>
            <w:tcBorders>
              <w:top w:val="nil"/>
              <w:left w:val="nil"/>
              <w:bottom w:val="nil"/>
            </w:tcBorders>
            <w:shd w:val="clear" w:color="auto" w:fill="FFFFFF"/>
          </w:tcPr>
          <w:p w14:paraId="733268F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.651</w:t>
            </w:r>
          </w:p>
        </w:tc>
        <w:tc>
          <w:tcPr>
            <w:tcW w:w="501" w:type="pct"/>
            <w:tcBorders>
              <w:top w:val="nil"/>
              <w:left w:val="nil"/>
              <w:bottom w:val="nil"/>
              <w:right w:val="nil"/>
            </w:tcBorders>
            <w:shd w:val="clear" w:color="auto" w:fill="FFFFFF"/>
          </w:tcPr>
          <w:p w14:paraId="6FF2FC4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-1.874</w:t>
            </w:r>
          </w:p>
        </w:tc>
        <w:tc>
          <w:tcPr>
            <w:tcW w:w="383" w:type="pct"/>
            <w:tcBorders>
              <w:top w:val="nil"/>
              <w:left w:val="nil"/>
              <w:bottom w:val="nil"/>
            </w:tcBorders>
            <w:shd w:val="clear" w:color="auto" w:fill="FFFFFF"/>
          </w:tcPr>
          <w:p w14:paraId="57C5944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51D52E5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3.366</w:t>
            </w:r>
          </w:p>
        </w:tc>
        <w:tc>
          <w:tcPr>
            <w:tcW w:w="383" w:type="pct"/>
            <w:tcBorders>
              <w:top w:val="nil"/>
              <w:left w:val="nil"/>
              <w:bottom w:val="nil"/>
              <w:right w:val="nil"/>
            </w:tcBorders>
            <w:shd w:val="clear" w:color="auto" w:fill="FFFFFF"/>
          </w:tcPr>
          <w:p w14:paraId="7A5FD0A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454E9713" w14:textId="77777777" w:rsidTr="007F2EE8">
        <w:trPr>
          <w:cantSplit/>
        </w:trPr>
        <w:tc>
          <w:tcPr>
            <w:tcW w:w="688" w:type="pct"/>
            <w:tcBorders>
              <w:top w:val="nil"/>
              <w:left w:val="nil"/>
              <w:bottom w:val="nil"/>
              <w:right w:val="nil"/>
            </w:tcBorders>
            <w:shd w:val="clear" w:color="auto" w:fill="FFFFFF"/>
          </w:tcPr>
          <w:p w14:paraId="2DF20AE0"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JQ4</w:t>
            </w:r>
          </w:p>
        </w:tc>
        <w:tc>
          <w:tcPr>
            <w:tcW w:w="501" w:type="pct"/>
            <w:tcBorders>
              <w:top w:val="nil"/>
              <w:left w:val="nil"/>
              <w:bottom w:val="nil"/>
            </w:tcBorders>
            <w:shd w:val="clear" w:color="auto" w:fill="FFFFFF"/>
          </w:tcPr>
          <w:p w14:paraId="3998102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19AFE39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3.93</w:t>
            </w:r>
          </w:p>
        </w:tc>
        <w:tc>
          <w:tcPr>
            <w:tcW w:w="383" w:type="pct"/>
            <w:tcBorders>
              <w:top w:val="nil"/>
              <w:left w:val="nil"/>
              <w:bottom w:val="nil"/>
            </w:tcBorders>
            <w:shd w:val="clear" w:color="auto" w:fill="FFFFFF"/>
          </w:tcPr>
          <w:p w14:paraId="0BBBA9C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.060</w:t>
            </w:r>
          </w:p>
        </w:tc>
        <w:tc>
          <w:tcPr>
            <w:tcW w:w="602" w:type="pct"/>
            <w:tcBorders>
              <w:top w:val="nil"/>
              <w:left w:val="nil"/>
              <w:bottom w:val="nil"/>
            </w:tcBorders>
            <w:shd w:val="clear" w:color="auto" w:fill="FFFFFF"/>
          </w:tcPr>
          <w:p w14:paraId="396DAD9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.731</w:t>
            </w:r>
          </w:p>
        </w:tc>
        <w:tc>
          <w:tcPr>
            <w:tcW w:w="558" w:type="pct"/>
            <w:tcBorders>
              <w:top w:val="nil"/>
              <w:left w:val="nil"/>
              <w:bottom w:val="nil"/>
            </w:tcBorders>
            <w:shd w:val="clear" w:color="auto" w:fill="FFFFFF"/>
          </w:tcPr>
          <w:p w14:paraId="3FA908F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.535</w:t>
            </w:r>
          </w:p>
        </w:tc>
        <w:tc>
          <w:tcPr>
            <w:tcW w:w="501" w:type="pct"/>
            <w:tcBorders>
              <w:top w:val="nil"/>
              <w:left w:val="nil"/>
              <w:bottom w:val="nil"/>
              <w:right w:val="nil"/>
            </w:tcBorders>
            <w:shd w:val="clear" w:color="auto" w:fill="FFFFFF"/>
          </w:tcPr>
          <w:p w14:paraId="52CAC64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-1.545</w:t>
            </w:r>
          </w:p>
        </w:tc>
        <w:tc>
          <w:tcPr>
            <w:tcW w:w="383" w:type="pct"/>
            <w:tcBorders>
              <w:top w:val="nil"/>
              <w:left w:val="nil"/>
              <w:bottom w:val="nil"/>
            </w:tcBorders>
            <w:shd w:val="clear" w:color="auto" w:fill="FFFFFF"/>
          </w:tcPr>
          <w:p w14:paraId="482548A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596093E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4.036</w:t>
            </w:r>
          </w:p>
        </w:tc>
        <w:tc>
          <w:tcPr>
            <w:tcW w:w="383" w:type="pct"/>
            <w:tcBorders>
              <w:top w:val="nil"/>
              <w:left w:val="nil"/>
              <w:bottom w:val="nil"/>
              <w:right w:val="nil"/>
            </w:tcBorders>
            <w:shd w:val="clear" w:color="auto" w:fill="FFFFFF"/>
          </w:tcPr>
          <w:p w14:paraId="69177E2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49E604FF" w14:textId="77777777" w:rsidTr="007F2EE8">
        <w:trPr>
          <w:cantSplit/>
        </w:trPr>
        <w:tc>
          <w:tcPr>
            <w:tcW w:w="688" w:type="pct"/>
            <w:tcBorders>
              <w:top w:val="nil"/>
              <w:left w:val="nil"/>
              <w:bottom w:val="single" w:sz="4" w:space="0" w:color="auto"/>
              <w:right w:val="nil"/>
            </w:tcBorders>
            <w:shd w:val="clear" w:color="auto" w:fill="FFFFFF"/>
          </w:tcPr>
          <w:p w14:paraId="73067AA2"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JQ5</w:t>
            </w:r>
          </w:p>
        </w:tc>
        <w:tc>
          <w:tcPr>
            <w:tcW w:w="501" w:type="pct"/>
            <w:tcBorders>
              <w:top w:val="nil"/>
              <w:left w:val="nil"/>
              <w:bottom w:val="single" w:sz="4" w:space="0" w:color="auto"/>
            </w:tcBorders>
            <w:shd w:val="clear" w:color="auto" w:fill="FFFFFF"/>
          </w:tcPr>
          <w:p w14:paraId="5A9B84A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single" w:sz="4" w:space="0" w:color="auto"/>
              <w:right w:val="nil"/>
            </w:tcBorders>
            <w:shd w:val="clear" w:color="auto" w:fill="FFFFFF"/>
          </w:tcPr>
          <w:p w14:paraId="1B3DA30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4.41</w:t>
            </w:r>
          </w:p>
        </w:tc>
        <w:tc>
          <w:tcPr>
            <w:tcW w:w="383" w:type="pct"/>
            <w:tcBorders>
              <w:top w:val="nil"/>
              <w:left w:val="nil"/>
              <w:bottom w:val="single" w:sz="4" w:space="0" w:color="auto"/>
            </w:tcBorders>
            <w:shd w:val="clear" w:color="auto" w:fill="FFFFFF"/>
          </w:tcPr>
          <w:p w14:paraId="26A36C7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.074</w:t>
            </w:r>
          </w:p>
        </w:tc>
        <w:tc>
          <w:tcPr>
            <w:tcW w:w="602" w:type="pct"/>
            <w:tcBorders>
              <w:top w:val="nil"/>
              <w:left w:val="nil"/>
              <w:bottom w:val="single" w:sz="4" w:space="0" w:color="auto"/>
            </w:tcBorders>
            <w:shd w:val="clear" w:color="auto" w:fill="FFFFFF"/>
          </w:tcPr>
          <w:p w14:paraId="66855B9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.911</w:t>
            </w:r>
          </w:p>
        </w:tc>
        <w:tc>
          <w:tcPr>
            <w:tcW w:w="558" w:type="pct"/>
            <w:tcBorders>
              <w:top w:val="nil"/>
              <w:left w:val="nil"/>
              <w:bottom w:val="single" w:sz="4" w:space="0" w:color="auto"/>
            </w:tcBorders>
            <w:shd w:val="clear" w:color="auto" w:fill="FFFFFF"/>
          </w:tcPr>
          <w:p w14:paraId="251860F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.830</w:t>
            </w:r>
          </w:p>
        </w:tc>
        <w:tc>
          <w:tcPr>
            <w:tcW w:w="501" w:type="pct"/>
            <w:tcBorders>
              <w:top w:val="nil"/>
              <w:left w:val="nil"/>
              <w:bottom w:val="single" w:sz="4" w:space="0" w:color="auto"/>
              <w:right w:val="nil"/>
            </w:tcBorders>
            <w:shd w:val="clear" w:color="auto" w:fill="FFFFFF"/>
          </w:tcPr>
          <w:p w14:paraId="334CAFC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-1.660</w:t>
            </w:r>
          </w:p>
        </w:tc>
        <w:tc>
          <w:tcPr>
            <w:tcW w:w="383" w:type="pct"/>
            <w:tcBorders>
              <w:top w:val="nil"/>
              <w:left w:val="nil"/>
              <w:bottom w:val="single" w:sz="4" w:space="0" w:color="auto"/>
            </w:tcBorders>
            <w:shd w:val="clear" w:color="auto" w:fill="FFFFFF"/>
          </w:tcPr>
          <w:p w14:paraId="2000738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single" w:sz="4" w:space="0" w:color="auto"/>
              <w:right w:val="nil"/>
            </w:tcBorders>
            <w:shd w:val="clear" w:color="auto" w:fill="FFFFFF"/>
          </w:tcPr>
          <w:p w14:paraId="4C5C12A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2.384</w:t>
            </w:r>
          </w:p>
        </w:tc>
        <w:tc>
          <w:tcPr>
            <w:tcW w:w="383" w:type="pct"/>
            <w:tcBorders>
              <w:top w:val="nil"/>
              <w:left w:val="nil"/>
              <w:bottom w:val="single" w:sz="4" w:space="0" w:color="auto"/>
              <w:right w:val="nil"/>
            </w:tcBorders>
            <w:shd w:val="clear" w:color="auto" w:fill="FFFFFF"/>
          </w:tcPr>
          <w:p w14:paraId="03435A2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bl>
    <w:p w14:paraId="185A9664" w14:textId="77777777" w:rsidR="007F2EE8" w:rsidRPr="00F82232" w:rsidRDefault="007F2EE8" w:rsidP="007F2EE8">
      <w:pPr>
        <w:autoSpaceDE w:val="0"/>
        <w:autoSpaceDN w:val="0"/>
        <w:adjustRightInd w:val="0"/>
        <w:spacing w:line="400" w:lineRule="atLeast"/>
        <w:jc w:val="left"/>
        <w:rPr>
          <w:rFonts w:cs="Times New Roman"/>
          <w:color w:val="auto"/>
          <w:kern w:val="0"/>
          <w:szCs w:val="24"/>
          <w:lang w:bidi="hi-IN"/>
        </w:rPr>
      </w:pPr>
    </w:p>
    <w:p w14:paraId="66482616" w14:textId="7926E8C5" w:rsidR="007F2EE8" w:rsidRPr="00F82232" w:rsidRDefault="00F82232" w:rsidP="007F2EE8">
      <w:r w:rsidRPr="00F82232">
        <w:t xml:space="preserve">Descriptive content of the Job Quality (JQ) concept shows the greatest variance in the data set, suggesting that the subjective psychological aspects of working with AI systems are more controversial than their hard productivity statistics. All the mean scores are still high ranging from 3.85 (on JQ2) to 4.53 (on JQ3). Standard deviations of this construct (0.719-0.911) are </w:t>
      </w:r>
      <w:r w:rsidRPr="00F82232">
        <w:lastRenderedPageBreak/>
        <w:t xml:space="preserve">the largest of all measured constructs, especially for JQ5, measuring algorithmic anxiety and job security worries. This rise in the SE and variance implies that there is a positive general effect of are qualification on job quality, but it's very patchy </w:t>
      </w:r>
      <w:r w:rsidR="0050188E">
        <w:t>-</w:t>
      </w:r>
      <w:r w:rsidRPr="00F82232">
        <w:t xml:space="preserve"> it is very different from one occupational level or from one sector to the next. Moderately negative skewness and significantly lower kurtosis values (−1.545 to −1.948 and 2.384 to 5.177, respectively) are found between the skew and kurt values for the new GAA construct. This slightly more bell-shaped distribution suggests that job quality outcomes are more complicated and that there's an active automation-augmentation paradox within the sample. Finally, GenAI decreases cognitive load in execution (increasing the mean on the dimensions of autonomy) but creates different types and levels of stress from the constant delivery pressures: causing a wider and more spread-out normal distribution of answers representing the psychological reality of the SME workforce.</w:t>
      </w:r>
    </w:p>
    <w:p w14:paraId="78E9F6D3" w14:textId="652DCF96" w:rsidR="007F2EE8" w:rsidRPr="00193090" w:rsidRDefault="00193090" w:rsidP="00193090">
      <w:pPr>
        <w:pStyle w:val="Caption"/>
        <w:rPr>
          <w:rFonts w:eastAsia="Times New Roman" w:cs="Times New Roman"/>
          <w:color w:val="000000"/>
          <w:kern w:val="0"/>
          <w:szCs w:val="24"/>
          <w:lang w:eastAsia="en-GB" w:bidi="hi-IN"/>
          <w14:ligatures w14:val="none"/>
        </w:rPr>
      </w:pPr>
      <w:bookmarkStart w:id="95" w:name="_Toc241052639"/>
      <w:r>
        <w:t xml:space="preserve">Table </w:t>
      </w:r>
      <w:fldSimple w:instr=" SEQ Table \* ARABIC ">
        <w:r w:rsidR="009F799C">
          <w:rPr>
            <w:noProof/>
          </w:rPr>
          <w:t>6</w:t>
        </w:r>
      </w:fldSimple>
      <w:r>
        <w:rPr>
          <w:lang w:val="en-US"/>
        </w:rPr>
        <w:t>:</w:t>
      </w:r>
      <w:r w:rsidR="007F2EE8" w:rsidRPr="00193090">
        <w:rPr>
          <w:rFonts w:eastAsia="Times New Roman" w:cs="Times New Roman"/>
          <w:color w:val="000000"/>
          <w:kern w:val="0"/>
          <w:szCs w:val="24"/>
          <w:lang w:eastAsia="en-GB" w:bidi="hi-IN"/>
          <w14:ligatures w14:val="none"/>
        </w:rPr>
        <w:t>Employee Training (ET)</w:t>
      </w:r>
      <w:bookmarkEnd w:id="95"/>
    </w:p>
    <w:p w14:paraId="42AEFEE1" w14:textId="77777777" w:rsidR="007F2EE8" w:rsidRPr="00F82232" w:rsidRDefault="007F2EE8" w:rsidP="007F2EE8">
      <w:pPr>
        <w:autoSpaceDE w:val="0"/>
        <w:autoSpaceDN w:val="0"/>
        <w:adjustRightInd w:val="0"/>
        <w:spacing w:line="240" w:lineRule="auto"/>
        <w:jc w:val="left"/>
        <w:rPr>
          <w:rFonts w:cs="Times New Roman"/>
          <w:color w:val="auto"/>
          <w:kern w:val="0"/>
          <w:szCs w:val="24"/>
          <w:lang w:bidi="hi-IN"/>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43"/>
        <w:gridCol w:w="905"/>
        <w:gridCol w:w="904"/>
        <w:gridCol w:w="691"/>
        <w:gridCol w:w="1087"/>
        <w:gridCol w:w="1007"/>
        <w:gridCol w:w="904"/>
        <w:gridCol w:w="691"/>
        <w:gridCol w:w="904"/>
        <w:gridCol w:w="690"/>
      </w:tblGrid>
      <w:tr w:rsidR="007F2EE8" w:rsidRPr="00F82232" w14:paraId="71BEAE9C" w14:textId="77777777" w:rsidTr="007F2EE8">
        <w:trPr>
          <w:cantSplit/>
        </w:trPr>
        <w:tc>
          <w:tcPr>
            <w:tcW w:w="5000" w:type="pct"/>
            <w:gridSpan w:val="10"/>
            <w:tcBorders>
              <w:top w:val="nil"/>
              <w:left w:val="nil"/>
              <w:bottom w:val="nil"/>
              <w:right w:val="nil"/>
            </w:tcBorders>
            <w:shd w:val="clear" w:color="auto" w:fill="FFFFFF"/>
            <w:vAlign w:val="center"/>
          </w:tcPr>
          <w:p w14:paraId="4E74CBE3"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i/>
                <w:iCs/>
                <w:color w:val="000000"/>
                <w:kern w:val="0"/>
                <w:szCs w:val="24"/>
                <w:lang w:bidi="hi-IN"/>
              </w:rPr>
              <w:t>Descriptive Statistics</w:t>
            </w:r>
          </w:p>
        </w:tc>
      </w:tr>
      <w:tr w:rsidR="007F2EE8" w:rsidRPr="00F82232" w14:paraId="64AB9DEE" w14:textId="77777777" w:rsidTr="007F2EE8">
        <w:trPr>
          <w:cantSplit/>
        </w:trPr>
        <w:tc>
          <w:tcPr>
            <w:tcW w:w="688" w:type="pct"/>
            <w:vMerge w:val="restart"/>
            <w:tcBorders>
              <w:left w:val="nil"/>
              <w:bottom w:val="nil"/>
              <w:right w:val="nil"/>
            </w:tcBorders>
            <w:shd w:val="clear" w:color="auto" w:fill="FFFFFF"/>
            <w:vAlign w:val="bottom"/>
          </w:tcPr>
          <w:p w14:paraId="3B3D8D22" w14:textId="77777777" w:rsidR="007F2EE8" w:rsidRPr="00F82232" w:rsidRDefault="007F2EE8" w:rsidP="007F2EE8">
            <w:pPr>
              <w:autoSpaceDE w:val="0"/>
              <w:autoSpaceDN w:val="0"/>
              <w:adjustRightInd w:val="0"/>
              <w:jc w:val="left"/>
              <w:rPr>
                <w:rFonts w:cs="Mangal"/>
                <w:color w:val="auto"/>
                <w:kern w:val="0"/>
                <w:szCs w:val="24"/>
                <w:lang w:bidi="hi-IN"/>
              </w:rPr>
            </w:pPr>
          </w:p>
        </w:tc>
        <w:tc>
          <w:tcPr>
            <w:tcW w:w="501" w:type="pct"/>
            <w:tcBorders>
              <w:left w:val="nil"/>
            </w:tcBorders>
            <w:shd w:val="clear" w:color="auto" w:fill="FFFFFF"/>
            <w:vAlign w:val="bottom"/>
          </w:tcPr>
          <w:p w14:paraId="435C31EF"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N</w:t>
            </w:r>
          </w:p>
        </w:tc>
        <w:tc>
          <w:tcPr>
            <w:tcW w:w="884" w:type="pct"/>
            <w:gridSpan w:val="2"/>
            <w:tcBorders>
              <w:left w:val="nil"/>
            </w:tcBorders>
            <w:shd w:val="clear" w:color="auto" w:fill="FFFFFF"/>
            <w:vAlign w:val="bottom"/>
          </w:tcPr>
          <w:p w14:paraId="42F47CD5"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Mean</w:t>
            </w:r>
          </w:p>
        </w:tc>
        <w:tc>
          <w:tcPr>
            <w:tcW w:w="602" w:type="pct"/>
            <w:tcBorders>
              <w:left w:val="nil"/>
            </w:tcBorders>
            <w:shd w:val="clear" w:color="auto" w:fill="FFFFFF"/>
            <w:vAlign w:val="bottom"/>
          </w:tcPr>
          <w:p w14:paraId="3865DD82"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Deviation</w:t>
            </w:r>
          </w:p>
        </w:tc>
        <w:tc>
          <w:tcPr>
            <w:tcW w:w="558" w:type="pct"/>
            <w:tcBorders>
              <w:left w:val="nil"/>
            </w:tcBorders>
            <w:shd w:val="clear" w:color="auto" w:fill="FFFFFF"/>
            <w:vAlign w:val="bottom"/>
          </w:tcPr>
          <w:p w14:paraId="36EF8DCF"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Variance</w:t>
            </w:r>
          </w:p>
        </w:tc>
        <w:tc>
          <w:tcPr>
            <w:tcW w:w="884" w:type="pct"/>
            <w:gridSpan w:val="2"/>
            <w:tcBorders>
              <w:left w:val="nil"/>
            </w:tcBorders>
            <w:shd w:val="clear" w:color="auto" w:fill="FFFFFF"/>
            <w:vAlign w:val="bottom"/>
          </w:tcPr>
          <w:p w14:paraId="1F1FFFEA"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Skewness</w:t>
            </w:r>
          </w:p>
        </w:tc>
        <w:tc>
          <w:tcPr>
            <w:tcW w:w="884" w:type="pct"/>
            <w:gridSpan w:val="2"/>
            <w:tcBorders>
              <w:left w:val="nil"/>
              <w:right w:val="nil"/>
            </w:tcBorders>
            <w:shd w:val="clear" w:color="auto" w:fill="FFFFFF"/>
            <w:vAlign w:val="bottom"/>
          </w:tcPr>
          <w:p w14:paraId="29A972F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Kurtosis</w:t>
            </w:r>
          </w:p>
        </w:tc>
      </w:tr>
      <w:tr w:rsidR="007F2EE8" w:rsidRPr="00F82232" w14:paraId="087C3D68" w14:textId="77777777" w:rsidTr="007F2EE8">
        <w:trPr>
          <w:cantSplit/>
        </w:trPr>
        <w:tc>
          <w:tcPr>
            <w:tcW w:w="688" w:type="pct"/>
            <w:vMerge/>
            <w:tcBorders>
              <w:left w:val="nil"/>
              <w:bottom w:val="nil"/>
              <w:right w:val="nil"/>
            </w:tcBorders>
            <w:shd w:val="clear" w:color="auto" w:fill="FFFFFF"/>
            <w:vAlign w:val="bottom"/>
          </w:tcPr>
          <w:p w14:paraId="26D6A282" w14:textId="77777777" w:rsidR="007F2EE8" w:rsidRPr="00F82232" w:rsidRDefault="007F2EE8" w:rsidP="007F2EE8">
            <w:pPr>
              <w:autoSpaceDE w:val="0"/>
              <w:autoSpaceDN w:val="0"/>
              <w:adjustRightInd w:val="0"/>
              <w:jc w:val="left"/>
              <w:rPr>
                <w:rFonts w:cs="Times New Roman"/>
                <w:color w:val="000000"/>
                <w:kern w:val="0"/>
                <w:szCs w:val="24"/>
                <w:lang w:bidi="hi-IN"/>
              </w:rPr>
            </w:pPr>
          </w:p>
        </w:tc>
        <w:tc>
          <w:tcPr>
            <w:tcW w:w="501" w:type="pct"/>
            <w:tcBorders>
              <w:left w:val="nil"/>
            </w:tcBorders>
            <w:shd w:val="clear" w:color="auto" w:fill="FFFFFF"/>
            <w:vAlign w:val="bottom"/>
          </w:tcPr>
          <w:p w14:paraId="1325100C"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0FE56664"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6E95CF7C"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602" w:type="pct"/>
            <w:tcBorders>
              <w:left w:val="nil"/>
            </w:tcBorders>
            <w:shd w:val="clear" w:color="auto" w:fill="FFFFFF"/>
            <w:vAlign w:val="bottom"/>
          </w:tcPr>
          <w:p w14:paraId="0445BAFE"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58" w:type="pct"/>
            <w:tcBorders>
              <w:left w:val="nil"/>
            </w:tcBorders>
            <w:shd w:val="clear" w:color="auto" w:fill="FFFFFF"/>
            <w:vAlign w:val="bottom"/>
          </w:tcPr>
          <w:p w14:paraId="022347F7"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1E8C9038"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118584BF"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501" w:type="pct"/>
            <w:tcBorders>
              <w:left w:val="nil"/>
              <w:right w:val="nil"/>
            </w:tcBorders>
            <w:shd w:val="clear" w:color="auto" w:fill="FFFFFF"/>
            <w:vAlign w:val="bottom"/>
          </w:tcPr>
          <w:p w14:paraId="4A425A0B"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right w:val="nil"/>
            </w:tcBorders>
            <w:shd w:val="clear" w:color="auto" w:fill="FFFFFF"/>
            <w:vAlign w:val="bottom"/>
          </w:tcPr>
          <w:p w14:paraId="6E853CD9"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r>
      <w:tr w:rsidR="007F2EE8" w:rsidRPr="00F82232" w14:paraId="39184489" w14:textId="77777777" w:rsidTr="007F2EE8">
        <w:trPr>
          <w:cantSplit/>
        </w:trPr>
        <w:tc>
          <w:tcPr>
            <w:tcW w:w="688" w:type="pct"/>
            <w:tcBorders>
              <w:left w:val="nil"/>
              <w:bottom w:val="nil"/>
              <w:right w:val="nil"/>
            </w:tcBorders>
            <w:shd w:val="clear" w:color="auto" w:fill="FFFFFF"/>
          </w:tcPr>
          <w:p w14:paraId="214C79E7"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ET1</w:t>
            </w:r>
          </w:p>
        </w:tc>
        <w:tc>
          <w:tcPr>
            <w:tcW w:w="501" w:type="pct"/>
            <w:tcBorders>
              <w:left w:val="nil"/>
              <w:bottom w:val="nil"/>
            </w:tcBorders>
            <w:shd w:val="clear" w:color="auto" w:fill="FFFFFF"/>
          </w:tcPr>
          <w:p w14:paraId="0DED527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left w:val="nil"/>
              <w:bottom w:val="nil"/>
              <w:right w:val="nil"/>
            </w:tcBorders>
            <w:shd w:val="clear" w:color="auto" w:fill="FFFFFF"/>
          </w:tcPr>
          <w:p w14:paraId="64812D8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4.54</w:t>
            </w:r>
          </w:p>
        </w:tc>
        <w:tc>
          <w:tcPr>
            <w:tcW w:w="383" w:type="pct"/>
            <w:tcBorders>
              <w:left w:val="nil"/>
              <w:bottom w:val="nil"/>
            </w:tcBorders>
            <w:shd w:val="clear" w:color="auto" w:fill="FFFFFF"/>
          </w:tcPr>
          <w:p w14:paraId="4ABCFB9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.069</w:t>
            </w:r>
          </w:p>
        </w:tc>
        <w:tc>
          <w:tcPr>
            <w:tcW w:w="602" w:type="pct"/>
            <w:tcBorders>
              <w:left w:val="nil"/>
              <w:bottom w:val="nil"/>
            </w:tcBorders>
            <w:shd w:val="clear" w:color="auto" w:fill="FFFFFF"/>
          </w:tcPr>
          <w:p w14:paraId="4F0BF43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.847</w:t>
            </w:r>
          </w:p>
        </w:tc>
        <w:tc>
          <w:tcPr>
            <w:tcW w:w="558" w:type="pct"/>
            <w:tcBorders>
              <w:left w:val="nil"/>
              <w:bottom w:val="nil"/>
            </w:tcBorders>
            <w:shd w:val="clear" w:color="auto" w:fill="FFFFFF"/>
          </w:tcPr>
          <w:p w14:paraId="18A4DC9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.717</w:t>
            </w:r>
          </w:p>
        </w:tc>
        <w:tc>
          <w:tcPr>
            <w:tcW w:w="501" w:type="pct"/>
            <w:tcBorders>
              <w:left w:val="nil"/>
              <w:bottom w:val="nil"/>
              <w:right w:val="nil"/>
            </w:tcBorders>
            <w:shd w:val="clear" w:color="auto" w:fill="FFFFFF"/>
          </w:tcPr>
          <w:p w14:paraId="07AE607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-2.152</w:t>
            </w:r>
          </w:p>
        </w:tc>
        <w:tc>
          <w:tcPr>
            <w:tcW w:w="383" w:type="pct"/>
            <w:tcBorders>
              <w:left w:val="nil"/>
              <w:bottom w:val="nil"/>
            </w:tcBorders>
            <w:shd w:val="clear" w:color="auto" w:fill="FFFFFF"/>
          </w:tcPr>
          <w:p w14:paraId="47B6D0F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left w:val="nil"/>
              <w:bottom w:val="nil"/>
              <w:right w:val="nil"/>
            </w:tcBorders>
            <w:shd w:val="clear" w:color="auto" w:fill="FFFFFF"/>
          </w:tcPr>
          <w:p w14:paraId="4B7BDF4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4.656</w:t>
            </w:r>
          </w:p>
        </w:tc>
        <w:tc>
          <w:tcPr>
            <w:tcW w:w="383" w:type="pct"/>
            <w:tcBorders>
              <w:left w:val="nil"/>
              <w:bottom w:val="nil"/>
              <w:right w:val="nil"/>
            </w:tcBorders>
            <w:shd w:val="clear" w:color="auto" w:fill="FFFFFF"/>
          </w:tcPr>
          <w:p w14:paraId="6A32C76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53883605" w14:textId="77777777" w:rsidTr="007F2EE8">
        <w:trPr>
          <w:cantSplit/>
        </w:trPr>
        <w:tc>
          <w:tcPr>
            <w:tcW w:w="688" w:type="pct"/>
            <w:tcBorders>
              <w:top w:val="nil"/>
              <w:left w:val="nil"/>
              <w:bottom w:val="nil"/>
              <w:right w:val="nil"/>
            </w:tcBorders>
            <w:shd w:val="clear" w:color="auto" w:fill="FFFFFF"/>
          </w:tcPr>
          <w:p w14:paraId="730A0340"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ET2</w:t>
            </w:r>
          </w:p>
        </w:tc>
        <w:tc>
          <w:tcPr>
            <w:tcW w:w="501" w:type="pct"/>
            <w:tcBorders>
              <w:top w:val="nil"/>
              <w:left w:val="nil"/>
              <w:bottom w:val="nil"/>
            </w:tcBorders>
            <w:shd w:val="clear" w:color="auto" w:fill="FFFFFF"/>
          </w:tcPr>
          <w:p w14:paraId="622B930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3CB4593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3.83</w:t>
            </w:r>
          </w:p>
        </w:tc>
        <w:tc>
          <w:tcPr>
            <w:tcW w:w="383" w:type="pct"/>
            <w:tcBorders>
              <w:top w:val="nil"/>
              <w:left w:val="nil"/>
              <w:bottom w:val="nil"/>
            </w:tcBorders>
            <w:shd w:val="clear" w:color="auto" w:fill="FFFFFF"/>
          </w:tcPr>
          <w:p w14:paraId="6DCFA5D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.055</w:t>
            </w:r>
          </w:p>
        </w:tc>
        <w:tc>
          <w:tcPr>
            <w:tcW w:w="602" w:type="pct"/>
            <w:tcBorders>
              <w:top w:val="nil"/>
              <w:left w:val="nil"/>
              <w:bottom w:val="nil"/>
            </w:tcBorders>
            <w:shd w:val="clear" w:color="auto" w:fill="FFFFFF"/>
          </w:tcPr>
          <w:p w14:paraId="521A038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.671</w:t>
            </w:r>
          </w:p>
        </w:tc>
        <w:tc>
          <w:tcPr>
            <w:tcW w:w="558" w:type="pct"/>
            <w:tcBorders>
              <w:top w:val="nil"/>
              <w:left w:val="nil"/>
              <w:bottom w:val="nil"/>
            </w:tcBorders>
            <w:shd w:val="clear" w:color="auto" w:fill="FFFFFF"/>
          </w:tcPr>
          <w:p w14:paraId="4B06CEA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.450</w:t>
            </w:r>
          </w:p>
        </w:tc>
        <w:tc>
          <w:tcPr>
            <w:tcW w:w="501" w:type="pct"/>
            <w:tcBorders>
              <w:top w:val="nil"/>
              <w:left w:val="nil"/>
              <w:bottom w:val="nil"/>
              <w:right w:val="nil"/>
            </w:tcBorders>
            <w:shd w:val="clear" w:color="auto" w:fill="FFFFFF"/>
          </w:tcPr>
          <w:p w14:paraId="5F31B5E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-2.468</w:t>
            </w:r>
          </w:p>
        </w:tc>
        <w:tc>
          <w:tcPr>
            <w:tcW w:w="383" w:type="pct"/>
            <w:tcBorders>
              <w:top w:val="nil"/>
              <w:left w:val="nil"/>
              <w:bottom w:val="nil"/>
            </w:tcBorders>
            <w:shd w:val="clear" w:color="auto" w:fill="FFFFFF"/>
          </w:tcPr>
          <w:p w14:paraId="111B45D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5E531F6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7.891</w:t>
            </w:r>
          </w:p>
        </w:tc>
        <w:tc>
          <w:tcPr>
            <w:tcW w:w="383" w:type="pct"/>
            <w:tcBorders>
              <w:top w:val="nil"/>
              <w:left w:val="nil"/>
              <w:bottom w:val="nil"/>
              <w:right w:val="nil"/>
            </w:tcBorders>
            <w:shd w:val="clear" w:color="auto" w:fill="FFFFFF"/>
          </w:tcPr>
          <w:p w14:paraId="35E955A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179C187F" w14:textId="77777777" w:rsidTr="007F2EE8">
        <w:trPr>
          <w:cantSplit/>
        </w:trPr>
        <w:tc>
          <w:tcPr>
            <w:tcW w:w="688" w:type="pct"/>
            <w:tcBorders>
              <w:top w:val="nil"/>
              <w:left w:val="nil"/>
              <w:bottom w:val="nil"/>
              <w:right w:val="nil"/>
            </w:tcBorders>
            <w:shd w:val="clear" w:color="auto" w:fill="FFFFFF"/>
          </w:tcPr>
          <w:p w14:paraId="2B8D40CC"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ET3</w:t>
            </w:r>
          </w:p>
        </w:tc>
        <w:tc>
          <w:tcPr>
            <w:tcW w:w="501" w:type="pct"/>
            <w:tcBorders>
              <w:top w:val="nil"/>
              <w:left w:val="nil"/>
              <w:bottom w:val="nil"/>
            </w:tcBorders>
            <w:shd w:val="clear" w:color="auto" w:fill="FFFFFF"/>
          </w:tcPr>
          <w:p w14:paraId="64FBA9EC"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25B2BE7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4.49</w:t>
            </w:r>
          </w:p>
        </w:tc>
        <w:tc>
          <w:tcPr>
            <w:tcW w:w="383" w:type="pct"/>
            <w:tcBorders>
              <w:top w:val="nil"/>
              <w:left w:val="nil"/>
              <w:bottom w:val="nil"/>
            </w:tcBorders>
            <w:shd w:val="clear" w:color="auto" w:fill="FFFFFF"/>
          </w:tcPr>
          <w:p w14:paraId="5540CA9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.073</w:t>
            </w:r>
          </w:p>
        </w:tc>
        <w:tc>
          <w:tcPr>
            <w:tcW w:w="602" w:type="pct"/>
            <w:tcBorders>
              <w:top w:val="nil"/>
              <w:left w:val="nil"/>
              <w:bottom w:val="nil"/>
            </w:tcBorders>
            <w:shd w:val="clear" w:color="auto" w:fill="FFFFFF"/>
          </w:tcPr>
          <w:p w14:paraId="31A9F9D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.893</w:t>
            </w:r>
          </w:p>
        </w:tc>
        <w:tc>
          <w:tcPr>
            <w:tcW w:w="558" w:type="pct"/>
            <w:tcBorders>
              <w:top w:val="nil"/>
              <w:left w:val="nil"/>
              <w:bottom w:val="nil"/>
            </w:tcBorders>
            <w:shd w:val="clear" w:color="auto" w:fill="FFFFFF"/>
          </w:tcPr>
          <w:p w14:paraId="60E3BE1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.798</w:t>
            </w:r>
          </w:p>
        </w:tc>
        <w:tc>
          <w:tcPr>
            <w:tcW w:w="501" w:type="pct"/>
            <w:tcBorders>
              <w:top w:val="nil"/>
              <w:left w:val="nil"/>
              <w:bottom w:val="nil"/>
              <w:right w:val="nil"/>
            </w:tcBorders>
            <w:shd w:val="clear" w:color="auto" w:fill="FFFFFF"/>
          </w:tcPr>
          <w:p w14:paraId="1C018A8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-1.760</w:t>
            </w:r>
          </w:p>
        </w:tc>
        <w:tc>
          <w:tcPr>
            <w:tcW w:w="383" w:type="pct"/>
            <w:tcBorders>
              <w:top w:val="nil"/>
              <w:left w:val="nil"/>
              <w:bottom w:val="nil"/>
            </w:tcBorders>
            <w:shd w:val="clear" w:color="auto" w:fill="FFFFFF"/>
          </w:tcPr>
          <w:p w14:paraId="022AFEC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467E086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2.329</w:t>
            </w:r>
          </w:p>
        </w:tc>
        <w:tc>
          <w:tcPr>
            <w:tcW w:w="383" w:type="pct"/>
            <w:tcBorders>
              <w:top w:val="nil"/>
              <w:left w:val="nil"/>
              <w:bottom w:val="nil"/>
              <w:right w:val="nil"/>
            </w:tcBorders>
            <w:shd w:val="clear" w:color="auto" w:fill="FFFFFF"/>
          </w:tcPr>
          <w:p w14:paraId="6C15B3B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3D3A5769" w14:textId="77777777" w:rsidTr="007F2EE8">
        <w:trPr>
          <w:cantSplit/>
        </w:trPr>
        <w:tc>
          <w:tcPr>
            <w:tcW w:w="688" w:type="pct"/>
            <w:tcBorders>
              <w:top w:val="nil"/>
              <w:left w:val="nil"/>
              <w:bottom w:val="single" w:sz="4" w:space="0" w:color="auto"/>
              <w:right w:val="nil"/>
            </w:tcBorders>
            <w:shd w:val="clear" w:color="auto" w:fill="FFFFFF"/>
          </w:tcPr>
          <w:p w14:paraId="5A648FC9"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ET4</w:t>
            </w:r>
          </w:p>
        </w:tc>
        <w:tc>
          <w:tcPr>
            <w:tcW w:w="501" w:type="pct"/>
            <w:tcBorders>
              <w:top w:val="nil"/>
              <w:left w:val="nil"/>
              <w:bottom w:val="single" w:sz="4" w:space="0" w:color="auto"/>
            </w:tcBorders>
            <w:shd w:val="clear" w:color="auto" w:fill="FFFFFF"/>
          </w:tcPr>
          <w:p w14:paraId="5EECEF1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single" w:sz="4" w:space="0" w:color="auto"/>
              <w:right w:val="nil"/>
            </w:tcBorders>
            <w:shd w:val="clear" w:color="auto" w:fill="FFFFFF"/>
          </w:tcPr>
          <w:p w14:paraId="429CC30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3.83</w:t>
            </w:r>
          </w:p>
        </w:tc>
        <w:tc>
          <w:tcPr>
            <w:tcW w:w="383" w:type="pct"/>
            <w:tcBorders>
              <w:top w:val="nil"/>
              <w:left w:val="nil"/>
              <w:bottom w:val="single" w:sz="4" w:space="0" w:color="auto"/>
            </w:tcBorders>
            <w:shd w:val="clear" w:color="auto" w:fill="FFFFFF"/>
          </w:tcPr>
          <w:p w14:paraId="12F2F1E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.057</w:t>
            </w:r>
          </w:p>
        </w:tc>
        <w:tc>
          <w:tcPr>
            <w:tcW w:w="602" w:type="pct"/>
            <w:tcBorders>
              <w:top w:val="nil"/>
              <w:left w:val="nil"/>
              <w:bottom w:val="single" w:sz="4" w:space="0" w:color="auto"/>
            </w:tcBorders>
            <w:shd w:val="clear" w:color="auto" w:fill="FFFFFF"/>
          </w:tcPr>
          <w:p w14:paraId="0D372F9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.697</w:t>
            </w:r>
          </w:p>
        </w:tc>
        <w:tc>
          <w:tcPr>
            <w:tcW w:w="558" w:type="pct"/>
            <w:tcBorders>
              <w:top w:val="nil"/>
              <w:left w:val="nil"/>
              <w:bottom w:val="single" w:sz="4" w:space="0" w:color="auto"/>
            </w:tcBorders>
            <w:shd w:val="clear" w:color="auto" w:fill="FFFFFF"/>
          </w:tcPr>
          <w:p w14:paraId="192A8E2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.486</w:t>
            </w:r>
          </w:p>
        </w:tc>
        <w:tc>
          <w:tcPr>
            <w:tcW w:w="501" w:type="pct"/>
            <w:tcBorders>
              <w:top w:val="nil"/>
              <w:left w:val="nil"/>
              <w:bottom w:val="single" w:sz="4" w:space="0" w:color="auto"/>
              <w:right w:val="nil"/>
            </w:tcBorders>
            <w:shd w:val="clear" w:color="auto" w:fill="FFFFFF"/>
          </w:tcPr>
          <w:p w14:paraId="109D1CA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-1.918</w:t>
            </w:r>
          </w:p>
        </w:tc>
        <w:tc>
          <w:tcPr>
            <w:tcW w:w="383" w:type="pct"/>
            <w:tcBorders>
              <w:top w:val="nil"/>
              <w:left w:val="nil"/>
              <w:bottom w:val="single" w:sz="4" w:space="0" w:color="auto"/>
            </w:tcBorders>
            <w:shd w:val="clear" w:color="auto" w:fill="FFFFFF"/>
          </w:tcPr>
          <w:p w14:paraId="7661175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single" w:sz="4" w:space="0" w:color="auto"/>
              <w:right w:val="nil"/>
            </w:tcBorders>
            <w:shd w:val="clear" w:color="auto" w:fill="FFFFFF"/>
          </w:tcPr>
          <w:p w14:paraId="05CA762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5.445</w:t>
            </w:r>
          </w:p>
        </w:tc>
        <w:tc>
          <w:tcPr>
            <w:tcW w:w="383" w:type="pct"/>
            <w:tcBorders>
              <w:top w:val="nil"/>
              <w:left w:val="nil"/>
              <w:bottom w:val="single" w:sz="4" w:space="0" w:color="auto"/>
              <w:right w:val="nil"/>
            </w:tcBorders>
            <w:shd w:val="clear" w:color="auto" w:fill="FFFFFF"/>
          </w:tcPr>
          <w:p w14:paraId="4323532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bl>
    <w:p w14:paraId="0238393B" w14:textId="77777777" w:rsidR="007F2EE8" w:rsidRPr="00F82232" w:rsidRDefault="007F2EE8" w:rsidP="007F2EE8">
      <w:pPr>
        <w:autoSpaceDE w:val="0"/>
        <w:autoSpaceDN w:val="0"/>
        <w:adjustRightInd w:val="0"/>
        <w:spacing w:line="400" w:lineRule="atLeast"/>
        <w:jc w:val="left"/>
        <w:rPr>
          <w:rFonts w:cs="Times New Roman"/>
          <w:color w:val="auto"/>
          <w:kern w:val="0"/>
          <w:szCs w:val="24"/>
          <w:lang w:bidi="hi-IN"/>
        </w:rPr>
      </w:pPr>
    </w:p>
    <w:p w14:paraId="41F836FE" w14:textId="4EB3E2BA" w:rsidR="007F2EE8" w:rsidRPr="00F82232" w:rsidRDefault="00F82232" w:rsidP="007F2EE8">
      <w:pPr>
        <w:rPr>
          <w:lang w:eastAsia="en-GB" w:bidi="hi-IN"/>
        </w:rPr>
      </w:pPr>
      <w:r w:rsidRPr="00F82232">
        <w:rPr>
          <w:lang w:eastAsia="en-GB" w:bidi="hi-IN"/>
        </w:rPr>
        <w:t xml:space="preserve">Descriptive statistics for the construct of employee training (ET) show an important gap between the institution and the individual's capabilities. Mean scores are high but a clear </w:t>
      </w:r>
      <w:r w:rsidRPr="00F82232">
        <w:rPr>
          <w:lang w:eastAsia="en-GB" w:bidi="hi-IN"/>
        </w:rPr>
        <w:lastRenderedPageBreak/>
        <w:t>distinction is seen in the results: There is a higher score for learning styles that are unstructured and self-directed (ET1: M=4.54, ET3: M=4.49) compared to the more formal employer-led digital upskilling (ET2: M=3.83, ET4: M=3.83). Standard deviations, especially for ET3 (SD=0.893), reveal that there is no uniformity or standardisation in proficiencies with generative AI. Moreover, all the data are extremely concentrated (the negative skewness ranges from -1.760 to -2.468, and the kurtosis rises to a maximum of 7.891 for ET2). On the methodological level, this highly restrictive nature of statistical variance of the construct mathematically restricts the efficacy of the construct as a moderation variable. Overall, these data provide clear evidence that there is an ad</w:t>
      </w:r>
      <w:r w:rsidR="007D4D16">
        <w:rPr>
          <w:lang w:eastAsia="en-GB" w:bidi="hi-IN"/>
        </w:rPr>
        <w:t xml:space="preserve"> </w:t>
      </w:r>
      <w:r w:rsidRPr="00F82232">
        <w:rPr>
          <w:lang w:eastAsia="en-GB" w:bidi="hi-IN"/>
        </w:rPr>
        <w:t>hoc upskilling gap</w:t>
      </w:r>
      <w:r w:rsidR="007D4D16">
        <w:rPr>
          <w:lang w:eastAsia="en-GB" w:bidi="hi-IN"/>
        </w:rPr>
        <w:t>.</w:t>
      </w:r>
      <w:r w:rsidRPr="00F82232">
        <w:rPr>
          <w:lang w:eastAsia="en-GB" w:bidi="hi-IN"/>
        </w:rPr>
        <w:t xml:space="preserve"> SMEs are resigned to an employee taking matters into their own hands rather than implementing structured training that would help them address possible risks posed by new algorithms.</w:t>
      </w:r>
    </w:p>
    <w:p w14:paraId="6A628EB5" w14:textId="660DDEA6" w:rsidR="007F2EE8" w:rsidRPr="00193090" w:rsidRDefault="00193090" w:rsidP="00193090">
      <w:pPr>
        <w:pStyle w:val="Caption"/>
        <w:rPr>
          <w:rFonts w:cs="Times New Roman"/>
          <w:color w:val="auto"/>
          <w:kern w:val="0"/>
          <w:szCs w:val="24"/>
          <w:lang w:bidi="hi-IN"/>
        </w:rPr>
      </w:pPr>
      <w:bookmarkStart w:id="96" w:name="_Toc241052640"/>
      <w:r>
        <w:t xml:space="preserve">Table </w:t>
      </w:r>
      <w:fldSimple w:instr=" SEQ Table \* ARABIC ">
        <w:r w:rsidR="009F799C">
          <w:rPr>
            <w:noProof/>
          </w:rPr>
          <w:t>7</w:t>
        </w:r>
      </w:fldSimple>
      <w:r>
        <w:rPr>
          <w:lang w:val="en-US"/>
        </w:rPr>
        <w:t>:</w:t>
      </w:r>
      <w:r w:rsidR="007D4D16">
        <w:rPr>
          <w:lang w:val="en-US"/>
        </w:rPr>
        <w:t xml:space="preserve"> </w:t>
      </w:r>
      <w:r w:rsidR="007F2EE8" w:rsidRPr="00193090">
        <w:t>AI Governance (AIG)</w:t>
      </w:r>
      <w:bookmarkEnd w:id="96"/>
      <w:r w:rsidR="007F2EE8" w:rsidRPr="00193090">
        <w:rPr>
          <w:rStyle w:val="apple-converted-space"/>
          <w:rFonts w:ascii="-webkit-standard" w:hAnsi="-webkit-standard"/>
          <w:color w:val="000000"/>
          <w:sz w:val="27"/>
          <w:szCs w:val="27"/>
        </w:rPr>
        <w:t>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47"/>
        <w:gridCol w:w="905"/>
        <w:gridCol w:w="904"/>
        <w:gridCol w:w="691"/>
        <w:gridCol w:w="1087"/>
        <w:gridCol w:w="1007"/>
        <w:gridCol w:w="904"/>
        <w:gridCol w:w="691"/>
        <w:gridCol w:w="904"/>
        <w:gridCol w:w="686"/>
      </w:tblGrid>
      <w:tr w:rsidR="007F2EE8" w:rsidRPr="00F82232" w14:paraId="25F8B352" w14:textId="77777777" w:rsidTr="007F2EE8">
        <w:trPr>
          <w:cantSplit/>
        </w:trPr>
        <w:tc>
          <w:tcPr>
            <w:tcW w:w="5000" w:type="pct"/>
            <w:gridSpan w:val="10"/>
            <w:tcBorders>
              <w:top w:val="nil"/>
              <w:left w:val="nil"/>
              <w:bottom w:val="nil"/>
              <w:right w:val="nil"/>
            </w:tcBorders>
            <w:shd w:val="clear" w:color="auto" w:fill="FFFFFF"/>
            <w:vAlign w:val="center"/>
          </w:tcPr>
          <w:p w14:paraId="62099DD4"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i/>
                <w:iCs/>
                <w:color w:val="000000"/>
                <w:kern w:val="0"/>
                <w:szCs w:val="24"/>
                <w:lang w:bidi="hi-IN"/>
              </w:rPr>
              <w:t>Descriptive Statistics</w:t>
            </w:r>
          </w:p>
        </w:tc>
      </w:tr>
      <w:tr w:rsidR="007F2EE8" w:rsidRPr="00F82232" w14:paraId="0CB5743A" w14:textId="77777777" w:rsidTr="00F82232">
        <w:trPr>
          <w:cantSplit/>
        </w:trPr>
        <w:tc>
          <w:tcPr>
            <w:tcW w:w="690" w:type="pct"/>
            <w:vMerge w:val="restart"/>
            <w:tcBorders>
              <w:left w:val="nil"/>
              <w:bottom w:val="nil"/>
              <w:right w:val="nil"/>
            </w:tcBorders>
            <w:shd w:val="clear" w:color="auto" w:fill="FFFFFF"/>
            <w:vAlign w:val="bottom"/>
          </w:tcPr>
          <w:p w14:paraId="51041A71" w14:textId="77777777" w:rsidR="007F2EE8" w:rsidRPr="00F82232" w:rsidRDefault="007F2EE8" w:rsidP="007F2EE8">
            <w:pPr>
              <w:autoSpaceDE w:val="0"/>
              <w:autoSpaceDN w:val="0"/>
              <w:adjustRightInd w:val="0"/>
              <w:jc w:val="left"/>
              <w:rPr>
                <w:rFonts w:cs="Mangal"/>
                <w:color w:val="auto"/>
                <w:kern w:val="0"/>
                <w:szCs w:val="24"/>
                <w:lang w:bidi="hi-IN"/>
              </w:rPr>
            </w:pPr>
          </w:p>
        </w:tc>
        <w:tc>
          <w:tcPr>
            <w:tcW w:w="501" w:type="pct"/>
            <w:tcBorders>
              <w:left w:val="nil"/>
            </w:tcBorders>
            <w:shd w:val="clear" w:color="auto" w:fill="FFFFFF"/>
            <w:vAlign w:val="bottom"/>
          </w:tcPr>
          <w:p w14:paraId="25775019"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N</w:t>
            </w:r>
          </w:p>
        </w:tc>
        <w:tc>
          <w:tcPr>
            <w:tcW w:w="884" w:type="pct"/>
            <w:gridSpan w:val="2"/>
            <w:tcBorders>
              <w:left w:val="nil"/>
            </w:tcBorders>
            <w:shd w:val="clear" w:color="auto" w:fill="FFFFFF"/>
            <w:vAlign w:val="bottom"/>
          </w:tcPr>
          <w:p w14:paraId="6D4889E6"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Mean</w:t>
            </w:r>
          </w:p>
        </w:tc>
        <w:tc>
          <w:tcPr>
            <w:tcW w:w="602" w:type="pct"/>
            <w:tcBorders>
              <w:left w:val="nil"/>
            </w:tcBorders>
            <w:shd w:val="clear" w:color="auto" w:fill="FFFFFF"/>
            <w:vAlign w:val="bottom"/>
          </w:tcPr>
          <w:p w14:paraId="12DF2CF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Deviation</w:t>
            </w:r>
          </w:p>
        </w:tc>
        <w:tc>
          <w:tcPr>
            <w:tcW w:w="558" w:type="pct"/>
            <w:tcBorders>
              <w:left w:val="nil"/>
            </w:tcBorders>
            <w:shd w:val="clear" w:color="auto" w:fill="FFFFFF"/>
            <w:vAlign w:val="bottom"/>
          </w:tcPr>
          <w:p w14:paraId="16CC2B70"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Variance</w:t>
            </w:r>
          </w:p>
        </w:tc>
        <w:tc>
          <w:tcPr>
            <w:tcW w:w="884" w:type="pct"/>
            <w:gridSpan w:val="2"/>
            <w:tcBorders>
              <w:left w:val="nil"/>
            </w:tcBorders>
            <w:shd w:val="clear" w:color="auto" w:fill="FFFFFF"/>
            <w:vAlign w:val="bottom"/>
          </w:tcPr>
          <w:p w14:paraId="31AB3444"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Skewness</w:t>
            </w:r>
          </w:p>
        </w:tc>
        <w:tc>
          <w:tcPr>
            <w:tcW w:w="882" w:type="pct"/>
            <w:gridSpan w:val="2"/>
            <w:tcBorders>
              <w:left w:val="nil"/>
              <w:right w:val="nil"/>
            </w:tcBorders>
            <w:shd w:val="clear" w:color="auto" w:fill="FFFFFF"/>
            <w:vAlign w:val="bottom"/>
          </w:tcPr>
          <w:p w14:paraId="1000E09C"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Kurtosis</w:t>
            </w:r>
          </w:p>
        </w:tc>
      </w:tr>
      <w:tr w:rsidR="007F2EE8" w:rsidRPr="00F82232" w14:paraId="3CA6F05D" w14:textId="77777777" w:rsidTr="00F82232">
        <w:trPr>
          <w:cantSplit/>
        </w:trPr>
        <w:tc>
          <w:tcPr>
            <w:tcW w:w="690" w:type="pct"/>
            <w:vMerge/>
            <w:tcBorders>
              <w:left w:val="nil"/>
              <w:bottom w:val="nil"/>
              <w:right w:val="nil"/>
            </w:tcBorders>
            <w:shd w:val="clear" w:color="auto" w:fill="FFFFFF"/>
            <w:vAlign w:val="bottom"/>
          </w:tcPr>
          <w:p w14:paraId="28388759" w14:textId="77777777" w:rsidR="007F2EE8" w:rsidRPr="00F82232" w:rsidRDefault="007F2EE8" w:rsidP="007F2EE8">
            <w:pPr>
              <w:autoSpaceDE w:val="0"/>
              <w:autoSpaceDN w:val="0"/>
              <w:adjustRightInd w:val="0"/>
              <w:jc w:val="left"/>
              <w:rPr>
                <w:rFonts w:cs="Times New Roman"/>
                <w:color w:val="000000"/>
                <w:kern w:val="0"/>
                <w:szCs w:val="24"/>
                <w:lang w:bidi="hi-IN"/>
              </w:rPr>
            </w:pPr>
          </w:p>
        </w:tc>
        <w:tc>
          <w:tcPr>
            <w:tcW w:w="501" w:type="pct"/>
            <w:tcBorders>
              <w:left w:val="nil"/>
            </w:tcBorders>
            <w:shd w:val="clear" w:color="auto" w:fill="FFFFFF"/>
            <w:vAlign w:val="bottom"/>
          </w:tcPr>
          <w:p w14:paraId="1BAD369A"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5F14808B"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30944317"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602" w:type="pct"/>
            <w:tcBorders>
              <w:left w:val="nil"/>
            </w:tcBorders>
            <w:shd w:val="clear" w:color="auto" w:fill="FFFFFF"/>
            <w:vAlign w:val="bottom"/>
          </w:tcPr>
          <w:p w14:paraId="42DEA717"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58" w:type="pct"/>
            <w:tcBorders>
              <w:left w:val="nil"/>
            </w:tcBorders>
            <w:shd w:val="clear" w:color="auto" w:fill="FFFFFF"/>
            <w:vAlign w:val="bottom"/>
          </w:tcPr>
          <w:p w14:paraId="72BD001C"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501" w:type="pct"/>
            <w:tcBorders>
              <w:left w:val="nil"/>
              <w:right w:val="nil"/>
            </w:tcBorders>
            <w:shd w:val="clear" w:color="auto" w:fill="FFFFFF"/>
            <w:vAlign w:val="bottom"/>
          </w:tcPr>
          <w:p w14:paraId="57BA1B72"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3" w:type="pct"/>
            <w:tcBorders>
              <w:left w:val="nil"/>
            </w:tcBorders>
            <w:shd w:val="clear" w:color="auto" w:fill="FFFFFF"/>
            <w:vAlign w:val="bottom"/>
          </w:tcPr>
          <w:p w14:paraId="19BBC63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c>
          <w:tcPr>
            <w:tcW w:w="501" w:type="pct"/>
            <w:tcBorders>
              <w:left w:val="nil"/>
              <w:right w:val="nil"/>
            </w:tcBorders>
            <w:shd w:val="clear" w:color="auto" w:fill="FFFFFF"/>
            <w:vAlign w:val="bottom"/>
          </w:tcPr>
          <w:p w14:paraId="53AF479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Statistic</w:t>
            </w:r>
          </w:p>
        </w:tc>
        <w:tc>
          <w:tcPr>
            <w:tcW w:w="381" w:type="pct"/>
            <w:tcBorders>
              <w:left w:val="nil"/>
              <w:right w:val="nil"/>
            </w:tcBorders>
            <w:shd w:val="clear" w:color="auto" w:fill="FFFFFF"/>
            <w:vAlign w:val="bottom"/>
          </w:tcPr>
          <w:p w14:paraId="0659C353" w14:textId="77777777" w:rsidR="007F2EE8" w:rsidRPr="00F82232" w:rsidRDefault="007F2EE8" w:rsidP="007F2EE8">
            <w:pPr>
              <w:autoSpaceDE w:val="0"/>
              <w:autoSpaceDN w:val="0"/>
              <w:adjustRightInd w:val="0"/>
              <w:ind w:left="60" w:right="60"/>
              <w:jc w:val="center"/>
              <w:rPr>
                <w:rFonts w:cs="Times New Roman"/>
                <w:color w:val="000000"/>
                <w:kern w:val="0"/>
                <w:szCs w:val="24"/>
                <w:lang w:bidi="hi-IN"/>
              </w:rPr>
            </w:pPr>
            <w:r w:rsidRPr="00F82232">
              <w:rPr>
                <w:rFonts w:cs="Times New Roman"/>
                <w:color w:val="000000"/>
                <w:kern w:val="0"/>
                <w:szCs w:val="24"/>
                <w:lang w:bidi="hi-IN"/>
              </w:rPr>
              <w:t>Std. Error</w:t>
            </w:r>
          </w:p>
        </w:tc>
      </w:tr>
      <w:tr w:rsidR="007F2EE8" w:rsidRPr="00F82232" w14:paraId="6FEC2B27" w14:textId="77777777" w:rsidTr="00F82232">
        <w:trPr>
          <w:cantSplit/>
        </w:trPr>
        <w:tc>
          <w:tcPr>
            <w:tcW w:w="690" w:type="pct"/>
            <w:tcBorders>
              <w:left w:val="nil"/>
              <w:bottom w:val="nil"/>
              <w:right w:val="nil"/>
            </w:tcBorders>
            <w:shd w:val="clear" w:color="auto" w:fill="FFFFFF"/>
          </w:tcPr>
          <w:p w14:paraId="6B5FF5E0"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AIG1</w:t>
            </w:r>
          </w:p>
        </w:tc>
        <w:tc>
          <w:tcPr>
            <w:tcW w:w="501" w:type="pct"/>
            <w:tcBorders>
              <w:left w:val="nil"/>
              <w:bottom w:val="nil"/>
            </w:tcBorders>
            <w:shd w:val="clear" w:color="auto" w:fill="FFFFFF"/>
          </w:tcPr>
          <w:p w14:paraId="5B688743"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left w:val="nil"/>
              <w:bottom w:val="nil"/>
              <w:right w:val="nil"/>
            </w:tcBorders>
            <w:shd w:val="clear" w:color="auto" w:fill="FFFFFF"/>
          </w:tcPr>
          <w:p w14:paraId="5419FCF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4.48</w:t>
            </w:r>
          </w:p>
        </w:tc>
        <w:tc>
          <w:tcPr>
            <w:tcW w:w="383" w:type="pct"/>
            <w:tcBorders>
              <w:left w:val="nil"/>
              <w:bottom w:val="nil"/>
            </w:tcBorders>
            <w:shd w:val="clear" w:color="auto" w:fill="FFFFFF"/>
          </w:tcPr>
          <w:p w14:paraId="040A719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.072</w:t>
            </w:r>
          </w:p>
        </w:tc>
        <w:tc>
          <w:tcPr>
            <w:tcW w:w="602" w:type="pct"/>
            <w:tcBorders>
              <w:left w:val="nil"/>
              <w:bottom w:val="nil"/>
            </w:tcBorders>
            <w:shd w:val="clear" w:color="auto" w:fill="FFFFFF"/>
          </w:tcPr>
          <w:p w14:paraId="1FB469E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.886</w:t>
            </w:r>
          </w:p>
        </w:tc>
        <w:tc>
          <w:tcPr>
            <w:tcW w:w="558" w:type="pct"/>
            <w:tcBorders>
              <w:left w:val="nil"/>
              <w:bottom w:val="nil"/>
            </w:tcBorders>
            <w:shd w:val="clear" w:color="auto" w:fill="FFFFFF"/>
          </w:tcPr>
          <w:p w14:paraId="674E7CC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.784</w:t>
            </w:r>
          </w:p>
        </w:tc>
        <w:tc>
          <w:tcPr>
            <w:tcW w:w="501" w:type="pct"/>
            <w:tcBorders>
              <w:left w:val="nil"/>
              <w:bottom w:val="nil"/>
              <w:right w:val="nil"/>
            </w:tcBorders>
            <w:shd w:val="clear" w:color="auto" w:fill="FFFFFF"/>
          </w:tcPr>
          <w:p w14:paraId="4916E12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-1.854</w:t>
            </w:r>
          </w:p>
        </w:tc>
        <w:tc>
          <w:tcPr>
            <w:tcW w:w="383" w:type="pct"/>
            <w:tcBorders>
              <w:left w:val="nil"/>
              <w:bottom w:val="nil"/>
            </w:tcBorders>
            <w:shd w:val="clear" w:color="auto" w:fill="FFFFFF"/>
          </w:tcPr>
          <w:p w14:paraId="0DC8416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left w:val="nil"/>
              <w:bottom w:val="nil"/>
              <w:right w:val="nil"/>
            </w:tcBorders>
            <w:shd w:val="clear" w:color="auto" w:fill="FFFFFF"/>
          </w:tcPr>
          <w:p w14:paraId="5680E02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3.156</w:t>
            </w:r>
          </w:p>
        </w:tc>
        <w:tc>
          <w:tcPr>
            <w:tcW w:w="381" w:type="pct"/>
            <w:tcBorders>
              <w:left w:val="nil"/>
              <w:bottom w:val="nil"/>
              <w:right w:val="nil"/>
            </w:tcBorders>
            <w:shd w:val="clear" w:color="auto" w:fill="FFFFFF"/>
          </w:tcPr>
          <w:p w14:paraId="2924480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7F400A2F" w14:textId="77777777" w:rsidTr="00F82232">
        <w:trPr>
          <w:cantSplit/>
        </w:trPr>
        <w:tc>
          <w:tcPr>
            <w:tcW w:w="690" w:type="pct"/>
            <w:tcBorders>
              <w:top w:val="nil"/>
              <w:left w:val="nil"/>
              <w:bottom w:val="nil"/>
              <w:right w:val="nil"/>
            </w:tcBorders>
            <w:shd w:val="clear" w:color="auto" w:fill="FFFFFF"/>
          </w:tcPr>
          <w:p w14:paraId="5240659D"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AIG2</w:t>
            </w:r>
          </w:p>
        </w:tc>
        <w:tc>
          <w:tcPr>
            <w:tcW w:w="501" w:type="pct"/>
            <w:tcBorders>
              <w:top w:val="nil"/>
              <w:left w:val="nil"/>
              <w:bottom w:val="nil"/>
            </w:tcBorders>
            <w:shd w:val="clear" w:color="auto" w:fill="FFFFFF"/>
          </w:tcPr>
          <w:p w14:paraId="0B8707F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564A211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3.77</w:t>
            </w:r>
          </w:p>
        </w:tc>
        <w:tc>
          <w:tcPr>
            <w:tcW w:w="383" w:type="pct"/>
            <w:tcBorders>
              <w:top w:val="nil"/>
              <w:left w:val="nil"/>
              <w:bottom w:val="nil"/>
            </w:tcBorders>
            <w:shd w:val="clear" w:color="auto" w:fill="FFFFFF"/>
          </w:tcPr>
          <w:p w14:paraId="74E55C2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.057</w:t>
            </w:r>
          </w:p>
        </w:tc>
        <w:tc>
          <w:tcPr>
            <w:tcW w:w="602" w:type="pct"/>
            <w:tcBorders>
              <w:top w:val="nil"/>
              <w:left w:val="nil"/>
              <w:bottom w:val="nil"/>
            </w:tcBorders>
            <w:shd w:val="clear" w:color="auto" w:fill="FFFFFF"/>
          </w:tcPr>
          <w:p w14:paraId="1E0E3A36"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.694</w:t>
            </w:r>
          </w:p>
        </w:tc>
        <w:tc>
          <w:tcPr>
            <w:tcW w:w="558" w:type="pct"/>
            <w:tcBorders>
              <w:top w:val="nil"/>
              <w:left w:val="nil"/>
              <w:bottom w:val="nil"/>
            </w:tcBorders>
            <w:shd w:val="clear" w:color="auto" w:fill="FFFFFF"/>
          </w:tcPr>
          <w:p w14:paraId="22DBF9D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.482</w:t>
            </w:r>
          </w:p>
        </w:tc>
        <w:tc>
          <w:tcPr>
            <w:tcW w:w="501" w:type="pct"/>
            <w:tcBorders>
              <w:top w:val="nil"/>
              <w:left w:val="nil"/>
              <w:bottom w:val="nil"/>
              <w:right w:val="nil"/>
            </w:tcBorders>
            <w:shd w:val="clear" w:color="auto" w:fill="FFFFFF"/>
          </w:tcPr>
          <w:p w14:paraId="6C0D81B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-2.086</w:t>
            </w:r>
          </w:p>
        </w:tc>
        <w:tc>
          <w:tcPr>
            <w:tcW w:w="383" w:type="pct"/>
            <w:tcBorders>
              <w:top w:val="nil"/>
              <w:left w:val="nil"/>
              <w:bottom w:val="nil"/>
            </w:tcBorders>
            <w:shd w:val="clear" w:color="auto" w:fill="FFFFFF"/>
          </w:tcPr>
          <w:p w14:paraId="5D36B2B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16739B02"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5.186</w:t>
            </w:r>
          </w:p>
        </w:tc>
        <w:tc>
          <w:tcPr>
            <w:tcW w:w="381" w:type="pct"/>
            <w:tcBorders>
              <w:top w:val="nil"/>
              <w:left w:val="nil"/>
              <w:bottom w:val="nil"/>
              <w:right w:val="nil"/>
            </w:tcBorders>
            <w:shd w:val="clear" w:color="auto" w:fill="FFFFFF"/>
          </w:tcPr>
          <w:p w14:paraId="6C0E64DB"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6AF6A9A1" w14:textId="77777777" w:rsidTr="00F82232">
        <w:trPr>
          <w:cantSplit/>
        </w:trPr>
        <w:tc>
          <w:tcPr>
            <w:tcW w:w="690" w:type="pct"/>
            <w:tcBorders>
              <w:top w:val="nil"/>
              <w:left w:val="nil"/>
              <w:bottom w:val="nil"/>
              <w:right w:val="nil"/>
            </w:tcBorders>
            <w:shd w:val="clear" w:color="auto" w:fill="FFFFFF"/>
          </w:tcPr>
          <w:p w14:paraId="56D3AB2D"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AIG3</w:t>
            </w:r>
          </w:p>
        </w:tc>
        <w:tc>
          <w:tcPr>
            <w:tcW w:w="501" w:type="pct"/>
            <w:tcBorders>
              <w:top w:val="nil"/>
              <w:left w:val="nil"/>
              <w:bottom w:val="nil"/>
            </w:tcBorders>
            <w:shd w:val="clear" w:color="auto" w:fill="FFFFFF"/>
          </w:tcPr>
          <w:p w14:paraId="115AD22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nil"/>
              <w:right w:val="nil"/>
            </w:tcBorders>
            <w:shd w:val="clear" w:color="auto" w:fill="FFFFFF"/>
          </w:tcPr>
          <w:p w14:paraId="643D4F8D"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4.47</w:t>
            </w:r>
          </w:p>
        </w:tc>
        <w:tc>
          <w:tcPr>
            <w:tcW w:w="383" w:type="pct"/>
            <w:tcBorders>
              <w:top w:val="nil"/>
              <w:left w:val="nil"/>
              <w:bottom w:val="nil"/>
            </w:tcBorders>
            <w:shd w:val="clear" w:color="auto" w:fill="FFFFFF"/>
          </w:tcPr>
          <w:p w14:paraId="1F21BA34"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.073</w:t>
            </w:r>
          </w:p>
        </w:tc>
        <w:tc>
          <w:tcPr>
            <w:tcW w:w="602" w:type="pct"/>
            <w:tcBorders>
              <w:top w:val="nil"/>
              <w:left w:val="nil"/>
              <w:bottom w:val="nil"/>
            </w:tcBorders>
            <w:shd w:val="clear" w:color="auto" w:fill="FFFFFF"/>
          </w:tcPr>
          <w:p w14:paraId="6BF11888"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.893</w:t>
            </w:r>
          </w:p>
        </w:tc>
        <w:tc>
          <w:tcPr>
            <w:tcW w:w="558" w:type="pct"/>
            <w:tcBorders>
              <w:top w:val="nil"/>
              <w:left w:val="nil"/>
              <w:bottom w:val="nil"/>
            </w:tcBorders>
            <w:shd w:val="clear" w:color="auto" w:fill="FFFFFF"/>
          </w:tcPr>
          <w:p w14:paraId="1B4709BA"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.797</w:t>
            </w:r>
          </w:p>
        </w:tc>
        <w:tc>
          <w:tcPr>
            <w:tcW w:w="501" w:type="pct"/>
            <w:tcBorders>
              <w:top w:val="nil"/>
              <w:left w:val="nil"/>
              <w:bottom w:val="nil"/>
              <w:right w:val="nil"/>
            </w:tcBorders>
            <w:shd w:val="clear" w:color="auto" w:fill="FFFFFF"/>
          </w:tcPr>
          <w:p w14:paraId="0F4CE2D7"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-1.987</w:t>
            </w:r>
          </w:p>
        </w:tc>
        <w:tc>
          <w:tcPr>
            <w:tcW w:w="383" w:type="pct"/>
            <w:tcBorders>
              <w:top w:val="nil"/>
              <w:left w:val="nil"/>
              <w:bottom w:val="nil"/>
            </w:tcBorders>
            <w:shd w:val="clear" w:color="auto" w:fill="FFFFFF"/>
          </w:tcPr>
          <w:p w14:paraId="13A7036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nil"/>
              <w:right w:val="nil"/>
            </w:tcBorders>
            <w:shd w:val="clear" w:color="auto" w:fill="FFFFFF"/>
          </w:tcPr>
          <w:p w14:paraId="093A9A8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3.975</w:t>
            </w:r>
          </w:p>
        </w:tc>
        <w:tc>
          <w:tcPr>
            <w:tcW w:w="381" w:type="pct"/>
            <w:tcBorders>
              <w:top w:val="nil"/>
              <w:left w:val="nil"/>
              <w:bottom w:val="nil"/>
              <w:right w:val="nil"/>
            </w:tcBorders>
            <w:shd w:val="clear" w:color="auto" w:fill="FFFFFF"/>
          </w:tcPr>
          <w:p w14:paraId="2847F10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r w:rsidR="007F2EE8" w:rsidRPr="00F82232" w14:paraId="0405D932" w14:textId="77777777" w:rsidTr="00F82232">
        <w:trPr>
          <w:cantSplit/>
        </w:trPr>
        <w:tc>
          <w:tcPr>
            <w:tcW w:w="690" w:type="pct"/>
            <w:tcBorders>
              <w:top w:val="nil"/>
              <w:left w:val="nil"/>
              <w:bottom w:val="single" w:sz="4" w:space="0" w:color="auto"/>
              <w:right w:val="nil"/>
            </w:tcBorders>
            <w:shd w:val="clear" w:color="auto" w:fill="FFFFFF"/>
          </w:tcPr>
          <w:p w14:paraId="13D66AA5" w14:textId="77777777" w:rsidR="007F2EE8" w:rsidRPr="00F82232" w:rsidRDefault="007F2EE8" w:rsidP="007F2EE8">
            <w:pPr>
              <w:autoSpaceDE w:val="0"/>
              <w:autoSpaceDN w:val="0"/>
              <w:adjustRightInd w:val="0"/>
              <w:ind w:left="60" w:right="60"/>
              <w:jc w:val="left"/>
              <w:rPr>
                <w:rFonts w:cs="Times New Roman"/>
                <w:color w:val="000000"/>
                <w:kern w:val="0"/>
                <w:szCs w:val="24"/>
                <w:lang w:bidi="hi-IN"/>
              </w:rPr>
            </w:pPr>
            <w:r w:rsidRPr="00F82232">
              <w:rPr>
                <w:rFonts w:cs="Times New Roman"/>
                <w:color w:val="000000"/>
                <w:kern w:val="0"/>
                <w:szCs w:val="24"/>
                <w:lang w:bidi="hi-IN"/>
              </w:rPr>
              <w:t>AIG4</w:t>
            </w:r>
          </w:p>
        </w:tc>
        <w:tc>
          <w:tcPr>
            <w:tcW w:w="501" w:type="pct"/>
            <w:tcBorders>
              <w:top w:val="nil"/>
              <w:left w:val="nil"/>
              <w:bottom w:val="single" w:sz="4" w:space="0" w:color="auto"/>
            </w:tcBorders>
            <w:shd w:val="clear" w:color="auto" w:fill="FFFFFF"/>
          </w:tcPr>
          <w:p w14:paraId="23C5F7D0"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151</w:t>
            </w:r>
          </w:p>
        </w:tc>
        <w:tc>
          <w:tcPr>
            <w:tcW w:w="501" w:type="pct"/>
            <w:tcBorders>
              <w:top w:val="nil"/>
              <w:left w:val="nil"/>
              <w:bottom w:val="single" w:sz="4" w:space="0" w:color="auto"/>
              <w:right w:val="nil"/>
            </w:tcBorders>
            <w:shd w:val="clear" w:color="auto" w:fill="FFFFFF"/>
          </w:tcPr>
          <w:p w14:paraId="7CC09F0E"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3.85</w:t>
            </w:r>
          </w:p>
        </w:tc>
        <w:tc>
          <w:tcPr>
            <w:tcW w:w="383" w:type="pct"/>
            <w:tcBorders>
              <w:top w:val="nil"/>
              <w:left w:val="nil"/>
              <w:bottom w:val="single" w:sz="4" w:space="0" w:color="auto"/>
            </w:tcBorders>
            <w:shd w:val="clear" w:color="auto" w:fill="FFFFFF"/>
          </w:tcPr>
          <w:p w14:paraId="04A2DAA5"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.061</w:t>
            </w:r>
          </w:p>
        </w:tc>
        <w:tc>
          <w:tcPr>
            <w:tcW w:w="602" w:type="pct"/>
            <w:tcBorders>
              <w:top w:val="nil"/>
              <w:left w:val="nil"/>
              <w:bottom w:val="single" w:sz="4" w:space="0" w:color="auto"/>
            </w:tcBorders>
            <w:shd w:val="clear" w:color="auto" w:fill="FFFFFF"/>
          </w:tcPr>
          <w:p w14:paraId="76AA977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.752</w:t>
            </w:r>
          </w:p>
        </w:tc>
        <w:tc>
          <w:tcPr>
            <w:tcW w:w="558" w:type="pct"/>
            <w:tcBorders>
              <w:top w:val="nil"/>
              <w:left w:val="nil"/>
              <w:bottom w:val="single" w:sz="4" w:space="0" w:color="auto"/>
            </w:tcBorders>
            <w:shd w:val="clear" w:color="auto" w:fill="FFFFFF"/>
          </w:tcPr>
          <w:p w14:paraId="0981EB4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.565</w:t>
            </w:r>
          </w:p>
        </w:tc>
        <w:tc>
          <w:tcPr>
            <w:tcW w:w="501" w:type="pct"/>
            <w:tcBorders>
              <w:top w:val="nil"/>
              <w:left w:val="nil"/>
              <w:bottom w:val="single" w:sz="4" w:space="0" w:color="auto"/>
              <w:right w:val="nil"/>
            </w:tcBorders>
            <w:shd w:val="clear" w:color="auto" w:fill="FFFFFF"/>
          </w:tcPr>
          <w:p w14:paraId="582ADE79"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-1.661</w:t>
            </w:r>
          </w:p>
        </w:tc>
        <w:tc>
          <w:tcPr>
            <w:tcW w:w="383" w:type="pct"/>
            <w:tcBorders>
              <w:top w:val="nil"/>
              <w:left w:val="nil"/>
              <w:bottom w:val="single" w:sz="4" w:space="0" w:color="auto"/>
            </w:tcBorders>
            <w:shd w:val="clear" w:color="auto" w:fill="FFFFFF"/>
          </w:tcPr>
          <w:p w14:paraId="7FA5BB3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.197</w:t>
            </w:r>
          </w:p>
        </w:tc>
        <w:tc>
          <w:tcPr>
            <w:tcW w:w="501" w:type="pct"/>
            <w:tcBorders>
              <w:top w:val="nil"/>
              <w:left w:val="nil"/>
              <w:bottom w:val="single" w:sz="4" w:space="0" w:color="auto"/>
              <w:right w:val="nil"/>
            </w:tcBorders>
            <w:shd w:val="clear" w:color="auto" w:fill="FFFFFF"/>
          </w:tcPr>
          <w:p w14:paraId="140B54F1"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4.066</w:t>
            </w:r>
          </w:p>
        </w:tc>
        <w:tc>
          <w:tcPr>
            <w:tcW w:w="381" w:type="pct"/>
            <w:tcBorders>
              <w:top w:val="nil"/>
              <w:left w:val="nil"/>
              <w:bottom w:val="single" w:sz="4" w:space="0" w:color="auto"/>
              <w:right w:val="nil"/>
            </w:tcBorders>
            <w:shd w:val="clear" w:color="auto" w:fill="FFFFFF"/>
          </w:tcPr>
          <w:p w14:paraId="11C66B0F" w14:textId="77777777" w:rsidR="007F2EE8" w:rsidRPr="00F82232" w:rsidRDefault="007F2EE8" w:rsidP="007F2EE8">
            <w:pPr>
              <w:autoSpaceDE w:val="0"/>
              <w:autoSpaceDN w:val="0"/>
              <w:adjustRightInd w:val="0"/>
              <w:ind w:left="60" w:right="60"/>
              <w:jc w:val="right"/>
              <w:rPr>
                <w:rFonts w:cs="Times New Roman"/>
                <w:color w:val="000000"/>
                <w:kern w:val="0"/>
                <w:szCs w:val="24"/>
                <w:lang w:bidi="hi-IN"/>
              </w:rPr>
            </w:pPr>
            <w:r w:rsidRPr="00F82232">
              <w:rPr>
                <w:rFonts w:cs="Times New Roman"/>
                <w:color w:val="000000"/>
                <w:kern w:val="0"/>
                <w:szCs w:val="24"/>
                <w:lang w:bidi="hi-IN"/>
              </w:rPr>
              <w:t>.392</w:t>
            </w:r>
          </w:p>
        </w:tc>
      </w:tr>
    </w:tbl>
    <w:p w14:paraId="6F6A1639" w14:textId="77777777" w:rsidR="007F2EE8" w:rsidRPr="00F82232" w:rsidRDefault="00F82232" w:rsidP="007F2EE8">
      <w:pPr>
        <w:rPr>
          <w:rFonts w:cs="Times New Roman"/>
          <w:color w:val="auto"/>
          <w:kern w:val="0"/>
          <w:szCs w:val="24"/>
          <w:lang w:bidi="hi-IN"/>
        </w:rPr>
      </w:pPr>
      <w:r w:rsidRPr="00F82232">
        <w:t>The results of the descriptive statistics of the AI Governance (AIG) construct reveal some major levels of desensiti</w:t>
      </w:r>
      <w:r>
        <w:t>s</w:t>
      </w:r>
      <w:r w:rsidRPr="00F82232">
        <w:t>ation and a perspective of the policies being followed by the institutions as polari</w:t>
      </w:r>
      <w:r>
        <w:t>s</w:t>
      </w:r>
      <w:r w:rsidRPr="00F82232">
        <w:t xml:space="preserve">ed in the sampled SMEs. There is a pronounced split between mean scores for superficial awareness of guidelines (AIG1: M=4.48; AIG3: M=4.47) and confidence in the existence of </w:t>
      </w:r>
      <w:r w:rsidRPr="00F82232">
        <w:lastRenderedPageBreak/>
        <w:t xml:space="preserve">strict internal data protocols and active internal leadership guidance (AIG2: M=3.77; AIG4: M=3.85). The standard deviations (0.694 to 0.893) are similar to those in the job quality construct, reflecting the differential level of implementation of the policies among organisations. Skewness statistics </w:t>
      </w:r>
      <w:r>
        <w:rPr>
          <w:kern w:val="0"/>
          <w14:ligatures w14:val="none"/>
        </w:rPr>
        <w:t>range from −1.661 to −2.086, indicating that respondents view these governance deficits in a concentrated way,</w:t>
      </w:r>
      <w:r w:rsidRPr="00F82232">
        <w:t xml:space="preserve"> while moderately high kurtosis values </w:t>
      </w:r>
      <w:r>
        <w:t>(</w:t>
      </w:r>
      <w:r w:rsidRPr="00F82232">
        <w:t>3.156 to 5.186</w:t>
      </w:r>
      <w:r>
        <w:t>)</w:t>
      </w:r>
      <w:r w:rsidRPr="00F82232">
        <w:t xml:space="preserve"> also reflect this. On a methodological level, one thing that emerges from this data is that the SMEs have reactive, high-level policies, but do not have deeply embedded procedural policies on AI governance. Inferential outcomes of the study are mathematically explained by this statistical clustering and lack of wide sparring. The AIG variable, by virtue of a governance model that is highly focused on reactive, low</w:t>
      </w:r>
      <w:r>
        <w:t>-</w:t>
      </w:r>
      <w:r w:rsidRPr="00F82232">
        <w:t>specification policies, does not have the distribution spread to create a strong moderating effect. That's why the interaction term in a PROCESS moderation analysis didn't turn out to be significant</w:t>
      </w:r>
      <w:r>
        <w:t xml:space="preserve"> </w:t>
      </w:r>
      <w:r w:rsidRPr="00F82232">
        <w:t xml:space="preserve">that's </w:t>
      </w:r>
      <w:r>
        <w:t xml:space="preserve">because </w:t>
      </w:r>
      <w:r w:rsidRPr="00F82232">
        <w:t>the governance arrangements in UK SMEs are still very early-stage and clustered together.</w:t>
      </w:r>
    </w:p>
    <w:p w14:paraId="53E37859" w14:textId="77777777" w:rsidR="007F2EE8" w:rsidRPr="00F82232" w:rsidRDefault="007F2EE8" w:rsidP="007F2EE8">
      <w:pPr>
        <w:pStyle w:val="Heading3"/>
      </w:pPr>
      <w:bookmarkStart w:id="97" w:name="_Toc240816332"/>
      <w:bookmarkStart w:id="98" w:name="_Toc241050422"/>
      <w:r w:rsidRPr="00F82232">
        <w:t>4.2.4 Inferential Analysis</w:t>
      </w:r>
      <w:bookmarkEnd w:id="97"/>
      <w:bookmarkEnd w:id="98"/>
    </w:p>
    <w:p w14:paraId="588CE10C" w14:textId="3A87EC61" w:rsidR="007F2EE8" w:rsidRPr="00193090" w:rsidRDefault="00193090" w:rsidP="00193090">
      <w:pPr>
        <w:pStyle w:val="Caption"/>
        <w:rPr>
          <w:rFonts w:cs="Times New Roman"/>
          <w:color w:val="000000"/>
          <w:szCs w:val="24"/>
        </w:rPr>
      </w:pPr>
      <w:bookmarkStart w:id="99" w:name="_Toc241052641"/>
      <w:r>
        <w:t xml:space="preserve">Table </w:t>
      </w:r>
      <w:fldSimple w:instr=" SEQ Table \* ARABIC ">
        <w:r w:rsidR="009F799C">
          <w:rPr>
            <w:noProof/>
          </w:rPr>
          <w:t>8</w:t>
        </w:r>
      </w:fldSimple>
      <w:r w:rsidR="007F2EE8" w:rsidRPr="00193090">
        <w:rPr>
          <w:rFonts w:cs="Times New Roman"/>
          <w:color w:val="000000"/>
          <w:szCs w:val="24"/>
        </w:rPr>
        <w:t xml:space="preserve">: PROCESS Moderation Analysis (Model 1) </w:t>
      </w:r>
      <w:r w:rsidR="0050188E">
        <w:rPr>
          <w:rFonts w:cs="Times New Roman"/>
          <w:color w:val="000000"/>
          <w:szCs w:val="24"/>
        </w:rPr>
        <w:t>-</w:t>
      </w:r>
      <w:r w:rsidR="007F2EE8" w:rsidRPr="00193090">
        <w:rPr>
          <w:rFonts w:cs="Times New Roman"/>
          <w:color w:val="000000"/>
          <w:szCs w:val="24"/>
        </w:rPr>
        <w:t xml:space="preserve"> Predicting Employee Productivity (EP)</w:t>
      </w:r>
      <w:bookmarkEnd w:id="99"/>
    </w:p>
    <w:tbl>
      <w:tblPr>
        <w:tblStyle w:val="APA7"/>
        <w:tblW w:w="5000" w:type="pct"/>
        <w:tblLook w:val="04A0" w:firstRow="1" w:lastRow="0" w:firstColumn="1" w:lastColumn="0" w:noHBand="0" w:noVBand="1"/>
      </w:tblPr>
      <w:tblGrid>
        <w:gridCol w:w="3034"/>
        <w:gridCol w:w="886"/>
        <w:gridCol w:w="886"/>
        <w:gridCol w:w="886"/>
        <w:gridCol w:w="975"/>
        <w:gridCol w:w="2359"/>
      </w:tblGrid>
      <w:tr w:rsidR="007F2EE8" w:rsidRPr="00F82232" w14:paraId="09966F7D" w14:textId="77777777" w:rsidTr="00255207">
        <w:trPr>
          <w:cnfStyle w:val="100000000000" w:firstRow="1" w:lastRow="0" w:firstColumn="0" w:lastColumn="0" w:oddVBand="0" w:evenVBand="0" w:oddHBand="0" w:evenHBand="0" w:firstRowFirstColumn="0" w:firstRowLastColumn="0" w:lastRowFirstColumn="0" w:lastRowLastColumn="0"/>
        </w:trPr>
        <w:tc>
          <w:tcPr>
            <w:tcW w:w="1680" w:type="pct"/>
            <w:hideMark/>
          </w:tcPr>
          <w:p w14:paraId="2FA266B9" w14:textId="77777777" w:rsidR="007F2EE8" w:rsidRPr="00F82232" w:rsidRDefault="007F2EE8" w:rsidP="00255207">
            <w:pPr>
              <w:rPr>
                <w:rFonts w:cs="Times New Roman"/>
                <w:bCs/>
                <w:szCs w:val="24"/>
              </w:rPr>
            </w:pPr>
            <w:r w:rsidRPr="00F82232">
              <w:rPr>
                <w:rFonts w:cs="Times New Roman"/>
                <w:bCs/>
                <w:szCs w:val="24"/>
              </w:rPr>
              <w:t>Predictor</w:t>
            </w:r>
          </w:p>
        </w:tc>
        <w:tc>
          <w:tcPr>
            <w:tcW w:w="491" w:type="pct"/>
            <w:hideMark/>
          </w:tcPr>
          <w:p w14:paraId="044B8720" w14:textId="77777777" w:rsidR="007F2EE8" w:rsidRPr="00F82232" w:rsidRDefault="007F2EE8" w:rsidP="00255207">
            <w:pPr>
              <w:rPr>
                <w:rFonts w:cs="Times New Roman"/>
                <w:bCs/>
                <w:szCs w:val="24"/>
              </w:rPr>
            </w:pPr>
            <w:r w:rsidRPr="00F82232">
              <w:rPr>
                <w:rFonts w:cs="Times New Roman"/>
                <w:bCs/>
                <w:szCs w:val="24"/>
              </w:rPr>
              <w:t>b</w:t>
            </w:r>
          </w:p>
        </w:tc>
        <w:tc>
          <w:tcPr>
            <w:tcW w:w="491" w:type="pct"/>
            <w:hideMark/>
          </w:tcPr>
          <w:p w14:paraId="608B87C7" w14:textId="77777777" w:rsidR="007F2EE8" w:rsidRPr="00F82232" w:rsidRDefault="007F2EE8" w:rsidP="00255207">
            <w:pPr>
              <w:rPr>
                <w:rFonts w:cs="Times New Roman"/>
                <w:bCs/>
                <w:szCs w:val="24"/>
              </w:rPr>
            </w:pPr>
            <w:r w:rsidRPr="00F82232">
              <w:rPr>
                <w:rFonts w:cs="Times New Roman"/>
                <w:bCs/>
                <w:szCs w:val="24"/>
              </w:rPr>
              <w:t>SE</w:t>
            </w:r>
          </w:p>
        </w:tc>
        <w:tc>
          <w:tcPr>
            <w:tcW w:w="491" w:type="pct"/>
            <w:hideMark/>
          </w:tcPr>
          <w:p w14:paraId="63E4BD20" w14:textId="77777777" w:rsidR="007F2EE8" w:rsidRPr="00F82232" w:rsidRDefault="007F2EE8" w:rsidP="00255207">
            <w:pPr>
              <w:rPr>
                <w:rFonts w:cs="Times New Roman"/>
                <w:bCs/>
                <w:szCs w:val="24"/>
              </w:rPr>
            </w:pPr>
            <w:r w:rsidRPr="00F82232">
              <w:rPr>
                <w:rFonts w:cs="Times New Roman"/>
                <w:bCs/>
                <w:szCs w:val="24"/>
              </w:rPr>
              <w:t>t</w:t>
            </w:r>
          </w:p>
        </w:tc>
        <w:tc>
          <w:tcPr>
            <w:tcW w:w="540" w:type="pct"/>
            <w:hideMark/>
          </w:tcPr>
          <w:p w14:paraId="59385AAD" w14:textId="77777777" w:rsidR="007F2EE8" w:rsidRPr="00F82232" w:rsidRDefault="007F2EE8" w:rsidP="00255207">
            <w:pPr>
              <w:rPr>
                <w:rFonts w:cs="Times New Roman"/>
                <w:bCs/>
                <w:szCs w:val="24"/>
              </w:rPr>
            </w:pPr>
            <w:r w:rsidRPr="00F82232">
              <w:rPr>
                <w:rFonts w:cs="Times New Roman"/>
                <w:bCs/>
                <w:szCs w:val="24"/>
              </w:rPr>
              <w:t>p</w:t>
            </w:r>
          </w:p>
        </w:tc>
        <w:tc>
          <w:tcPr>
            <w:tcW w:w="1309" w:type="pct"/>
            <w:hideMark/>
          </w:tcPr>
          <w:p w14:paraId="61FB87D2" w14:textId="77777777" w:rsidR="007F2EE8" w:rsidRPr="00F82232" w:rsidRDefault="007F2EE8" w:rsidP="00255207">
            <w:pPr>
              <w:rPr>
                <w:rFonts w:cs="Times New Roman"/>
                <w:bCs/>
                <w:szCs w:val="24"/>
              </w:rPr>
            </w:pPr>
            <w:r w:rsidRPr="00F82232">
              <w:rPr>
                <w:rFonts w:cs="Times New Roman"/>
                <w:bCs/>
                <w:szCs w:val="24"/>
              </w:rPr>
              <w:t>95% CI [LL, UL]</w:t>
            </w:r>
          </w:p>
        </w:tc>
      </w:tr>
      <w:tr w:rsidR="007F2EE8" w:rsidRPr="00F82232" w14:paraId="235200F2" w14:textId="77777777" w:rsidTr="00255207">
        <w:tc>
          <w:tcPr>
            <w:tcW w:w="1680" w:type="pct"/>
            <w:hideMark/>
          </w:tcPr>
          <w:p w14:paraId="6B3FCCF9" w14:textId="77777777" w:rsidR="007F2EE8" w:rsidRPr="00F82232" w:rsidRDefault="007F2EE8" w:rsidP="00255207">
            <w:pPr>
              <w:rPr>
                <w:rFonts w:cs="Times New Roman"/>
                <w:szCs w:val="24"/>
              </w:rPr>
            </w:pPr>
            <w:r w:rsidRPr="00F82232">
              <w:rPr>
                <w:rFonts w:cs="Times New Roman"/>
                <w:szCs w:val="24"/>
              </w:rPr>
              <w:t>Constant</w:t>
            </w:r>
          </w:p>
        </w:tc>
        <w:tc>
          <w:tcPr>
            <w:tcW w:w="491" w:type="pct"/>
            <w:hideMark/>
          </w:tcPr>
          <w:p w14:paraId="09A76000" w14:textId="77777777" w:rsidR="007F2EE8" w:rsidRPr="00F82232" w:rsidRDefault="007F2EE8" w:rsidP="00255207">
            <w:pPr>
              <w:rPr>
                <w:rFonts w:cs="Times New Roman"/>
                <w:szCs w:val="24"/>
              </w:rPr>
            </w:pPr>
            <w:r w:rsidRPr="00F82232">
              <w:rPr>
                <w:rFonts w:cs="Times New Roman"/>
                <w:szCs w:val="24"/>
              </w:rPr>
              <w:t>0.436</w:t>
            </w:r>
          </w:p>
        </w:tc>
        <w:tc>
          <w:tcPr>
            <w:tcW w:w="491" w:type="pct"/>
            <w:hideMark/>
          </w:tcPr>
          <w:p w14:paraId="751A9712" w14:textId="77777777" w:rsidR="007F2EE8" w:rsidRPr="00F82232" w:rsidRDefault="007F2EE8" w:rsidP="00255207">
            <w:pPr>
              <w:rPr>
                <w:rFonts w:cs="Times New Roman"/>
                <w:szCs w:val="24"/>
              </w:rPr>
            </w:pPr>
            <w:r w:rsidRPr="00F82232">
              <w:rPr>
                <w:rFonts w:cs="Times New Roman"/>
                <w:szCs w:val="24"/>
              </w:rPr>
              <w:t>0.533</w:t>
            </w:r>
          </w:p>
        </w:tc>
        <w:tc>
          <w:tcPr>
            <w:tcW w:w="491" w:type="pct"/>
            <w:hideMark/>
          </w:tcPr>
          <w:p w14:paraId="18227ACA" w14:textId="77777777" w:rsidR="007F2EE8" w:rsidRPr="00F82232" w:rsidRDefault="007F2EE8" w:rsidP="00255207">
            <w:pPr>
              <w:rPr>
                <w:rFonts w:cs="Times New Roman"/>
                <w:szCs w:val="24"/>
              </w:rPr>
            </w:pPr>
            <w:r w:rsidRPr="00F82232">
              <w:rPr>
                <w:rFonts w:cs="Times New Roman"/>
                <w:szCs w:val="24"/>
              </w:rPr>
              <w:t>0.820</w:t>
            </w:r>
          </w:p>
        </w:tc>
        <w:tc>
          <w:tcPr>
            <w:tcW w:w="540" w:type="pct"/>
            <w:hideMark/>
          </w:tcPr>
          <w:p w14:paraId="7DCD4490" w14:textId="77777777" w:rsidR="007F2EE8" w:rsidRPr="00F82232" w:rsidRDefault="007F2EE8" w:rsidP="00255207">
            <w:pPr>
              <w:rPr>
                <w:rFonts w:cs="Times New Roman"/>
                <w:szCs w:val="24"/>
              </w:rPr>
            </w:pPr>
            <w:r w:rsidRPr="00F82232">
              <w:rPr>
                <w:rFonts w:cs="Times New Roman"/>
                <w:szCs w:val="24"/>
              </w:rPr>
              <w:t>.414</w:t>
            </w:r>
          </w:p>
        </w:tc>
        <w:tc>
          <w:tcPr>
            <w:tcW w:w="1309" w:type="pct"/>
            <w:hideMark/>
          </w:tcPr>
          <w:p w14:paraId="46CC3675" w14:textId="77777777" w:rsidR="007F2EE8" w:rsidRPr="00F82232" w:rsidRDefault="007F2EE8" w:rsidP="00255207">
            <w:pPr>
              <w:rPr>
                <w:rFonts w:cs="Times New Roman"/>
                <w:szCs w:val="24"/>
              </w:rPr>
            </w:pPr>
            <w:r w:rsidRPr="00F82232">
              <w:rPr>
                <w:rFonts w:cs="Times New Roman"/>
                <w:szCs w:val="24"/>
              </w:rPr>
              <w:t>[-0.616, 1.489]</w:t>
            </w:r>
          </w:p>
        </w:tc>
      </w:tr>
      <w:tr w:rsidR="007F2EE8" w:rsidRPr="00F82232" w14:paraId="2A42C403" w14:textId="77777777" w:rsidTr="00255207">
        <w:tc>
          <w:tcPr>
            <w:tcW w:w="1680" w:type="pct"/>
            <w:hideMark/>
          </w:tcPr>
          <w:p w14:paraId="1BFB009C" w14:textId="77777777" w:rsidR="007F2EE8" w:rsidRPr="00F82232" w:rsidRDefault="007F2EE8" w:rsidP="00255207">
            <w:pPr>
              <w:rPr>
                <w:rFonts w:cs="Times New Roman"/>
                <w:szCs w:val="24"/>
              </w:rPr>
            </w:pPr>
            <w:r w:rsidRPr="00F82232">
              <w:rPr>
                <w:rFonts w:cs="Times New Roman"/>
                <w:szCs w:val="24"/>
              </w:rPr>
              <w:t>GenAI Adoption (GAA)</w:t>
            </w:r>
          </w:p>
        </w:tc>
        <w:tc>
          <w:tcPr>
            <w:tcW w:w="491" w:type="pct"/>
            <w:hideMark/>
          </w:tcPr>
          <w:p w14:paraId="07531919" w14:textId="77777777" w:rsidR="007F2EE8" w:rsidRPr="00F82232" w:rsidRDefault="007F2EE8" w:rsidP="00255207">
            <w:pPr>
              <w:rPr>
                <w:rFonts w:cs="Times New Roman"/>
                <w:szCs w:val="24"/>
              </w:rPr>
            </w:pPr>
            <w:r w:rsidRPr="00F82232">
              <w:rPr>
                <w:rFonts w:cs="Times New Roman"/>
                <w:szCs w:val="24"/>
              </w:rPr>
              <w:t>0.670</w:t>
            </w:r>
          </w:p>
        </w:tc>
        <w:tc>
          <w:tcPr>
            <w:tcW w:w="491" w:type="pct"/>
            <w:hideMark/>
          </w:tcPr>
          <w:p w14:paraId="19F67EF2" w14:textId="77777777" w:rsidR="007F2EE8" w:rsidRPr="00F82232" w:rsidRDefault="007F2EE8" w:rsidP="00255207">
            <w:pPr>
              <w:rPr>
                <w:rFonts w:cs="Times New Roman"/>
                <w:szCs w:val="24"/>
              </w:rPr>
            </w:pPr>
            <w:r w:rsidRPr="00F82232">
              <w:rPr>
                <w:rFonts w:cs="Times New Roman"/>
                <w:szCs w:val="24"/>
              </w:rPr>
              <w:t>0.136</w:t>
            </w:r>
          </w:p>
        </w:tc>
        <w:tc>
          <w:tcPr>
            <w:tcW w:w="491" w:type="pct"/>
            <w:hideMark/>
          </w:tcPr>
          <w:p w14:paraId="2070B97F" w14:textId="77777777" w:rsidR="007F2EE8" w:rsidRPr="00F82232" w:rsidRDefault="007F2EE8" w:rsidP="00255207">
            <w:pPr>
              <w:rPr>
                <w:rFonts w:cs="Times New Roman"/>
                <w:szCs w:val="24"/>
              </w:rPr>
            </w:pPr>
            <w:r w:rsidRPr="00F82232">
              <w:rPr>
                <w:rFonts w:cs="Times New Roman"/>
                <w:szCs w:val="24"/>
              </w:rPr>
              <w:t>4.945</w:t>
            </w:r>
          </w:p>
        </w:tc>
        <w:tc>
          <w:tcPr>
            <w:tcW w:w="540" w:type="pct"/>
            <w:hideMark/>
          </w:tcPr>
          <w:p w14:paraId="1F88FDBA" w14:textId="77777777" w:rsidR="007F2EE8" w:rsidRPr="00F82232" w:rsidRDefault="007F2EE8" w:rsidP="00255207">
            <w:pPr>
              <w:rPr>
                <w:rFonts w:cs="Times New Roman"/>
                <w:szCs w:val="24"/>
              </w:rPr>
            </w:pPr>
            <w:r w:rsidRPr="00F82232">
              <w:rPr>
                <w:rFonts w:cs="Times New Roman"/>
                <w:szCs w:val="24"/>
              </w:rPr>
              <w:t>&lt; .001</w:t>
            </w:r>
          </w:p>
        </w:tc>
        <w:tc>
          <w:tcPr>
            <w:tcW w:w="1309" w:type="pct"/>
            <w:hideMark/>
          </w:tcPr>
          <w:p w14:paraId="657A9213" w14:textId="77777777" w:rsidR="007F2EE8" w:rsidRPr="00F82232" w:rsidRDefault="007F2EE8" w:rsidP="00255207">
            <w:pPr>
              <w:rPr>
                <w:rFonts w:cs="Times New Roman"/>
                <w:szCs w:val="24"/>
              </w:rPr>
            </w:pPr>
            <w:r w:rsidRPr="00F82232">
              <w:rPr>
                <w:rFonts w:cs="Times New Roman"/>
                <w:szCs w:val="24"/>
              </w:rPr>
              <w:t>[0.402, 0.938]</w:t>
            </w:r>
          </w:p>
        </w:tc>
      </w:tr>
      <w:tr w:rsidR="007F2EE8" w:rsidRPr="00F82232" w14:paraId="2798D0AF" w14:textId="77777777" w:rsidTr="00255207">
        <w:tc>
          <w:tcPr>
            <w:tcW w:w="1680" w:type="pct"/>
            <w:hideMark/>
          </w:tcPr>
          <w:p w14:paraId="5E666A26" w14:textId="77777777" w:rsidR="007F2EE8" w:rsidRPr="00F82232" w:rsidRDefault="007F2EE8" w:rsidP="00255207">
            <w:pPr>
              <w:rPr>
                <w:rFonts w:cs="Times New Roman"/>
                <w:szCs w:val="24"/>
              </w:rPr>
            </w:pPr>
            <w:r w:rsidRPr="00F82232">
              <w:rPr>
                <w:rFonts w:cs="Times New Roman"/>
                <w:szCs w:val="24"/>
              </w:rPr>
              <w:t>Employee Training (ET)</w:t>
            </w:r>
          </w:p>
        </w:tc>
        <w:tc>
          <w:tcPr>
            <w:tcW w:w="491" w:type="pct"/>
            <w:hideMark/>
          </w:tcPr>
          <w:p w14:paraId="1A032373" w14:textId="77777777" w:rsidR="007F2EE8" w:rsidRPr="00F82232" w:rsidRDefault="007F2EE8" w:rsidP="00255207">
            <w:pPr>
              <w:rPr>
                <w:rFonts w:cs="Times New Roman"/>
                <w:szCs w:val="24"/>
              </w:rPr>
            </w:pPr>
            <w:r w:rsidRPr="00F82232">
              <w:rPr>
                <w:rFonts w:cs="Times New Roman"/>
                <w:szCs w:val="24"/>
              </w:rPr>
              <w:t>0.157</w:t>
            </w:r>
          </w:p>
        </w:tc>
        <w:tc>
          <w:tcPr>
            <w:tcW w:w="491" w:type="pct"/>
            <w:hideMark/>
          </w:tcPr>
          <w:p w14:paraId="0573BEFC" w14:textId="77777777" w:rsidR="007F2EE8" w:rsidRPr="00F82232" w:rsidRDefault="007F2EE8" w:rsidP="00255207">
            <w:pPr>
              <w:rPr>
                <w:rFonts w:cs="Times New Roman"/>
                <w:szCs w:val="24"/>
              </w:rPr>
            </w:pPr>
            <w:r w:rsidRPr="00F82232">
              <w:rPr>
                <w:rFonts w:cs="Times New Roman"/>
                <w:szCs w:val="24"/>
              </w:rPr>
              <w:t>0.263</w:t>
            </w:r>
          </w:p>
        </w:tc>
        <w:tc>
          <w:tcPr>
            <w:tcW w:w="491" w:type="pct"/>
            <w:hideMark/>
          </w:tcPr>
          <w:p w14:paraId="4472729C" w14:textId="77777777" w:rsidR="007F2EE8" w:rsidRPr="00F82232" w:rsidRDefault="007F2EE8" w:rsidP="00255207">
            <w:pPr>
              <w:rPr>
                <w:rFonts w:cs="Times New Roman"/>
                <w:szCs w:val="24"/>
              </w:rPr>
            </w:pPr>
            <w:r w:rsidRPr="00F82232">
              <w:rPr>
                <w:rFonts w:cs="Times New Roman"/>
                <w:szCs w:val="24"/>
              </w:rPr>
              <w:t>0.597</w:t>
            </w:r>
          </w:p>
        </w:tc>
        <w:tc>
          <w:tcPr>
            <w:tcW w:w="540" w:type="pct"/>
            <w:hideMark/>
          </w:tcPr>
          <w:p w14:paraId="75A392D3" w14:textId="77777777" w:rsidR="007F2EE8" w:rsidRPr="00F82232" w:rsidRDefault="007F2EE8" w:rsidP="00255207">
            <w:pPr>
              <w:rPr>
                <w:rFonts w:cs="Times New Roman"/>
                <w:szCs w:val="24"/>
              </w:rPr>
            </w:pPr>
            <w:r w:rsidRPr="00F82232">
              <w:rPr>
                <w:rFonts w:cs="Times New Roman"/>
                <w:szCs w:val="24"/>
              </w:rPr>
              <w:t>.551</w:t>
            </w:r>
          </w:p>
        </w:tc>
        <w:tc>
          <w:tcPr>
            <w:tcW w:w="1309" w:type="pct"/>
            <w:hideMark/>
          </w:tcPr>
          <w:p w14:paraId="1F44A5C9" w14:textId="77777777" w:rsidR="007F2EE8" w:rsidRPr="00F82232" w:rsidRDefault="007F2EE8" w:rsidP="00255207">
            <w:pPr>
              <w:rPr>
                <w:rFonts w:cs="Times New Roman"/>
                <w:szCs w:val="24"/>
              </w:rPr>
            </w:pPr>
            <w:r w:rsidRPr="00F82232">
              <w:rPr>
                <w:rFonts w:cs="Times New Roman"/>
                <w:szCs w:val="24"/>
              </w:rPr>
              <w:t>[-0.363, 0.677]</w:t>
            </w:r>
          </w:p>
        </w:tc>
      </w:tr>
      <w:tr w:rsidR="007F2EE8" w:rsidRPr="00F82232" w14:paraId="6F134A4A" w14:textId="77777777" w:rsidTr="00255207">
        <w:tc>
          <w:tcPr>
            <w:tcW w:w="1680" w:type="pct"/>
            <w:hideMark/>
          </w:tcPr>
          <w:p w14:paraId="2C8A9A0C" w14:textId="77777777" w:rsidR="007F2EE8" w:rsidRPr="00F82232" w:rsidRDefault="007F2EE8" w:rsidP="00255207">
            <w:pPr>
              <w:rPr>
                <w:rFonts w:cs="Times New Roman"/>
                <w:szCs w:val="24"/>
              </w:rPr>
            </w:pPr>
            <w:r w:rsidRPr="00F82232">
              <w:rPr>
                <w:rFonts w:cs="Times New Roman"/>
                <w:szCs w:val="24"/>
              </w:rPr>
              <w:t>GAA × ET (Interaction)</w:t>
            </w:r>
          </w:p>
        </w:tc>
        <w:tc>
          <w:tcPr>
            <w:tcW w:w="491" w:type="pct"/>
            <w:hideMark/>
          </w:tcPr>
          <w:p w14:paraId="5C449B58" w14:textId="77777777" w:rsidR="007F2EE8" w:rsidRPr="00F82232" w:rsidRDefault="007F2EE8" w:rsidP="00255207">
            <w:pPr>
              <w:rPr>
                <w:rFonts w:cs="Times New Roman"/>
                <w:szCs w:val="24"/>
              </w:rPr>
            </w:pPr>
            <w:r w:rsidRPr="00F82232">
              <w:rPr>
                <w:rFonts w:cs="Times New Roman"/>
                <w:szCs w:val="24"/>
              </w:rPr>
              <w:t>0.012</w:t>
            </w:r>
          </w:p>
        </w:tc>
        <w:tc>
          <w:tcPr>
            <w:tcW w:w="491" w:type="pct"/>
            <w:hideMark/>
          </w:tcPr>
          <w:p w14:paraId="4F0868C4" w14:textId="77777777" w:rsidR="007F2EE8" w:rsidRPr="00F82232" w:rsidRDefault="007F2EE8" w:rsidP="00255207">
            <w:pPr>
              <w:rPr>
                <w:rFonts w:cs="Times New Roman"/>
                <w:szCs w:val="24"/>
              </w:rPr>
            </w:pPr>
            <w:r w:rsidRPr="00F82232">
              <w:rPr>
                <w:rFonts w:cs="Times New Roman"/>
                <w:szCs w:val="24"/>
              </w:rPr>
              <w:t>0.058</w:t>
            </w:r>
          </w:p>
        </w:tc>
        <w:tc>
          <w:tcPr>
            <w:tcW w:w="491" w:type="pct"/>
            <w:hideMark/>
          </w:tcPr>
          <w:p w14:paraId="10A81354" w14:textId="77777777" w:rsidR="007F2EE8" w:rsidRPr="00F82232" w:rsidRDefault="007F2EE8" w:rsidP="00255207">
            <w:pPr>
              <w:rPr>
                <w:rFonts w:cs="Times New Roman"/>
                <w:szCs w:val="24"/>
              </w:rPr>
            </w:pPr>
            <w:r w:rsidRPr="00F82232">
              <w:rPr>
                <w:rFonts w:cs="Times New Roman"/>
                <w:szCs w:val="24"/>
              </w:rPr>
              <w:t>0.202</w:t>
            </w:r>
          </w:p>
        </w:tc>
        <w:tc>
          <w:tcPr>
            <w:tcW w:w="540" w:type="pct"/>
            <w:hideMark/>
          </w:tcPr>
          <w:p w14:paraId="1AFA351D" w14:textId="77777777" w:rsidR="007F2EE8" w:rsidRPr="00F82232" w:rsidRDefault="007F2EE8" w:rsidP="00255207">
            <w:pPr>
              <w:rPr>
                <w:rFonts w:cs="Times New Roman"/>
                <w:szCs w:val="24"/>
              </w:rPr>
            </w:pPr>
            <w:r w:rsidRPr="00F82232">
              <w:rPr>
                <w:rFonts w:cs="Times New Roman"/>
                <w:szCs w:val="24"/>
              </w:rPr>
              <w:t>.840</w:t>
            </w:r>
          </w:p>
        </w:tc>
        <w:tc>
          <w:tcPr>
            <w:tcW w:w="1309" w:type="pct"/>
            <w:hideMark/>
          </w:tcPr>
          <w:p w14:paraId="0BD46AD6" w14:textId="77777777" w:rsidR="007F2EE8" w:rsidRPr="00F82232" w:rsidRDefault="007F2EE8" w:rsidP="00255207">
            <w:pPr>
              <w:rPr>
                <w:rFonts w:cs="Times New Roman"/>
                <w:szCs w:val="24"/>
              </w:rPr>
            </w:pPr>
            <w:r w:rsidRPr="00F82232">
              <w:rPr>
                <w:rFonts w:cs="Times New Roman"/>
                <w:szCs w:val="24"/>
              </w:rPr>
              <w:t>[-0.102, 0.126]</w:t>
            </w:r>
          </w:p>
        </w:tc>
      </w:tr>
    </w:tbl>
    <w:p w14:paraId="5215DBB6" w14:textId="77777777" w:rsidR="007F2EE8" w:rsidRPr="00F82232" w:rsidRDefault="007F2EE8" w:rsidP="007F2EE8">
      <w:pPr>
        <w:spacing w:before="100" w:beforeAutospacing="1" w:after="100" w:afterAutospacing="1"/>
        <w:rPr>
          <w:rFonts w:cs="Times New Roman"/>
          <w:color w:val="000000"/>
          <w:szCs w:val="24"/>
        </w:rPr>
      </w:pPr>
      <w:r w:rsidRPr="00F82232">
        <w:rPr>
          <w:rFonts w:cs="Times New Roman"/>
          <w:i/>
          <w:iCs/>
          <w:color w:val="000000"/>
          <w:szCs w:val="24"/>
        </w:rPr>
        <w:t>Note.</w:t>
      </w:r>
      <w:r w:rsidRPr="00F82232">
        <w:rPr>
          <w:rFonts w:eastAsia="Times New Roman" w:cs="Times New Roman"/>
          <w:color w:val="000000"/>
          <w:szCs w:val="24"/>
        </w:rPr>
        <w:t> </w:t>
      </w:r>
      <w:r w:rsidRPr="00F82232">
        <w:rPr>
          <w:rFonts w:cs="Times New Roman"/>
          <w:color w:val="000000"/>
          <w:szCs w:val="24"/>
        </w:rPr>
        <w:t>N=151. Model Summary:</w:t>
      </w:r>
      <w:r w:rsidRPr="00F82232">
        <w:rPr>
          <w:rFonts w:eastAsia="Times New Roman" w:cs="Times New Roman"/>
          <w:color w:val="000000"/>
          <w:szCs w:val="24"/>
        </w:rPr>
        <w:t> </w:t>
      </w:r>
      <w:r w:rsidRPr="00F82232">
        <w:rPr>
          <w:rFonts w:cs="Times New Roman"/>
          <w:color w:val="000000"/>
          <w:szCs w:val="24"/>
        </w:rPr>
        <w:t>R2=.659,</w:t>
      </w:r>
      <w:r w:rsidRPr="00F82232">
        <w:rPr>
          <w:rFonts w:eastAsia="Times New Roman" w:cs="Times New Roman"/>
          <w:color w:val="000000"/>
          <w:szCs w:val="24"/>
        </w:rPr>
        <w:t> </w:t>
      </w:r>
      <w:r w:rsidRPr="00F82232">
        <w:rPr>
          <w:rFonts w:cs="Times New Roman"/>
          <w:color w:val="000000"/>
          <w:szCs w:val="24"/>
        </w:rPr>
        <w:t>F(3,147)=94.81,</w:t>
      </w:r>
      <w:r w:rsidRPr="00F82232">
        <w:rPr>
          <w:rFonts w:eastAsia="Times New Roman" w:cs="Times New Roman"/>
          <w:color w:val="000000"/>
          <w:szCs w:val="24"/>
        </w:rPr>
        <w:t> </w:t>
      </w:r>
      <w:r w:rsidRPr="00F82232">
        <w:rPr>
          <w:rFonts w:cs="Times New Roman"/>
          <w:color w:val="000000"/>
          <w:szCs w:val="24"/>
        </w:rPr>
        <w:t>p&lt;.001. Test of highest-order unconditional interaction:</w:t>
      </w:r>
      <w:r w:rsidRPr="00F82232">
        <w:rPr>
          <w:rFonts w:eastAsia="Times New Roman" w:cs="Times New Roman"/>
          <w:color w:val="000000"/>
          <w:szCs w:val="24"/>
        </w:rPr>
        <w:t> </w:t>
      </w:r>
      <w:r w:rsidRPr="00F82232">
        <w:rPr>
          <w:rFonts w:cs="Times New Roman"/>
          <w:color w:val="000000"/>
          <w:szCs w:val="24"/>
        </w:rPr>
        <w:t>ΔR2&lt;.001,</w:t>
      </w:r>
      <w:r w:rsidRPr="00F82232">
        <w:rPr>
          <w:rFonts w:eastAsia="Times New Roman" w:cs="Times New Roman"/>
          <w:color w:val="000000"/>
          <w:szCs w:val="24"/>
        </w:rPr>
        <w:t> </w:t>
      </w:r>
      <w:r w:rsidRPr="00F82232">
        <w:rPr>
          <w:rFonts w:cs="Times New Roman"/>
          <w:color w:val="000000"/>
          <w:szCs w:val="24"/>
        </w:rPr>
        <w:t>F(1,147)</w:t>
      </w:r>
      <w:r w:rsidR="00F82232">
        <w:rPr>
          <w:rFonts w:cs="Times New Roman"/>
          <w:color w:val="000000"/>
          <w:szCs w:val="24"/>
        </w:rPr>
        <w:t xml:space="preserve"> </w:t>
      </w:r>
      <w:r w:rsidRPr="00F82232">
        <w:rPr>
          <w:rFonts w:cs="Times New Roman"/>
          <w:color w:val="000000"/>
          <w:szCs w:val="24"/>
        </w:rPr>
        <w:t>=</w:t>
      </w:r>
      <w:r w:rsidR="00F82232">
        <w:rPr>
          <w:rFonts w:cs="Times New Roman"/>
          <w:color w:val="000000"/>
          <w:szCs w:val="24"/>
        </w:rPr>
        <w:t xml:space="preserve"> </w:t>
      </w:r>
      <w:r w:rsidRPr="00F82232">
        <w:rPr>
          <w:rFonts w:cs="Times New Roman"/>
          <w:color w:val="000000"/>
          <w:szCs w:val="24"/>
        </w:rPr>
        <w:t>0.041,</w:t>
      </w:r>
      <w:r w:rsidRPr="00F82232">
        <w:rPr>
          <w:rFonts w:eastAsia="Times New Roman" w:cs="Times New Roman"/>
          <w:color w:val="000000"/>
          <w:szCs w:val="24"/>
        </w:rPr>
        <w:t> </w:t>
      </w:r>
      <w:r w:rsidRPr="00F82232">
        <w:rPr>
          <w:rFonts w:cs="Times New Roman"/>
          <w:color w:val="000000"/>
          <w:szCs w:val="24"/>
        </w:rPr>
        <w:t>p=.840. Bootstrap confidence intervals (95%) are reported.</w:t>
      </w:r>
    </w:p>
    <w:p w14:paraId="2B9AC570" w14:textId="77777777" w:rsidR="00F82232" w:rsidRDefault="00F82232" w:rsidP="00F82232">
      <w:pPr>
        <w:rPr>
          <w:lang w:eastAsia="en-GB" w:bidi="hi-IN"/>
        </w:rPr>
      </w:pPr>
      <w:r>
        <w:rPr>
          <w:lang w:eastAsia="en-GB" w:bidi="hi-IN"/>
        </w:rPr>
        <w:lastRenderedPageBreak/>
        <w:t xml:space="preserve">The PROCESS moderation analysis for Model 1 (Table </w:t>
      </w:r>
      <w:r w:rsidR="00193090">
        <w:rPr>
          <w:lang w:eastAsia="en-GB" w:bidi="hi-IN"/>
        </w:rPr>
        <w:t>9</w:t>
      </w:r>
      <w:r>
        <w:rPr>
          <w:lang w:eastAsia="en-GB" w:bidi="hi-IN"/>
        </w:rPr>
        <w:t>) shows that the model fit overall, fit of the conditional process, and fit of the conditional direct effect are significant in predicting Employee Productivity, with R2=.659, F(3,147)=94.81 P&lt; .001; R2=.655, F(2,148) = 93.34, P&lt; .001; R2=.573, F(1,149) = 65.03, P&lt; .001 respectively. Regarding the main predictors, there is a very strong positive link between Generative AI Adoption (GAA) and productivity (b=0.670, t=4.945, p&lt;.001). This result backs up Hypothesis 1, indicating that those with regular GenAI use tend to report improved experience levels of task efficiency and number of items produced.</w:t>
      </w:r>
    </w:p>
    <w:p w14:paraId="6B9517E0" w14:textId="18A6B691" w:rsidR="007F2EE8" w:rsidRPr="00F82232" w:rsidRDefault="00F82232" w:rsidP="00F82232">
      <w:pPr>
        <w:rPr>
          <w:lang w:eastAsia="en-GB" w:bidi="hi-IN"/>
        </w:rPr>
      </w:pPr>
      <w:r>
        <w:rPr>
          <w:lang w:eastAsia="en-GB" w:bidi="hi-IN"/>
        </w:rPr>
        <w:t>But results for the moderating variable turned out to be unexpected. Employee Training (ET) was not a statistically significant main effect (b=0.157, p=.551), and the interaction term (GAA × ET) was not significant (b=0.012, p=.840). Overall, the addition of the interaction was insignificant and weak (ΔR2&lt;.001); therefore, Hypothesis 3 is not supported. However, for this sample, formal training did not seem to have an impact on productivity and the adoption of GenAI. This might indicate that workers are implementing changes in their work processes in an unorganized fashion instead of having a framework for optimi</w:t>
      </w:r>
      <w:r w:rsidR="0018725E">
        <w:rPr>
          <w:lang w:eastAsia="en-GB" w:bidi="hi-IN"/>
        </w:rPr>
        <w:t>s</w:t>
      </w:r>
      <w:r>
        <w:rPr>
          <w:lang w:eastAsia="en-GB" w:bidi="hi-IN"/>
        </w:rPr>
        <w:t>ing processes.</w:t>
      </w:r>
    </w:p>
    <w:p w14:paraId="51C1E36F" w14:textId="714D6513" w:rsidR="007F2EE8" w:rsidRPr="00193090" w:rsidRDefault="00193090" w:rsidP="00193090">
      <w:pPr>
        <w:pStyle w:val="Caption"/>
        <w:rPr>
          <w:rFonts w:cs="Times New Roman"/>
          <w:color w:val="000000"/>
          <w:szCs w:val="24"/>
        </w:rPr>
      </w:pPr>
      <w:bookmarkStart w:id="100" w:name="_Toc241052642"/>
      <w:r>
        <w:t xml:space="preserve">Table </w:t>
      </w:r>
      <w:fldSimple w:instr=" SEQ Table \* ARABIC ">
        <w:r w:rsidR="009F799C">
          <w:rPr>
            <w:noProof/>
          </w:rPr>
          <w:t>9</w:t>
        </w:r>
      </w:fldSimple>
      <w:r w:rsidR="007F2EE8" w:rsidRPr="00193090">
        <w:rPr>
          <w:rFonts w:cs="Times New Roman"/>
          <w:color w:val="000000"/>
          <w:szCs w:val="24"/>
        </w:rPr>
        <w:t>: PROCESS Moderation Analysis (Model 2)</w:t>
      </w:r>
      <w:r w:rsidR="00F82232" w:rsidRPr="00193090">
        <w:rPr>
          <w:rFonts w:cs="Times New Roman"/>
          <w:color w:val="000000"/>
          <w:szCs w:val="24"/>
        </w:rPr>
        <w:t>-</w:t>
      </w:r>
      <w:r w:rsidR="007F2EE8" w:rsidRPr="00193090">
        <w:rPr>
          <w:rFonts w:cs="Times New Roman"/>
          <w:color w:val="000000"/>
          <w:szCs w:val="24"/>
        </w:rPr>
        <w:t>Predicting Job Quality (JQ)</w:t>
      </w:r>
      <w:bookmarkEnd w:id="100"/>
    </w:p>
    <w:tbl>
      <w:tblPr>
        <w:tblStyle w:val="APA7"/>
        <w:tblW w:w="5000" w:type="pct"/>
        <w:tblLook w:val="04A0" w:firstRow="1" w:lastRow="0" w:firstColumn="1" w:lastColumn="0" w:noHBand="0" w:noVBand="1"/>
      </w:tblPr>
      <w:tblGrid>
        <w:gridCol w:w="3039"/>
        <w:gridCol w:w="949"/>
        <w:gridCol w:w="857"/>
        <w:gridCol w:w="948"/>
        <w:gridCol w:w="944"/>
        <w:gridCol w:w="2289"/>
      </w:tblGrid>
      <w:tr w:rsidR="007F2EE8" w:rsidRPr="00F82232" w14:paraId="1A7978F5" w14:textId="77777777" w:rsidTr="00255207">
        <w:trPr>
          <w:cnfStyle w:val="100000000000" w:firstRow="1" w:lastRow="0" w:firstColumn="0" w:lastColumn="0" w:oddVBand="0" w:evenVBand="0" w:oddHBand="0" w:evenHBand="0" w:firstRowFirstColumn="0" w:firstRowLastColumn="0" w:lastRowFirstColumn="0" w:lastRowLastColumn="0"/>
        </w:trPr>
        <w:tc>
          <w:tcPr>
            <w:tcW w:w="1683" w:type="pct"/>
            <w:hideMark/>
          </w:tcPr>
          <w:p w14:paraId="163F0B4B" w14:textId="77777777" w:rsidR="007F2EE8" w:rsidRPr="00F82232" w:rsidRDefault="007F2EE8" w:rsidP="00255207">
            <w:pPr>
              <w:rPr>
                <w:rFonts w:cs="Times New Roman"/>
                <w:bCs/>
                <w:szCs w:val="24"/>
              </w:rPr>
            </w:pPr>
            <w:r w:rsidRPr="00F82232">
              <w:rPr>
                <w:rFonts w:cs="Times New Roman"/>
                <w:bCs/>
                <w:szCs w:val="24"/>
              </w:rPr>
              <w:t>Predictor</w:t>
            </w:r>
          </w:p>
        </w:tc>
        <w:tc>
          <w:tcPr>
            <w:tcW w:w="525" w:type="pct"/>
            <w:hideMark/>
          </w:tcPr>
          <w:p w14:paraId="0BA0FA4A" w14:textId="77777777" w:rsidR="007F2EE8" w:rsidRPr="00F82232" w:rsidRDefault="007F2EE8" w:rsidP="00255207">
            <w:pPr>
              <w:rPr>
                <w:rFonts w:cs="Times New Roman"/>
                <w:bCs/>
                <w:szCs w:val="24"/>
              </w:rPr>
            </w:pPr>
            <w:r w:rsidRPr="00F82232">
              <w:rPr>
                <w:rFonts w:cs="Times New Roman"/>
                <w:bCs/>
                <w:szCs w:val="24"/>
              </w:rPr>
              <w:t>b</w:t>
            </w:r>
          </w:p>
        </w:tc>
        <w:tc>
          <w:tcPr>
            <w:tcW w:w="475" w:type="pct"/>
            <w:hideMark/>
          </w:tcPr>
          <w:p w14:paraId="39AEABA5" w14:textId="77777777" w:rsidR="007F2EE8" w:rsidRPr="00F82232" w:rsidRDefault="007F2EE8" w:rsidP="00255207">
            <w:pPr>
              <w:rPr>
                <w:rFonts w:cs="Times New Roman"/>
                <w:bCs/>
                <w:szCs w:val="24"/>
              </w:rPr>
            </w:pPr>
            <w:r w:rsidRPr="00F82232">
              <w:rPr>
                <w:rFonts w:cs="Times New Roman"/>
                <w:bCs/>
                <w:szCs w:val="24"/>
              </w:rPr>
              <w:t>SE</w:t>
            </w:r>
          </w:p>
        </w:tc>
        <w:tc>
          <w:tcPr>
            <w:tcW w:w="525" w:type="pct"/>
            <w:hideMark/>
          </w:tcPr>
          <w:p w14:paraId="7CFBACB5" w14:textId="77777777" w:rsidR="007F2EE8" w:rsidRPr="00F82232" w:rsidRDefault="007F2EE8" w:rsidP="00255207">
            <w:pPr>
              <w:rPr>
                <w:rFonts w:cs="Times New Roman"/>
                <w:bCs/>
                <w:szCs w:val="24"/>
              </w:rPr>
            </w:pPr>
            <w:r w:rsidRPr="00F82232">
              <w:rPr>
                <w:rFonts w:cs="Times New Roman"/>
                <w:bCs/>
                <w:szCs w:val="24"/>
              </w:rPr>
              <w:t>t</w:t>
            </w:r>
          </w:p>
        </w:tc>
        <w:tc>
          <w:tcPr>
            <w:tcW w:w="523" w:type="pct"/>
            <w:hideMark/>
          </w:tcPr>
          <w:p w14:paraId="5E1D9ECD" w14:textId="77777777" w:rsidR="007F2EE8" w:rsidRPr="00F82232" w:rsidRDefault="007F2EE8" w:rsidP="00255207">
            <w:pPr>
              <w:rPr>
                <w:rFonts w:cs="Times New Roman"/>
                <w:bCs/>
                <w:szCs w:val="24"/>
              </w:rPr>
            </w:pPr>
            <w:r w:rsidRPr="00F82232">
              <w:rPr>
                <w:rFonts w:cs="Times New Roman"/>
                <w:bCs/>
                <w:szCs w:val="24"/>
              </w:rPr>
              <w:t>p</w:t>
            </w:r>
          </w:p>
        </w:tc>
        <w:tc>
          <w:tcPr>
            <w:tcW w:w="1268" w:type="pct"/>
            <w:hideMark/>
          </w:tcPr>
          <w:p w14:paraId="316212D6" w14:textId="77777777" w:rsidR="007F2EE8" w:rsidRPr="00F82232" w:rsidRDefault="007F2EE8" w:rsidP="00255207">
            <w:pPr>
              <w:rPr>
                <w:rFonts w:cs="Times New Roman"/>
                <w:bCs/>
                <w:szCs w:val="24"/>
              </w:rPr>
            </w:pPr>
            <w:r w:rsidRPr="00F82232">
              <w:rPr>
                <w:rFonts w:cs="Times New Roman"/>
                <w:bCs/>
                <w:szCs w:val="24"/>
              </w:rPr>
              <w:t>95% CI [LL, UL]</w:t>
            </w:r>
          </w:p>
        </w:tc>
      </w:tr>
      <w:tr w:rsidR="007F2EE8" w:rsidRPr="00F82232" w14:paraId="5A71332B" w14:textId="77777777" w:rsidTr="00255207">
        <w:tc>
          <w:tcPr>
            <w:tcW w:w="1683" w:type="pct"/>
            <w:hideMark/>
          </w:tcPr>
          <w:p w14:paraId="412200FB" w14:textId="77777777" w:rsidR="007F2EE8" w:rsidRPr="00F82232" w:rsidRDefault="007F2EE8" w:rsidP="00255207">
            <w:pPr>
              <w:rPr>
                <w:rFonts w:cs="Times New Roman"/>
                <w:szCs w:val="24"/>
              </w:rPr>
            </w:pPr>
            <w:r w:rsidRPr="00F82232">
              <w:rPr>
                <w:rFonts w:cs="Times New Roman"/>
                <w:szCs w:val="24"/>
              </w:rPr>
              <w:t>Constant</w:t>
            </w:r>
          </w:p>
        </w:tc>
        <w:tc>
          <w:tcPr>
            <w:tcW w:w="525" w:type="pct"/>
            <w:hideMark/>
          </w:tcPr>
          <w:p w14:paraId="508C7CF1" w14:textId="77777777" w:rsidR="007F2EE8" w:rsidRPr="00F82232" w:rsidRDefault="007F2EE8" w:rsidP="00255207">
            <w:pPr>
              <w:rPr>
                <w:rFonts w:cs="Times New Roman"/>
                <w:szCs w:val="24"/>
              </w:rPr>
            </w:pPr>
            <w:r w:rsidRPr="00F82232">
              <w:rPr>
                <w:rFonts w:cs="Times New Roman"/>
                <w:szCs w:val="24"/>
              </w:rPr>
              <w:t>-0.365</w:t>
            </w:r>
          </w:p>
        </w:tc>
        <w:tc>
          <w:tcPr>
            <w:tcW w:w="475" w:type="pct"/>
            <w:hideMark/>
          </w:tcPr>
          <w:p w14:paraId="38A208A3" w14:textId="77777777" w:rsidR="007F2EE8" w:rsidRPr="00F82232" w:rsidRDefault="007F2EE8" w:rsidP="00255207">
            <w:pPr>
              <w:rPr>
                <w:rFonts w:cs="Times New Roman"/>
                <w:szCs w:val="24"/>
              </w:rPr>
            </w:pPr>
            <w:r w:rsidRPr="00F82232">
              <w:rPr>
                <w:rFonts w:cs="Times New Roman"/>
                <w:szCs w:val="24"/>
              </w:rPr>
              <w:t>0.801</w:t>
            </w:r>
          </w:p>
        </w:tc>
        <w:tc>
          <w:tcPr>
            <w:tcW w:w="525" w:type="pct"/>
            <w:hideMark/>
          </w:tcPr>
          <w:p w14:paraId="3B321BF3" w14:textId="77777777" w:rsidR="007F2EE8" w:rsidRPr="00F82232" w:rsidRDefault="007F2EE8" w:rsidP="00255207">
            <w:pPr>
              <w:rPr>
                <w:rFonts w:cs="Times New Roman"/>
                <w:szCs w:val="24"/>
              </w:rPr>
            </w:pPr>
            <w:r w:rsidRPr="00F82232">
              <w:rPr>
                <w:rFonts w:cs="Times New Roman"/>
                <w:szCs w:val="24"/>
              </w:rPr>
              <w:t>-0.456</w:t>
            </w:r>
          </w:p>
        </w:tc>
        <w:tc>
          <w:tcPr>
            <w:tcW w:w="523" w:type="pct"/>
            <w:hideMark/>
          </w:tcPr>
          <w:p w14:paraId="0C66FEBD" w14:textId="77777777" w:rsidR="007F2EE8" w:rsidRPr="00F82232" w:rsidRDefault="007F2EE8" w:rsidP="00255207">
            <w:pPr>
              <w:rPr>
                <w:rFonts w:cs="Times New Roman"/>
                <w:szCs w:val="24"/>
              </w:rPr>
            </w:pPr>
            <w:r w:rsidRPr="00F82232">
              <w:rPr>
                <w:rFonts w:cs="Times New Roman"/>
                <w:szCs w:val="24"/>
              </w:rPr>
              <w:t>.649</w:t>
            </w:r>
          </w:p>
        </w:tc>
        <w:tc>
          <w:tcPr>
            <w:tcW w:w="1268" w:type="pct"/>
            <w:hideMark/>
          </w:tcPr>
          <w:p w14:paraId="66475ABF" w14:textId="77777777" w:rsidR="007F2EE8" w:rsidRPr="00F82232" w:rsidRDefault="007F2EE8" w:rsidP="00255207">
            <w:pPr>
              <w:rPr>
                <w:rFonts w:cs="Times New Roman"/>
                <w:szCs w:val="24"/>
              </w:rPr>
            </w:pPr>
            <w:r w:rsidRPr="00F82232">
              <w:rPr>
                <w:rFonts w:cs="Times New Roman"/>
                <w:szCs w:val="24"/>
              </w:rPr>
              <w:t>[-1.948, 1.218]</w:t>
            </w:r>
          </w:p>
        </w:tc>
      </w:tr>
      <w:tr w:rsidR="007F2EE8" w:rsidRPr="00F82232" w14:paraId="33A5D96B" w14:textId="77777777" w:rsidTr="00255207">
        <w:tc>
          <w:tcPr>
            <w:tcW w:w="1683" w:type="pct"/>
            <w:hideMark/>
          </w:tcPr>
          <w:p w14:paraId="43C4D409" w14:textId="77777777" w:rsidR="007F2EE8" w:rsidRPr="00F82232" w:rsidRDefault="007F2EE8" w:rsidP="00255207">
            <w:pPr>
              <w:rPr>
                <w:rFonts w:cs="Times New Roman"/>
                <w:szCs w:val="24"/>
              </w:rPr>
            </w:pPr>
            <w:r w:rsidRPr="00F82232">
              <w:rPr>
                <w:rFonts w:cs="Times New Roman"/>
                <w:szCs w:val="24"/>
              </w:rPr>
              <w:t>GenAI Adoption (GAA)</w:t>
            </w:r>
          </w:p>
        </w:tc>
        <w:tc>
          <w:tcPr>
            <w:tcW w:w="525" w:type="pct"/>
            <w:hideMark/>
          </w:tcPr>
          <w:p w14:paraId="710727D2" w14:textId="77777777" w:rsidR="007F2EE8" w:rsidRPr="00F82232" w:rsidRDefault="007F2EE8" w:rsidP="00255207">
            <w:pPr>
              <w:rPr>
                <w:rFonts w:cs="Times New Roman"/>
                <w:szCs w:val="24"/>
              </w:rPr>
            </w:pPr>
            <w:r w:rsidRPr="00F82232">
              <w:rPr>
                <w:rFonts w:cs="Times New Roman"/>
                <w:szCs w:val="24"/>
              </w:rPr>
              <w:t>0.779</w:t>
            </w:r>
          </w:p>
        </w:tc>
        <w:tc>
          <w:tcPr>
            <w:tcW w:w="475" w:type="pct"/>
            <w:hideMark/>
          </w:tcPr>
          <w:p w14:paraId="3A8F993A" w14:textId="77777777" w:rsidR="007F2EE8" w:rsidRPr="00F82232" w:rsidRDefault="007F2EE8" w:rsidP="00255207">
            <w:pPr>
              <w:rPr>
                <w:rFonts w:cs="Times New Roman"/>
                <w:szCs w:val="24"/>
              </w:rPr>
            </w:pPr>
            <w:r w:rsidRPr="00F82232">
              <w:rPr>
                <w:rFonts w:cs="Times New Roman"/>
                <w:szCs w:val="24"/>
              </w:rPr>
              <w:t>0.192</w:t>
            </w:r>
          </w:p>
        </w:tc>
        <w:tc>
          <w:tcPr>
            <w:tcW w:w="525" w:type="pct"/>
            <w:hideMark/>
          </w:tcPr>
          <w:p w14:paraId="31F61C50" w14:textId="77777777" w:rsidR="007F2EE8" w:rsidRPr="00F82232" w:rsidRDefault="007F2EE8" w:rsidP="00255207">
            <w:pPr>
              <w:rPr>
                <w:rFonts w:cs="Times New Roman"/>
                <w:szCs w:val="24"/>
              </w:rPr>
            </w:pPr>
            <w:r w:rsidRPr="00F82232">
              <w:rPr>
                <w:rFonts w:cs="Times New Roman"/>
                <w:szCs w:val="24"/>
              </w:rPr>
              <w:t>4.067</w:t>
            </w:r>
          </w:p>
        </w:tc>
        <w:tc>
          <w:tcPr>
            <w:tcW w:w="523" w:type="pct"/>
            <w:hideMark/>
          </w:tcPr>
          <w:p w14:paraId="49A90586" w14:textId="77777777" w:rsidR="007F2EE8" w:rsidRPr="00F82232" w:rsidRDefault="007F2EE8" w:rsidP="00255207">
            <w:pPr>
              <w:rPr>
                <w:rFonts w:cs="Times New Roman"/>
                <w:szCs w:val="24"/>
              </w:rPr>
            </w:pPr>
            <w:r w:rsidRPr="00F82232">
              <w:rPr>
                <w:rFonts w:cs="Times New Roman"/>
                <w:szCs w:val="24"/>
              </w:rPr>
              <w:t>&lt; .001</w:t>
            </w:r>
          </w:p>
        </w:tc>
        <w:tc>
          <w:tcPr>
            <w:tcW w:w="1268" w:type="pct"/>
            <w:hideMark/>
          </w:tcPr>
          <w:p w14:paraId="7445C50F" w14:textId="77777777" w:rsidR="007F2EE8" w:rsidRPr="00F82232" w:rsidRDefault="007F2EE8" w:rsidP="00255207">
            <w:pPr>
              <w:rPr>
                <w:rFonts w:cs="Times New Roman"/>
                <w:szCs w:val="24"/>
              </w:rPr>
            </w:pPr>
            <w:r w:rsidRPr="00F82232">
              <w:rPr>
                <w:rFonts w:cs="Times New Roman"/>
                <w:szCs w:val="24"/>
              </w:rPr>
              <w:t>[0.401, 1.158]</w:t>
            </w:r>
          </w:p>
        </w:tc>
      </w:tr>
      <w:tr w:rsidR="007F2EE8" w:rsidRPr="00F82232" w14:paraId="2FD98AD9" w14:textId="77777777" w:rsidTr="00255207">
        <w:tc>
          <w:tcPr>
            <w:tcW w:w="1683" w:type="pct"/>
            <w:hideMark/>
          </w:tcPr>
          <w:p w14:paraId="7C92B935" w14:textId="77777777" w:rsidR="007F2EE8" w:rsidRPr="00F82232" w:rsidRDefault="007F2EE8" w:rsidP="00255207">
            <w:pPr>
              <w:rPr>
                <w:rFonts w:cs="Times New Roman"/>
                <w:szCs w:val="24"/>
              </w:rPr>
            </w:pPr>
            <w:r w:rsidRPr="00F82232">
              <w:rPr>
                <w:rFonts w:cs="Times New Roman"/>
                <w:szCs w:val="24"/>
              </w:rPr>
              <w:t>AI Governance (AIG)</w:t>
            </w:r>
          </w:p>
        </w:tc>
        <w:tc>
          <w:tcPr>
            <w:tcW w:w="525" w:type="pct"/>
            <w:hideMark/>
          </w:tcPr>
          <w:p w14:paraId="23D81034" w14:textId="77777777" w:rsidR="007F2EE8" w:rsidRPr="00F82232" w:rsidRDefault="007F2EE8" w:rsidP="00255207">
            <w:pPr>
              <w:rPr>
                <w:rFonts w:cs="Times New Roman"/>
                <w:szCs w:val="24"/>
              </w:rPr>
            </w:pPr>
            <w:r w:rsidRPr="00F82232">
              <w:rPr>
                <w:rFonts w:cs="Times New Roman"/>
                <w:szCs w:val="24"/>
              </w:rPr>
              <w:t>0.514</w:t>
            </w:r>
          </w:p>
        </w:tc>
        <w:tc>
          <w:tcPr>
            <w:tcW w:w="475" w:type="pct"/>
            <w:hideMark/>
          </w:tcPr>
          <w:p w14:paraId="32F26EBD" w14:textId="77777777" w:rsidR="007F2EE8" w:rsidRPr="00F82232" w:rsidRDefault="007F2EE8" w:rsidP="00255207">
            <w:pPr>
              <w:rPr>
                <w:rFonts w:cs="Times New Roman"/>
                <w:szCs w:val="24"/>
              </w:rPr>
            </w:pPr>
            <w:r w:rsidRPr="00F82232">
              <w:rPr>
                <w:rFonts w:cs="Times New Roman"/>
                <w:szCs w:val="24"/>
              </w:rPr>
              <w:t>0.358</w:t>
            </w:r>
          </w:p>
        </w:tc>
        <w:tc>
          <w:tcPr>
            <w:tcW w:w="525" w:type="pct"/>
            <w:hideMark/>
          </w:tcPr>
          <w:p w14:paraId="198F05F4" w14:textId="77777777" w:rsidR="007F2EE8" w:rsidRPr="00F82232" w:rsidRDefault="007F2EE8" w:rsidP="00255207">
            <w:pPr>
              <w:rPr>
                <w:rFonts w:cs="Times New Roman"/>
                <w:szCs w:val="24"/>
              </w:rPr>
            </w:pPr>
            <w:r w:rsidRPr="00F82232">
              <w:rPr>
                <w:rFonts w:cs="Times New Roman"/>
                <w:szCs w:val="24"/>
              </w:rPr>
              <w:t>1.438</w:t>
            </w:r>
          </w:p>
        </w:tc>
        <w:tc>
          <w:tcPr>
            <w:tcW w:w="523" w:type="pct"/>
            <w:hideMark/>
          </w:tcPr>
          <w:p w14:paraId="1EE42B73" w14:textId="77777777" w:rsidR="007F2EE8" w:rsidRPr="00F82232" w:rsidRDefault="007F2EE8" w:rsidP="00255207">
            <w:pPr>
              <w:rPr>
                <w:rFonts w:cs="Times New Roman"/>
                <w:szCs w:val="24"/>
              </w:rPr>
            </w:pPr>
            <w:r w:rsidRPr="00F82232">
              <w:rPr>
                <w:rFonts w:cs="Times New Roman"/>
                <w:szCs w:val="24"/>
              </w:rPr>
              <w:t>.153</w:t>
            </w:r>
          </w:p>
        </w:tc>
        <w:tc>
          <w:tcPr>
            <w:tcW w:w="1268" w:type="pct"/>
            <w:hideMark/>
          </w:tcPr>
          <w:p w14:paraId="32638B08" w14:textId="77777777" w:rsidR="007F2EE8" w:rsidRPr="00F82232" w:rsidRDefault="007F2EE8" w:rsidP="00255207">
            <w:pPr>
              <w:rPr>
                <w:rFonts w:cs="Times New Roman"/>
                <w:szCs w:val="24"/>
              </w:rPr>
            </w:pPr>
            <w:r w:rsidRPr="00F82232">
              <w:rPr>
                <w:rFonts w:cs="Times New Roman"/>
                <w:szCs w:val="24"/>
              </w:rPr>
              <w:t>[-0.193, 1.221]</w:t>
            </w:r>
          </w:p>
        </w:tc>
      </w:tr>
      <w:tr w:rsidR="007F2EE8" w:rsidRPr="00F82232" w14:paraId="5AAC79FF" w14:textId="77777777" w:rsidTr="00255207">
        <w:tc>
          <w:tcPr>
            <w:tcW w:w="1683" w:type="pct"/>
            <w:hideMark/>
          </w:tcPr>
          <w:p w14:paraId="47B0719C" w14:textId="77777777" w:rsidR="007F2EE8" w:rsidRPr="00F82232" w:rsidRDefault="007F2EE8" w:rsidP="00255207">
            <w:pPr>
              <w:rPr>
                <w:rFonts w:cs="Times New Roman"/>
                <w:szCs w:val="24"/>
              </w:rPr>
            </w:pPr>
            <w:r w:rsidRPr="00F82232">
              <w:rPr>
                <w:rFonts w:cs="Times New Roman"/>
                <w:szCs w:val="24"/>
              </w:rPr>
              <w:t>GAA × AIG (Interaction)</w:t>
            </w:r>
          </w:p>
        </w:tc>
        <w:tc>
          <w:tcPr>
            <w:tcW w:w="525" w:type="pct"/>
            <w:hideMark/>
          </w:tcPr>
          <w:p w14:paraId="57035226" w14:textId="77777777" w:rsidR="007F2EE8" w:rsidRPr="00F82232" w:rsidRDefault="007F2EE8" w:rsidP="00255207">
            <w:pPr>
              <w:rPr>
                <w:rFonts w:cs="Times New Roman"/>
                <w:szCs w:val="24"/>
              </w:rPr>
            </w:pPr>
            <w:r w:rsidRPr="00F82232">
              <w:rPr>
                <w:rFonts w:cs="Times New Roman"/>
                <w:szCs w:val="24"/>
              </w:rPr>
              <w:t>-0.050</w:t>
            </w:r>
          </w:p>
        </w:tc>
        <w:tc>
          <w:tcPr>
            <w:tcW w:w="475" w:type="pct"/>
            <w:hideMark/>
          </w:tcPr>
          <w:p w14:paraId="35736BE6" w14:textId="77777777" w:rsidR="007F2EE8" w:rsidRPr="00F82232" w:rsidRDefault="007F2EE8" w:rsidP="00255207">
            <w:pPr>
              <w:rPr>
                <w:rFonts w:cs="Times New Roman"/>
                <w:szCs w:val="24"/>
              </w:rPr>
            </w:pPr>
            <w:r w:rsidRPr="00F82232">
              <w:rPr>
                <w:rFonts w:cs="Times New Roman"/>
                <w:szCs w:val="24"/>
              </w:rPr>
              <w:t>0.080</w:t>
            </w:r>
          </w:p>
        </w:tc>
        <w:tc>
          <w:tcPr>
            <w:tcW w:w="525" w:type="pct"/>
            <w:hideMark/>
          </w:tcPr>
          <w:p w14:paraId="27FF2635" w14:textId="77777777" w:rsidR="007F2EE8" w:rsidRPr="00F82232" w:rsidRDefault="007F2EE8" w:rsidP="00255207">
            <w:pPr>
              <w:rPr>
                <w:rFonts w:cs="Times New Roman"/>
                <w:szCs w:val="24"/>
              </w:rPr>
            </w:pPr>
            <w:r w:rsidRPr="00F82232">
              <w:rPr>
                <w:rFonts w:cs="Times New Roman"/>
                <w:szCs w:val="24"/>
              </w:rPr>
              <w:t>-0.632</w:t>
            </w:r>
          </w:p>
        </w:tc>
        <w:tc>
          <w:tcPr>
            <w:tcW w:w="523" w:type="pct"/>
            <w:hideMark/>
          </w:tcPr>
          <w:p w14:paraId="026975F5" w14:textId="77777777" w:rsidR="007F2EE8" w:rsidRPr="00F82232" w:rsidRDefault="007F2EE8" w:rsidP="00255207">
            <w:pPr>
              <w:rPr>
                <w:rFonts w:cs="Times New Roman"/>
                <w:szCs w:val="24"/>
              </w:rPr>
            </w:pPr>
            <w:r w:rsidRPr="00F82232">
              <w:rPr>
                <w:rFonts w:cs="Times New Roman"/>
                <w:szCs w:val="24"/>
              </w:rPr>
              <w:t>.529</w:t>
            </w:r>
          </w:p>
        </w:tc>
        <w:tc>
          <w:tcPr>
            <w:tcW w:w="1268" w:type="pct"/>
            <w:hideMark/>
          </w:tcPr>
          <w:p w14:paraId="22DEDC0C" w14:textId="77777777" w:rsidR="007F2EE8" w:rsidRPr="00F82232" w:rsidRDefault="007F2EE8" w:rsidP="00255207">
            <w:pPr>
              <w:rPr>
                <w:rFonts w:cs="Times New Roman"/>
                <w:szCs w:val="24"/>
              </w:rPr>
            </w:pPr>
            <w:r w:rsidRPr="00F82232">
              <w:rPr>
                <w:rFonts w:cs="Times New Roman"/>
                <w:szCs w:val="24"/>
              </w:rPr>
              <w:t>[-0.208, 0.107]</w:t>
            </w:r>
          </w:p>
        </w:tc>
      </w:tr>
    </w:tbl>
    <w:p w14:paraId="25D120FA" w14:textId="77777777" w:rsidR="007F2EE8" w:rsidRPr="00F82232" w:rsidRDefault="007F2EE8" w:rsidP="007F2EE8">
      <w:pPr>
        <w:spacing w:before="100" w:beforeAutospacing="1" w:after="100" w:afterAutospacing="1"/>
        <w:rPr>
          <w:rFonts w:cs="Times New Roman"/>
          <w:color w:val="000000"/>
          <w:szCs w:val="24"/>
        </w:rPr>
      </w:pPr>
      <w:r w:rsidRPr="00F82232">
        <w:rPr>
          <w:rFonts w:cs="Times New Roman"/>
          <w:i/>
          <w:iCs/>
          <w:color w:val="000000"/>
          <w:szCs w:val="24"/>
        </w:rPr>
        <w:t>Note.</w:t>
      </w:r>
      <w:r w:rsidRPr="00F82232">
        <w:rPr>
          <w:rFonts w:eastAsia="Times New Roman" w:cs="Times New Roman"/>
          <w:color w:val="000000"/>
          <w:szCs w:val="24"/>
        </w:rPr>
        <w:t> </w:t>
      </w:r>
      <w:r w:rsidRPr="00F82232">
        <w:rPr>
          <w:rFonts w:cs="Times New Roman"/>
          <w:color w:val="000000"/>
          <w:szCs w:val="24"/>
        </w:rPr>
        <w:t>N=151. Model Summary:</w:t>
      </w:r>
      <w:r w:rsidRPr="00F82232">
        <w:rPr>
          <w:rFonts w:eastAsia="Times New Roman" w:cs="Times New Roman"/>
          <w:color w:val="000000"/>
          <w:szCs w:val="24"/>
        </w:rPr>
        <w:t> </w:t>
      </w:r>
      <w:r w:rsidRPr="00F82232">
        <w:rPr>
          <w:rFonts w:cs="Times New Roman"/>
          <w:color w:val="000000"/>
          <w:szCs w:val="24"/>
        </w:rPr>
        <w:t>R2=.560,</w:t>
      </w:r>
      <w:r w:rsidRPr="00F82232">
        <w:rPr>
          <w:rFonts w:eastAsia="Times New Roman" w:cs="Times New Roman"/>
          <w:color w:val="000000"/>
          <w:szCs w:val="24"/>
        </w:rPr>
        <w:t> </w:t>
      </w:r>
      <w:r w:rsidRPr="00F82232">
        <w:rPr>
          <w:rFonts w:cs="Times New Roman"/>
          <w:color w:val="000000"/>
          <w:szCs w:val="24"/>
        </w:rPr>
        <w:t>F(3,147)=62.36,</w:t>
      </w:r>
      <w:r w:rsidRPr="00F82232">
        <w:rPr>
          <w:rFonts w:eastAsia="Times New Roman" w:cs="Times New Roman"/>
          <w:color w:val="000000"/>
          <w:szCs w:val="24"/>
        </w:rPr>
        <w:t> </w:t>
      </w:r>
      <w:r w:rsidRPr="00F82232">
        <w:rPr>
          <w:rFonts w:cs="Times New Roman"/>
          <w:color w:val="000000"/>
          <w:szCs w:val="24"/>
        </w:rPr>
        <w:t>p&lt;.001. Test of highest-order unconditional interaction:</w:t>
      </w:r>
      <w:r w:rsidRPr="00F82232">
        <w:rPr>
          <w:rFonts w:eastAsia="Times New Roman" w:cs="Times New Roman"/>
          <w:color w:val="000000"/>
          <w:szCs w:val="24"/>
        </w:rPr>
        <w:t> </w:t>
      </w:r>
      <w:r w:rsidRPr="00F82232">
        <w:rPr>
          <w:rFonts w:cs="Times New Roman"/>
          <w:color w:val="000000"/>
          <w:szCs w:val="24"/>
        </w:rPr>
        <w:t>ΔR2=.001,</w:t>
      </w:r>
      <w:r w:rsidRPr="00F82232">
        <w:rPr>
          <w:rFonts w:eastAsia="Times New Roman" w:cs="Times New Roman"/>
          <w:color w:val="000000"/>
          <w:szCs w:val="24"/>
        </w:rPr>
        <w:t> </w:t>
      </w:r>
      <w:r w:rsidRPr="00F82232">
        <w:rPr>
          <w:rFonts w:cs="Times New Roman"/>
          <w:color w:val="000000"/>
          <w:szCs w:val="24"/>
        </w:rPr>
        <w:t>F(1,147)=0.399,</w:t>
      </w:r>
      <w:r w:rsidRPr="00F82232">
        <w:rPr>
          <w:rFonts w:eastAsia="Times New Roman" w:cs="Times New Roman"/>
          <w:color w:val="000000"/>
          <w:szCs w:val="24"/>
        </w:rPr>
        <w:t> </w:t>
      </w:r>
      <w:r w:rsidRPr="00F82232">
        <w:rPr>
          <w:rFonts w:cs="Times New Roman"/>
          <w:color w:val="000000"/>
          <w:szCs w:val="24"/>
        </w:rPr>
        <w:t xml:space="preserve">p=.529. Bootstrap confidence intervals (95%) </w:t>
      </w:r>
      <w:r w:rsidR="00F82232">
        <w:rPr>
          <w:rFonts w:cs="Times New Roman"/>
          <w:color w:val="000000"/>
          <w:szCs w:val="24"/>
        </w:rPr>
        <w:t xml:space="preserve">are </w:t>
      </w:r>
      <w:r w:rsidRPr="00F82232">
        <w:rPr>
          <w:rFonts w:cs="Times New Roman"/>
          <w:color w:val="000000"/>
          <w:szCs w:val="24"/>
        </w:rPr>
        <w:t>reported.</w:t>
      </w:r>
    </w:p>
    <w:p w14:paraId="62EADB87" w14:textId="77777777" w:rsidR="00F82232" w:rsidRDefault="00F82232" w:rsidP="00F82232">
      <w:pPr>
        <w:rPr>
          <w:lang w:eastAsia="en-GB" w:bidi="hi-IN"/>
        </w:rPr>
      </w:pPr>
      <w:r>
        <w:rPr>
          <w:lang w:eastAsia="en-GB" w:bidi="hi-IN"/>
        </w:rPr>
        <w:lastRenderedPageBreak/>
        <w:t>The second model, predicting Job Quality (JQ), also shows a significant fit, carrying 56.0% of the variance (R2=</w:t>
      </w:r>
      <w:r w:rsidR="00193090">
        <w:rPr>
          <w:lang w:eastAsia="en-GB" w:bidi="hi-IN"/>
        </w:rPr>
        <w:t xml:space="preserve"> </w:t>
      </w:r>
      <w:r>
        <w:rPr>
          <w:lang w:eastAsia="en-GB" w:bidi="hi-IN"/>
        </w:rPr>
        <w:t>.560, F(3,147) = 62.36, p &lt; .001). A strong positive correlation was identified between self-reports of job quality (b=0.779, t=4.067, p&lt;.001) and GenAI adoption. This contributes to Hypothesis 2 in that, generally, the use of these kinds of tools is related to having had a more positive work experience; this is probably owing to the help provided with repetitive tasks.</w:t>
      </w:r>
    </w:p>
    <w:p w14:paraId="66F4B989" w14:textId="4EB69AD6" w:rsidR="007F2EE8" w:rsidRPr="00F82232" w:rsidRDefault="00F82232" w:rsidP="00F82232">
      <w:pPr>
        <w:rPr>
          <w:lang w:eastAsia="en-GB" w:bidi="hi-IN"/>
        </w:rPr>
      </w:pPr>
      <w:r>
        <w:rPr>
          <w:lang w:eastAsia="en-GB" w:bidi="hi-IN"/>
        </w:rPr>
        <w:t>However, the interaction term (GAA × AIG) was not statistically significant (b=−0.050, p=.529), when examining the potential moderating effect of AI Governance (AIG). Based on this, it can be concluded that Hypothesis 4 cannot be accepted. This finding suggests that, in this data set, the adoption of AI does not have a significant impact on job quality depending on whether there was any internal AI policy or not. Perhaps because these tools are still relatively new in SMEs, formal governance may still not be mature and capable of making a measurable difference in the daily experiences of employees.</w:t>
      </w:r>
    </w:p>
    <w:p w14:paraId="557EA166" w14:textId="1BE9DCC9" w:rsidR="007F2EE8" w:rsidRPr="00193090" w:rsidRDefault="00193090" w:rsidP="00193090">
      <w:pPr>
        <w:pStyle w:val="Caption"/>
        <w:rPr>
          <w:rFonts w:cs="Times New Roman"/>
          <w:color w:val="000000"/>
          <w:szCs w:val="24"/>
        </w:rPr>
      </w:pPr>
      <w:bookmarkStart w:id="101" w:name="_Toc241052643"/>
      <w:r>
        <w:t xml:space="preserve">Table </w:t>
      </w:r>
      <w:fldSimple w:instr=" SEQ Table \* ARABIC ">
        <w:r w:rsidR="009F799C">
          <w:rPr>
            <w:noProof/>
          </w:rPr>
          <w:t>10</w:t>
        </w:r>
      </w:fldSimple>
      <w:r w:rsidR="007F2EE8" w:rsidRPr="00193090">
        <w:rPr>
          <w:rFonts w:cs="Times New Roman"/>
          <w:color w:val="000000"/>
          <w:szCs w:val="24"/>
        </w:rPr>
        <w:t>: Alignment of Statistical Findings with Research Hypotheses</w:t>
      </w:r>
      <w:bookmarkEnd w:id="101"/>
    </w:p>
    <w:tbl>
      <w:tblPr>
        <w:tblStyle w:val="APA7"/>
        <w:tblW w:w="5000" w:type="pct"/>
        <w:tblLook w:val="04A0" w:firstRow="1" w:lastRow="0" w:firstColumn="1" w:lastColumn="0" w:noHBand="0" w:noVBand="1"/>
      </w:tblPr>
      <w:tblGrid>
        <w:gridCol w:w="1351"/>
        <w:gridCol w:w="3556"/>
        <w:gridCol w:w="2822"/>
        <w:gridCol w:w="1297"/>
      </w:tblGrid>
      <w:tr w:rsidR="007F2EE8" w:rsidRPr="00F82232" w14:paraId="1BFBFFD9" w14:textId="77777777" w:rsidTr="00255207">
        <w:trPr>
          <w:cnfStyle w:val="100000000000" w:firstRow="1" w:lastRow="0" w:firstColumn="0" w:lastColumn="0" w:oddVBand="0" w:evenVBand="0" w:oddHBand="0" w:evenHBand="0" w:firstRowFirstColumn="0" w:firstRowLastColumn="0" w:lastRowFirstColumn="0" w:lastRowLastColumn="0"/>
        </w:trPr>
        <w:tc>
          <w:tcPr>
            <w:tcW w:w="748" w:type="pct"/>
            <w:hideMark/>
          </w:tcPr>
          <w:p w14:paraId="76029DB8" w14:textId="77777777" w:rsidR="007F2EE8" w:rsidRPr="00F82232" w:rsidRDefault="007F2EE8" w:rsidP="00255207">
            <w:pPr>
              <w:rPr>
                <w:rFonts w:cs="Times New Roman"/>
                <w:bCs/>
                <w:szCs w:val="24"/>
              </w:rPr>
            </w:pPr>
            <w:r w:rsidRPr="00F82232">
              <w:rPr>
                <w:rFonts w:cs="Times New Roman"/>
                <w:bCs/>
                <w:szCs w:val="24"/>
              </w:rPr>
              <w:t>Hypothesis</w:t>
            </w:r>
          </w:p>
        </w:tc>
        <w:tc>
          <w:tcPr>
            <w:tcW w:w="1970" w:type="pct"/>
            <w:hideMark/>
          </w:tcPr>
          <w:p w14:paraId="5D69899D" w14:textId="77777777" w:rsidR="007F2EE8" w:rsidRPr="00F82232" w:rsidRDefault="007F2EE8" w:rsidP="00255207">
            <w:pPr>
              <w:rPr>
                <w:rFonts w:cs="Times New Roman"/>
                <w:bCs/>
                <w:szCs w:val="24"/>
              </w:rPr>
            </w:pPr>
            <w:r w:rsidRPr="00F82232">
              <w:rPr>
                <w:rFonts w:cs="Times New Roman"/>
                <w:bCs/>
                <w:szCs w:val="24"/>
              </w:rPr>
              <w:t>Path / Relationship</w:t>
            </w:r>
          </w:p>
        </w:tc>
        <w:tc>
          <w:tcPr>
            <w:tcW w:w="1563" w:type="pct"/>
            <w:hideMark/>
          </w:tcPr>
          <w:p w14:paraId="34D129EC" w14:textId="77777777" w:rsidR="007F2EE8" w:rsidRPr="00F82232" w:rsidRDefault="007F2EE8" w:rsidP="007F2EE8">
            <w:pPr>
              <w:rPr>
                <w:rFonts w:cs="Times New Roman"/>
                <w:bCs/>
                <w:szCs w:val="24"/>
              </w:rPr>
            </w:pPr>
            <w:r w:rsidRPr="00F82232">
              <w:rPr>
                <w:rFonts w:cs="Times New Roman"/>
                <w:bCs/>
                <w:szCs w:val="24"/>
              </w:rPr>
              <w:t>Statistical Evidence</w:t>
            </w:r>
          </w:p>
        </w:tc>
        <w:tc>
          <w:tcPr>
            <w:tcW w:w="718" w:type="pct"/>
            <w:hideMark/>
          </w:tcPr>
          <w:p w14:paraId="57420D10" w14:textId="77777777" w:rsidR="007F2EE8" w:rsidRPr="00F82232" w:rsidRDefault="007F2EE8" w:rsidP="00255207">
            <w:pPr>
              <w:rPr>
                <w:rFonts w:cs="Times New Roman"/>
                <w:bCs/>
                <w:szCs w:val="24"/>
              </w:rPr>
            </w:pPr>
            <w:r w:rsidRPr="00F82232">
              <w:rPr>
                <w:rFonts w:cs="Times New Roman"/>
                <w:bCs/>
                <w:szCs w:val="24"/>
              </w:rPr>
              <w:t>Decision</w:t>
            </w:r>
          </w:p>
        </w:tc>
      </w:tr>
      <w:tr w:rsidR="007F2EE8" w:rsidRPr="00F82232" w14:paraId="5F16E2A0" w14:textId="77777777" w:rsidTr="00255207">
        <w:tc>
          <w:tcPr>
            <w:tcW w:w="748" w:type="pct"/>
            <w:hideMark/>
          </w:tcPr>
          <w:p w14:paraId="2D92E3ED" w14:textId="77777777" w:rsidR="007F2EE8" w:rsidRPr="00F82232" w:rsidRDefault="007F2EE8" w:rsidP="00255207">
            <w:pPr>
              <w:rPr>
                <w:rFonts w:cs="Times New Roman"/>
                <w:szCs w:val="24"/>
              </w:rPr>
            </w:pPr>
            <w:r w:rsidRPr="00F82232">
              <w:rPr>
                <w:rFonts w:cs="Times New Roman"/>
                <w:b/>
                <w:bCs/>
                <w:szCs w:val="24"/>
              </w:rPr>
              <w:t>H1</w:t>
            </w:r>
          </w:p>
        </w:tc>
        <w:tc>
          <w:tcPr>
            <w:tcW w:w="1970" w:type="pct"/>
            <w:hideMark/>
          </w:tcPr>
          <w:p w14:paraId="773EC87F" w14:textId="77777777" w:rsidR="007F2EE8" w:rsidRPr="00F82232" w:rsidRDefault="007F2EE8" w:rsidP="00255207">
            <w:pPr>
              <w:rPr>
                <w:rFonts w:cs="Times New Roman"/>
                <w:szCs w:val="24"/>
              </w:rPr>
            </w:pPr>
            <w:r w:rsidRPr="00F82232">
              <w:rPr>
                <w:rFonts w:cs="Times New Roman"/>
                <w:szCs w:val="24"/>
              </w:rPr>
              <w:t>GenAI adoption has a direct positive effect on employee productivity.</w:t>
            </w:r>
          </w:p>
        </w:tc>
        <w:tc>
          <w:tcPr>
            <w:tcW w:w="1563" w:type="pct"/>
            <w:hideMark/>
          </w:tcPr>
          <w:p w14:paraId="3E9EA254" w14:textId="77777777" w:rsidR="007F2EE8" w:rsidRPr="00F82232" w:rsidRDefault="007F2EE8" w:rsidP="007F2EE8">
            <w:pPr>
              <w:jc w:val="left"/>
              <w:rPr>
                <w:rFonts w:cs="Times New Roman"/>
                <w:szCs w:val="24"/>
              </w:rPr>
            </w:pPr>
            <w:r w:rsidRPr="00F82232">
              <w:rPr>
                <w:rFonts w:cs="Times New Roman"/>
                <w:szCs w:val="24"/>
              </w:rPr>
              <w:t>β=0.670, t=4.945, p&lt;.001</w:t>
            </w:r>
          </w:p>
        </w:tc>
        <w:tc>
          <w:tcPr>
            <w:tcW w:w="718" w:type="pct"/>
            <w:hideMark/>
          </w:tcPr>
          <w:p w14:paraId="66C64376" w14:textId="77777777" w:rsidR="007F2EE8" w:rsidRPr="00F82232" w:rsidRDefault="007F2EE8" w:rsidP="00255207">
            <w:pPr>
              <w:rPr>
                <w:rFonts w:cs="Times New Roman"/>
                <w:szCs w:val="24"/>
              </w:rPr>
            </w:pPr>
            <w:r w:rsidRPr="00F82232">
              <w:rPr>
                <w:rFonts w:cs="Times New Roman"/>
                <w:b/>
                <w:bCs/>
                <w:szCs w:val="24"/>
              </w:rPr>
              <w:t>Supported</w:t>
            </w:r>
          </w:p>
        </w:tc>
      </w:tr>
      <w:tr w:rsidR="007F2EE8" w:rsidRPr="00F82232" w14:paraId="3B6C2D13" w14:textId="77777777" w:rsidTr="00255207">
        <w:tc>
          <w:tcPr>
            <w:tcW w:w="748" w:type="pct"/>
            <w:hideMark/>
          </w:tcPr>
          <w:p w14:paraId="0C010F63" w14:textId="77777777" w:rsidR="007F2EE8" w:rsidRPr="00F82232" w:rsidRDefault="007F2EE8" w:rsidP="00255207">
            <w:pPr>
              <w:rPr>
                <w:rFonts w:cs="Times New Roman"/>
                <w:szCs w:val="24"/>
              </w:rPr>
            </w:pPr>
            <w:r w:rsidRPr="00F82232">
              <w:rPr>
                <w:rFonts w:cs="Times New Roman"/>
                <w:b/>
                <w:bCs/>
                <w:szCs w:val="24"/>
              </w:rPr>
              <w:t>H2</w:t>
            </w:r>
          </w:p>
        </w:tc>
        <w:tc>
          <w:tcPr>
            <w:tcW w:w="1970" w:type="pct"/>
            <w:hideMark/>
          </w:tcPr>
          <w:p w14:paraId="1FB7F4BA" w14:textId="77777777" w:rsidR="007F2EE8" w:rsidRPr="00F82232" w:rsidRDefault="007F2EE8" w:rsidP="00255207">
            <w:pPr>
              <w:rPr>
                <w:rFonts w:cs="Times New Roman"/>
                <w:szCs w:val="24"/>
              </w:rPr>
            </w:pPr>
            <w:r w:rsidRPr="00F82232">
              <w:rPr>
                <w:rFonts w:cs="Times New Roman"/>
                <w:szCs w:val="24"/>
              </w:rPr>
              <w:t>GenAI adoption has a direct positive effect on job quality.</w:t>
            </w:r>
          </w:p>
        </w:tc>
        <w:tc>
          <w:tcPr>
            <w:tcW w:w="1563" w:type="pct"/>
            <w:hideMark/>
          </w:tcPr>
          <w:p w14:paraId="6F343A0A" w14:textId="77777777" w:rsidR="007F2EE8" w:rsidRPr="00F82232" w:rsidRDefault="007F2EE8" w:rsidP="007F2EE8">
            <w:pPr>
              <w:jc w:val="left"/>
              <w:rPr>
                <w:rFonts w:cs="Times New Roman"/>
                <w:szCs w:val="24"/>
              </w:rPr>
            </w:pPr>
            <w:r w:rsidRPr="00F82232">
              <w:rPr>
                <w:rFonts w:cs="Times New Roman"/>
                <w:szCs w:val="24"/>
              </w:rPr>
              <w:t>β=0.779, t=4.067, p&lt;.001</w:t>
            </w:r>
          </w:p>
        </w:tc>
        <w:tc>
          <w:tcPr>
            <w:tcW w:w="718" w:type="pct"/>
            <w:hideMark/>
          </w:tcPr>
          <w:p w14:paraId="41A393DC" w14:textId="77777777" w:rsidR="007F2EE8" w:rsidRPr="00F82232" w:rsidRDefault="007F2EE8" w:rsidP="00255207">
            <w:pPr>
              <w:rPr>
                <w:rFonts w:cs="Times New Roman"/>
                <w:szCs w:val="24"/>
              </w:rPr>
            </w:pPr>
            <w:r w:rsidRPr="00F82232">
              <w:rPr>
                <w:rFonts w:cs="Times New Roman"/>
                <w:b/>
                <w:bCs/>
                <w:szCs w:val="24"/>
              </w:rPr>
              <w:t>Supported</w:t>
            </w:r>
          </w:p>
        </w:tc>
      </w:tr>
      <w:tr w:rsidR="007F2EE8" w:rsidRPr="00F82232" w14:paraId="5374F034" w14:textId="77777777" w:rsidTr="00255207">
        <w:tc>
          <w:tcPr>
            <w:tcW w:w="748" w:type="pct"/>
            <w:hideMark/>
          </w:tcPr>
          <w:p w14:paraId="4009F6B0" w14:textId="77777777" w:rsidR="007F2EE8" w:rsidRPr="00F82232" w:rsidRDefault="007F2EE8" w:rsidP="00255207">
            <w:pPr>
              <w:rPr>
                <w:rFonts w:cs="Times New Roman"/>
                <w:szCs w:val="24"/>
              </w:rPr>
            </w:pPr>
            <w:r w:rsidRPr="00F82232">
              <w:rPr>
                <w:rFonts w:cs="Times New Roman"/>
                <w:b/>
                <w:bCs/>
                <w:szCs w:val="24"/>
              </w:rPr>
              <w:t>H3</w:t>
            </w:r>
          </w:p>
        </w:tc>
        <w:tc>
          <w:tcPr>
            <w:tcW w:w="1970" w:type="pct"/>
            <w:hideMark/>
          </w:tcPr>
          <w:p w14:paraId="59498E09" w14:textId="77777777" w:rsidR="007F2EE8" w:rsidRPr="00F82232" w:rsidRDefault="007F2EE8" w:rsidP="00255207">
            <w:pPr>
              <w:rPr>
                <w:rFonts w:cs="Times New Roman"/>
                <w:szCs w:val="24"/>
              </w:rPr>
            </w:pPr>
            <w:r w:rsidRPr="00F82232">
              <w:rPr>
                <w:rFonts w:cs="Times New Roman"/>
                <w:szCs w:val="24"/>
              </w:rPr>
              <w:t>Employee training moderates the relationship between GenAI adoption and employee productivity.</w:t>
            </w:r>
          </w:p>
        </w:tc>
        <w:tc>
          <w:tcPr>
            <w:tcW w:w="1563" w:type="pct"/>
            <w:hideMark/>
          </w:tcPr>
          <w:p w14:paraId="75DACFC6" w14:textId="77777777" w:rsidR="007F2EE8" w:rsidRPr="00F82232" w:rsidRDefault="007F2EE8" w:rsidP="007F2EE8">
            <w:pPr>
              <w:jc w:val="left"/>
              <w:rPr>
                <w:rFonts w:cs="Times New Roman"/>
                <w:szCs w:val="24"/>
              </w:rPr>
            </w:pPr>
            <w:r w:rsidRPr="00F82232">
              <w:rPr>
                <w:rFonts w:cs="Times New Roman"/>
                <w:szCs w:val="24"/>
              </w:rPr>
              <w:t>β=0.012, t=0.202, p=.840</w:t>
            </w:r>
          </w:p>
        </w:tc>
        <w:tc>
          <w:tcPr>
            <w:tcW w:w="718" w:type="pct"/>
            <w:hideMark/>
          </w:tcPr>
          <w:p w14:paraId="6661DD55" w14:textId="77777777" w:rsidR="007F2EE8" w:rsidRPr="00F82232" w:rsidRDefault="007F2EE8" w:rsidP="00255207">
            <w:pPr>
              <w:rPr>
                <w:rFonts w:cs="Times New Roman"/>
                <w:szCs w:val="24"/>
              </w:rPr>
            </w:pPr>
            <w:r w:rsidRPr="00F82232">
              <w:rPr>
                <w:rFonts w:cs="Times New Roman"/>
                <w:b/>
                <w:bCs/>
                <w:szCs w:val="24"/>
              </w:rPr>
              <w:t>Rejected</w:t>
            </w:r>
          </w:p>
        </w:tc>
      </w:tr>
      <w:tr w:rsidR="007F2EE8" w:rsidRPr="00F82232" w14:paraId="73CBB1C3" w14:textId="77777777" w:rsidTr="00255207">
        <w:tc>
          <w:tcPr>
            <w:tcW w:w="748" w:type="pct"/>
            <w:hideMark/>
          </w:tcPr>
          <w:p w14:paraId="482FCB10" w14:textId="77777777" w:rsidR="007F2EE8" w:rsidRPr="00F82232" w:rsidRDefault="007F2EE8" w:rsidP="00255207">
            <w:pPr>
              <w:rPr>
                <w:rFonts w:cs="Times New Roman"/>
                <w:szCs w:val="24"/>
              </w:rPr>
            </w:pPr>
            <w:r w:rsidRPr="00F82232">
              <w:rPr>
                <w:rFonts w:cs="Times New Roman"/>
                <w:b/>
                <w:bCs/>
                <w:szCs w:val="24"/>
              </w:rPr>
              <w:lastRenderedPageBreak/>
              <w:t>H4</w:t>
            </w:r>
          </w:p>
        </w:tc>
        <w:tc>
          <w:tcPr>
            <w:tcW w:w="1970" w:type="pct"/>
            <w:hideMark/>
          </w:tcPr>
          <w:p w14:paraId="6C8E0C49" w14:textId="77777777" w:rsidR="007F2EE8" w:rsidRPr="00F82232" w:rsidRDefault="007F2EE8" w:rsidP="00255207">
            <w:pPr>
              <w:rPr>
                <w:rFonts w:cs="Times New Roman"/>
                <w:szCs w:val="24"/>
              </w:rPr>
            </w:pPr>
            <w:r w:rsidRPr="00F82232">
              <w:rPr>
                <w:rFonts w:cs="Times New Roman"/>
                <w:szCs w:val="24"/>
              </w:rPr>
              <w:t>AI governance moderates the relationship between GenAI adoption and job quality.</w:t>
            </w:r>
          </w:p>
        </w:tc>
        <w:tc>
          <w:tcPr>
            <w:tcW w:w="1563" w:type="pct"/>
            <w:hideMark/>
          </w:tcPr>
          <w:p w14:paraId="207A46CE" w14:textId="77777777" w:rsidR="007F2EE8" w:rsidRPr="00F82232" w:rsidRDefault="007F2EE8" w:rsidP="007F2EE8">
            <w:pPr>
              <w:jc w:val="left"/>
              <w:rPr>
                <w:rFonts w:cs="Times New Roman"/>
                <w:szCs w:val="24"/>
              </w:rPr>
            </w:pPr>
            <w:r w:rsidRPr="00F82232">
              <w:rPr>
                <w:rFonts w:cs="Times New Roman"/>
                <w:szCs w:val="24"/>
              </w:rPr>
              <w:t>β=−0.050, t=−0.632, p=.529</w:t>
            </w:r>
          </w:p>
        </w:tc>
        <w:tc>
          <w:tcPr>
            <w:tcW w:w="718" w:type="pct"/>
            <w:hideMark/>
          </w:tcPr>
          <w:p w14:paraId="0DFB1119" w14:textId="77777777" w:rsidR="007F2EE8" w:rsidRPr="00F82232" w:rsidRDefault="007F2EE8" w:rsidP="00255207">
            <w:pPr>
              <w:rPr>
                <w:rFonts w:cs="Times New Roman"/>
                <w:szCs w:val="24"/>
              </w:rPr>
            </w:pPr>
            <w:r w:rsidRPr="00F82232">
              <w:rPr>
                <w:rFonts w:cs="Times New Roman"/>
                <w:b/>
                <w:bCs/>
                <w:szCs w:val="24"/>
              </w:rPr>
              <w:t>Rejected</w:t>
            </w:r>
          </w:p>
        </w:tc>
      </w:tr>
    </w:tbl>
    <w:p w14:paraId="686F8331" w14:textId="29454FDD" w:rsidR="007F2EE8" w:rsidRPr="00F82232" w:rsidRDefault="00F82232" w:rsidP="007F2EE8">
      <w:pPr>
        <w:rPr>
          <w:rFonts w:cs="Times New Roman"/>
          <w:szCs w:val="24"/>
        </w:rPr>
      </w:pPr>
      <w:r w:rsidRPr="00F82232">
        <w:t xml:space="preserve">This inferential chain is summarised in Table </w:t>
      </w:r>
      <w:r w:rsidR="00193090">
        <w:t>11</w:t>
      </w:r>
      <w:r w:rsidRPr="00F82232">
        <w:t xml:space="preserve">, which </w:t>
      </w:r>
      <w:r>
        <w:t>shows an</w:t>
      </w:r>
      <w:r w:rsidRPr="00F82232">
        <w:t xml:space="preserve"> empirical picture of organisational lag in UK SMEs. The structuring models determine the generative AI's unidirectional and very disruptive independent variable by providing conclusive proof. It has raw power to stimulate productivity (H1) and job quality (H2) without any organisational structures. The mathematical results for both moderating hypotheses (H3, H4) result in a major structure failure. The overall statistical inertia of the interaction terms provides evidence that to date, neither the technical upskilling of SMEs nor their ethical governance are sufficiently developed, widely adopted or well implemented to have any kind of structuring impact on the workforce. The technology is working directly with employees and effectively short-circuiting the organisational level to expose staff to the unmoderated risks of being dependent on algorithmic systems.</w:t>
      </w:r>
    </w:p>
    <w:p w14:paraId="1908EAA9" w14:textId="77777777" w:rsidR="007F2EE8" w:rsidRPr="00F82232" w:rsidRDefault="007F2EE8" w:rsidP="007F2EE8">
      <w:pPr>
        <w:pStyle w:val="Heading3"/>
      </w:pPr>
      <w:bookmarkStart w:id="102" w:name="_Toc240816333"/>
      <w:bookmarkStart w:id="103" w:name="_Toc241050423"/>
      <w:r w:rsidRPr="00F82232">
        <w:t>4.2.5 Thematic Analysis</w:t>
      </w:r>
      <w:bookmarkEnd w:id="102"/>
      <w:bookmarkEnd w:id="103"/>
    </w:p>
    <w:p w14:paraId="061F128A" w14:textId="77777777" w:rsidR="00F82232" w:rsidRPr="00F82232" w:rsidRDefault="00F82232" w:rsidP="00F82232">
      <w:pPr>
        <w:rPr>
          <w:lang w:eastAsia="en-GB" w:bidi="hi-IN"/>
        </w:rPr>
      </w:pPr>
      <w:r w:rsidRPr="00F82232">
        <w:rPr>
          <w:lang w:eastAsia="en-GB" w:bidi="hi-IN"/>
        </w:rPr>
        <w:t xml:space="preserve">Analysis of the five interview transcripts was then performed using reflexive thematic analysis (Braun </w:t>
      </w:r>
      <w:r>
        <w:rPr>
          <w:lang w:eastAsia="en-GB" w:bidi="hi-IN"/>
        </w:rPr>
        <w:t>and</w:t>
      </w:r>
      <w:r w:rsidRPr="00F82232">
        <w:rPr>
          <w:lang w:eastAsia="en-GB" w:bidi="hi-IN"/>
        </w:rPr>
        <w:t xml:space="preserve"> Clarke, 2022) after the quantitative results. The aim of this qualitative phase was to find out how SME employees were experiencing the use of GenAI and to provide context for the survey results. The analysis provided three</w:t>
      </w:r>
      <w:r>
        <w:rPr>
          <w:lang w:eastAsia="en-GB" w:bidi="hi-IN"/>
        </w:rPr>
        <w:t xml:space="preserve"> overall</w:t>
      </w:r>
      <w:r w:rsidRPr="00F82232">
        <w:rPr>
          <w:lang w:eastAsia="en-GB" w:bidi="hi-IN"/>
        </w:rPr>
        <w:t xml:space="preserve"> key themes that speak to the day-to-day experience of working with AI, painting a less idealized picture of performance and work dynamics than the survey data does alone.</w:t>
      </w:r>
    </w:p>
    <w:p w14:paraId="7116F3FF" w14:textId="77777777" w:rsidR="00F82232" w:rsidRPr="00F82232" w:rsidRDefault="00F82232" w:rsidP="00F82232">
      <w:pPr>
        <w:rPr>
          <w:b/>
          <w:bCs/>
          <w:lang w:eastAsia="en-GB" w:bidi="hi-IN"/>
        </w:rPr>
      </w:pPr>
      <w:r w:rsidRPr="00F82232">
        <w:rPr>
          <w:b/>
          <w:bCs/>
          <w:lang w:eastAsia="en-GB" w:bidi="hi-IN"/>
        </w:rPr>
        <w:t>Theme 1: Balancing Speed and Accuracy: The Need for Manual Checking </w:t>
      </w:r>
    </w:p>
    <w:p w14:paraId="189B82DD" w14:textId="77777777" w:rsidR="00F82232" w:rsidRDefault="00F82232" w:rsidP="00F82232">
      <w:pPr>
        <w:rPr>
          <w:lang w:eastAsia="en-GB" w:bidi="hi-IN"/>
        </w:rPr>
      </w:pPr>
      <w:r>
        <w:rPr>
          <w:lang w:eastAsia="en-GB" w:bidi="hi-IN"/>
        </w:rPr>
        <w:t xml:space="preserve">The participants agreed that GenAI facilitated the early stages of their tasks. They reported a decrease in the effort required to begin an email, report, or piece of code with the use of tools </w:t>
      </w:r>
      <w:r>
        <w:rPr>
          <w:lang w:eastAsia="en-GB" w:bidi="hi-IN"/>
        </w:rPr>
        <w:lastRenderedPageBreak/>
        <w:t>such as ChatGPT or Copilot across various sectors. This saved time was often negated by the need to thoroughly check the AI's work for correctness.</w:t>
      </w:r>
    </w:p>
    <w:p w14:paraId="20F80A44" w14:textId="77777777" w:rsidR="00F82232" w:rsidRPr="00F82232" w:rsidRDefault="00F82232" w:rsidP="00F82232">
      <w:pPr>
        <w:rPr>
          <w:lang w:eastAsia="en-GB" w:bidi="hi-IN"/>
        </w:rPr>
      </w:pPr>
      <w:r>
        <w:rPr>
          <w:lang w:eastAsia="en-GB" w:bidi="hi-IN"/>
        </w:rPr>
        <w:t>Sometimes, the tools may generate inaccurate technical data or the wrong tone, so employees said they were forced to verify content prior to completion of the deliverables. Participant 4, for example, was a software developer who stated: "However, it takes less time in keyboard-based coding at the beginning, but more in reviewing code and auditing PRs. Likewise, in highly regulated industries, accuracy requirements were a problem. An accountant stated that although structural drafting was quicker, one must beware of “financial calculations and technical text can be unreliable... every single figure and statutory reference must be checked against primary accounting standards”. This implies that although AI can speed up the initial creation of content, the need for extensive manual review and editing imposes a cap on the overall gains in productivity, as workers are becoming more of editors than creators.</w:t>
      </w:r>
    </w:p>
    <w:p w14:paraId="66AE8C19" w14:textId="77777777" w:rsidR="00F82232" w:rsidRPr="00F82232" w:rsidRDefault="00F82232" w:rsidP="00F82232">
      <w:pPr>
        <w:rPr>
          <w:b/>
          <w:bCs/>
          <w:lang w:eastAsia="en-GB" w:bidi="hi-IN"/>
        </w:rPr>
      </w:pPr>
      <w:r w:rsidRPr="00F82232">
        <w:rPr>
          <w:b/>
          <w:bCs/>
          <w:lang w:eastAsia="en-GB" w:bidi="hi-IN"/>
        </w:rPr>
        <w:t>Theme 2: Shifting Workload Pressures and Management Expectations </w:t>
      </w:r>
    </w:p>
    <w:p w14:paraId="51417A2A" w14:textId="77777777" w:rsidR="00F82232" w:rsidRDefault="00F82232" w:rsidP="00F82232">
      <w:pPr>
        <w:rPr>
          <w:lang w:eastAsia="en-GB" w:bidi="hi-IN"/>
        </w:rPr>
      </w:pPr>
      <w:r>
        <w:rPr>
          <w:lang w:eastAsia="en-GB" w:bidi="hi-IN"/>
        </w:rPr>
        <w:t>Results from the surveys showed a positive association between the use of GenAI and the quality of work reported, but interviews painted a more nuanced picture when it came to workload and stress in daily work. Some of the participants indicated that the expectation of turnaround time had been implicit and associated with the use of these tools and their speed of drafting.</w:t>
      </w:r>
    </w:p>
    <w:p w14:paraId="57F88A5A" w14:textId="77777777" w:rsidR="00F82232" w:rsidRPr="00F82232" w:rsidRDefault="00F82232" w:rsidP="00F82232">
      <w:pPr>
        <w:rPr>
          <w:lang w:eastAsia="en-GB" w:bidi="hi-IN"/>
        </w:rPr>
      </w:pPr>
      <w:r>
        <w:rPr>
          <w:lang w:eastAsia="en-GB" w:bidi="hi-IN"/>
        </w:rPr>
        <w:t xml:space="preserve">A few interviewees indicated that they did not have more time to work with AI, as it was rapidly followed by new work or shortened deadlines. To the latter, Participant 2, a marketer, stated, "Now, when they say that something will be done in 3 days, it's really supposed to be done in the afternoon.” The same was true for HR, where Participant 3 noted that senior leaders have new expectations for internal communications to be done in half the time. This suggests that, although AI can take the first bite out of </w:t>
      </w:r>
      <w:r>
        <w:rPr>
          <w:kern w:val="0"/>
          <w:lang w:eastAsia="en-GB" w:bidi="hi-IN"/>
          <w14:ligatures w14:val="none"/>
        </w:rPr>
        <w:t xml:space="preserve">the cognitive workload of an activity, managers believe </w:t>
      </w:r>
      <w:r>
        <w:rPr>
          <w:kern w:val="0"/>
          <w:lang w:eastAsia="en-GB" w:bidi="hi-IN"/>
          <w14:ligatures w14:val="none"/>
        </w:rPr>
        <w:lastRenderedPageBreak/>
        <w:t>they need it to happen instantly.</w:t>
      </w:r>
      <w:r>
        <w:rPr>
          <w:lang w:eastAsia="en-GB" w:bidi="hi-IN"/>
        </w:rPr>
        <w:t xml:space="preserve"> The tools can therefore help create a faster-paced work setting, impacting time and task management.</w:t>
      </w:r>
    </w:p>
    <w:p w14:paraId="2EAE0D38" w14:textId="3DA4CE0F" w:rsidR="00C758CF" w:rsidRPr="00C758CF" w:rsidRDefault="00F82232" w:rsidP="00C758CF">
      <w:pPr>
        <w:rPr>
          <w:b/>
          <w:bCs/>
          <w:lang w:eastAsia="en-GB" w:bidi="hi-IN"/>
        </w:rPr>
      </w:pPr>
      <w:r w:rsidRPr="00F82232">
        <w:rPr>
          <w:b/>
          <w:bCs/>
          <w:lang w:eastAsia="en-GB" w:bidi="hi-IN"/>
        </w:rPr>
        <w:t xml:space="preserve">Theme 3: Navigating AI Use Without Clear </w:t>
      </w:r>
      <w:r>
        <w:rPr>
          <w:b/>
          <w:bCs/>
          <w:lang w:eastAsia="en-GB" w:bidi="hi-IN"/>
        </w:rPr>
        <w:t>Organis</w:t>
      </w:r>
      <w:r w:rsidRPr="00F82232">
        <w:rPr>
          <w:b/>
          <w:bCs/>
          <w:lang w:eastAsia="en-GB" w:bidi="hi-IN"/>
        </w:rPr>
        <w:t>ational Policies</w:t>
      </w:r>
    </w:p>
    <w:p w14:paraId="663DD8D6" w14:textId="6D6A7668" w:rsidR="00C758CF" w:rsidRDefault="00C758CF" w:rsidP="00C758CF">
      <w:pPr>
        <w:rPr>
          <w:lang w:eastAsia="en-GB" w:bidi="hi-IN"/>
        </w:rPr>
      </w:pPr>
      <w:r>
        <w:rPr>
          <w:lang w:eastAsia="en-GB" w:bidi="hi-IN"/>
        </w:rPr>
        <w:t>The interviews indicated that policy formalities were at a very low level with regard to training and governance in the sampled SMEs, similar to the quantitative (non-significant) findings for training and governance. The participants frequently expressed that the tools were provided to them, but that they were not being provided with information as to what they might do with the tools and with respect to using the data.</w:t>
      </w:r>
    </w:p>
    <w:p w14:paraId="504A9B59" w14:textId="073B9EA1" w:rsidR="007F2EE8" w:rsidRPr="00F82232" w:rsidRDefault="00C758CF" w:rsidP="00C758CF">
      <w:pPr>
        <w:rPr>
          <w:lang w:eastAsia="en-GB" w:bidi="hi-IN"/>
        </w:rPr>
      </w:pPr>
      <w:r>
        <w:rPr>
          <w:lang w:eastAsia="en-GB" w:bidi="hi-IN"/>
        </w:rPr>
        <w:t>Lack of direction and oversight was causing confusion regarding accountability, in particular on how to handle information about sensitive clients or employees. Participant 1 spoke up about there being a possibility for such lines of ambiguity: "If something comes out in one of our contracts through the supplier side of it... I don't believe that leadership will turn around and say to the software, and show at the coordinator. “Secondly, it was determined that on the whole, employees were “self-taught” on the prompts, with some sections of teams using YouTube to learn and some sharing tips via Slack with other members of the group, which made for a lack of consistent understanding of the prompt in each group.” Participant 3 stated that from within the organisation, there were “big differences in skills and awareness”, with one feeling too much trust in the tool and others were “afraid of the tool” because of the lack of training organically within the organisation. This informal usage suggests that SMEs are not implementing organisational support and controls as is the case for larger companies using technology.</w:t>
      </w:r>
    </w:p>
    <w:p w14:paraId="34A4092C" w14:textId="631592C5" w:rsidR="00C758CF" w:rsidRPr="0018725E" w:rsidRDefault="00F82232" w:rsidP="0018725E">
      <w:pPr>
        <w:pStyle w:val="Heading2"/>
        <w:rPr>
          <w:rFonts w:cs="Times New Roman"/>
        </w:rPr>
      </w:pPr>
      <w:bookmarkStart w:id="104" w:name="_Toc240816334"/>
      <w:bookmarkStart w:id="105" w:name="_Toc241050424"/>
      <w:r>
        <w:t>4.3 Discussion</w:t>
      </w:r>
      <w:bookmarkEnd w:id="104"/>
      <w:bookmarkEnd w:id="105"/>
    </w:p>
    <w:p w14:paraId="1D0C91E3" w14:textId="71F52E91" w:rsidR="00F82232" w:rsidRDefault="00C758CF" w:rsidP="00C758CF">
      <w:r>
        <w:t>This study has an explanatory sequential mixed-methods design which highlights a comparison between expectations presented at a macro level in the existing</w:t>
      </w:r>
      <w:r w:rsidR="0018725E">
        <w:t xml:space="preserve"> studies</w:t>
      </w:r>
      <w:r>
        <w:t xml:space="preserve"> and the actual everyday worlds of United Kingdom Small and Medium-sized Enterprises (SMEs). Incorporating </w:t>
      </w:r>
      <w:r>
        <w:lastRenderedPageBreak/>
        <w:t>economic values into the application of Generative Artificial Intelligence (GenAI) is expected to be a relatively straightforward process, as outlined in the empirical data collected here by using GenAI in smaller businesses.</w:t>
      </w:r>
      <w:r w:rsidR="00F82232" w:rsidRPr="00F82232">
        <w:t xml:space="preserve"> The automation-augmentation paradox (Raisch and Krakowski, 2021) will be discussed with statistical modelling and thematic analysis. The results suggest GenAI could yield positive effects on productivity (H1), though the observed non-significant moderating role of training (H3) and governance (H4) highlights structural issues. In sum, this study found evidence that SME's are using GenAI, but they lack the </w:t>
      </w:r>
      <w:r w:rsidR="00F82232">
        <w:t>organis</w:t>
      </w:r>
      <w:r w:rsidR="00F82232" w:rsidRPr="00F82232">
        <w:t>ational arrangements in place to guarantee long-term sustainability (Soudi and Bauters, 2024).</w:t>
      </w:r>
    </w:p>
    <w:p w14:paraId="064581CB" w14:textId="77777777" w:rsidR="00F82232" w:rsidRDefault="00F82232" w:rsidP="00F82232">
      <w:pPr>
        <w:pStyle w:val="Heading3"/>
      </w:pPr>
      <w:bookmarkStart w:id="106" w:name="_Toc240816335"/>
      <w:bookmarkStart w:id="107" w:name="_Toc241050425"/>
      <w:r>
        <w:t>4.3.1 The Impact of GenAI on Productivity and the Need for Manual Review</w:t>
      </w:r>
      <w:bookmarkEnd w:id="106"/>
      <w:bookmarkEnd w:id="107"/>
    </w:p>
    <w:p w14:paraId="3390F16F" w14:textId="4CEC87B0" w:rsidR="00F82232" w:rsidRDefault="00F82232" w:rsidP="00F82232">
      <w:r>
        <w:t xml:space="preserve">Findings indicate that Hypothesis 1 (β=0.670,p&lt;.001) is supported, as the quantitative analysis shows that the adoption of GenAI has a strong positive impact on </w:t>
      </w:r>
      <w:r w:rsidR="0018725E">
        <w:t>employees'</w:t>
      </w:r>
      <w:r>
        <w:t xml:space="preserve"> productivity. This dovetails with recent </w:t>
      </w:r>
      <w:r w:rsidR="0018725E">
        <w:t xml:space="preserve">study by </w:t>
      </w:r>
      <w:r>
        <w:t>Noy and Zhang (2023)</w:t>
      </w:r>
      <w:r w:rsidR="0018725E">
        <w:t>.</w:t>
      </w:r>
      <w:r>
        <w:t xml:space="preserve"> Grange et al. </w:t>
      </w:r>
      <w:r w:rsidR="0018725E">
        <w:rPr>
          <w:kern w:val="0"/>
          <w14:ligatures w14:val="none"/>
        </w:rPr>
        <w:t>(2025) indicate that working time is shortened for white-collar jobs.</w:t>
      </w:r>
      <w:r>
        <w:t xml:space="preserve"> The survey results suggest that GenAI for administrative tasks is likely to automate mundane tasks, thereby reducing the tail of the productivity distribution in accordance with other studies</w:t>
      </w:r>
      <w:r w:rsidR="0018725E">
        <w:t xml:space="preserve"> for UK SMEs</w:t>
      </w:r>
      <w:r>
        <w:t xml:space="preserve"> </w:t>
      </w:r>
      <w:r w:rsidR="0018725E">
        <w:t>(</w:t>
      </w:r>
      <w:r>
        <w:t>Jakranpally, 2022),.</w:t>
      </w:r>
    </w:p>
    <w:p w14:paraId="5A8AFB00" w14:textId="507112AD" w:rsidR="00F82232" w:rsidRDefault="00F82232" w:rsidP="00F82232">
      <w:r>
        <w:t>But the qualitative thematic analysis shows a more nuanced picture, highlighting the operation</w:t>
      </w:r>
      <w:r w:rsidR="0018725E">
        <w:t>al</w:t>
      </w:r>
      <w:r>
        <w:t xml:space="preserve"> frictions which sometimes remain unnoticed in macroanalyses (Mou et al., 2022). Correctly positioning a piece for its content, as in Theme 1, can be undone by tedious and labor</w:t>
      </w:r>
      <w:r w:rsidR="0018725E">
        <w:t>-intensive</w:t>
      </w:r>
      <w:r>
        <w:t xml:space="preserve"> </w:t>
      </w:r>
      <w:r w:rsidR="0018725E">
        <w:t>fact-</w:t>
      </w:r>
      <w:r>
        <w:t>checking. Large Language Models may produce contextually inappropriate content, requiring SME personnel to invest time in checking the AI's work</w:t>
      </w:r>
      <w:r w:rsidR="0018725E">
        <w:t xml:space="preserve"> </w:t>
      </w:r>
      <w:r w:rsidR="0018725E">
        <w:rPr>
          <w:kern w:val="0"/>
          <w14:ligatures w14:val="none"/>
        </w:rPr>
        <w:t>(Massey et al., 2025)</w:t>
      </w:r>
      <w:r>
        <w:t>. This qualitative result aligns with the points suggested by Al Kuwaiti (2025) and Al-Amin et al. (2024) that</w:t>
      </w:r>
      <w:r w:rsidR="0018725E">
        <w:t>,</w:t>
      </w:r>
      <w:r>
        <w:t xml:space="preserve"> without a solid systematic integration notion practic</w:t>
      </w:r>
      <w:r w:rsidR="0018725E">
        <w:t>ed</w:t>
      </w:r>
      <w:r>
        <w:t xml:space="preserve"> in SMEs, theoretical efficiencies can act as administrative bottlenecks. This mirrors the Technology-</w:t>
      </w:r>
      <w:r>
        <w:lastRenderedPageBreak/>
        <w:t>Organisation-Environment (TOE) model</w:t>
      </w:r>
      <w:r w:rsidR="0018725E">
        <w:t>,</w:t>
      </w:r>
      <w:r>
        <w:t xml:space="preserve"> which states that assimilation success significantly depends on the capability of the organisation to adapt workflows (Tiago and Almeida, 2026).</w:t>
      </w:r>
    </w:p>
    <w:p w14:paraId="20CC1A60" w14:textId="77777777" w:rsidR="00F82232" w:rsidRDefault="00F82232" w:rsidP="00F82232">
      <w:pPr>
        <w:pStyle w:val="Heading3"/>
      </w:pPr>
      <w:bookmarkStart w:id="108" w:name="_Toc240816336"/>
      <w:bookmarkStart w:id="109" w:name="_Toc241050426"/>
      <w:r>
        <w:t>4.3.2 Job Quality, Workload Pressures, and Changing Expectations</w:t>
      </w:r>
      <w:bookmarkEnd w:id="108"/>
      <w:bookmarkEnd w:id="109"/>
    </w:p>
    <w:p w14:paraId="511C9384" w14:textId="51C5F2D3" w:rsidR="00F82232" w:rsidRDefault="00F82232" w:rsidP="00F82232">
      <w:r>
        <w:t>Turning to the second research goal, results of the hierarchical regression align with Hypothesis 2 (β = 0.779 and p&lt; .001), so that subjective reports of job quality are positively linked to GenAI adoption. From the Job Demands-Resources (JD-R) perspective (Bakker and Demerouti, 2007), GenAI seems to be a supportive job resource. This agrees with the consensus that machine intelligence could move data-intensive work from human to machine, increasing job meaningfulness and mental autonomy (</w:t>
      </w:r>
      <w:bookmarkStart w:id="110" w:name="OLE_LINK11"/>
      <w:bookmarkStart w:id="111" w:name="OLE_LINK12"/>
      <w:r>
        <w:t xml:space="preserve">Bankins </w:t>
      </w:r>
      <w:bookmarkEnd w:id="110"/>
      <w:bookmarkEnd w:id="111"/>
      <w:r>
        <w:t>and Formosa, 2023). Apparently, the relief of having successfully conquered the fatigue of getting started with tasks is an important one for the respondents</w:t>
      </w:r>
      <w:r w:rsidR="0018725E">
        <w:t xml:space="preserve"> (Eloundou et al., 2023)</w:t>
      </w:r>
      <w:r>
        <w:t>.</w:t>
      </w:r>
    </w:p>
    <w:p w14:paraId="50540319" w14:textId="4CC431FE" w:rsidR="00F82232" w:rsidRDefault="00F82232" w:rsidP="00F82232">
      <w:r>
        <w:t xml:space="preserve">However, qualitative data (Theme 2) clearly demonstrate the automation-augmentation paradox (Sankaran et al., 2026). Some interviews indicate that GenAI can also introduce new expectations associated with a job, such as more managerial expectations. Some SME leaders think AI will save a lot of time, leading to time compression of turnaround. This practice provides some evidence for the claims </w:t>
      </w:r>
      <w:r w:rsidR="0018725E">
        <w:t>by Deranty and Corbin (2022)</w:t>
      </w:r>
      <w:r w:rsidR="0018725E">
        <w:rPr>
          <w:kern w:val="0"/>
          <w14:ligatures w14:val="none"/>
        </w:rPr>
        <w:t>, which warns that "digital Taylorism", whereby AI is deployed mainly for the purpose of speed maximisation,</w:t>
      </w:r>
      <w:r>
        <w:t xml:space="preserve"> can introduce new domains of workplace control. The quantitative results suggest symbiosis (Lee and Cha, 2026)</w:t>
      </w:r>
      <w:r w:rsidR="0018725E">
        <w:t>,</w:t>
      </w:r>
      <w:r>
        <w:t xml:space="preserve"> while the qualitative reality points to possible cognitive strain due to the rising expectation of delivery on the part of AI </w:t>
      </w:r>
      <w:r w:rsidR="0018725E">
        <w:t>(Mohamad et al., 2026)</w:t>
      </w:r>
      <w:r>
        <w:t>. This extends the JD-R model by emphasising the importance of psychological strain</w:t>
      </w:r>
      <w:r w:rsidR="0018725E">
        <w:t xml:space="preserve"> and</w:t>
      </w:r>
      <w:r>
        <w:t xml:space="preserve"> the need to work continuously, regarding how this may influence employees' occupational states of wellbeing (Giering and Kirchner, 2025</w:t>
      </w:r>
      <w:r w:rsidR="0018725E">
        <w:t>)</w:t>
      </w:r>
      <w:r>
        <w:t>.</w:t>
      </w:r>
    </w:p>
    <w:p w14:paraId="4207AF3F" w14:textId="77777777" w:rsidR="00F82232" w:rsidRDefault="00F82232" w:rsidP="00F82232">
      <w:pPr>
        <w:pStyle w:val="Heading3"/>
      </w:pPr>
      <w:bookmarkStart w:id="112" w:name="_Toc240816337"/>
      <w:bookmarkStart w:id="113" w:name="_Toc241050427"/>
      <w:r>
        <w:lastRenderedPageBreak/>
        <w:t>4.3.3 The Role of Employee Training and Informal Learning in SMEs</w:t>
      </w:r>
      <w:bookmarkEnd w:id="112"/>
      <w:bookmarkEnd w:id="113"/>
    </w:p>
    <w:p w14:paraId="3BDAE392" w14:textId="3CEC3543" w:rsidR="00F82232" w:rsidRDefault="00F82232" w:rsidP="00F82232">
      <w:r>
        <w:t>A unique empirical finding of this study is the non-significant result for Hypothesis 3 (β=0.012,</w:t>
      </w:r>
      <w:r w:rsidR="0018725E">
        <w:t xml:space="preserve"> </w:t>
      </w:r>
      <w:r>
        <w:t>p=.840), indicating that formal employee training did not significantly moderate the link between GenAI adoption and productivity in this sample. This finding presents a challenge to capability theories which argue that an organisation's success hinges on proactively nurturing workforce skills (Ajayi and Udeh, 2024).</w:t>
      </w:r>
    </w:p>
    <w:p w14:paraId="57593027" w14:textId="3020D33D" w:rsidR="00F82232" w:rsidRDefault="0018725E" w:rsidP="00F82232">
      <w:r>
        <w:t>Olutimehin et al. (2024) assert</w:t>
      </w:r>
      <w:r w:rsidR="00F82232">
        <w:t xml:space="preserve"> that making AI training formal, through dedicated Learning and Development (LandD) units, can effectively reduce anxiety, as well as speed up capability building in large multinational corporations. This corporate model, however, would not necessarily work in the SME market</w:t>
      </w:r>
      <w:r>
        <w:t>;</w:t>
      </w:r>
      <w:r w:rsidR="00F82232">
        <w:t xml:space="preserve"> the data here indicate</w:t>
      </w:r>
      <w:r>
        <w:t xml:space="preserve"> thi</w:t>
      </w:r>
      <w:r w:rsidR="00F82232">
        <w:t>s</w:t>
      </w:r>
      <w:r>
        <w:t xml:space="preserve"> (Raisch and Krakowski, 2021)</w:t>
      </w:r>
      <w:r w:rsidR="00F82232">
        <w:t>. As Clifton et al</w:t>
      </w:r>
      <w:r>
        <w:t>.</w:t>
      </w:r>
      <w:r w:rsidR="00F82232">
        <w:t xml:space="preserve"> (2020) ha</w:t>
      </w:r>
      <w:r>
        <w:t>ve</w:t>
      </w:r>
      <w:r w:rsidR="00F82232">
        <w:t xml:space="preserve"> noted, there is a pervasive lack of formal budgets among SMEs for proactive upskilling. This explains why theme 3 relates to the quantitative failure of the moderating variable: employees rely on informal learning</w:t>
      </w:r>
      <w:r>
        <w:t xml:space="preserve"> (Ghobakhloo et al., 2024)</w:t>
      </w:r>
      <w:r w:rsidR="00F82232">
        <w:t>. SME employees tend to use consumer-grade GenAI tools which they learn to use in an ad hoc</w:t>
      </w:r>
      <w:r>
        <w:t>,</w:t>
      </w:r>
      <w:r w:rsidR="00F82232">
        <w:t xml:space="preserve"> self-directed manner, with little guidance from the organisation (Toorajipour et al.</w:t>
      </w:r>
      <w:r>
        <w:t>,</w:t>
      </w:r>
      <w:r w:rsidR="00F82232">
        <w:t xml:space="preserve"> 2026). Theories of 'psychological buffering' due to training (Asif and Bashir, 2026) are hard to enact in the context of no formal training, with the labour market largely left to its own devices to deal with technological maturation (Levin et al., 2024).</w:t>
      </w:r>
    </w:p>
    <w:p w14:paraId="13993963" w14:textId="77777777" w:rsidR="00F82232" w:rsidRDefault="00F82232" w:rsidP="00F82232">
      <w:pPr>
        <w:pStyle w:val="Heading3"/>
      </w:pPr>
      <w:bookmarkStart w:id="114" w:name="_Toc240816338"/>
      <w:bookmarkStart w:id="115" w:name="_Toc241050428"/>
      <w:r>
        <w:t>4.3.4 Navigating AI Adoption Without Formal Governance</w:t>
      </w:r>
      <w:bookmarkEnd w:id="114"/>
      <w:bookmarkEnd w:id="115"/>
    </w:p>
    <w:p w14:paraId="783B500C" w14:textId="785CF167" w:rsidR="00F82232" w:rsidRDefault="00F82232" w:rsidP="00F82232">
      <w:r>
        <w:t>The inferential analysis results linked parallel to GenAI and training suggest a lack of support for Hypothesis 4 (β=−0.050,</w:t>
      </w:r>
      <w:r w:rsidR="0018725E">
        <w:t xml:space="preserve"> </w:t>
      </w:r>
      <w:r>
        <w:t>p=.529), demonstrating that AI Governance didn't significantly moderate the relationship between GenAI and job quality. This finding adds to the p</w:t>
      </w:r>
      <w:r w:rsidR="0018725E">
        <w:t>revailing</w:t>
      </w:r>
      <w:r>
        <w:t xml:space="preserve"> v</w:t>
      </w:r>
      <w:r w:rsidR="0018725E">
        <w:t>iew</w:t>
      </w:r>
      <w:r>
        <w:t>s of the Institutional Theory (DiMaggio and Powell, 1983) within smaller business</w:t>
      </w:r>
      <w:r w:rsidR="0018725E">
        <w:t>es</w:t>
      </w:r>
      <w:r>
        <w:t xml:space="preserve">. Macroeconomic policy frames show preferences </w:t>
      </w:r>
      <w:r w:rsidR="0018725E">
        <w:t>for</w:t>
      </w:r>
      <w:r>
        <w:t xml:space="preserve"> transparent internal governance to manage </w:t>
      </w:r>
      <w:r>
        <w:lastRenderedPageBreak/>
        <w:t>data privacy (Getzin et al., 2026), but it seems that these data privacy policy dimensions are either absent or underdeveloped in the sampled UK SMEs.</w:t>
      </w:r>
    </w:p>
    <w:p w14:paraId="167AC855" w14:textId="17ABA485" w:rsidR="00F82232" w:rsidRDefault="00F82232" w:rsidP="00F82232">
      <w:r>
        <w:t xml:space="preserve">According to </w:t>
      </w:r>
      <w:r w:rsidR="0018725E">
        <w:t>Robles and Mallinson (2025)</w:t>
      </w:r>
      <w:r>
        <w:t>, transparent algorithmic govern</w:t>
      </w:r>
      <w:r w:rsidR="0018725E">
        <w:t>ance</w:t>
      </w:r>
      <w:r>
        <w:t xml:space="preserve"> lead</w:t>
      </w:r>
      <w:r w:rsidR="0018725E">
        <w:t>s</w:t>
      </w:r>
      <w:r>
        <w:t xml:space="preserve"> to psychological safety and </w:t>
      </w:r>
      <w:r w:rsidR="0018725E">
        <w:t>is</w:t>
      </w:r>
      <w:r>
        <w:t xml:space="preserve"> supposed to offer procedural justice (Panda and Puri, 2025). This study does support the concerns about ‘Principled AI’ (Ali et al., 2025). For SMEs, drafting and implementation of a comprehensive and legally sound, well-thought</w:t>
      </w:r>
      <w:r w:rsidR="0018725E">
        <w:t>-out</w:t>
      </w:r>
      <w:r>
        <w:t xml:space="preserve"> internal AI charter can be costly and technically complex (Qin et al., 2025). This means that there are no specific policies in organisations, and they just have reactive directives (Furqan et al., 2026). This lack of policy is indicated in the thematic analysis, as employees are not certain. Employees might face individual legal and professional liability for AI inaccuracies or misuse, without being explicitly directed on copyright or client transparency. This underscores the challenge of maintaining safe integration of GenAI in SMEs where no localised and formal institutional rules exist, and this can erode trust and impede safe </w:t>
      </w:r>
      <w:r w:rsidR="0018725E">
        <w:t>adoption and integration</w:t>
      </w:r>
      <w:r>
        <w:t xml:space="preserve"> of GenAI technologies (Geppert et al., 2026).</w:t>
      </w:r>
    </w:p>
    <w:p w14:paraId="7F6434F9" w14:textId="77777777" w:rsidR="007F2EE8" w:rsidRPr="00F82232" w:rsidRDefault="007F2EE8" w:rsidP="007F2EE8"/>
    <w:p w14:paraId="42513B54" w14:textId="77777777" w:rsidR="007F2EE8" w:rsidRPr="00F82232" w:rsidRDefault="007F2EE8">
      <w:pPr>
        <w:spacing w:line="240" w:lineRule="auto"/>
        <w:jc w:val="left"/>
      </w:pPr>
      <w:r w:rsidRPr="00F82232">
        <w:br w:type="page"/>
      </w:r>
    </w:p>
    <w:p w14:paraId="415DDD8E" w14:textId="77777777" w:rsidR="007F2EE8" w:rsidRPr="00F82232" w:rsidRDefault="007F2EE8" w:rsidP="007F2EE8">
      <w:pPr>
        <w:pStyle w:val="Heading1"/>
      </w:pPr>
      <w:bookmarkStart w:id="116" w:name="_Toc240816339"/>
      <w:bookmarkStart w:id="117" w:name="_Toc241050429"/>
      <w:r w:rsidRPr="00F82232">
        <w:lastRenderedPageBreak/>
        <w:t>Chapter Five: Conclusions and Recommendations</w:t>
      </w:r>
      <w:bookmarkEnd w:id="116"/>
      <w:bookmarkEnd w:id="117"/>
    </w:p>
    <w:p w14:paraId="49097AD6" w14:textId="77777777" w:rsidR="007F2EE8" w:rsidRPr="00F82232" w:rsidRDefault="007F2EE8" w:rsidP="007F2EE8">
      <w:pPr>
        <w:pStyle w:val="Heading2"/>
        <w:rPr>
          <w:rFonts w:cs="Times New Roman"/>
        </w:rPr>
      </w:pPr>
      <w:bookmarkStart w:id="118" w:name="_Toc240816340"/>
      <w:bookmarkStart w:id="119" w:name="_Toc241050430"/>
      <w:r w:rsidRPr="00F82232">
        <w:t>5.1 Introduction</w:t>
      </w:r>
      <w:bookmarkEnd w:id="118"/>
      <w:bookmarkEnd w:id="119"/>
    </w:p>
    <w:p w14:paraId="0BBA2CF3" w14:textId="77777777" w:rsidR="00F82232" w:rsidRPr="00F82232" w:rsidRDefault="00F82232" w:rsidP="00F82232">
      <w:pPr>
        <w:rPr>
          <w:lang w:eastAsia="en-GB" w:bidi="hi-IN"/>
        </w:rPr>
      </w:pPr>
      <w:r w:rsidRPr="00F82232">
        <w:rPr>
          <w:lang w:eastAsia="en-GB" w:bidi="hi-IN"/>
        </w:rPr>
        <w:t>The final chapter synthesi</w:t>
      </w:r>
      <w:r>
        <w:rPr>
          <w:lang w:eastAsia="en-GB" w:bidi="hi-IN"/>
        </w:rPr>
        <w:t>s</w:t>
      </w:r>
      <w:r w:rsidRPr="00F82232">
        <w:rPr>
          <w:lang w:eastAsia="en-GB" w:bidi="hi-IN"/>
        </w:rPr>
        <w:t>es the quantitative findings from the survey and qualitative information from the interviews to form a general conclusion on the implementation of Generative Artificial Intelligence (GenAI) within UK Small and Medium-sized Enterprises (SMEs). The chapter opens with a brief summary of the topical findings and highlights the four initial research objectives and what has been accomplished. Thereafter, the chapter provides some clear guidelines to SME managers on how to use these tools, the nuances at which these findings enhance the existing academic theories, and the shortcomings of the study design. Last but not least, it presents some potential lines of further research in this field which is rapidly evolving.</w:t>
      </w:r>
    </w:p>
    <w:p w14:paraId="005B2B84" w14:textId="77777777" w:rsidR="00F82232" w:rsidRPr="00F82232" w:rsidRDefault="00F82232" w:rsidP="00F82232">
      <w:pPr>
        <w:pStyle w:val="Heading2"/>
        <w:rPr>
          <w:rFonts w:eastAsia="Times New Roman"/>
          <w:lang w:eastAsia="en-GB" w:bidi="hi-IN"/>
        </w:rPr>
      </w:pPr>
      <w:bookmarkStart w:id="120" w:name="_Toc240816341"/>
      <w:bookmarkStart w:id="121" w:name="_Toc241050431"/>
      <w:r w:rsidRPr="00F82232">
        <w:rPr>
          <w:rFonts w:eastAsia="Times New Roman"/>
          <w:lang w:eastAsia="en-GB" w:bidi="hi-IN"/>
        </w:rPr>
        <w:t>5.2 Summary of Conclusions</w:t>
      </w:r>
      <w:bookmarkEnd w:id="120"/>
      <w:bookmarkEnd w:id="121"/>
      <w:r w:rsidRPr="00F82232">
        <w:rPr>
          <w:rFonts w:eastAsia="Times New Roman"/>
          <w:lang w:eastAsia="en-GB" w:bidi="hi-IN"/>
        </w:rPr>
        <w:t> </w:t>
      </w:r>
    </w:p>
    <w:p w14:paraId="44A11423" w14:textId="2D339F2D" w:rsidR="00F82232" w:rsidRDefault="00F82232" w:rsidP="00F82232">
      <w:pPr>
        <w:rPr>
          <w:lang w:eastAsia="en-GB" w:bidi="hi-IN"/>
        </w:rPr>
      </w:pPr>
      <w:r>
        <w:rPr>
          <w:lang w:eastAsia="en-GB" w:bidi="hi-IN"/>
        </w:rPr>
        <w:t>The significant overall finding of this study is that although GenAI has the potential to bring real value to everyday work, it is operating in a patchy, uncoordinated, and lack</w:t>
      </w:r>
      <w:r w:rsidR="0018725E">
        <w:rPr>
          <w:lang w:eastAsia="en-GB" w:bidi="hi-IN"/>
        </w:rPr>
        <w:t>ing</w:t>
      </w:r>
      <w:r>
        <w:rPr>
          <w:lang w:eastAsia="en-GB" w:bidi="hi-IN"/>
        </w:rPr>
        <w:t xml:space="preserve"> organisational support way within UK SMEs. Results from the quantitative survey showed that there was a strong positive correlation between the use of GenAI and the self-reported productivity and job quality. Many employees find the technology </w:t>
      </w:r>
      <w:r w:rsidR="0018725E">
        <w:rPr>
          <w:lang w:eastAsia="en-GB" w:bidi="hi-IN"/>
        </w:rPr>
        <w:t xml:space="preserve">to be </w:t>
      </w:r>
      <w:r>
        <w:rPr>
          <w:lang w:eastAsia="en-GB" w:bidi="hi-IN"/>
        </w:rPr>
        <w:t>of great aid</w:t>
      </w:r>
      <w:r w:rsidR="0018725E">
        <w:rPr>
          <w:lang w:eastAsia="en-GB" w:bidi="hi-IN"/>
        </w:rPr>
        <w:t>,</w:t>
      </w:r>
      <w:r>
        <w:rPr>
          <w:lang w:eastAsia="en-GB" w:bidi="hi-IN"/>
        </w:rPr>
        <w:t xml:space="preserve"> as it asks them to do less work to overcome the first obstacle of starting to write a document or code.</w:t>
      </w:r>
    </w:p>
    <w:p w14:paraId="728E4A7F" w14:textId="0F771D0D" w:rsidR="00F82232" w:rsidRDefault="00C758CF" w:rsidP="00F82232">
      <w:pPr>
        <w:rPr>
          <w:lang w:eastAsia="en-GB" w:bidi="hi-IN"/>
        </w:rPr>
      </w:pPr>
      <w:r w:rsidRPr="00C758CF">
        <w:rPr>
          <w:lang w:eastAsia="en-GB" w:bidi="hi-IN"/>
        </w:rPr>
        <w:t>However, these positive statistics stand in contrast to the findings from the qualitative interviews, providing a more complex picture of the GenAI experience that revealed it was not about doing things better and faster</w:t>
      </w:r>
      <w:r w:rsidR="0018725E">
        <w:rPr>
          <w:lang w:eastAsia="en-GB" w:bidi="hi-IN"/>
        </w:rPr>
        <w:t xml:space="preserve"> (Vera et al., 2025)</w:t>
      </w:r>
      <w:r w:rsidRPr="00C758CF">
        <w:rPr>
          <w:lang w:eastAsia="en-GB" w:bidi="hi-IN"/>
        </w:rPr>
        <w:t>. Interestingly, the productivity this can sustain is not always carried over in reduced human labour hours because, often, employees need to review and/or edit or fine-tune AI-generated content to align with technical accuracy and the tone required for their business.</w:t>
      </w:r>
    </w:p>
    <w:p w14:paraId="57CCD2CF" w14:textId="1CB993EE" w:rsidR="00F82232" w:rsidRPr="00F82232" w:rsidRDefault="00F82232" w:rsidP="00F82232">
      <w:pPr>
        <w:rPr>
          <w:lang w:eastAsia="en-GB" w:bidi="hi-IN"/>
        </w:rPr>
      </w:pPr>
      <w:r>
        <w:rPr>
          <w:lang w:eastAsia="en-GB" w:bidi="hi-IN"/>
        </w:rPr>
        <w:lastRenderedPageBreak/>
        <w:t>Moreover, the research notes a great lack of readiness of the organisations. The negative evidence (interviews with the workers and lack of significant values for the moderating variables training and governance) suggests that the working setting, in particular, is one in which workers come to rely on their own resources. Lack of formal data privacy policies and/or no clear training on how to use the tools effectively can lead to employees feeling uncertain about their responsibilities</w:t>
      </w:r>
      <w:r w:rsidR="0018725E">
        <w:rPr>
          <w:lang w:eastAsia="en-GB" w:bidi="hi-IN"/>
        </w:rPr>
        <w:t xml:space="preserve"> (</w:t>
      </w:r>
      <w:r w:rsidR="0018725E">
        <w:t>Pokhrel and Somasiri, 2026)</w:t>
      </w:r>
      <w:r>
        <w:rPr>
          <w:lang w:eastAsia="en-GB" w:bidi="hi-IN"/>
        </w:rPr>
        <w:t>. In conclusion, the study shows that SMEs are embracing GenAI to catch up with their competitors, and this is being achieved with no specific structure to fully support their staff.</w:t>
      </w:r>
    </w:p>
    <w:p w14:paraId="67C045F5" w14:textId="77777777" w:rsidR="00F82232" w:rsidRPr="00F82232" w:rsidRDefault="00F82232" w:rsidP="00F82232">
      <w:pPr>
        <w:pStyle w:val="Heading2"/>
        <w:rPr>
          <w:rFonts w:eastAsia="Times New Roman"/>
          <w:lang w:eastAsia="en-GB" w:bidi="hi-IN"/>
        </w:rPr>
      </w:pPr>
      <w:bookmarkStart w:id="122" w:name="_Toc240816342"/>
      <w:bookmarkStart w:id="123" w:name="_Toc241050432"/>
      <w:r w:rsidRPr="00F82232">
        <w:rPr>
          <w:rFonts w:eastAsia="Times New Roman"/>
          <w:lang w:eastAsia="en-GB" w:bidi="hi-IN"/>
        </w:rPr>
        <w:t>5.3 Achievement of the Research Objectives</w:t>
      </w:r>
      <w:bookmarkEnd w:id="122"/>
      <w:bookmarkEnd w:id="123"/>
      <w:r w:rsidRPr="00F82232">
        <w:rPr>
          <w:rFonts w:eastAsia="Times New Roman"/>
          <w:lang w:eastAsia="en-GB" w:bidi="hi-IN"/>
        </w:rPr>
        <w:t> </w:t>
      </w:r>
    </w:p>
    <w:p w14:paraId="5648C462" w14:textId="77777777" w:rsidR="00F82232" w:rsidRPr="00F82232" w:rsidRDefault="00F82232" w:rsidP="00F82232">
      <w:pPr>
        <w:rPr>
          <w:lang w:eastAsia="en-GB" w:bidi="hi-IN"/>
        </w:rPr>
      </w:pPr>
      <w:r w:rsidRPr="00F82232">
        <w:rPr>
          <w:lang w:eastAsia="en-GB" w:bidi="hi-IN"/>
        </w:rPr>
        <w:t>The study was guided by four primary research objectives, which were addressed through the mixed-methods design.</w:t>
      </w:r>
    </w:p>
    <w:p w14:paraId="40A2D186" w14:textId="77777777" w:rsidR="00F82232" w:rsidRPr="00F82232" w:rsidRDefault="00F82232" w:rsidP="00F82232">
      <w:pPr>
        <w:pStyle w:val="Heading4"/>
        <w:rPr>
          <w:lang w:eastAsia="en-GB" w:bidi="hi-IN"/>
        </w:rPr>
      </w:pPr>
      <w:r w:rsidRPr="00F82232">
        <w:rPr>
          <w:rFonts w:eastAsia="Times New Roman"/>
          <w:lang w:eastAsia="en-GB" w:bidi="hi-IN"/>
        </w:rPr>
        <w:t>Objective 1: To quantify the direct effect of GenAI tools on employee productivity</w:t>
      </w:r>
    </w:p>
    <w:p w14:paraId="414CC710" w14:textId="77777777" w:rsidR="00F82232" w:rsidRPr="00F82232" w:rsidRDefault="00F82232" w:rsidP="00F82232">
      <w:pPr>
        <w:rPr>
          <w:lang w:eastAsia="en-GB" w:bidi="hi-IN"/>
        </w:rPr>
      </w:pPr>
      <w:r w:rsidRPr="00F82232">
        <w:rPr>
          <w:lang w:eastAsia="en-GB" w:bidi="hi-IN"/>
        </w:rPr>
        <w:t xml:space="preserve">The initial regression analysis demonstrated that self-reported productivity was positively associated with GenAI adoption (p&lt;.001), achieving this objective. But it's not as if it’s an unprecedented productivity gain. An important qualitative component indicated that draft speeds could be quite high, but were limited by the amount of manual checking required. Staff commented on the fact that there were hallucinations and technical </w:t>
      </w:r>
      <w:r>
        <w:rPr>
          <w:kern w:val="0"/>
          <w:lang w:eastAsia="en-GB" w:bidi="hi-IN"/>
          <w14:ligatures w14:val="none"/>
        </w:rPr>
        <w:t>issues, and that one needed to be ‘very careful to read through the content '; the nature of their work became more editing and fact-checking</w:t>
      </w:r>
      <w:r w:rsidRPr="00F82232">
        <w:rPr>
          <w:lang w:eastAsia="en-GB" w:bidi="hi-IN"/>
        </w:rPr>
        <w:t xml:space="preserve"> work.</w:t>
      </w:r>
    </w:p>
    <w:p w14:paraId="397D924C" w14:textId="77777777" w:rsidR="00F82232" w:rsidRPr="00F82232" w:rsidRDefault="00F82232" w:rsidP="00F82232">
      <w:pPr>
        <w:pStyle w:val="Heading4"/>
        <w:rPr>
          <w:rFonts w:eastAsia="Times New Roman"/>
          <w:lang w:eastAsia="en-GB" w:bidi="hi-IN"/>
        </w:rPr>
      </w:pPr>
      <w:r w:rsidRPr="00F82232">
        <w:rPr>
          <w:rFonts w:eastAsia="Times New Roman"/>
          <w:lang w:eastAsia="en-GB" w:bidi="hi-IN"/>
        </w:rPr>
        <w:t>Objective 2: To evaluate the influence of GenAI on dimensions of job quality</w:t>
      </w:r>
    </w:p>
    <w:p w14:paraId="21622D27" w14:textId="77777777" w:rsidR="00F82232" w:rsidRPr="00F82232" w:rsidRDefault="00F82232" w:rsidP="00F82232">
      <w:pPr>
        <w:rPr>
          <w:lang w:eastAsia="en-GB" w:bidi="hi-IN"/>
        </w:rPr>
      </w:pPr>
      <w:r w:rsidRPr="00F82232">
        <w:rPr>
          <w:lang w:eastAsia="en-GB" w:bidi="hi-IN"/>
        </w:rPr>
        <w:t xml:space="preserve">The survey results showed a positive relationship </w:t>
      </w:r>
      <w:r>
        <w:rPr>
          <w:lang w:eastAsia="en-GB" w:bidi="hi-IN"/>
        </w:rPr>
        <w:t>between</w:t>
      </w:r>
      <w:r w:rsidRPr="00F82232">
        <w:rPr>
          <w:lang w:eastAsia="en-GB" w:bidi="hi-IN"/>
        </w:rPr>
        <w:t xml:space="preserve"> the use of GenAI </w:t>
      </w:r>
      <w:r>
        <w:rPr>
          <w:lang w:eastAsia="en-GB" w:bidi="hi-IN"/>
        </w:rPr>
        <w:t>and</w:t>
      </w:r>
      <w:r w:rsidRPr="00F82232">
        <w:rPr>
          <w:lang w:eastAsia="en-GB" w:bidi="hi-IN"/>
        </w:rPr>
        <w:t xml:space="preserve"> job quality, thus achieving this objective. The participants valued the opportunity to be relieved from boring and routine work. However, the results of the interview showed a slightly different scenario in the context of daily stress. Some of the participants felt that the tools decreased cognitive fatigue at task start-up but enhanced the management expectations. The expectation that tasks </w:t>
      </w:r>
      <w:r w:rsidRPr="00F82232">
        <w:rPr>
          <w:lang w:eastAsia="en-GB" w:bidi="hi-IN"/>
        </w:rPr>
        <w:lastRenderedPageBreak/>
        <w:t>would be completed almost instantaneously with AI sometimes resulted in shortened deadlines, and therefore a higher tempo or pace of work, which did not always lead to less stress.</w:t>
      </w:r>
    </w:p>
    <w:p w14:paraId="4E6AE5D8" w14:textId="77777777" w:rsidR="00F82232" w:rsidRPr="00F82232" w:rsidRDefault="00F82232" w:rsidP="00F82232">
      <w:pPr>
        <w:pStyle w:val="Heading4"/>
        <w:rPr>
          <w:rFonts w:eastAsia="Times New Roman"/>
          <w:lang w:eastAsia="en-GB" w:bidi="hi-IN"/>
        </w:rPr>
      </w:pPr>
      <w:r w:rsidRPr="00F82232">
        <w:rPr>
          <w:rFonts w:eastAsia="Times New Roman"/>
          <w:lang w:eastAsia="en-GB" w:bidi="hi-IN"/>
        </w:rPr>
        <w:t>Objective 3: To analyse the moderating role of employee training</w:t>
      </w:r>
    </w:p>
    <w:p w14:paraId="76005D8B" w14:textId="77777777" w:rsidR="00F82232" w:rsidRPr="00F82232" w:rsidRDefault="00F82232" w:rsidP="00F82232">
      <w:pPr>
        <w:rPr>
          <w:lang w:eastAsia="en-GB" w:bidi="hi-IN"/>
        </w:rPr>
      </w:pPr>
      <w:r w:rsidRPr="00F82232">
        <w:rPr>
          <w:lang w:eastAsia="en-GB" w:bidi="hi-IN"/>
        </w:rPr>
        <w:t>This objective aimed to see if structured training improved the outcomes of GenAI adoption. The moderating effect of the survey results showed no statistically significant. This does not mean that training is not important, but rather, the qualitative interviews highlighted this result: structured training is absent in most of the sampled SMEs. Informal, self-directed learning (e.g.</w:t>
      </w:r>
      <w:r>
        <w:rPr>
          <w:lang w:eastAsia="en-GB" w:bidi="hi-IN"/>
        </w:rPr>
        <w:t>,</w:t>
      </w:r>
      <w:r w:rsidRPr="00F82232">
        <w:rPr>
          <w:lang w:eastAsia="en-GB" w:bidi="hi-IN"/>
        </w:rPr>
        <w:t xml:space="preserve"> watching YouTube tutorials) is being used a lot</w:t>
      </w:r>
      <w:r>
        <w:rPr>
          <w:lang w:eastAsia="en-GB" w:bidi="hi-IN"/>
        </w:rPr>
        <w:t>,</w:t>
      </w:r>
      <w:r w:rsidRPr="00F82232">
        <w:rPr>
          <w:lang w:eastAsia="en-GB" w:bidi="hi-IN"/>
        </w:rPr>
        <w:t xml:space="preserve"> and skills are inconsistent in teams. The lack of formal upskilling seems to limit the potential benefits of the technology across the broader organisation.</w:t>
      </w:r>
    </w:p>
    <w:p w14:paraId="071181AE" w14:textId="77777777" w:rsidR="00F82232" w:rsidRPr="00F82232" w:rsidRDefault="00F82232" w:rsidP="00F82232">
      <w:pPr>
        <w:pStyle w:val="Heading4"/>
        <w:rPr>
          <w:rFonts w:eastAsia="Times New Roman"/>
          <w:lang w:eastAsia="en-GB" w:bidi="hi-IN"/>
        </w:rPr>
      </w:pPr>
      <w:r w:rsidRPr="00F82232">
        <w:rPr>
          <w:rFonts w:eastAsia="Times New Roman"/>
          <w:lang w:eastAsia="en-GB" w:bidi="hi-IN"/>
        </w:rPr>
        <w:t>Objective 4: To assess the moderating effect of AI governance. </w:t>
      </w:r>
    </w:p>
    <w:p w14:paraId="45A89E24" w14:textId="48DA9634" w:rsidR="00F82232" w:rsidRPr="00F82232" w:rsidRDefault="00F82232" w:rsidP="00F82232">
      <w:pPr>
        <w:rPr>
          <w:lang w:eastAsia="en-GB" w:bidi="hi-IN"/>
        </w:rPr>
      </w:pPr>
      <w:r w:rsidRPr="00F82232">
        <w:rPr>
          <w:lang w:eastAsia="en-GB" w:bidi="hi-IN"/>
        </w:rPr>
        <w:t>Similarly, there was no significant role of AI governance as a moderating factor in job quality. This was clarified by the interviews and is probably related to an absence of clear and written AI policies in these smaller companies. The estimates varied regarding what data was okay to feed into an AI and who would be liable if an AI-induced mistake gets to a customer</w:t>
      </w:r>
      <w:r w:rsidR="0018725E">
        <w:rPr>
          <w:lang w:eastAsia="en-GB" w:bidi="hi-IN"/>
        </w:rPr>
        <w:t xml:space="preserve"> (</w:t>
      </w:r>
      <w:r w:rsidR="0018725E">
        <w:t>Ghosh, Saini and Barad, 2025</w:t>
      </w:r>
      <w:r w:rsidR="0018725E">
        <w:rPr>
          <w:lang w:eastAsia="en-GB" w:bidi="hi-IN"/>
        </w:rPr>
        <w:t>)</w:t>
      </w:r>
      <w:r w:rsidRPr="00F82232">
        <w:rPr>
          <w:lang w:eastAsia="en-GB" w:bidi="hi-IN"/>
        </w:rPr>
        <w:t>. This policy gap makes staff feel reluctant because employees feel there is an undercurrent of professional risk when there is no governance.</w:t>
      </w:r>
    </w:p>
    <w:p w14:paraId="175E9E0E" w14:textId="1C7FB6D5" w:rsidR="00C758CF" w:rsidRPr="00C758CF" w:rsidRDefault="00F82232" w:rsidP="00C758CF">
      <w:pPr>
        <w:pStyle w:val="Heading2"/>
        <w:rPr>
          <w:rFonts w:eastAsia="Times New Roman"/>
          <w:lang w:eastAsia="en-GB" w:bidi="hi-IN"/>
        </w:rPr>
      </w:pPr>
      <w:bookmarkStart w:id="124" w:name="_Toc240816343"/>
      <w:bookmarkStart w:id="125" w:name="_Toc241050433"/>
      <w:r w:rsidRPr="00F82232">
        <w:rPr>
          <w:rFonts w:eastAsia="Times New Roman"/>
          <w:lang w:eastAsia="en-GB" w:bidi="hi-IN"/>
        </w:rPr>
        <w:t>5.4 Recommendations for Managerial Practice</w:t>
      </w:r>
      <w:bookmarkEnd w:id="124"/>
      <w:bookmarkEnd w:id="125"/>
      <w:r w:rsidRPr="00F82232">
        <w:rPr>
          <w:rFonts w:eastAsia="Times New Roman"/>
          <w:lang w:eastAsia="en-GB" w:bidi="hi-IN"/>
        </w:rPr>
        <w:t> </w:t>
      </w:r>
    </w:p>
    <w:p w14:paraId="23E23DCE" w14:textId="77777777" w:rsidR="00C758CF" w:rsidRDefault="00C758CF" w:rsidP="00C758CF">
      <w:pPr>
        <w:rPr>
          <w:lang w:eastAsia="en-GB" w:bidi="hi-IN"/>
        </w:rPr>
      </w:pPr>
      <w:r>
        <w:rPr>
          <w:lang w:eastAsia="en-GB" w:bidi="hi-IN"/>
        </w:rPr>
        <w:t>The experiences shared by participants highlight that there are some practical changes that SME leaders should be considering to accommodate their workforces better as GenAI becomes more common.</w:t>
      </w:r>
    </w:p>
    <w:p w14:paraId="285ABF1C" w14:textId="6A95B79B" w:rsidR="00F82232" w:rsidRDefault="00C758CF" w:rsidP="00F82232">
      <w:pPr>
        <w:rPr>
          <w:lang w:eastAsia="en-GB" w:bidi="hi-IN"/>
        </w:rPr>
      </w:pPr>
      <w:r>
        <w:rPr>
          <w:lang w:eastAsia="en-GB" w:bidi="hi-IN"/>
        </w:rPr>
        <w:t xml:space="preserve">Managers and supervisors should not assume that AI and work go hand-in-hand and are "instantaneous". While Copilot or ChatGPT may come up with something in a flash, it should always be backed up with the 'human touch', especially in technical and client-facing roles. The project time periods need to be long enough to allow for this editing/fact checking process. </w:t>
      </w:r>
      <w:r>
        <w:rPr>
          <w:lang w:eastAsia="en-GB" w:bidi="hi-IN"/>
        </w:rPr>
        <w:lastRenderedPageBreak/>
        <w:t>Employee expectations of the turnaround time may be unrealistic, which could create stress towards employees and cause product quality issues.</w:t>
      </w:r>
    </w:p>
    <w:p w14:paraId="3C625FF3" w14:textId="319C075A" w:rsidR="00F82232" w:rsidRDefault="00F82232" w:rsidP="00F82232">
      <w:pPr>
        <w:rPr>
          <w:lang w:eastAsia="en-GB" w:bidi="hi-IN"/>
        </w:rPr>
      </w:pPr>
      <w:r>
        <w:rPr>
          <w:lang w:eastAsia="en-GB" w:bidi="hi-IN"/>
        </w:rPr>
        <w:t>The urgency for SMEs to form basic and easy-to-understand acceptable usage policies for AI is huge</w:t>
      </w:r>
      <w:r w:rsidR="0018725E">
        <w:rPr>
          <w:lang w:eastAsia="en-GB" w:bidi="hi-IN"/>
        </w:rPr>
        <w:t xml:space="preserve"> (</w:t>
      </w:r>
      <w:r w:rsidR="0018725E">
        <w:t>Imtiaz et al., 2023)</w:t>
      </w:r>
      <w:r>
        <w:rPr>
          <w:lang w:eastAsia="en-GB" w:bidi="hi-IN"/>
        </w:rPr>
        <w:t>. What data can be input into an LLM is acceptable, and what data needs to be kept confidential from employees needs to be known to them. Being clear about rules will help alleviate employees' concerns that they will accidentally violate data privacy regulations and define who is at fault in case of mistakes.</w:t>
      </w:r>
    </w:p>
    <w:p w14:paraId="2507D1C2" w14:textId="77777777" w:rsidR="00F82232" w:rsidRDefault="00F82232" w:rsidP="00F82232">
      <w:pPr>
        <w:rPr>
          <w:lang w:eastAsia="en-GB" w:bidi="hi-IN"/>
        </w:rPr>
      </w:pPr>
      <w:r>
        <w:rPr>
          <w:lang w:eastAsia="en-GB" w:bidi="hi-IN"/>
        </w:rPr>
        <w:t>Having workers self-educate on the use of GenAI introduces risks and variability. Investing in targeted training sessions is a good idea, as it's more than just making a computer dance; it's the SME learning to utilise it in its business. Feedback may include prompt wording for specific work activities, identifying algorithmic bias, and responsibly validating AI-generated content.</w:t>
      </w:r>
    </w:p>
    <w:p w14:paraId="3806C935" w14:textId="77777777" w:rsidR="00F82232" w:rsidRPr="00F82232" w:rsidRDefault="00F82232" w:rsidP="00F82232">
      <w:pPr>
        <w:rPr>
          <w:lang w:eastAsia="en-GB" w:bidi="hi-IN"/>
        </w:rPr>
      </w:pPr>
      <w:r>
        <w:rPr>
          <w:lang w:eastAsia="en-GB" w:bidi="hi-IN"/>
        </w:rPr>
        <w:t>Work is going from drafting to editing and, as such, how performance is measured may need to change. Managers who only care about the pace of production can sometimes have an impact by allowing employees to shortcut essential review processes. Measuring performance should consider quality, accuracy and critical thinking to manage AI outputs, not just tasks done.</w:t>
      </w:r>
    </w:p>
    <w:p w14:paraId="7761C5E6" w14:textId="77777777" w:rsidR="00F82232" w:rsidRPr="00F82232" w:rsidRDefault="00F82232" w:rsidP="00F82232">
      <w:pPr>
        <w:pStyle w:val="Heading2"/>
        <w:rPr>
          <w:rFonts w:eastAsia="Times New Roman"/>
          <w:lang w:eastAsia="en-GB" w:bidi="hi-IN"/>
        </w:rPr>
      </w:pPr>
      <w:bookmarkStart w:id="126" w:name="_Toc240816344"/>
      <w:bookmarkStart w:id="127" w:name="_Toc241050434"/>
      <w:r w:rsidRPr="00F82232">
        <w:rPr>
          <w:rFonts w:eastAsia="Times New Roman"/>
          <w:lang w:eastAsia="en-GB" w:bidi="hi-IN"/>
        </w:rPr>
        <w:t>5.5 Contributions to Theory</w:t>
      </w:r>
      <w:bookmarkEnd w:id="126"/>
      <w:bookmarkEnd w:id="127"/>
      <w:r w:rsidRPr="00F82232">
        <w:rPr>
          <w:rFonts w:eastAsia="Times New Roman"/>
          <w:lang w:eastAsia="en-GB" w:bidi="hi-IN"/>
        </w:rPr>
        <w:t> </w:t>
      </w:r>
    </w:p>
    <w:p w14:paraId="7CF20BFA" w14:textId="77777777" w:rsidR="00F82232" w:rsidRDefault="00F82232" w:rsidP="00F82232">
      <w:pPr>
        <w:rPr>
          <w:lang w:eastAsia="en-GB" w:bidi="hi-IN"/>
        </w:rPr>
      </w:pPr>
      <w:r>
        <w:rPr>
          <w:lang w:eastAsia="en-GB" w:bidi="hi-IN"/>
        </w:rPr>
        <w:t>This study seeks to provide some context to the theoretical aspects presented and apply to some UK SMEs with limited resources, not a large multinational company.</w:t>
      </w:r>
    </w:p>
    <w:p w14:paraId="6CC266BC" w14:textId="77777777" w:rsidR="00F82232" w:rsidRDefault="00F82232" w:rsidP="00F82232">
      <w:pPr>
        <w:rPr>
          <w:lang w:eastAsia="en-GB" w:bidi="hi-IN"/>
        </w:rPr>
      </w:pPr>
      <w:r>
        <w:rPr>
          <w:lang w:eastAsia="en-GB" w:bidi="hi-IN"/>
        </w:rPr>
        <w:t xml:space="preserve">The study proposes some modifications with respect to the Technology-Organisation-Environment (TOE) framework, in terms of how “organisational readiness” is perceived. In the talk, I will outline some differences between these two models and discuss the findings of a study that investigated this question. But as the data in this document shows, adoption occurs at the level of the individual employee and doesn't necessarily rely on formal organisation readiness to adopt new technology, such as GenAI. This shows a situation where technological </w:t>
      </w:r>
      <w:r>
        <w:rPr>
          <w:lang w:eastAsia="en-GB" w:bidi="hi-IN"/>
        </w:rPr>
        <w:lastRenderedPageBreak/>
        <w:t>application has been favoured over structural policy, which may be mimicked in future TOE applications in a small business context.</w:t>
      </w:r>
    </w:p>
    <w:p w14:paraId="78EC304E" w14:textId="5CD1B589" w:rsidR="00F82232" w:rsidRPr="00F82232" w:rsidRDefault="00F82232" w:rsidP="00F82232">
      <w:pPr>
        <w:rPr>
          <w:lang w:eastAsia="en-GB" w:bidi="hi-IN"/>
        </w:rPr>
      </w:pPr>
      <w:r>
        <w:rPr>
          <w:lang w:eastAsia="en-GB" w:bidi="hi-IN"/>
        </w:rPr>
        <w:t>The study sheds light on the challenging dual function of GenAI based on the Job Demands-Resources (JD-R) model. Other qualitative findings indicate that although AI may be a "resource," it can also result in additional "demands," such as increased managerial demands. The deeper implication of this is that technological resources can affect the external exertion on the employee, making a simple calculation of the stress at the workplace more complex</w:t>
      </w:r>
      <w:r w:rsidR="0018725E">
        <w:rPr>
          <w:lang w:eastAsia="en-GB" w:bidi="hi-IN"/>
        </w:rPr>
        <w:t xml:space="preserve"> (</w:t>
      </w:r>
      <w:r w:rsidR="0018725E">
        <w:t>Sun et al., 2026</w:t>
      </w:r>
      <w:r w:rsidR="0018725E">
        <w:rPr>
          <w:lang w:eastAsia="en-GB" w:bidi="hi-IN"/>
        </w:rPr>
        <w:t>)</w:t>
      </w:r>
      <w:r>
        <w:rPr>
          <w:lang w:eastAsia="en-GB" w:bidi="hi-IN"/>
        </w:rPr>
        <w:t>.</w:t>
      </w:r>
    </w:p>
    <w:p w14:paraId="180623D6" w14:textId="77777777" w:rsidR="00F82232" w:rsidRPr="00F82232" w:rsidRDefault="00F82232" w:rsidP="00F82232">
      <w:pPr>
        <w:pStyle w:val="Heading2"/>
        <w:rPr>
          <w:rFonts w:eastAsia="Times New Roman"/>
          <w:lang w:eastAsia="en-GB" w:bidi="hi-IN"/>
        </w:rPr>
      </w:pPr>
      <w:bookmarkStart w:id="128" w:name="_Toc240816345"/>
      <w:bookmarkStart w:id="129" w:name="_Toc241050435"/>
      <w:r w:rsidRPr="00F82232">
        <w:rPr>
          <w:rFonts w:eastAsia="Times New Roman"/>
          <w:lang w:eastAsia="en-GB" w:bidi="hi-IN"/>
        </w:rPr>
        <w:t>5.6 Limitations of the Study</w:t>
      </w:r>
      <w:bookmarkEnd w:id="128"/>
      <w:bookmarkEnd w:id="129"/>
      <w:r w:rsidRPr="00F82232">
        <w:rPr>
          <w:rFonts w:eastAsia="Times New Roman"/>
          <w:lang w:eastAsia="en-GB" w:bidi="hi-IN"/>
        </w:rPr>
        <w:t> </w:t>
      </w:r>
    </w:p>
    <w:p w14:paraId="3E999A31" w14:textId="77777777" w:rsidR="00F82232" w:rsidRDefault="00F82232" w:rsidP="00F82232">
      <w:pPr>
        <w:rPr>
          <w:lang w:eastAsia="en-GB" w:bidi="hi-IN"/>
        </w:rPr>
      </w:pPr>
      <w:r>
        <w:rPr>
          <w:lang w:eastAsia="en-GB" w:bidi="hi-IN"/>
        </w:rPr>
        <w:t>The limitations of this research should be highlighted. The quantitative data are solely self-report survey measures that are vulnerable to response bias. Employees may think that they are more productive or respond the way they believe that they should. Secondly, it was found that the qualitative analysis was based on a small sample of five interviews. These gave ample contextual information but they were limited instances of experiences and care needs to be exercised in generalising these out to instances of experience for all SMEs.</w:t>
      </w:r>
    </w:p>
    <w:p w14:paraId="25BD0E4A" w14:textId="77777777" w:rsidR="00F82232" w:rsidRPr="00F82232" w:rsidRDefault="00F82232" w:rsidP="00F82232">
      <w:pPr>
        <w:rPr>
          <w:lang w:eastAsia="en-GB" w:bidi="hi-IN"/>
        </w:rPr>
      </w:pPr>
      <w:r>
        <w:rPr>
          <w:lang w:eastAsia="en-GB" w:bidi="hi-IN"/>
        </w:rPr>
        <w:t>Also the study is a "snapshot" and reflects a cross sectional study. These trends are in the early days of change as businesses slowly catch on since Generative AI models are evolving at a comparatively quick pace. Lastly, whilst the results are specific to UK SMEs, this may not entirely apply to large companies and businesses under different international regulatory systems.</w:t>
      </w:r>
    </w:p>
    <w:p w14:paraId="60D9E11B" w14:textId="77777777" w:rsidR="00F82232" w:rsidRDefault="00F82232" w:rsidP="00F82232">
      <w:pPr>
        <w:pStyle w:val="Heading2"/>
        <w:rPr>
          <w:rFonts w:eastAsia="Times New Roman"/>
          <w:lang w:eastAsia="en-GB" w:bidi="hi-IN"/>
        </w:rPr>
      </w:pPr>
      <w:bookmarkStart w:id="130" w:name="_Toc240816346"/>
      <w:bookmarkStart w:id="131" w:name="_Toc241050436"/>
      <w:r w:rsidRPr="00F82232">
        <w:rPr>
          <w:rFonts w:eastAsia="Times New Roman"/>
          <w:lang w:eastAsia="en-GB" w:bidi="hi-IN"/>
        </w:rPr>
        <w:t>5.7 Recommendations for Future Research</w:t>
      </w:r>
      <w:bookmarkEnd w:id="130"/>
      <w:bookmarkEnd w:id="131"/>
      <w:r w:rsidRPr="00F82232">
        <w:rPr>
          <w:rFonts w:eastAsia="Times New Roman"/>
          <w:lang w:eastAsia="en-GB" w:bidi="hi-IN"/>
        </w:rPr>
        <w:t> </w:t>
      </w:r>
    </w:p>
    <w:p w14:paraId="219DB9CD" w14:textId="77777777" w:rsidR="00F82232" w:rsidRDefault="00F82232" w:rsidP="00F82232">
      <w:pPr>
        <w:rPr>
          <w:lang w:eastAsia="en-GB" w:bidi="hi-IN"/>
        </w:rPr>
      </w:pPr>
      <w:r>
        <w:rPr>
          <w:lang w:eastAsia="en-GB" w:bidi="hi-IN"/>
        </w:rPr>
        <w:t>Future research could be conducted in a number of different ways in order to build on the findings of this study.</w:t>
      </w:r>
    </w:p>
    <w:p w14:paraId="3AEDC404" w14:textId="5F7E0AB2" w:rsidR="00F82232" w:rsidRDefault="00F82232" w:rsidP="00F82232">
      <w:pPr>
        <w:rPr>
          <w:lang w:eastAsia="en-GB" w:bidi="hi-IN"/>
        </w:rPr>
      </w:pPr>
      <w:r>
        <w:rPr>
          <w:lang w:eastAsia="en-GB" w:bidi="hi-IN"/>
        </w:rPr>
        <w:t xml:space="preserve">The situations seen in this study will adjust as employees get more accustomed to prompt engineering, and SMEs start creating formal policies. It would be interesting to see how the </w:t>
      </w:r>
      <w:r>
        <w:rPr>
          <w:lang w:eastAsia="en-GB" w:bidi="hi-IN"/>
        </w:rPr>
        <w:lastRenderedPageBreak/>
        <w:t>partnership with AI evolves over time, so by observing a group of SME employees over a period of 12-24 months.</w:t>
      </w:r>
    </w:p>
    <w:p w14:paraId="4E859F6D" w14:textId="5917BB71" w:rsidR="00F82232" w:rsidRDefault="00F82232" w:rsidP="00F82232">
      <w:pPr>
        <w:rPr>
          <w:lang w:eastAsia="en-GB" w:bidi="hi-IN"/>
        </w:rPr>
      </w:pPr>
      <w:r>
        <w:rPr>
          <w:lang w:eastAsia="en-GB" w:bidi="hi-IN"/>
        </w:rPr>
        <w:t>Future studies would try to overcome the self-reported productivity. Researches that could generate objective backend metrics like the frequency of software commits, ticket resolution speed, or error tracking would yield a more solid evaluation of the time AI saves or costs a business</w:t>
      </w:r>
      <w:r w:rsidR="0018725E">
        <w:rPr>
          <w:lang w:eastAsia="en-GB" w:bidi="hi-IN"/>
        </w:rPr>
        <w:t xml:space="preserve"> (</w:t>
      </w:r>
      <w:r w:rsidR="0018725E">
        <w:t>Williams et al., 2023)</w:t>
      </w:r>
      <w:r>
        <w:rPr>
          <w:lang w:eastAsia="en-GB" w:bidi="hi-IN"/>
        </w:rPr>
        <w:t>.</w:t>
      </w:r>
    </w:p>
    <w:p w14:paraId="7741E77E" w14:textId="21277F1A" w:rsidR="00F82232" w:rsidRPr="00F82232" w:rsidRDefault="00C758CF" w:rsidP="00F82232">
      <w:pPr>
        <w:rPr>
          <w:lang w:eastAsia="en-GB" w:bidi="hi-IN"/>
        </w:rPr>
      </w:pPr>
      <w:r w:rsidRPr="00C758CF">
        <w:rPr>
          <w:lang w:eastAsia="en-GB" w:bidi="hi-IN"/>
        </w:rPr>
        <w:t>The hypothesis was that workers in heavily regulated sectors (finance or health care, for example) feel under greater pressure to use AI than do workers in creative sectors. An in-depth comparative analysis may provide insights into regulatory effects on the use of and stress around GenAI.</w:t>
      </w:r>
    </w:p>
    <w:p w14:paraId="365AD73E" w14:textId="77777777" w:rsidR="00F82232" w:rsidRDefault="00F82232" w:rsidP="00F82232">
      <w:pPr>
        <w:pStyle w:val="Heading2"/>
        <w:rPr>
          <w:rFonts w:eastAsia="Times New Roman"/>
          <w:lang w:eastAsia="en-GB" w:bidi="hi-IN"/>
        </w:rPr>
      </w:pPr>
      <w:bookmarkStart w:id="132" w:name="_Toc240816347"/>
      <w:bookmarkStart w:id="133" w:name="_Toc241050437"/>
      <w:r w:rsidRPr="00F82232">
        <w:rPr>
          <w:rFonts w:eastAsia="Times New Roman"/>
          <w:lang w:eastAsia="en-GB" w:bidi="hi-IN"/>
        </w:rPr>
        <w:t>5.8 Concluding Remarks</w:t>
      </w:r>
      <w:bookmarkEnd w:id="132"/>
      <w:bookmarkEnd w:id="133"/>
      <w:r w:rsidRPr="00F82232">
        <w:rPr>
          <w:rFonts w:eastAsia="Times New Roman"/>
          <w:lang w:eastAsia="en-GB" w:bidi="hi-IN"/>
        </w:rPr>
        <w:t> </w:t>
      </w:r>
    </w:p>
    <w:p w14:paraId="560032C6" w14:textId="50EFC9F9" w:rsidR="00F82232" w:rsidRDefault="00C758CF" w:rsidP="00F82232">
      <w:pPr>
        <w:rPr>
          <w:lang w:eastAsia="en-GB" w:bidi="hi-IN"/>
        </w:rPr>
      </w:pPr>
      <w:r w:rsidRPr="00C758CF">
        <w:rPr>
          <w:lang w:eastAsia="en-GB" w:bidi="hi-IN"/>
        </w:rPr>
        <w:t>Certain AI solutions are able to manage a hefty workload and mitigate management friction for SMEs, although it is definitely clear that Generative Artificial Intelligence technologies are altering the way that knowledge is usually</w:t>
      </w:r>
      <w:r>
        <w:rPr>
          <w:lang w:eastAsia="en-GB" w:bidi="hi-IN"/>
        </w:rPr>
        <w:t xml:space="preserve"> managed</w:t>
      </w:r>
      <w:r w:rsidRPr="00C758CF">
        <w:rPr>
          <w:lang w:eastAsia="en-GB" w:bidi="hi-IN"/>
        </w:rPr>
        <w:t>. But this study indicates that letting them gain access to the technology does not go far enough. It's time organisations catch up with the technology to be able to reap the benefits of these, but not create unne</w:t>
      </w:r>
      <w:r>
        <w:rPr>
          <w:lang w:eastAsia="en-GB" w:bidi="hi-IN"/>
        </w:rPr>
        <w:t>cessary</w:t>
      </w:r>
      <w:r w:rsidRPr="00C758CF">
        <w:rPr>
          <w:lang w:eastAsia="en-GB" w:bidi="hi-IN"/>
        </w:rPr>
        <w:t xml:space="preserve"> stress and risk for the business. Regardless of future success or failure, the success of GenAI will also come down to the human factors, such as the need to set appropriate expectations, provide proper training, and put in place policies to ensure employees can safely and effectively use the tools.</w:t>
      </w:r>
    </w:p>
    <w:p w14:paraId="60A8BA2F" w14:textId="77777777" w:rsidR="00F82232" w:rsidRDefault="00F82232">
      <w:pPr>
        <w:spacing w:line="240" w:lineRule="auto"/>
        <w:jc w:val="left"/>
        <w:rPr>
          <w:lang w:eastAsia="en-GB" w:bidi="hi-IN"/>
        </w:rPr>
      </w:pPr>
      <w:r>
        <w:rPr>
          <w:lang w:eastAsia="en-GB" w:bidi="hi-IN"/>
        </w:rPr>
        <w:br w:type="page"/>
      </w:r>
    </w:p>
    <w:p w14:paraId="43FB7843" w14:textId="77777777" w:rsidR="00F82232" w:rsidRPr="00F82232" w:rsidRDefault="00F82232" w:rsidP="00F82232">
      <w:pPr>
        <w:pStyle w:val="Heading1"/>
      </w:pPr>
      <w:bookmarkStart w:id="134" w:name="_Toc240816348"/>
      <w:bookmarkStart w:id="135" w:name="_Toc241050438"/>
      <w:r>
        <w:lastRenderedPageBreak/>
        <w:t>Reference</w:t>
      </w:r>
      <w:bookmarkEnd w:id="134"/>
      <w:bookmarkEnd w:id="135"/>
    </w:p>
    <w:p w14:paraId="21417E5B" w14:textId="5D7C4AA4" w:rsidR="00F82232" w:rsidRDefault="00F82232" w:rsidP="00F67F11">
      <w:pPr>
        <w:pStyle w:val="NormalWeb"/>
        <w:spacing w:before="0" w:beforeAutospacing="0" w:after="240" w:afterAutospacing="0" w:line="360" w:lineRule="auto"/>
        <w:rPr>
          <w:color w:val="000000"/>
          <w:sz w:val="24"/>
        </w:rPr>
      </w:pPr>
      <w:r>
        <w:rPr>
          <w:color w:val="000000"/>
        </w:rPr>
        <w:t>Abbasi, F.F., Usman, M. and Latif, B. (2026) ‘Exploring the role of generative AI in skill development: A systematic literature review and bibliometric analysis’,</w:t>
      </w:r>
      <w:r>
        <w:rPr>
          <w:rStyle w:val="apple-converted-space"/>
          <w:rFonts w:eastAsiaTheme="majorEastAsia"/>
          <w:color w:val="000000"/>
        </w:rPr>
        <w:t> </w:t>
      </w:r>
      <w:r>
        <w:rPr>
          <w:i/>
          <w:iCs/>
          <w:color w:val="000000"/>
        </w:rPr>
        <w:t>European Journal of Training and Development</w:t>
      </w:r>
      <w:r>
        <w:rPr>
          <w:color w:val="000000"/>
        </w:rPr>
        <w:t>, pp. 1</w:t>
      </w:r>
      <w:r w:rsidR="0050188E">
        <w:rPr>
          <w:color w:val="000000"/>
        </w:rPr>
        <w:t>-</w:t>
      </w:r>
      <w:r>
        <w:rPr>
          <w:color w:val="000000"/>
        </w:rPr>
        <w:t>27. Available at: https://doi.org/10.1108/ejtd-07-2025-0151.</w:t>
      </w:r>
    </w:p>
    <w:p w14:paraId="68991EA1" w14:textId="659727FB" w:rsidR="00F82232" w:rsidRDefault="00F82232" w:rsidP="00F67F11">
      <w:pPr>
        <w:pStyle w:val="NormalWeb"/>
        <w:spacing w:before="0" w:beforeAutospacing="0" w:after="240" w:afterAutospacing="0" w:line="360" w:lineRule="auto"/>
        <w:rPr>
          <w:color w:val="000000"/>
        </w:rPr>
      </w:pPr>
      <w:r>
        <w:rPr>
          <w:color w:val="000000"/>
        </w:rPr>
        <w:t>Abdelraheem, A. and Hikal, H.M.M. (2026) ‘Artificial intelligence in Saudi small and medium-sized enterprises and its impact on sustainable economic, social and environmental development’,</w:t>
      </w:r>
      <w:r>
        <w:rPr>
          <w:rStyle w:val="apple-converted-space"/>
          <w:rFonts w:eastAsiaTheme="majorEastAsia"/>
          <w:color w:val="000000"/>
        </w:rPr>
        <w:t> </w:t>
      </w:r>
      <w:r>
        <w:rPr>
          <w:i/>
          <w:iCs/>
          <w:color w:val="000000"/>
        </w:rPr>
        <w:t>International Journal of Data and Network Science</w:t>
      </w:r>
      <w:r>
        <w:rPr>
          <w:color w:val="000000"/>
        </w:rPr>
        <w:t>, 10(3), pp. 1439</w:t>
      </w:r>
      <w:r w:rsidR="0050188E">
        <w:rPr>
          <w:color w:val="000000"/>
        </w:rPr>
        <w:t>-</w:t>
      </w:r>
      <w:r>
        <w:rPr>
          <w:color w:val="000000"/>
        </w:rPr>
        <w:t>1456. Available at: https://doi.org/10.5267/j.ijdns.2026.7.</w:t>
      </w:r>
    </w:p>
    <w:p w14:paraId="553901D2" w14:textId="70A4D968" w:rsidR="00F82232" w:rsidRDefault="00F82232" w:rsidP="00F67F11">
      <w:pPr>
        <w:pStyle w:val="NormalWeb"/>
        <w:spacing w:before="0" w:beforeAutospacing="0" w:after="240" w:afterAutospacing="0" w:line="360" w:lineRule="auto"/>
        <w:rPr>
          <w:color w:val="000000"/>
        </w:rPr>
      </w:pPr>
      <w:r>
        <w:rPr>
          <w:color w:val="000000"/>
        </w:rPr>
        <w:t>Abhulimen, A.O. and Ejike, O.G. (2024) ‘Ethical considerations in AI use for SMEs and supply chains: Current challenges and future directions’,</w:t>
      </w:r>
      <w:r>
        <w:rPr>
          <w:rStyle w:val="apple-converted-space"/>
          <w:rFonts w:eastAsiaTheme="majorEastAsia"/>
          <w:color w:val="000000"/>
        </w:rPr>
        <w:t> </w:t>
      </w:r>
      <w:r>
        <w:rPr>
          <w:i/>
          <w:iCs/>
          <w:color w:val="000000"/>
        </w:rPr>
        <w:t>International Journal of Applied Research in Social Sciences</w:t>
      </w:r>
      <w:r>
        <w:rPr>
          <w:color w:val="000000"/>
        </w:rPr>
        <w:t>, 6(8), pp. 1653</w:t>
      </w:r>
      <w:r w:rsidR="0050188E">
        <w:rPr>
          <w:color w:val="000000"/>
        </w:rPr>
        <w:t>-</w:t>
      </w:r>
      <w:r>
        <w:rPr>
          <w:color w:val="000000"/>
        </w:rPr>
        <w:t>1679. Available at: https://doi.org/10.51594/ijarss.v6i8.1391.</w:t>
      </w:r>
    </w:p>
    <w:p w14:paraId="0707AE62" w14:textId="77777777" w:rsidR="00F82232" w:rsidRDefault="00F82232" w:rsidP="00F67F11">
      <w:pPr>
        <w:pStyle w:val="NormalWeb"/>
        <w:spacing w:before="0" w:beforeAutospacing="0" w:after="240" w:afterAutospacing="0" w:line="360" w:lineRule="auto"/>
        <w:rPr>
          <w:color w:val="000000"/>
        </w:rPr>
      </w:pPr>
      <w:r>
        <w:rPr>
          <w:color w:val="000000"/>
        </w:rPr>
        <w:t>Abrokwah-Larbi, K. (2023) ‘The role of Generative Artificial Intelligence (GAI) in customer personalisation (CP) development in SMEs: A theoretical framework and research propositions’,</w:t>
      </w:r>
      <w:r>
        <w:rPr>
          <w:rStyle w:val="apple-converted-space"/>
          <w:rFonts w:eastAsiaTheme="majorEastAsia"/>
          <w:color w:val="000000"/>
        </w:rPr>
        <w:t> </w:t>
      </w:r>
      <w:r>
        <w:rPr>
          <w:i/>
          <w:iCs/>
          <w:color w:val="000000"/>
        </w:rPr>
        <w:t>Industrial Artificial Intelligence</w:t>
      </w:r>
      <w:r>
        <w:rPr>
          <w:color w:val="000000"/>
        </w:rPr>
        <w:t>, 1(1). Available at: https://doi.org/10.1007/s44244-023-00012-4.</w:t>
      </w:r>
    </w:p>
    <w:p w14:paraId="4CB997F4" w14:textId="77777777" w:rsidR="00F82232" w:rsidRDefault="00F82232" w:rsidP="00F67F11">
      <w:pPr>
        <w:pStyle w:val="NormalWeb"/>
        <w:spacing w:before="0" w:beforeAutospacing="0" w:after="240" w:afterAutospacing="0" w:line="360" w:lineRule="auto"/>
        <w:rPr>
          <w:color w:val="000000"/>
        </w:rPr>
      </w:pPr>
      <w:r>
        <w:rPr>
          <w:color w:val="000000"/>
        </w:rPr>
        <w:t>Aguzzoli, R., Lengler, J., Miller, S.R. and Chidlow, A. (2024) ‘Paradigms in qualitative IB research: Trends, analysis and recommendations’,</w:t>
      </w:r>
      <w:r>
        <w:rPr>
          <w:rStyle w:val="apple-converted-space"/>
          <w:rFonts w:eastAsiaTheme="majorEastAsia"/>
          <w:color w:val="000000"/>
        </w:rPr>
        <w:t> </w:t>
      </w:r>
      <w:r>
        <w:rPr>
          <w:i/>
          <w:iCs/>
          <w:color w:val="000000"/>
        </w:rPr>
        <w:t>Mir. Management International Review</w:t>
      </w:r>
      <w:r>
        <w:rPr>
          <w:rStyle w:val="apple-converted-space"/>
          <w:rFonts w:eastAsiaTheme="majorEastAsia"/>
          <w:i/>
          <w:iCs/>
          <w:color w:val="000000"/>
        </w:rPr>
        <w:t> </w:t>
      </w:r>
      <w:r>
        <w:rPr>
          <w:color w:val="000000"/>
        </w:rPr>
        <w:t>, 64(2). Available at: https://doi.org/10.1007/s11575-024-00529-5.</w:t>
      </w:r>
    </w:p>
    <w:p w14:paraId="070747E2" w14:textId="3D8A2BFC" w:rsidR="00F82232" w:rsidRDefault="00F82232" w:rsidP="00F67F11">
      <w:pPr>
        <w:pStyle w:val="NormalWeb"/>
        <w:spacing w:before="0" w:beforeAutospacing="0" w:after="240" w:afterAutospacing="0" w:line="360" w:lineRule="auto"/>
        <w:rPr>
          <w:color w:val="000000"/>
        </w:rPr>
      </w:pPr>
      <w:r>
        <w:rPr>
          <w:color w:val="000000"/>
        </w:rPr>
        <w:t>Ahmed, I. (2025) ‘Navigating ethics and risk in artificial intelligence applications within information technology: A systematic review’,</w:t>
      </w:r>
      <w:r>
        <w:rPr>
          <w:rStyle w:val="apple-converted-space"/>
          <w:rFonts w:eastAsiaTheme="majorEastAsia"/>
          <w:color w:val="000000"/>
        </w:rPr>
        <w:t> </w:t>
      </w:r>
      <w:r>
        <w:rPr>
          <w:i/>
          <w:iCs/>
          <w:color w:val="000000"/>
        </w:rPr>
        <w:t>American Journal of Advanced Technology and Engineering Solutions</w:t>
      </w:r>
      <w:r>
        <w:rPr>
          <w:color w:val="000000"/>
        </w:rPr>
        <w:t>, 1(1), pp. 579</w:t>
      </w:r>
      <w:r w:rsidR="0050188E">
        <w:rPr>
          <w:color w:val="000000"/>
        </w:rPr>
        <w:t>-</w:t>
      </w:r>
      <w:r>
        <w:rPr>
          <w:color w:val="000000"/>
        </w:rPr>
        <w:t>601. Available at: https://doi.org/10.63125/590d7098.</w:t>
      </w:r>
    </w:p>
    <w:p w14:paraId="3D5D4D38" w14:textId="6A185BD7" w:rsidR="00F82232" w:rsidRDefault="00F82232" w:rsidP="00F67F11">
      <w:pPr>
        <w:pStyle w:val="NormalWeb"/>
        <w:spacing w:before="0" w:beforeAutospacing="0" w:after="240" w:afterAutospacing="0" w:line="360" w:lineRule="auto"/>
        <w:rPr>
          <w:color w:val="000000"/>
        </w:rPr>
      </w:pPr>
      <w:r>
        <w:rPr>
          <w:color w:val="000000"/>
        </w:rPr>
        <w:t>Ahmed, S.K. (2024) ‘The pillars of trustworthiness in qualitative research’,</w:t>
      </w:r>
      <w:r>
        <w:rPr>
          <w:rStyle w:val="apple-converted-space"/>
          <w:rFonts w:eastAsiaTheme="majorEastAsia"/>
          <w:color w:val="000000"/>
        </w:rPr>
        <w:t> </w:t>
      </w:r>
      <w:r>
        <w:rPr>
          <w:i/>
          <w:iCs/>
          <w:color w:val="000000"/>
        </w:rPr>
        <w:t>Journal of Medicine, Surgery, and Public Health</w:t>
      </w:r>
      <w:r>
        <w:rPr>
          <w:color w:val="000000"/>
        </w:rPr>
        <w:t>, 2(1), pp. 1</w:t>
      </w:r>
      <w:r w:rsidR="0050188E">
        <w:rPr>
          <w:color w:val="000000"/>
        </w:rPr>
        <w:t>-</w:t>
      </w:r>
      <w:r>
        <w:rPr>
          <w:color w:val="000000"/>
        </w:rPr>
        <w:t>4. Available at: https://doi.org/https://doi.org/10.1016/j.glmedi.2024.100051.</w:t>
      </w:r>
    </w:p>
    <w:p w14:paraId="3F6825F3" w14:textId="59B22695" w:rsidR="00F82232" w:rsidRDefault="00F82232" w:rsidP="00F67F11">
      <w:pPr>
        <w:pStyle w:val="NormalWeb"/>
        <w:spacing w:before="0" w:beforeAutospacing="0" w:after="240" w:afterAutospacing="0" w:line="360" w:lineRule="auto"/>
        <w:rPr>
          <w:color w:val="000000"/>
        </w:rPr>
      </w:pPr>
      <w:r>
        <w:rPr>
          <w:color w:val="000000"/>
        </w:rPr>
        <w:t>Ajayi, F.A. and Udeh, C.A. (2024) ‘Review of workforce upskilling initiatives for emerging technologies in IT’,</w:t>
      </w:r>
      <w:r>
        <w:rPr>
          <w:rStyle w:val="apple-converted-space"/>
          <w:rFonts w:eastAsiaTheme="majorEastAsia"/>
          <w:color w:val="000000"/>
        </w:rPr>
        <w:t> </w:t>
      </w:r>
      <w:r>
        <w:rPr>
          <w:i/>
          <w:iCs/>
          <w:color w:val="000000"/>
        </w:rPr>
        <w:t>International Journal of Management &amp; Entrepreneurship Research</w:t>
      </w:r>
      <w:r>
        <w:rPr>
          <w:color w:val="000000"/>
        </w:rPr>
        <w:t>, 6(4), pp. 1119</w:t>
      </w:r>
      <w:r w:rsidR="0050188E">
        <w:rPr>
          <w:color w:val="000000"/>
        </w:rPr>
        <w:t>-</w:t>
      </w:r>
      <w:r>
        <w:rPr>
          <w:color w:val="000000"/>
        </w:rPr>
        <w:t>1137. Available at: https://doi.org/10.51594/ijmer.v6i4.1003.</w:t>
      </w:r>
    </w:p>
    <w:p w14:paraId="1984B57E" w14:textId="77777777" w:rsidR="00F82232" w:rsidRDefault="00F82232" w:rsidP="00F67F11">
      <w:pPr>
        <w:pStyle w:val="NormalWeb"/>
        <w:spacing w:before="0" w:beforeAutospacing="0" w:after="240" w:afterAutospacing="0" w:line="360" w:lineRule="auto"/>
        <w:rPr>
          <w:color w:val="000000"/>
        </w:rPr>
      </w:pPr>
      <w:r>
        <w:rPr>
          <w:color w:val="000000"/>
        </w:rPr>
        <w:t>Akbarighatar, P. (2024) ‘Operationalizing responsible AI principles through responsible AI capabilities’,</w:t>
      </w:r>
      <w:r>
        <w:rPr>
          <w:rStyle w:val="apple-converted-space"/>
          <w:rFonts w:eastAsiaTheme="majorEastAsia"/>
          <w:color w:val="000000"/>
        </w:rPr>
        <w:t> </w:t>
      </w:r>
      <w:r>
        <w:rPr>
          <w:i/>
          <w:iCs/>
          <w:color w:val="000000"/>
        </w:rPr>
        <w:t>AI and Ethics</w:t>
      </w:r>
      <w:r>
        <w:rPr>
          <w:color w:val="000000"/>
        </w:rPr>
        <w:t>. Available at: https://doi.org/10.1007/s43681-024-00524-4.</w:t>
      </w:r>
    </w:p>
    <w:p w14:paraId="133370ED" w14:textId="77777777" w:rsidR="00F82232" w:rsidRDefault="00F82232" w:rsidP="00F67F11">
      <w:pPr>
        <w:pStyle w:val="NormalWeb"/>
        <w:spacing w:before="0" w:beforeAutospacing="0" w:after="240" w:afterAutospacing="0" w:line="360" w:lineRule="auto"/>
        <w:rPr>
          <w:color w:val="000000"/>
        </w:rPr>
      </w:pPr>
      <w:r>
        <w:rPr>
          <w:color w:val="000000"/>
        </w:rPr>
        <w:lastRenderedPageBreak/>
        <w:t>Al Kuwaiti, M. (2025) ‘How might organization use generative artificial intelligence to improve organisational efficiency and productivity’,</w:t>
      </w:r>
      <w:r>
        <w:rPr>
          <w:rStyle w:val="apple-converted-space"/>
          <w:rFonts w:eastAsiaTheme="majorEastAsia"/>
          <w:color w:val="000000"/>
        </w:rPr>
        <w:t> </w:t>
      </w:r>
      <w:r>
        <w:rPr>
          <w:i/>
          <w:iCs/>
          <w:color w:val="000000"/>
        </w:rPr>
        <w:t>International Journal For Multidisciplinary Research</w:t>
      </w:r>
      <w:r>
        <w:rPr>
          <w:color w:val="000000"/>
        </w:rPr>
        <w:t>, 7(5). Available at: https://doi.org/10.36948/ijfmr.2025.v07i05.54363.</w:t>
      </w:r>
    </w:p>
    <w:p w14:paraId="377FF8E2" w14:textId="7F9D47D8" w:rsidR="00F82232" w:rsidRDefault="00F82232" w:rsidP="00F67F11">
      <w:pPr>
        <w:pStyle w:val="NormalWeb"/>
        <w:spacing w:before="0" w:beforeAutospacing="0" w:after="240" w:afterAutospacing="0" w:line="360" w:lineRule="auto"/>
        <w:rPr>
          <w:color w:val="000000"/>
        </w:rPr>
      </w:pPr>
      <w:r>
        <w:rPr>
          <w:color w:val="000000"/>
        </w:rPr>
        <w:t>Al-Amin, O., Ewim, N.C.P.-M., Ngochindo, A. and None Onyeka Chrisanctus Ofodile (2024) ‘AI-Driven end-to-end workflow optimization and automation system for SMEs’,</w:t>
      </w:r>
      <w:r>
        <w:rPr>
          <w:rStyle w:val="apple-converted-space"/>
          <w:rFonts w:eastAsiaTheme="majorEastAsia"/>
          <w:color w:val="000000"/>
        </w:rPr>
        <w:t> </w:t>
      </w:r>
      <w:r>
        <w:rPr>
          <w:i/>
          <w:iCs/>
          <w:color w:val="000000"/>
        </w:rPr>
        <w:t>International Journal of Management &amp; Entrepreneurship Research</w:t>
      </w:r>
      <w:r>
        <w:rPr>
          <w:color w:val="000000"/>
        </w:rPr>
        <w:t>, 6(11), pp. 3666</w:t>
      </w:r>
      <w:r w:rsidR="0050188E">
        <w:rPr>
          <w:color w:val="000000"/>
        </w:rPr>
        <w:t>-</w:t>
      </w:r>
      <w:r>
        <w:rPr>
          <w:color w:val="000000"/>
        </w:rPr>
        <w:t>3684. Available at: https://doi.org/10.51594/ijmer.v6i11.1688.</w:t>
      </w:r>
    </w:p>
    <w:p w14:paraId="437BC633" w14:textId="12A65462" w:rsidR="00F82232" w:rsidRDefault="00F82232" w:rsidP="00F67F11">
      <w:pPr>
        <w:pStyle w:val="NormalWeb"/>
        <w:spacing w:before="0" w:beforeAutospacing="0" w:after="240" w:afterAutospacing="0" w:line="360" w:lineRule="auto"/>
        <w:rPr>
          <w:color w:val="000000"/>
        </w:rPr>
      </w:pPr>
      <w:r>
        <w:rPr>
          <w:color w:val="000000"/>
        </w:rPr>
        <w:t>Ali, I., Nguyen, K., Ali, A.M. and Cui, T. (2025) ‘Human</w:t>
      </w:r>
      <w:r w:rsidR="0050188E">
        <w:rPr>
          <w:color w:val="000000"/>
        </w:rPr>
        <w:t>-</w:t>
      </w:r>
      <w:r>
        <w:rPr>
          <w:color w:val="000000"/>
        </w:rPr>
        <w:t>AI collaboration in knowledge ecosystems: A multidisciplinary review, integrative framework and future directions’,</w:t>
      </w:r>
      <w:r>
        <w:rPr>
          <w:rStyle w:val="apple-converted-space"/>
          <w:rFonts w:eastAsiaTheme="majorEastAsia"/>
          <w:color w:val="000000"/>
        </w:rPr>
        <w:t> </w:t>
      </w:r>
      <w:r>
        <w:rPr>
          <w:i/>
          <w:iCs/>
          <w:color w:val="000000"/>
        </w:rPr>
        <w:t>Journal of Knowledge Management</w:t>
      </w:r>
      <w:r>
        <w:rPr>
          <w:color w:val="000000"/>
        </w:rPr>
        <w:t>, pp. 1</w:t>
      </w:r>
      <w:r w:rsidR="0050188E">
        <w:rPr>
          <w:color w:val="000000"/>
        </w:rPr>
        <w:t>-</w:t>
      </w:r>
      <w:r>
        <w:rPr>
          <w:color w:val="000000"/>
        </w:rPr>
        <w:t>22. Available at: https://doi.org/10.1108/jkm-03-2025-0431.</w:t>
      </w:r>
    </w:p>
    <w:p w14:paraId="7E6F7308" w14:textId="77777777" w:rsidR="00F82232" w:rsidRDefault="00F82232" w:rsidP="00F67F11">
      <w:pPr>
        <w:pStyle w:val="NormalWeb"/>
        <w:spacing w:before="0" w:beforeAutospacing="0" w:after="240" w:afterAutospacing="0" w:line="360" w:lineRule="auto"/>
        <w:rPr>
          <w:color w:val="000000"/>
        </w:rPr>
      </w:pPr>
      <w:r>
        <w:rPr>
          <w:color w:val="000000"/>
        </w:rPr>
        <w:t>Apuk, V. and Jerb, E. (2026) ‘Integrating artificial intelligence into human resource development in higher education: Opportunities and challenges’,</w:t>
      </w:r>
      <w:r>
        <w:rPr>
          <w:rStyle w:val="apple-converted-space"/>
          <w:rFonts w:eastAsiaTheme="majorEastAsia"/>
          <w:color w:val="000000"/>
        </w:rPr>
        <w:t> </w:t>
      </w:r>
      <w:r>
        <w:rPr>
          <w:i/>
          <w:iCs/>
          <w:color w:val="000000"/>
        </w:rPr>
        <w:t>Journal of Human Resource Management - HR Advances and Developments</w:t>
      </w:r>
      <w:r>
        <w:rPr>
          <w:color w:val="000000"/>
        </w:rPr>
        <w:t>, 29(1), p. 182. Available at: https://doi.org/10.46287/wams7303.</w:t>
      </w:r>
    </w:p>
    <w:p w14:paraId="149CF850" w14:textId="1FD26D24" w:rsidR="00F82232" w:rsidRDefault="00F82232" w:rsidP="00F67F11">
      <w:pPr>
        <w:pStyle w:val="NormalWeb"/>
        <w:spacing w:before="0" w:beforeAutospacing="0" w:after="240" w:afterAutospacing="0" w:line="360" w:lineRule="auto"/>
        <w:rPr>
          <w:color w:val="000000"/>
        </w:rPr>
      </w:pPr>
      <w:r>
        <w:rPr>
          <w:color w:val="000000"/>
        </w:rPr>
        <w:t>Ara, U. and Pandey, S. (2025) ‘Sustainable growth in SMEs with generative AI: Reaping rewards, tackling challenges, with human insights’,</w:t>
      </w:r>
      <w:r>
        <w:rPr>
          <w:rStyle w:val="apple-converted-space"/>
          <w:rFonts w:eastAsiaTheme="majorEastAsia"/>
          <w:color w:val="000000"/>
        </w:rPr>
        <w:t> </w:t>
      </w:r>
      <w:r>
        <w:rPr>
          <w:i/>
          <w:iCs/>
          <w:color w:val="000000"/>
        </w:rPr>
        <w:t>Resilience Strategies for Small Business in Industry 5.0</w:t>
      </w:r>
      <w:r>
        <w:rPr>
          <w:color w:val="000000"/>
        </w:rPr>
        <w:t>, pp. 125</w:t>
      </w:r>
      <w:r w:rsidR="0050188E">
        <w:rPr>
          <w:color w:val="000000"/>
        </w:rPr>
        <w:t>-</w:t>
      </w:r>
      <w:r>
        <w:rPr>
          <w:color w:val="000000"/>
        </w:rPr>
        <w:t>145. Available at: https://doi.org/10.1108/s2040-724620250000022023.</w:t>
      </w:r>
    </w:p>
    <w:p w14:paraId="64EED905" w14:textId="4B8AB406" w:rsidR="00F82232" w:rsidRDefault="00F82232" w:rsidP="00F67F11">
      <w:pPr>
        <w:pStyle w:val="NormalWeb"/>
        <w:spacing w:before="0" w:beforeAutospacing="0" w:after="240" w:afterAutospacing="0" w:line="360" w:lineRule="auto"/>
        <w:rPr>
          <w:color w:val="000000"/>
        </w:rPr>
      </w:pPr>
      <w:r>
        <w:rPr>
          <w:color w:val="000000"/>
        </w:rPr>
        <w:t>Asif, Dr.M. and Bashir, M. (2026) ‘Augmentation or anxiety? The mediating role of employee trust in the relationship between generative AI implementation, job crafting, and productivity’,</w:t>
      </w:r>
      <w:r>
        <w:rPr>
          <w:rStyle w:val="apple-converted-space"/>
          <w:rFonts w:eastAsiaTheme="majorEastAsia"/>
          <w:color w:val="000000"/>
        </w:rPr>
        <w:t> </w:t>
      </w:r>
      <w:r>
        <w:rPr>
          <w:i/>
          <w:iCs/>
          <w:color w:val="000000"/>
        </w:rPr>
        <w:t>The Critical Review of Social Sciences Studies</w:t>
      </w:r>
      <w:r>
        <w:rPr>
          <w:color w:val="000000"/>
        </w:rPr>
        <w:t>, 4(1), pp. 4550</w:t>
      </w:r>
      <w:r w:rsidR="0050188E">
        <w:rPr>
          <w:color w:val="000000"/>
        </w:rPr>
        <w:t>-</w:t>
      </w:r>
      <w:r>
        <w:rPr>
          <w:color w:val="000000"/>
        </w:rPr>
        <w:t>4583. Available at: https://doi.org/10.59075/mrqkn978.</w:t>
      </w:r>
    </w:p>
    <w:p w14:paraId="3A088B5B" w14:textId="7B6ECFF6" w:rsidR="00F82232" w:rsidRDefault="00F82232" w:rsidP="00F67F11">
      <w:pPr>
        <w:pStyle w:val="NormalWeb"/>
        <w:spacing w:before="0" w:beforeAutospacing="0" w:after="240" w:afterAutospacing="0" w:line="360" w:lineRule="auto"/>
        <w:rPr>
          <w:color w:val="000000"/>
        </w:rPr>
      </w:pPr>
      <w:r>
        <w:rPr>
          <w:color w:val="000000"/>
        </w:rPr>
        <w:t>Bakker, A.B. and Demerouti, E. (2007) ‘The job demands‐resources model: State of the art’,</w:t>
      </w:r>
      <w:r>
        <w:rPr>
          <w:rStyle w:val="apple-converted-space"/>
          <w:rFonts w:eastAsiaTheme="majorEastAsia"/>
          <w:color w:val="000000"/>
        </w:rPr>
        <w:t> </w:t>
      </w:r>
      <w:r>
        <w:rPr>
          <w:i/>
          <w:iCs/>
          <w:color w:val="000000"/>
        </w:rPr>
        <w:t>Journal of Managerial Psychology</w:t>
      </w:r>
      <w:r>
        <w:rPr>
          <w:color w:val="000000"/>
        </w:rPr>
        <w:t>, 22(3), pp. 309</w:t>
      </w:r>
      <w:r w:rsidR="0050188E">
        <w:rPr>
          <w:color w:val="000000"/>
        </w:rPr>
        <w:t>-</w:t>
      </w:r>
      <w:r>
        <w:rPr>
          <w:color w:val="000000"/>
        </w:rPr>
        <w:t>328. Available at: https://doi.org/10.1108/02683940710733115.</w:t>
      </w:r>
    </w:p>
    <w:p w14:paraId="74D6E32B" w14:textId="0B187747" w:rsidR="00F82232" w:rsidRDefault="00F82232" w:rsidP="00F67F11">
      <w:pPr>
        <w:pStyle w:val="NormalWeb"/>
        <w:spacing w:before="0" w:beforeAutospacing="0" w:after="240" w:afterAutospacing="0" w:line="360" w:lineRule="auto"/>
        <w:rPr>
          <w:color w:val="000000"/>
        </w:rPr>
      </w:pPr>
      <w:r>
        <w:rPr>
          <w:color w:val="000000"/>
        </w:rPr>
        <w:t>Bankins, S. and Formosa, P. (2023) ‘The ethical implications of artificial intelligence (AI) for meaningful work’,</w:t>
      </w:r>
      <w:r>
        <w:rPr>
          <w:rStyle w:val="apple-converted-space"/>
          <w:rFonts w:eastAsiaTheme="majorEastAsia"/>
          <w:color w:val="000000"/>
        </w:rPr>
        <w:t> </w:t>
      </w:r>
      <w:r>
        <w:rPr>
          <w:i/>
          <w:iCs/>
          <w:color w:val="000000"/>
        </w:rPr>
        <w:t>Journal of Business Ethics</w:t>
      </w:r>
      <w:r>
        <w:rPr>
          <w:color w:val="000000"/>
        </w:rPr>
        <w:t>, 185(4), pp. 725</w:t>
      </w:r>
      <w:r w:rsidR="0050188E">
        <w:rPr>
          <w:color w:val="000000"/>
        </w:rPr>
        <w:t>-</w:t>
      </w:r>
      <w:r>
        <w:rPr>
          <w:color w:val="000000"/>
        </w:rPr>
        <w:t>740. Available at: https://doi.org/https://doi.org/10.1007/s10551-023-05339-7.</w:t>
      </w:r>
    </w:p>
    <w:p w14:paraId="72D5E2E7" w14:textId="78F0CE35" w:rsidR="00F82232" w:rsidRDefault="00F82232" w:rsidP="00F67F11">
      <w:pPr>
        <w:pStyle w:val="NormalWeb"/>
        <w:spacing w:before="0" w:beforeAutospacing="0" w:after="240" w:afterAutospacing="0" w:line="360" w:lineRule="auto"/>
        <w:rPr>
          <w:color w:val="000000"/>
        </w:rPr>
      </w:pPr>
      <w:r>
        <w:rPr>
          <w:color w:val="000000"/>
        </w:rPr>
        <w:t>Barney, J. (1991) ‘Firm resources and sustained competitive advantage’,</w:t>
      </w:r>
      <w:r>
        <w:rPr>
          <w:rStyle w:val="apple-converted-space"/>
          <w:rFonts w:eastAsiaTheme="majorEastAsia"/>
          <w:color w:val="000000"/>
        </w:rPr>
        <w:t> </w:t>
      </w:r>
      <w:r>
        <w:rPr>
          <w:i/>
          <w:iCs/>
          <w:color w:val="000000"/>
        </w:rPr>
        <w:t>Journal of Management</w:t>
      </w:r>
      <w:r>
        <w:rPr>
          <w:color w:val="000000"/>
        </w:rPr>
        <w:t>, 17(1), pp. 99</w:t>
      </w:r>
      <w:r w:rsidR="0050188E">
        <w:rPr>
          <w:color w:val="000000"/>
        </w:rPr>
        <w:t>-</w:t>
      </w:r>
      <w:r>
        <w:rPr>
          <w:color w:val="000000"/>
        </w:rPr>
        <w:t>120. Available at: https://doi.org/https://doi.org/10.1177/014920639101700108.</w:t>
      </w:r>
    </w:p>
    <w:p w14:paraId="126EA28B" w14:textId="77777777" w:rsidR="00F82232" w:rsidRDefault="00F82232" w:rsidP="00F67F11">
      <w:pPr>
        <w:pStyle w:val="NormalWeb"/>
        <w:spacing w:before="0" w:beforeAutospacing="0" w:after="240" w:afterAutospacing="0" w:line="360" w:lineRule="auto"/>
        <w:rPr>
          <w:color w:val="000000"/>
        </w:rPr>
      </w:pPr>
      <w:r>
        <w:rPr>
          <w:color w:val="000000"/>
        </w:rPr>
        <w:t>Basu, S., Majumdar, B., Mukherjee, K., Munjal, S. and Palaksha, C. (2022) ‘The role of artificial intelligence in HRM: A systematic review and future research direction’,</w:t>
      </w:r>
      <w:r>
        <w:rPr>
          <w:rStyle w:val="apple-converted-space"/>
          <w:rFonts w:eastAsiaTheme="majorEastAsia"/>
          <w:color w:val="000000"/>
        </w:rPr>
        <w:t> </w:t>
      </w:r>
      <w:r>
        <w:rPr>
          <w:i/>
          <w:iCs/>
          <w:color w:val="000000"/>
        </w:rPr>
        <w:t xml:space="preserve">Human Resource </w:t>
      </w:r>
      <w:r>
        <w:rPr>
          <w:i/>
          <w:iCs/>
          <w:color w:val="000000"/>
        </w:rPr>
        <w:lastRenderedPageBreak/>
        <w:t>Management Review</w:t>
      </w:r>
      <w:r>
        <w:rPr>
          <w:color w:val="000000"/>
        </w:rPr>
        <w:t>, 33(1), p. 100893. Available at: https://doi.org/10.1016/j.hrmr.2022.100893.</w:t>
      </w:r>
    </w:p>
    <w:p w14:paraId="395E7441" w14:textId="77777777" w:rsidR="00F82232" w:rsidRDefault="00F82232" w:rsidP="00F67F11">
      <w:pPr>
        <w:pStyle w:val="NormalWeb"/>
        <w:spacing w:before="0" w:beforeAutospacing="0" w:after="240" w:afterAutospacing="0" w:line="360" w:lineRule="auto"/>
        <w:rPr>
          <w:color w:val="000000"/>
        </w:rPr>
      </w:pPr>
      <w:r>
        <w:rPr>
          <w:color w:val="000000"/>
        </w:rPr>
        <w:t>Batool, A., Zowghi, D. and Bano, M. (2025) ‘AI governance: A systematic literature review’,</w:t>
      </w:r>
      <w:r>
        <w:rPr>
          <w:rStyle w:val="apple-converted-space"/>
          <w:rFonts w:eastAsiaTheme="majorEastAsia"/>
          <w:color w:val="000000"/>
        </w:rPr>
        <w:t> </w:t>
      </w:r>
      <w:r>
        <w:rPr>
          <w:i/>
          <w:iCs/>
          <w:color w:val="000000"/>
        </w:rPr>
        <w:t>AI and Ethics</w:t>
      </w:r>
      <w:r>
        <w:rPr>
          <w:color w:val="000000"/>
        </w:rPr>
        <w:t>, 5. Available at: https://doi.org/10.1007/s43681-024-00653-w.</w:t>
      </w:r>
    </w:p>
    <w:p w14:paraId="779EBF92" w14:textId="77777777" w:rsidR="00F82232" w:rsidRDefault="00F82232" w:rsidP="00F67F11">
      <w:pPr>
        <w:pStyle w:val="NormalWeb"/>
        <w:spacing w:before="0" w:beforeAutospacing="0" w:after="240" w:afterAutospacing="0" w:line="360" w:lineRule="auto"/>
        <w:rPr>
          <w:color w:val="000000"/>
        </w:rPr>
      </w:pPr>
      <w:r>
        <w:rPr>
          <w:color w:val="000000"/>
        </w:rPr>
        <w:t>Bell, E. and Bryman, A. (2022)</w:t>
      </w:r>
      <w:r>
        <w:rPr>
          <w:rStyle w:val="apple-converted-space"/>
          <w:rFonts w:eastAsiaTheme="majorEastAsia"/>
          <w:color w:val="000000"/>
        </w:rPr>
        <w:t> </w:t>
      </w:r>
      <w:r>
        <w:rPr>
          <w:i/>
          <w:iCs/>
          <w:color w:val="000000"/>
        </w:rPr>
        <w:t>Business Research Methods</w:t>
      </w:r>
      <w:r>
        <w:rPr>
          <w:color w:val="000000"/>
        </w:rPr>
        <w:t>. 6th edn. Oxford University Press.</w:t>
      </w:r>
    </w:p>
    <w:p w14:paraId="20283BB4" w14:textId="7DF7F60B" w:rsidR="00F82232" w:rsidRDefault="00F82232" w:rsidP="00F67F11">
      <w:pPr>
        <w:pStyle w:val="NormalWeb"/>
        <w:spacing w:before="0" w:beforeAutospacing="0" w:after="240" w:afterAutospacing="0" w:line="360" w:lineRule="auto"/>
        <w:rPr>
          <w:color w:val="000000"/>
        </w:rPr>
      </w:pPr>
      <w:r>
        <w:rPr>
          <w:color w:val="000000"/>
        </w:rPr>
        <w:t>Ben Slimane, S., Coeurderoy, R. and Mhenni, H. (2022) ‘Digital transformation of small and medium enterprises: a systematic literature review and an integrative framework’,</w:t>
      </w:r>
      <w:r>
        <w:rPr>
          <w:rStyle w:val="apple-converted-space"/>
          <w:rFonts w:eastAsiaTheme="majorEastAsia"/>
          <w:color w:val="000000"/>
        </w:rPr>
        <w:t> </w:t>
      </w:r>
      <w:r>
        <w:rPr>
          <w:i/>
          <w:iCs/>
          <w:color w:val="000000"/>
        </w:rPr>
        <w:t>International Studies of Management &amp; Organization</w:t>
      </w:r>
      <w:r>
        <w:rPr>
          <w:color w:val="000000"/>
        </w:rPr>
        <w:t>, 52(2), pp. 96</w:t>
      </w:r>
      <w:r w:rsidR="0050188E">
        <w:rPr>
          <w:color w:val="000000"/>
        </w:rPr>
        <w:t>-</w:t>
      </w:r>
      <w:r>
        <w:rPr>
          <w:color w:val="000000"/>
        </w:rPr>
        <w:t>120. Available at: https://doi.org/10.1080/00208825.2022.2072067.</w:t>
      </w:r>
    </w:p>
    <w:p w14:paraId="42871F03" w14:textId="1B0330C3" w:rsidR="00F82232" w:rsidRDefault="00F82232" w:rsidP="00F67F11">
      <w:pPr>
        <w:pStyle w:val="NormalWeb"/>
        <w:spacing w:before="0" w:beforeAutospacing="0" w:after="240" w:afterAutospacing="0" w:line="360" w:lineRule="auto"/>
        <w:rPr>
          <w:color w:val="000000"/>
        </w:rPr>
      </w:pPr>
      <w:r>
        <w:rPr>
          <w:color w:val="000000"/>
        </w:rPr>
        <w:t>Benlian, A., Wiener, M., Cram, W.A., Krasnova, H., Maedche, A., Möhlmann, M., Recker, J. and Remus, U. (2022) ‘Algorithmic management’,</w:t>
      </w:r>
      <w:r>
        <w:rPr>
          <w:rStyle w:val="apple-converted-space"/>
          <w:rFonts w:eastAsiaTheme="majorEastAsia"/>
          <w:color w:val="000000"/>
        </w:rPr>
        <w:t> </w:t>
      </w:r>
      <w:r>
        <w:rPr>
          <w:i/>
          <w:iCs/>
          <w:color w:val="000000"/>
        </w:rPr>
        <w:t>Business &amp; Information Systems Engineering</w:t>
      </w:r>
      <w:r>
        <w:rPr>
          <w:color w:val="000000"/>
        </w:rPr>
        <w:t>, 64, pp. 825</w:t>
      </w:r>
      <w:r w:rsidR="0050188E">
        <w:rPr>
          <w:color w:val="000000"/>
        </w:rPr>
        <w:t>-</w:t>
      </w:r>
      <w:r>
        <w:rPr>
          <w:color w:val="000000"/>
        </w:rPr>
        <w:t>839. Available at: https://doi.org/10.1007/s12599-022-00764-w.</w:t>
      </w:r>
    </w:p>
    <w:p w14:paraId="54BD9FE3" w14:textId="13C4F029" w:rsidR="00F82232" w:rsidRDefault="00F82232" w:rsidP="00F67F11">
      <w:pPr>
        <w:pStyle w:val="NormalWeb"/>
        <w:spacing w:before="0" w:beforeAutospacing="0" w:after="240" w:afterAutospacing="0" w:line="360" w:lineRule="auto"/>
        <w:rPr>
          <w:color w:val="000000"/>
        </w:rPr>
      </w:pPr>
      <w:r>
        <w:rPr>
          <w:color w:val="000000"/>
        </w:rPr>
        <w:t>Block, M. (2024) ‘Balancing AI in SMEs: Overcoming psychological barriers and preserving critical thinking’,</w:t>
      </w:r>
      <w:r>
        <w:rPr>
          <w:rStyle w:val="apple-converted-space"/>
          <w:rFonts w:eastAsiaTheme="majorEastAsia"/>
          <w:color w:val="000000"/>
        </w:rPr>
        <w:t> </w:t>
      </w:r>
      <w:r>
        <w:rPr>
          <w:i/>
          <w:iCs/>
          <w:color w:val="000000"/>
        </w:rPr>
        <w:t>International Conference on AI Research</w:t>
      </w:r>
      <w:r>
        <w:rPr>
          <w:color w:val="000000"/>
        </w:rPr>
        <w:t>, 4(1), pp. 59</w:t>
      </w:r>
      <w:r w:rsidR="0050188E">
        <w:rPr>
          <w:color w:val="000000"/>
        </w:rPr>
        <w:t>-</w:t>
      </w:r>
      <w:r>
        <w:rPr>
          <w:color w:val="000000"/>
        </w:rPr>
        <w:t>66. Available at: https://doi.org/10.34190/icair.4.1.3143.</w:t>
      </w:r>
    </w:p>
    <w:p w14:paraId="09ABB397" w14:textId="77777777" w:rsidR="00F82232" w:rsidRDefault="00F82232" w:rsidP="00F67F11">
      <w:pPr>
        <w:pStyle w:val="NormalWeb"/>
        <w:spacing w:before="0" w:beforeAutospacing="0" w:after="240" w:afterAutospacing="0" w:line="360" w:lineRule="auto"/>
        <w:rPr>
          <w:color w:val="000000"/>
        </w:rPr>
      </w:pPr>
      <w:r>
        <w:rPr>
          <w:color w:val="000000"/>
        </w:rPr>
        <w:t>Borkowska, K. and Jackson, D. (2026) ‘From moral panic to pragmatic governance: Reframing ai’s societal impacts in employment, education, and ethics’,</w:t>
      </w:r>
      <w:r>
        <w:rPr>
          <w:rStyle w:val="apple-converted-space"/>
          <w:rFonts w:eastAsiaTheme="majorEastAsia"/>
          <w:color w:val="000000"/>
        </w:rPr>
        <w:t> </w:t>
      </w:r>
      <w:r>
        <w:rPr>
          <w:i/>
          <w:iCs/>
          <w:color w:val="000000"/>
        </w:rPr>
        <w:t>AI &amp;amp; SOCIETY</w:t>
      </w:r>
      <w:r>
        <w:rPr>
          <w:rStyle w:val="apple-converted-space"/>
          <w:rFonts w:eastAsiaTheme="majorEastAsia"/>
          <w:color w:val="000000"/>
        </w:rPr>
        <w:t> </w:t>
      </w:r>
      <w:r>
        <w:rPr>
          <w:color w:val="000000"/>
        </w:rPr>
        <w:t>. Available at: https://doi.org/10.1007/s00146-026-02921-1.</w:t>
      </w:r>
    </w:p>
    <w:p w14:paraId="1B155F74" w14:textId="77777777" w:rsidR="00F82232" w:rsidRDefault="00F82232" w:rsidP="00F67F11">
      <w:pPr>
        <w:pStyle w:val="NormalWeb"/>
        <w:spacing w:before="0" w:beforeAutospacing="0" w:after="240" w:afterAutospacing="0" w:line="360" w:lineRule="auto"/>
        <w:rPr>
          <w:color w:val="000000"/>
        </w:rPr>
      </w:pPr>
      <w:r>
        <w:rPr>
          <w:color w:val="000000"/>
        </w:rPr>
        <w:t>Bouncken, R.B., Czakon, W. and Schmitt, F. (2025) ‘Purposeful sampling and saturation in qualitative research methodologies: recommendations and review’,</w:t>
      </w:r>
      <w:r>
        <w:rPr>
          <w:rStyle w:val="apple-converted-space"/>
          <w:rFonts w:eastAsiaTheme="majorEastAsia"/>
          <w:color w:val="000000"/>
        </w:rPr>
        <w:t> </w:t>
      </w:r>
      <w:r>
        <w:rPr>
          <w:i/>
          <w:iCs/>
          <w:color w:val="000000"/>
        </w:rPr>
        <w:t>Review of Managerial Science</w:t>
      </w:r>
      <w:r>
        <w:rPr>
          <w:rStyle w:val="apple-converted-space"/>
          <w:rFonts w:eastAsiaTheme="majorEastAsia"/>
          <w:color w:val="000000"/>
        </w:rPr>
        <w:t> </w:t>
      </w:r>
      <w:r>
        <w:rPr>
          <w:color w:val="000000"/>
        </w:rPr>
        <w:t>. Available at: https://doi.org/10.1007/s11846-025-00881-2.</w:t>
      </w:r>
    </w:p>
    <w:p w14:paraId="1DFBB671" w14:textId="77777777" w:rsidR="00F82232" w:rsidRDefault="00F82232" w:rsidP="00F67F11">
      <w:pPr>
        <w:pStyle w:val="NormalWeb"/>
        <w:spacing w:before="0" w:beforeAutospacing="0" w:after="240" w:afterAutospacing="0" w:line="360" w:lineRule="auto"/>
        <w:rPr>
          <w:color w:val="000000"/>
        </w:rPr>
      </w:pPr>
      <w:r>
        <w:rPr>
          <w:color w:val="000000"/>
        </w:rPr>
        <w:t>Bran, F., BODISLAV, D.A., CĂLIN, A.M. and MĂNESCU, A.M. (2025) ‘Empowering SMEs through generative AI: Opportunities, challenges, and strategic implications for sustainable innovation’,</w:t>
      </w:r>
      <w:r>
        <w:rPr>
          <w:rStyle w:val="apple-converted-space"/>
          <w:rFonts w:eastAsiaTheme="majorEastAsia"/>
          <w:color w:val="000000"/>
        </w:rPr>
        <w:t> </w:t>
      </w:r>
      <w:r>
        <w:rPr>
          <w:i/>
          <w:iCs/>
          <w:color w:val="000000"/>
        </w:rPr>
        <w:t>European Journal of Sustainable Development</w:t>
      </w:r>
      <w:r>
        <w:rPr>
          <w:color w:val="000000"/>
        </w:rPr>
        <w:t>, 14(4), p. 27. Available at: https://doi.org/10.14207/ejsd.2025.v14n4p27.</w:t>
      </w:r>
    </w:p>
    <w:p w14:paraId="5C92C399" w14:textId="37585BBF" w:rsidR="00F82232" w:rsidRDefault="00F82232" w:rsidP="00F67F11">
      <w:pPr>
        <w:pStyle w:val="NormalWeb"/>
        <w:spacing w:before="0" w:beforeAutospacing="0" w:after="240" w:afterAutospacing="0" w:line="360" w:lineRule="auto"/>
        <w:rPr>
          <w:color w:val="000000"/>
        </w:rPr>
      </w:pPr>
      <w:r>
        <w:rPr>
          <w:color w:val="000000"/>
        </w:rPr>
        <w:t>Braun, V. and Clarke, V. (2006) ‘Using Thematic Analysis in Psychology’,</w:t>
      </w:r>
      <w:r>
        <w:rPr>
          <w:rStyle w:val="apple-converted-space"/>
          <w:rFonts w:eastAsiaTheme="majorEastAsia"/>
          <w:color w:val="000000"/>
        </w:rPr>
        <w:t> </w:t>
      </w:r>
      <w:r>
        <w:rPr>
          <w:i/>
          <w:iCs/>
          <w:color w:val="000000"/>
        </w:rPr>
        <w:t>Qualitative Research in Psychology</w:t>
      </w:r>
      <w:r>
        <w:rPr>
          <w:color w:val="000000"/>
        </w:rPr>
        <w:t>, 3(2), pp. 77</w:t>
      </w:r>
      <w:r w:rsidR="0050188E">
        <w:rPr>
          <w:color w:val="000000"/>
        </w:rPr>
        <w:t>-</w:t>
      </w:r>
      <w:r>
        <w:rPr>
          <w:color w:val="000000"/>
        </w:rPr>
        <w:t>101. Available at: https://doi.org/10.1191/1478088706qp063oa.</w:t>
      </w:r>
    </w:p>
    <w:p w14:paraId="0566A76B" w14:textId="336924BD" w:rsidR="00F82232" w:rsidRDefault="00F82232" w:rsidP="00F67F11">
      <w:pPr>
        <w:pStyle w:val="NormalWeb"/>
        <w:spacing w:before="0" w:beforeAutospacing="0" w:after="240" w:afterAutospacing="0" w:line="360" w:lineRule="auto"/>
        <w:rPr>
          <w:color w:val="000000"/>
        </w:rPr>
      </w:pPr>
      <w:r>
        <w:rPr>
          <w:color w:val="000000"/>
        </w:rPr>
        <w:t xml:space="preserve">Brown, O., Davison, R.M., Decker, S., Ellis, D.A., Faulconbridge, J., Gore, J., Greenwood, M., Islam, G., Lubinski, C., MacKenzie, N.G., Meyer, R., Muzio, D., Quattrone, P., Ravishankar, M.N., Zilber, T., Ren, S., Sarala, R.M. and Hibbert, P. (2024) ‘Theory‐driven perspectives on </w:t>
      </w:r>
      <w:r>
        <w:rPr>
          <w:color w:val="000000"/>
        </w:rPr>
        <w:lastRenderedPageBreak/>
        <w:t>generative artificial intelligence in business and management’,</w:t>
      </w:r>
      <w:r>
        <w:rPr>
          <w:rStyle w:val="apple-converted-space"/>
          <w:rFonts w:eastAsiaTheme="majorEastAsia"/>
          <w:color w:val="000000"/>
        </w:rPr>
        <w:t> </w:t>
      </w:r>
      <w:r>
        <w:rPr>
          <w:i/>
          <w:iCs/>
          <w:color w:val="000000"/>
        </w:rPr>
        <w:t>British Journal of Management</w:t>
      </w:r>
      <w:r>
        <w:rPr>
          <w:color w:val="000000"/>
        </w:rPr>
        <w:t>, 35(1), pp. 3</w:t>
      </w:r>
      <w:r w:rsidR="0050188E">
        <w:rPr>
          <w:color w:val="000000"/>
        </w:rPr>
        <w:t>-</w:t>
      </w:r>
      <w:r>
        <w:rPr>
          <w:color w:val="000000"/>
        </w:rPr>
        <w:t>23. Available at: https://doi.org/10.1111/1467-8551.12788.</w:t>
      </w:r>
    </w:p>
    <w:p w14:paraId="4E315763" w14:textId="77777777" w:rsidR="00F82232" w:rsidRDefault="00F82232" w:rsidP="00F67F11">
      <w:pPr>
        <w:pStyle w:val="NormalWeb"/>
        <w:spacing w:before="0" w:beforeAutospacing="0" w:after="240" w:afterAutospacing="0" w:line="360" w:lineRule="auto"/>
        <w:rPr>
          <w:color w:val="000000"/>
        </w:rPr>
      </w:pPr>
      <w:r>
        <w:rPr>
          <w:color w:val="000000"/>
        </w:rPr>
        <w:t>Brynjolfsson, E., Li, D. and Raymond, L.R. (2023)</w:t>
      </w:r>
      <w:r>
        <w:rPr>
          <w:rStyle w:val="apple-converted-space"/>
          <w:rFonts w:eastAsiaTheme="majorEastAsia"/>
          <w:color w:val="000000"/>
        </w:rPr>
        <w:t> </w:t>
      </w:r>
      <w:r>
        <w:rPr>
          <w:i/>
          <w:iCs/>
          <w:color w:val="000000"/>
        </w:rPr>
        <w:t>Generative AI at Work</w:t>
      </w:r>
      <w:r>
        <w:rPr>
          <w:color w:val="000000"/>
        </w:rPr>
        <w:t>,</w:t>
      </w:r>
      <w:r>
        <w:rPr>
          <w:rStyle w:val="apple-converted-space"/>
          <w:rFonts w:eastAsiaTheme="majorEastAsia"/>
          <w:color w:val="000000"/>
        </w:rPr>
        <w:t> </w:t>
      </w:r>
      <w:r>
        <w:rPr>
          <w:i/>
          <w:iCs/>
          <w:color w:val="000000"/>
        </w:rPr>
        <w:t>National Bureau of Economic Research</w:t>
      </w:r>
      <w:r>
        <w:rPr>
          <w:color w:val="000000"/>
        </w:rPr>
        <w:t>. Available at: https://www.nber.org/papers/w31161.</w:t>
      </w:r>
    </w:p>
    <w:p w14:paraId="55F24E8D" w14:textId="77777777" w:rsidR="00F82232" w:rsidRDefault="00F82232" w:rsidP="00F67F11">
      <w:pPr>
        <w:pStyle w:val="NormalWeb"/>
        <w:spacing w:before="0" w:beforeAutospacing="0" w:after="240" w:afterAutospacing="0" w:line="360" w:lineRule="auto"/>
        <w:rPr>
          <w:color w:val="000000"/>
        </w:rPr>
      </w:pPr>
      <w:r>
        <w:rPr>
          <w:color w:val="000000"/>
        </w:rPr>
        <w:t>Cappelli, P., Tambe, P. and Yakubovich, V. (2019) ‘Artificial Intelligence in Human Resources Management: Challenges and a Path Forward’,</w:t>
      </w:r>
      <w:r>
        <w:rPr>
          <w:rStyle w:val="apple-converted-space"/>
          <w:rFonts w:eastAsiaTheme="majorEastAsia"/>
          <w:color w:val="000000"/>
        </w:rPr>
        <w:t> </w:t>
      </w:r>
      <w:r>
        <w:rPr>
          <w:i/>
          <w:iCs/>
          <w:color w:val="000000"/>
        </w:rPr>
        <w:t>SSRN Electronic Journal</w:t>
      </w:r>
      <w:r>
        <w:rPr>
          <w:color w:val="000000"/>
        </w:rPr>
        <w:t>, 61(4). Available at: https://doi.org/10.2139/ssrn.3263878.</w:t>
      </w:r>
    </w:p>
    <w:p w14:paraId="4BBC4C0B" w14:textId="6C543BF9" w:rsidR="00F82232" w:rsidRDefault="00F82232" w:rsidP="00F67F11">
      <w:pPr>
        <w:pStyle w:val="NormalWeb"/>
        <w:spacing w:before="0" w:beforeAutospacing="0" w:after="240" w:afterAutospacing="0" w:line="360" w:lineRule="auto"/>
        <w:rPr>
          <w:color w:val="000000"/>
        </w:rPr>
      </w:pPr>
      <w:r>
        <w:rPr>
          <w:color w:val="000000"/>
        </w:rPr>
        <w:t>Carayannis, E.G., Dumitrescu, R., Falkowski, T. and Rigert (2024) ‘Empowering SMEs- “harnessing the potential of gen AI for resilience and competitiveness”’,</w:t>
      </w:r>
      <w:r>
        <w:rPr>
          <w:rStyle w:val="apple-converted-space"/>
          <w:rFonts w:eastAsiaTheme="majorEastAsia"/>
          <w:color w:val="000000"/>
        </w:rPr>
        <w:t> </w:t>
      </w:r>
      <w:r>
        <w:rPr>
          <w:i/>
          <w:iCs/>
          <w:color w:val="000000"/>
        </w:rPr>
        <w:t>IEEE Transactions on Engineering Management</w:t>
      </w:r>
      <w:r>
        <w:rPr>
          <w:color w:val="000000"/>
        </w:rPr>
        <w:t>, 71, pp. 1</w:t>
      </w:r>
      <w:r w:rsidR="0050188E">
        <w:rPr>
          <w:color w:val="000000"/>
        </w:rPr>
        <w:t>-</w:t>
      </w:r>
      <w:r>
        <w:rPr>
          <w:color w:val="000000"/>
        </w:rPr>
        <w:t>22. Available at: https://doi.org/10.1109/tem.2024.3456820.</w:t>
      </w:r>
    </w:p>
    <w:p w14:paraId="11BE0D27" w14:textId="377A22A8" w:rsidR="00F82232" w:rsidRDefault="00F82232" w:rsidP="00F67F11">
      <w:pPr>
        <w:pStyle w:val="NormalWeb"/>
        <w:spacing w:before="0" w:beforeAutospacing="0" w:after="240" w:afterAutospacing="0" w:line="360" w:lineRule="auto"/>
        <w:rPr>
          <w:color w:val="000000"/>
        </w:rPr>
      </w:pPr>
      <w:r>
        <w:rPr>
          <w:color w:val="000000"/>
        </w:rPr>
        <w:t>Casula, M., Rangarajan, N. and Shields, P. (2021) ‘The potential of working hypotheses for deductive exploratory research’,</w:t>
      </w:r>
      <w:r>
        <w:rPr>
          <w:rStyle w:val="apple-converted-space"/>
          <w:rFonts w:eastAsiaTheme="majorEastAsia"/>
          <w:color w:val="000000"/>
        </w:rPr>
        <w:t> </w:t>
      </w:r>
      <w:r>
        <w:rPr>
          <w:i/>
          <w:iCs/>
          <w:color w:val="000000"/>
        </w:rPr>
        <w:t>Quality &amp; Quantity</w:t>
      </w:r>
      <w:r>
        <w:rPr>
          <w:color w:val="000000"/>
        </w:rPr>
        <w:t>, 55(1), pp. 1703</w:t>
      </w:r>
      <w:r w:rsidR="0050188E">
        <w:rPr>
          <w:color w:val="000000"/>
        </w:rPr>
        <w:t>-</w:t>
      </w:r>
      <w:r>
        <w:rPr>
          <w:color w:val="000000"/>
        </w:rPr>
        <w:t>1725. Available at: https://doi.org/10.1007/s11135-020-01072-9.</w:t>
      </w:r>
    </w:p>
    <w:p w14:paraId="430B4BC3" w14:textId="335A2E46" w:rsidR="00F82232" w:rsidRDefault="00F82232" w:rsidP="00F67F11">
      <w:pPr>
        <w:pStyle w:val="NormalWeb"/>
        <w:spacing w:before="0" w:beforeAutospacing="0" w:after="240" w:afterAutospacing="0" w:line="360" w:lineRule="auto"/>
        <w:rPr>
          <w:color w:val="000000"/>
        </w:rPr>
      </w:pPr>
      <w:r>
        <w:rPr>
          <w:color w:val="000000"/>
        </w:rPr>
        <w:t>Chen, J., Xie, W., Xie, Q., Hu, A., Qiao, Y., Wan, R. and Liu, Y. (2025) ‘A systematic review of user attitudes toward GenAI: Influencing factors and industry perspectives’,</w:t>
      </w:r>
      <w:r>
        <w:rPr>
          <w:rStyle w:val="apple-converted-space"/>
          <w:rFonts w:eastAsiaTheme="majorEastAsia"/>
          <w:color w:val="000000"/>
        </w:rPr>
        <w:t> </w:t>
      </w:r>
      <w:r>
        <w:rPr>
          <w:i/>
          <w:iCs/>
          <w:color w:val="000000"/>
        </w:rPr>
        <w:t>Journal of Intelligence</w:t>
      </w:r>
      <w:r>
        <w:rPr>
          <w:color w:val="000000"/>
        </w:rPr>
        <w:t>, 13(7), pp. 78</w:t>
      </w:r>
      <w:r w:rsidR="0050188E">
        <w:rPr>
          <w:color w:val="000000"/>
        </w:rPr>
        <w:t>-</w:t>
      </w:r>
      <w:r>
        <w:rPr>
          <w:color w:val="000000"/>
        </w:rPr>
        <w:t>78. Available at: https://doi.org/10.3390/jintelligence13070078.</w:t>
      </w:r>
    </w:p>
    <w:p w14:paraId="23665354" w14:textId="77777777" w:rsidR="00F82232" w:rsidRDefault="00F82232" w:rsidP="00F67F11">
      <w:pPr>
        <w:pStyle w:val="NormalWeb"/>
        <w:spacing w:before="0" w:beforeAutospacing="0" w:after="240" w:afterAutospacing="0" w:line="360" w:lineRule="auto"/>
        <w:rPr>
          <w:color w:val="000000"/>
        </w:rPr>
      </w:pPr>
      <w:r>
        <w:rPr>
          <w:color w:val="000000"/>
        </w:rPr>
        <w:t>Chui, M., Hazan, E., Roberts, R., Singla, A., Smaje, K., Sukharevsky, A., Yee, L. and Zemmel, R. (2023)</w:t>
      </w:r>
      <w:r>
        <w:rPr>
          <w:rStyle w:val="apple-converted-space"/>
          <w:rFonts w:eastAsiaTheme="majorEastAsia"/>
          <w:color w:val="000000"/>
        </w:rPr>
        <w:t> </w:t>
      </w:r>
      <w:r>
        <w:rPr>
          <w:i/>
          <w:iCs/>
          <w:color w:val="000000"/>
        </w:rPr>
        <w:t>The economic potential of generative AI The next productivity frontier</w:t>
      </w:r>
      <w:r>
        <w:rPr>
          <w:color w:val="000000"/>
        </w:rPr>
        <w:t>. Available at: https://www.mckinsey.com/~/media/mckinsey/business%20functions/mckinsey%20digital/our%20insights/the%20economic%20potential%20of%20generative%20ai%20the%20next%20productivity%20frontier/the-economic-potential-of-generative-ai-the-next-productivity-frontier.pdf.</w:t>
      </w:r>
    </w:p>
    <w:p w14:paraId="27978F0A" w14:textId="1EEFBC62" w:rsidR="00F82232" w:rsidRDefault="00F82232" w:rsidP="00F67F11">
      <w:pPr>
        <w:pStyle w:val="NormalWeb"/>
        <w:spacing w:before="0" w:beforeAutospacing="0" w:after="240" w:afterAutospacing="0" w:line="360" w:lineRule="auto"/>
        <w:rPr>
          <w:color w:val="000000"/>
        </w:rPr>
      </w:pPr>
      <w:r>
        <w:rPr>
          <w:color w:val="000000"/>
        </w:rPr>
        <w:t>Clifton, N., Huggins, R., Pickernell, D., Prokop, D., Smith, D. and Thompson, P. (2020) ‘Networking and strategic planning to enhance small and medium‐sized enterprises growth in a less competitive economy’,</w:t>
      </w:r>
      <w:r>
        <w:rPr>
          <w:rStyle w:val="apple-converted-space"/>
          <w:rFonts w:eastAsiaTheme="majorEastAsia"/>
          <w:color w:val="000000"/>
        </w:rPr>
        <w:t> </w:t>
      </w:r>
      <w:r>
        <w:rPr>
          <w:i/>
          <w:iCs/>
          <w:color w:val="000000"/>
        </w:rPr>
        <w:t>Strategic Change</w:t>
      </w:r>
      <w:r>
        <w:rPr>
          <w:color w:val="000000"/>
        </w:rPr>
        <w:t>, 29(6), pp. 699</w:t>
      </w:r>
      <w:r w:rsidR="0050188E">
        <w:rPr>
          <w:color w:val="000000"/>
        </w:rPr>
        <w:t>-</w:t>
      </w:r>
      <w:r>
        <w:rPr>
          <w:color w:val="000000"/>
        </w:rPr>
        <w:t>711. Available at: https://doi.org/10.1002/jsc.2382.</w:t>
      </w:r>
    </w:p>
    <w:p w14:paraId="7C573E15" w14:textId="77777777" w:rsidR="00F82232" w:rsidRDefault="00F82232" w:rsidP="00F67F11">
      <w:pPr>
        <w:pStyle w:val="NormalWeb"/>
        <w:spacing w:before="0" w:beforeAutospacing="0" w:after="240" w:afterAutospacing="0" w:line="360" w:lineRule="auto"/>
        <w:rPr>
          <w:color w:val="000000"/>
        </w:rPr>
      </w:pPr>
      <w:r>
        <w:rPr>
          <w:color w:val="000000"/>
        </w:rPr>
        <w:t>Creswell, J.W. and Creswell, J.D. (2018)</w:t>
      </w:r>
      <w:r>
        <w:rPr>
          <w:rStyle w:val="apple-converted-space"/>
          <w:rFonts w:eastAsiaTheme="majorEastAsia"/>
          <w:color w:val="000000"/>
        </w:rPr>
        <w:t> </w:t>
      </w:r>
      <w:r>
        <w:rPr>
          <w:i/>
          <w:iCs/>
          <w:color w:val="000000"/>
        </w:rPr>
        <w:t>Research design: Qualitative, quantitative, and Mixed Methods Approaches</w:t>
      </w:r>
      <w:r>
        <w:rPr>
          <w:color w:val="000000"/>
        </w:rPr>
        <w:t>. 5th edn. SAGE Publications.</w:t>
      </w:r>
    </w:p>
    <w:p w14:paraId="39F5A876" w14:textId="1167DC2E" w:rsidR="00F82232" w:rsidRDefault="00F82232" w:rsidP="00F67F11">
      <w:pPr>
        <w:pStyle w:val="NormalWeb"/>
        <w:spacing w:before="0" w:beforeAutospacing="0" w:after="240" w:afterAutospacing="0" w:line="360" w:lineRule="auto"/>
        <w:rPr>
          <w:color w:val="000000"/>
        </w:rPr>
      </w:pPr>
      <w:r>
        <w:rPr>
          <w:color w:val="000000"/>
        </w:rPr>
        <w:t xml:space="preserve">Cuong, N.K., Ngoc-Long, N., Tien Dung, H. and Van Hai, T. (2025) ‘Digital transformation, organizational agility, and firm performance in emerging markets: Evidence from Vietnam’s </w:t>
      </w:r>
      <w:r>
        <w:rPr>
          <w:color w:val="000000"/>
        </w:rPr>
        <w:lastRenderedPageBreak/>
        <w:t>machinery sector’,</w:t>
      </w:r>
      <w:r>
        <w:rPr>
          <w:rStyle w:val="apple-converted-space"/>
          <w:rFonts w:eastAsiaTheme="majorEastAsia"/>
          <w:color w:val="000000"/>
        </w:rPr>
        <w:t> </w:t>
      </w:r>
      <w:r>
        <w:rPr>
          <w:i/>
          <w:iCs/>
          <w:color w:val="000000"/>
        </w:rPr>
        <w:t>Problems and Perspectives in Management</w:t>
      </w:r>
      <w:r>
        <w:rPr>
          <w:color w:val="000000"/>
        </w:rPr>
        <w:t>, 23(3), pp. 342</w:t>
      </w:r>
      <w:r w:rsidR="0050188E">
        <w:rPr>
          <w:color w:val="000000"/>
        </w:rPr>
        <w:t>-</w:t>
      </w:r>
      <w:r>
        <w:rPr>
          <w:color w:val="000000"/>
        </w:rPr>
        <w:t>357. Available at: https://doi.org/10.21511/ppm.23(3).2025.25.</w:t>
      </w:r>
    </w:p>
    <w:p w14:paraId="204C8206" w14:textId="58DED2E6" w:rsidR="00F82232" w:rsidRDefault="00F82232" w:rsidP="00F67F11">
      <w:pPr>
        <w:pStyle w:val="NormalWeb"/>
        <w:spacing w:before="0" w:beforeAutospacing="0" w:after="240" w:afterAutospacing="0" w:line="360" w:lineRule="auto"/>
        <w:rPr>
          <w:color w:val="000000"/>
        </w:rPr>
      </w:pPr>
      <w:r>
        <w:rPr>
          <w:color w:val="000000"/>
        </w:rPr>
        <w:t>Damioli, G., Van Roy, V. and Vertesy, D. (2021) ‘The impact of artificial intelligence on labor productivity’,</w:t>
      </w:r>
      <w:r>
        <w:rPr>
          <w:rStyle w:val="apple-converted-space"/>
          <w:rFonts w:eastAsiaTheme="majorEastAsia"/>
          <w:color w:val="000000"/>
        </w:rPr>
        <w:t> </w:t>
      </w:r>
      <w:r>
        <w:rPr>
          <w:i/>
          <w:iCs/>
          <w:color w:val="000000"/>
        </w:rPr>
        <w:t>Eurasian Business Review</w:t>
      </w:r>
      <w:r>
        <w:rPr>
          <w:color w:val="000000"/>
        </w:rPr>
        <w:t>, 11(1), pp. 1</w:t>
      </w:r>
      <w:r w:rsidR="0050188E">
        <w:rPr>
          <w:color w:val="000000"/>
        </w:rPr>
        <w:t>-</w:t>
      </w:r>
      <w:r>
        <w:rPr>
          <w:color w:val="000000"/>
        </w:rPr>
        <w:t>25. Available at: https://doi.org/10.1007/s40821-020-00172-8.</w:t>
      </w:r>
    </w:p>
    <w:p w14:paraId="3224DAC6" w14:textId="76CB094F" w:rsidR="00F82232" w:rsidRDefault="00F82232" w:rsidP="00F67F11">
      <w:pPr>
        <w:pStyle w:val="NormalWeb"/>
        <w:spacing w:before="0" w:beforeAutospacing="0" w:after="240" w:afterAutospacing="0" w:line="360" w:lineRule="auto"/>
        <w:rPr>
          <w:color w:val="000000"/>
        </w:rPr>
      </w:pPr>
      <w:r>
        <w:rPr>
          <w:color w:val="000000"/>
        </w:rPr>
        <w:t>Davis, F. (2026) ‘Artificial intelligence in the modern workplace: Ethics, entry-level displacement, and the erosion of the career ladder’,</w:t>
      </w:r>
      <w:r>
        <w:rPr>
          <w:rStyle w:val="apple-converted-space"/>
          <w:rFonts w:eastAsiaTheme="majorEastAsia"/>
          <w:color w:val="000000"/>
        </w:rPr>
        <w:t> </w:t>
      </w:r>
      <w:r>
        <w:rPr>
          <w:i/>
          <w:iCs/>
          <w:color w:val="000000"/>
        </w:rPr>
        <w:t>International Journal of Engineering and Computer Science</w:t>
      </w:r>
      <w:r>
        <w:rPr>
          <w:color w:val="000000"/>
        </w:rPr>
        <w:t>, 15(04), pp. 28380</w:t>
      </w:r>
      <w:r w:rsidR="0050188E">
        <w:rPr>
          <w:color w:val="000000"/>
        </w:rPr>
        <w:t>-</w:t>
      </w:r>
      <w:r>
        <w:rPr>
          <w:color w:val="000000"/>
        </w:rPr>
        <w:t>28385.</w:t>
      </w:r>
    </w:p>
    <w:p w14:paraId="4AE9B96B" w14:textId="04A0C353" w:rsidR="00F82232" w:rsidRDefault="00F82232" w:rsidP="00F67F11">
      <w:pPr>
        <w:pStyle w:val="NormalWeb"/>
        <w:spacing w:before="0" w:beforeAutospacing="0" w:after="240" w:afterAutospacing="0" w:line="360" w:lineRule="auto"/>
        <w:rPr>
          <w:color w:val="000000"/>
        </w:rPr>
      </w:pPr>
      <w:r>
        <w:rPr>
          <w:color w:val="000000"/>
        </w:rPr>
        <w:t>Deranty, J.-P. and Corbin, T. (2022) ‘Artificial intelligence and work: A critical review of recent research from the Social Sciences’,</w:t>
      </w:r>
      <w:r>
        <w:rPr>
          <w:rStyle w:val="apple-converted-space"/>
          <w:rFonts w:eastAsiaTheme="majorEastAsia"/>
          <w:color w:val="000000"/>
        </w:rPr>
        <w:t> </w:t>
      </w:r>
      <w:r>
        <w:rPr>
          <w:i/>
          <w:iCs/>
          <w:color w:val="000000"/>
        </w:rPr>
        <w:t>AI &amp; SOCIETY</w:t>
      </w:r>
      <w:r>
        <w:rPr>
          <w:color w:val="000000"/>
        </w:rPr>
        <w:t>, 39, pp. 675</w:t>
      </w:r>
      <w:r w:rsidR="0050188E">
        <w:rPr>
          <w:color w:val="000000"/>
        </w:rPr>
        <w:t>-</w:t>
      </w:r>
      <w:r>
        <w:rPr>
          <w:color w:val="000000"/>
        </w:rPr>
        <w:t>691. Available at: https://doi.org/https://doi.org/10.1007/s00146-022-01496-x.</w:t>
      </w:r>
    </w:p>
    <w:p w14:paraId="037B0F66" w14:textId="77777777" w:rsidR="00F82232" w:rsidRDefault="00F82232" w:rsidP="00F67F11">
      <w:pPr>
        <w:pStyle w:val="NormalWeb"/>
        <w:spacing w:before="0" w:beforeAutospacing="0" w:after="240" w:afterAutospacing="0" w:line="360" w:lineRule="auto"/>
        <w:rPr>
          <w:color w:val="000000"/>
        </w:rPr>
      </w:pPr>
      <w:r>
        <w:rPr>
          <w:color w:val="000000"/>
        </w:rPr>
        <w:t>Deveciyan, M.T., Alay, H.K. and Keskin, R. (2026) ‘How does the adoption of generative AI affect the speed of strategic decision-making and innovation performance in SMEs?’,</w:t>
      </w:r>
      <w:r>
        <w:rPr>
          <w:rStyle w:val="apple-converted-space"/>
          <w:rFonts w:eastAsiaTheme="majorEastAsia"/>
          <w:color w:val="000000"/>
        </w:rPr>
        <w:t> </w:t>
      </w:r>
      <w:r>
        <w:rPr>
          <w:i/>
          <w:iCs/>
          <w:color w:val="000000"/>
        </w:rPr>
        <w:t>Economics</w:t>
      </w:r>
      <w:r>
        <w:rPr>
          <w:color w:val="000000"/>
        </w:rPr>
        <w:t>, 20(1). Available at: https://doi.org/10.1515/econ-2025-0191.</w:t>
      </w:r>
    </w:p>
    <w:p w14:paraId="230A6125" w14:textId="77777777" w:rsidR="00F82232" w:rsidRDefault="00F82232" w:rsidP="00F67F11">
      <w:pPr>
        <w:pStyle w:val="NormalWeb"/>
        <w:spacing w:before="0" w:beforeAutospacing="0" w:after="240" w:afterAutospacing="0" w:line="360" w:lineRule="auto"/>
        <w:rPr>
          <w:color w:val="000000"/>
        </w:rPr>
      </w:pPr>
      <w:r>
        <w:rPr>
          <w:color w:val="000000"/>
        </w:rPr>
        <w:t>DeVellis, R.F. (2016)</w:t>
      </w:r>
      <w:r>
        <w:rPr>
          <w:rStyle w:val="apple-converted-space"/>
          <w:rFonts w:eastAsiaTheme="majorEastAsia"/>
          <w:color w:val="000000"/>
        </w:rPr>
        <w:t> </w:t>
      </w:r>
      <w:r>
        <w:rPr>
          <w:i/>
          <w:iCs/>
          <w:color w:val="000000"/>
        </w:rPr>
        <w:t>Scale Development: Theory and Applications</w:t>
      </w:r>
      <w:r>
        <w:rPr>
          <w:rStyle w:val="apple-converted-space"/>
          <w:rFonts w:eastAsiaTheme="majorEastAsia"/>
          <w:i/>
          <w:iCs/>
          <w:color w:val="000000"/>
        </w:rPr>
        <w:t> </w:t>
      </w:r>
      <w:r>
        <w:rPr>
          <w:color w:val="000000"/>
        </w:rPr>
        <w:t>. 4th edn. SAGE Publications.</w:t>
      </w:r>
    </w:p>
    <w:p w14:paraId="603D9EE8" w14:textId="7DDF61B3" w:rsidR="00F82232" w:rsidRDefault="00F82232" w:rsidP="00F67F11">
      <w:pPr>
        <w:pStyle w:val="NormalWeb"/>
        <w:spacing w:before="0" w:beforeAutospacing="0" w:after="240" w:afterAutospacing="0" w:line="360" w:lineRule="auto"/>
        <w:rPr>
          <w:color w:val="000000"/>
        </w:rPr>
      </w:pPr>
      <w:r>
        <w:rPr>
          <w:color w:val="000000"/>
        </w:rPr>
        <w:t>DiMaggio, P.J. and Powell, W.W. (1983) ‘The iron cage revisited: Institutional isomorphism and collective rationality in organizational fields’,</w:t>
      </w:r>
      <w:r>
        <w:rPr>
          <w:rStyle w:val="apple-converted-space"/>
          <w:rFonts w:eastAsiaTheme="majorEastAsia"/>
          <w:color w:val="000000"/>
        </w:rPr>
        <w:t> </w:t>
      </w:r>
      <w:r>
        <w:rPr>
          <w:i/>
          <w:iCs/>
          <w:color w:val="000000"/>
        </w:rPr>
        <w:t>American Sociological Review</w:t>
      </w:r>
      <w:r>
        <w:rPr>
          <w:color w:val="000000"/>
        </w:rPr>
        <w:t>, 48(2), pp. 147</w:t>
      </w:r>
      <w:r w:rsidR="0050188E">
        <w:rPr>
          <w:color w:val="000000"/>
        </w:rPr>
        <w:t>-</w:t>
      </w:r>
      <w:r>
        <w:rPr>
          <w:color w:val="000000"/>
        </w:rPr>
        <w:t>160. Available at: https://doi.org/https://doi.org/10.2307/2095101.</w:t>
      </w:r>
    </w:p>
    <w:p w14:paraId="37061BA6" w14:textId="7F91DC98" w:rsidR="00F82232" w:rsidRDefault="00F82232" w:rsidP="00F67F11">
      <w:pPr>
        <w:pStyle w:val="NormalWeb"/>
        <w:spacing w:before="0" w:beforeAutospacing="0" w:after="240" w:afterAutospacing="0" w:line="360" w:lineRule="auto"/>
        <w:rPr>
          <w:color w:val="000000"/>
        </w:rPr>
      </w:pPr>
      <w:r>
        <w:rPr>
          <w:color w:val="000000"/>
        </w:rPr>
        <w:t>Dinh, T. Le, Vu, M.-C. and Tran, G.T.C. (2025) ‘Artificial intelligence in SMEs: Enhancing business functions through technologies and applications’,</w:t>
      </w:r>
      <w:r>
        <w:rPr>
          <w:rStyle w:val="apple-converted-space"/>
          <w:rFonts w:eastAsiaTheme="majorEastAsia"/>
          <w:color w:val="000000"/>
        </w:rPr>
        <w:t> </w:t>
      </w:r>
      <w:r>
        <w:rPr>
          <w:i/>
          <w:iCs/>
          <w:color w:val="000000"/>
        </w:rPr>
        <w:t>Information</w:t>
      </w:r>
      <w:r>
        <w:rPr>
          <w:color w:val="000000"/>
        </w:rPr>
        <w:t>, 16(5), pp. 415</w:t>
      </w:r>
      <w:r w:rsidR="0050188E">
        <w:rPr>
          <w:color w:val="000000"/>
        </w:rPr>
        <w:t>-</w:t>
      </w:r>
      <w:r>
        <w:rPr>
          <w:color w:val="000000"/>
        </w:rPr>
        <w:t>415. Available at: https://doi.org/10.3390/info16050415.</w:t>
      </w:r>
    </w:p>
    <w:p w14:paraId="005F8254" w14:textId="42F70F39" w:rsidR="00F82232" w:rsidRDefault="00F82232" w:rsidP="00F67F11">
      <w:pPr>
        <w:pStyle w:val="NormalWeb"/>
        <w:spacing w:before="0" w:beforeAutospacing="0" w:after="240" w:afterAutospacing="0" w:line="360" w:lineRule="auto"/>
        <w:rPr>
          <w:color w:val="000000"/>
        </w:rPr>
      </w:pPr>
      <w:r>
        <w:rPr>
          <w:color w:val="000000"/>
        </w:rPr>
        <w:t>Do, H., Budhwar, P., Shipton, H., Nguyen, H.-D. and Nguyen, B. (2021) ‘Building organizational resilience, innovation through resource-based management initiatives, organizational learning and environmental dynamism’,</w:t>
      </w:r>
      <w:r>
        <w:rPr>
          <w:rStyle w:val="apple-converted-space"/>
          <w:rFonts w:eastAsiaTheme="majorEastAsia"/>
          <w:color w:val="000000"/>
        </w:rPr>
        <w:t> </w:t>
      </w:r>
      <w:r>
        <w:rPr>
          <w:i/>
          <w:iCs/>
          <w:color w:val="000000"/>
        </w:rPr>
        <w:t>Journal of Business Research</w:t>
      </w:r>
      <w:r>
        <w:rPr>
          <w:color w:val="000000"/>
        </w:rPr>
        <w:t>, 141(141), pp. 808</w:t>
      </w:r>
      <w:r w:rsidR="0050188E">
        <w:rPr>
          <w:color w:val="000000"/>
        </w:rPr>
        <w:t>-</w:t>
      </w:r>
      <w:r>
        <w:rPr>
          <w:color w:val="000000"/>
        </w:rPr>
        <w:t>821. Available at: https://doi.org/10.1016/j.jbusres.2021.11.090.</w:t>
      </w:r>
    </w:p>
    <w:p w14:paraId="6B178DE1" w14:textId="77777777" w:rsidR="00F82232" w:rsidRDefault="00F82232" w:rsidP="00F67F11">
      <w:pPr>
        <w:pStyle w:val="NormalWeb"/>
        <w:spacing w:before="0" w:beforeAutospacing="0" w:after="240" w:afterAutospacing="0" w:line="360" w:lineRule="auto"/>
        <w:rPr>
          <w:color w:val="000000"/>
        </w:rPr>
      </w:pPr>
      <w:r>
        <w:rPr>
          <w:color w:val="000000"/>
        </w:rPr>
        <w:t xml:space="preserve">Dwivedi, Y.K., Hughes, L., Ismagilova, E., Aarts, G., Coombs, C., Crick, T., Duan, Y., Dwivedi, R., Edwards, J., Eirug, A., Galanos, V., Ilavarasan, P.V., Janssen, M., Jones, P., Kar, A.K., Kizgin, H., Kronemann, B., Lal, B., Lucini, B., Medaglia, R., Le Meunier-FitzHugh, K., Le Meunier-FitzHugh, L.C., Misra, S., Mogaji, E., Sharma, S.K., Singh, J.B., Raghavan, V., Raman, R., Rana, N.P., Samothrakis, S., Spencer, J., Tamilmani, K., Tubadji, A., Walton, P. and Williams, M.D. (2021) ‘Artificial intelligence (AI): Multidisciplinary perspectives on emerging </w:t>
      </w:r>
      <w:r>
        <w:rPr>
          <w:color w:val="000000"/>
        </w:rPr>
        <w:lastRenderedPageBreak/>
        <w:t>challenges, opportunities, and agenda for research, practice and policy’,</w:t>
      </w:r>
      <w:r>
        <w:rPr>
          <w:rStyle w:val="apple-converted-space"/>
          <w:rFonts w:eastAsiaTheme="majorEastAsia"/>
          <w:color w:val="000000"/>
        </w:rPr>
        <w:t> </w:t>
      </w:r>
      <w:r>
        <w:rPr>
          <w:i/>
          <w:iCs/>
          <w:color w:val="000000"/>
        </w:rPr>
        <w:t>International Journal of Information Management</w:t>
      </w:r>
      <w:r>
        <w:rPr>
          <w:color w:val="000000"/>
        </w:rPr>
        <w:t>, 57(101994), p. 101994. Available at: https://doi.org/https://doi.org/10.1016/j.ijinfomgt.2019.08.002.</w:t>
      </w:r>
    </w:p>
    <w:p w14:paraId="01AAE7E1" w14:textId="4ADDFB3F" w:rsidR="00F82232" w:rsidRDefault="00F82232" w:rsidP="00F67F11">
      <w:pPr>
        <w:pStyle w:val="NormalWeb"/>
        <w:spacing w:before="0" w:beforeAutospacing="0" w:after="240" w:afterAutospacing="0" w:line="360" w:lineRule="auto"/>
        <w:rPr>
          <w:color w:val="000000"/>
        </w:rPr>
      </w:pPr>
      <w:r>
        <w:rPr>
          <w:color w:val="000000"/>
        </w:rPr>
        <w:t>Ekrokpe, O.P., Jayawickrama, U. and Butun, C. (2025) ‘Exploring the role of artificial intelligence in small and medium enterprises for improved decision-making: A scoping review’,</w:t>
      </w:r>
      <w:r>
        <w:rPr>
          <w:rStyle w:val="apple-converted-space"/>
          <w:rFonts w:eastAsiaTheme="majorEastAsia"/>
          <w:color w:val="000000"/>
        </w:rPr>
        <w:t> </w:t>
      </w:r>
      <w:r>
        <w:rPr>
          <w:i/>
          <w:iCs/>
          <w:color w:val="000000"/>
        </w:rPr>
        <w:t>Lecture Notes in Business Information Processing</w:t>
      </w:r>
      <w:r>
        <w:rPr>
          <w:color w:val="000000"/>
        </w:rPr>
        <w:t>, pp. 89</w:t>
      </w:r>
      <w:r w:rsidR="0050188E">
        <w:rPr>
          <w:color w:val="000000"/>
        </w:rPr>
        <w:t>-</w:t>
      </w:r>
      <w:r>
        <w:rPr>
          <w:color w:val="000000"/>
        </w:rPr>
        <w:t>109. Available at: https://doi.org/10.1007/978-3-031-90863-7_7.</w:t>
      </w:r>
    </w:p>
    <w:p w14:paraId="148E5D43" w14:textId="77777777" w:rsidR="00F82232" w:rsidRDefault="00F82232" w:rsidP="00F67F11">
      <w:pPr>
        <w:pStyle w:val="NormalWeb"/>
        <w:spacing w:before="0" w:beforeAutospacing="0" w:after="240" w:afterAutospacing="0" w:line="360" w:lineRule="auto"/>
        <w:rPr>
          <w:color w:val="000000"/>
        </w:rPr>
      </w:pPr>
      <w:r>
        <w:rPr>
          <w:color w:val="000000"/>
        </w:rPr>
        <w:t>Eloundou, T., Manning, S., Mishkin, P. and Rock, D. (2023) ‘GPTs are GPTs: An Early Look at the Labor Market Impact Potential of Large Language Models’,</w:t>
      </w:r>
      <w:r>
        <w:rPr>
          <w:rStyle w:val="apple-converted-space"/>
          <w:rFonts w:eastAsiaTheme="majorEastAsia"/>
          <w:color w:val="000000"/>
        </w:rPr>
        <w:t> </w:t>
      </w:r>
      <w:r>
        <w:rPr>
          <w:i/>
          <w:iCs/>
          <w:color w:val="000000"/>
        </w:rPr>
        <w:t>arXiv</w:t>
      </w:r>
      <w:r>
        <w:rPr>
          <w:rStyle w:val="apple-converted-space"/>
          <w:rFonts w:eastAsiaTheme="majorEastAsia"/>
          <w:color w:val="000000"/>
        </w:rPr>
        <w:t> </w:t>
      </w:r>
      <w:r>
        <w:rPr>
          <w:color w:val="000000"/>
        </w:rPr>
        <w:t>. Available at: https://doi.org/10.48550/arxiv.2303.10130.</w:t>
      </w:r>
    </w:p>
    <w:p w14:paraId="349C8180" w14:textId="2F979499" w:rsidR="00F82232" w:rsidRDefault="00F82232" w:rsidP="00F67F11">
      <w:pPr>
        <w:pStyle w:val="NormalWeb"/>
        <w:spacing w:before="0" w:beforeAutospacing="0" w:after="240" w:afterAutospacing="0" w:line="360" w:lineRule="auto"/>
        <w:rPr>
          <w:color w:val="000000"/>
        </w:rPr>
      </w:pPr>
      <w:r>
        <w:rPr>
          <w:color w:val="000000"/>
        </w:rPr>
        <w:t>Faul, F., Erdfelder, E., Buchner, A. and Lang, A.-G. (2009) ‘Statistical power analyses using G*power 3.1: Tests for correlation and regression analyses’,</w:t>
      </w:r>
      <w:r>
        <w:rPr>
          <w:rStyle w:val="apple-converted-space"/>
          <w:rFonts w:eastAsiaTheme="majorEastAsia"/>
          <w:color w:val="000000"/>
        </w:rPr>
        <w:t> </w:t>
      </w:r>
      <w:r>
        <w:rPr>
          <w:i/>
          <w:iCs/>
          <w:color w:val="000000"/>
        </w:rPr>
        <w:t>Behavior Research Methods</w:t>
      </w:r>
      <w:r>
        <w:rPr>
          <w:color w:val="000000"/>
        </w:rPr>
        <w:t>, 41(4), pp. 1149</w:t>
      </w:r>
      <w:r w:rsidR="0050188E">
        <w:rPr>
          <w:color w:val="000000"/>
        </w:rPr>
        <w:t>-</w:t>
      </w:r>
      <w:r>
        <w:rPr>
          <w:color w:val="000000"/>
        </w:rPr>
        <w:t>1160. Available at: https://doi.org/10.3758/brm.41.4.1149.</w:t>
      </w:r>
    </w:p>
    <w:p w14:paraId="7320D1C8" w14:textId="77777777" w:rsidR="00F82232" w:rsidRDefault="00F82232" w:rsidP="00F67F11">
      <w:pPr>
        <w:pStyle w:val="NormalWeb"/>
        <w:spacing w:before="0" w:beforeAutospacing="0" w:after="240" w:afterAutospacing="0" w:line="360" w:lineRule="auto"/>
        <w:rPr>
          <w:color w:val="000000"/>
        </w:rPr>
      </w:pPr>
      <w:r>
        <w:rPr>
          <w:color w:val="000000"/>
        </w:rPr>
        <w:t>Fenwick, A., Molnar, G. and Frangos, P. (2024) ‘The critical role of HRM in AI-driven digital transformation: A paradigm shift to enable firms to move from AI implementation to human-centric adoption’,</w:t>
      </w:r>
      <w:r>
        <w:rPr>
          <w:rStyle w:val="apple-converted-space"/>
          <w:rFonts w:eastAsiaTheme="majorEastAsia"/>
          <w:color w:val="000000"/>
        </w:rPr>
        <w:t> </w:t>
      </w:r>
      <w:r>
        <w:rPr>
          <w:i/>
          <w:iCs/>
          <w:color w:val="000000"/>
        </w:rPr>
        <w:t>Discover Artificial Intelligence</w:t>
      </w:r>
      <w:r>
        <w:rPr>
          <w:color w:val="000000"/>
        </w:rPr>
        <w:t>, 4(1). Available at: https://link.springer.com/article/10.1007/s44163-024-00125-4 (Accessed: 22 August 2026).</w:t>
      </w:r>
    </w:p>
    <w:p w14:paraId="4D1CCE08" w14:textId="786C25B9" w:rsidR="00F82232" w:rsidRDefault="00F82232" w:rsidP="00F67F11">
      <w:pPr>
        <w:pStyle w:val="NormalWeb"/>
        <w:spacing w:before="0" w:beforeAutospacing="0" w:after="240" w:afterAutospacing="0" w:line="360" w:lineRule="auto"/>
        <w:rPr>
          <w:color w:val="000000"/>
        </w:rPr>
      </w:pPr>
      <w:r>
        <w:rPr>
          <w:color w:val="000000"/>
        </w:rPr>
        <w:t>Furqan, R.R., Adawiyah, W.R., Şahin, A. and Purnomo, R. (2026) ‘Artificial intelligence adoption and firm performance in SMEs A systematic literature review and future research agenda’,</w:t>
      </w:r>
      <w:r>
        <w:rPr>
          <w:rStyle w:val="apple-converted-space"/>
          <w:rFonts w:eastAsiaTheme="majorEastAsia"/>
          <w:color w:val="000000"/>
        </w:rPr>
        <w:t> </w:t>
      </w:r>
      <w:r>
        <w:rPr>
          <w:i/>
          <w:iCs/>
          <w:color w:val="000000"/>
        </w:rPr>
        <w:t>The International Conference on Sustainable Economics Management and Accounting Proceeding</w:t>
      </w:r>
      <w:r>
        <w:rPr>
          <w:color w:val="000000"/>
        </w:rPr>
        <w:t>, 2, pp. 1886</w:t>
      </w:r>
      <w:r w:rsidR="0050188E">
        <w:rPr>
          <w:color w:val="000000"/>
        </w:rPr>
        <w:t>-</w:t>
      </w:r>
      <w:r>
        <w:rPr>
          <w:color w:val="000000"/>
        </w:rPr>
        <w:t>1906. Available at: https://doi.org/10.32424/icsema.v2i1.857.</w:t>
      </w:r>
    </w:p>
    <w:p w14:paraId="6518E3CB" w14:textId="02923B97" w:rsidR="00F82232" w:rsidRDefault="00F82232" w:rsidP="00F67F11">
      <w:pPr>
        <w:pStyle w:val="NormalWeb"/>
        <w:spacing w:before="0" w:beforeAutospacing="0" w:after="240" w:afterAutospacing="0" w:line="360" w:lineRule="auto"/>
        <w:rPr>
          <w:color w:val="000000"/>
        </w:rPr>
      </w:pPr>
      <w:r>
        <w:rPr>
          <w:color w:val="000000"/>
        </w:rPr>
        <w:t>Gempes, G. and Obenza, B. (2025) ‘Integrating conceptual frameworks in mixed methods research: A guide to design and application’,</w:t>
      </w:r>
      <w:r>
        <w:rPr>
          <w:rStyle w:val="apple-converted-space"/>
          <w:rFonts w:eastAsiaTheme="majorEastAsia"/>
          <w:color w:val="000000"/>
        </w:rPr>
        <w:t> </w:t>
      </w:r>
      <w:r>
        <w:rPr>
          <w:i/>
          <w:iCs/>
          <w:color w:val="000000"/>
        </w:rPr>
        <w:t>International Journal of Multidisciplinary Studies in Higher Education</w:t>
      </w:r>
      <w:r>
        <w:rPr>
          <w:color w:val="000000"/>
        </w:rPr>
        <w:t>, 2(3), pp. 1</w:t>
      </w:r>
      <w:r w:rsidR="0050188E">
        <w:rPr>
          <w:color w:val="000000"/>
        </w:rPr>
        <w:t>-</w:t>
      </w:r>
      <w:r>
        <w:rPr>
          <w:color w:val="000000"/>
        </w:rPr>
        <w:t>12. Available at: https://doi.org/10.70847/619380.</w:t>
      </w:r>
    </w:p>
    <w:p w14:paraId="06E7C940" w14:textId="77777777" w:rsidR="00F82232" w:rsidRDefault="00F82232" w:rsidP="00F67F11">
      <w:pPr>
        <w:pStyle w:val="NormalWeb"/>
        <w:spacing w:before="0" w:beforeAutospacing="0" w:after="240" w:afterAutospacing="0" w:line="360" w:lineRule="auto"/>
        <w:rPr>
          <w:color w:val="000000"/>
        </w:rPr>
      </w:pPr>
      <w:r>
        <w:rPr>
          <w:color w:val="000000"/>
        </w:rPr>
        <w:t>Geppert, T., Block, A., Rothstein, M. and Gellrich, M. (2026) ‘A structured domain model for organizational AI adoption’,</w:t>
      </w:r>
      <w:r>
        <w:rPr>
          <w:rStyle w:val="apple-converted-space"/>
          <w:rFonts w:eastAsiaTheme="majorEastAsia"/>
          <w:color w:val="000000"/>
        </w:rPr>
        <w:t> </w:t>
      </w:r>
      <w:r>
        <w:rPr>
          <w:i/>
          <w:iCs/>
          <w:color w:val="000000"/>
        </w:rPr>
        <w:t>AI</w:t>
      </w:r>
      <w:r>
        <w:rPr>
          <w:color w:val="000000"/>
        </w:rPr>
        <w:t>, 7(7), p. 235. Available at: https://doi.org/10.3390/ai7070235.</w:t>
      </w:r>
    </w:p>
    <w:p w14:paraId="05206250" w14:textId="336A9534" w:rsidR="00F82232" w:rsidRDefault="00F82232" w:rsidP="00F67F11">
      <w:pPr>
        <w:pStyle w:val="NormalWeb"/>
        <w:spacing w:before="0" w:beforeAutospacing="0" w:after="240" w:afterAutospacing="0" w:line="360" w:lineRule="auto"/>
        <w:rPr>
          <w:color w:val="000000"/>
        </w:rPr>
      </w:pPr>
      <w:r>
        <w:rPr>
          <w:color w:val="000000"/>
        </w:rPr>
        <w:t>Getzin, F., Henschel, T., Kuttner, M. and McKinney, E. (2026) ‘Institutional pressures on AI adoption in management accounting: Evidence from SMEs and implications for education’,</w:t>
      </w:r>
      <w:r>
        <w:rPr>
          <w:rStyle w:val="apple-converted-space"/>
          <w:rFonts w:eastAsiaTheme="majorEastAsia"/>
          <w:color w:val="000000"/>
        </w:rPr>
        <w:t> </w:t>
      </w:r>
      <w:r>
        <w:rPr>
          <w:i/>
          <w:iCs/>
          <w:color w:val="000000"/>
        </w:rPr>
        <w:t>Journal of the International Council for Small Business</w:t>
      </w:r>
      <w:r>
        <w:rPr>
          <w:color w:val="000000"/>
        </w:rPr>
        <w:t>, pp. 1</w:t>
      </w:r>
      <w:r w:rsidR="0050188E">
        <w:rPr>
          <w:color w:val="000000"/>
        </w:rPr>
        <w:t>-</w:t>
      </w:r>
      <w:r>
        <w:rPr>
          <w:color w:val="000000"/>
        </w:rPr>
        <w:t>22. Available at: https://doi.org/10.1080/26437015.2026.2673580.</w:t>
      </w:r>
    </w:p>
    <w:p w14:paraId="4668442B" w14:textId="77777777" w:rsidR="00F82232" w:rsidRDefault="00F82232" w:rsidP="00F67F11">
      <w:pPr>
        <w:pStyle w:val="NormalWeb"/>
        <w:spacing w:before="0" w:beforeAutospacing="0" w:after="240" w:afterAutospacing="0" w:line="360" w:lineRule="auto"/>
        <w:rPr>
          <w:color w:val="000000"/>
        </w:rPr>
      </w:pPr>
      <w:r>
        <w:rPr>
          <w:color w:val="000000"/>
        </w:rPr>
        <w:lastRenderedPageBreak/>
        <w:t>Ghobakhloo, M., Mahdiraji, H.A., Iranmanesh, M. and Jafari-Sadeghi, V. (2024) ‘From industry 4.0 Digital Manufacturing to Industry 5.0 Digital Society: A roadmap toward human-centric, sustainable, and resilient production’,</w:t>
      </w:r>
      <w:r>
        <w:rPr>
          <w:rStyle w:val="apple-converted-space"/>
          <w:rFonts w:eastAsiaTheme="majorEastAsia"/>
          <w:color w:val="000000"/>
        </w:rPr>
        <w:t> </w:t>
      </w:r>
      <w:r>
        <w:rPr>
          <w:i/>
          <w:iCs/>
          <w:color w:val="000000"/>
        </w:rPr>
        <w:t>Information Systems Frontiers</w:t>
      </w:r>
      <w:r>
        <w:rPr>
          <w:rStyle w:val="apple-converted-space"/>
          <w:rFonts w:eastAsiaTheme="majorEastAsia"/>
          <w:color w:val="000000"/>
        </w:rPr>
        <w:t> </w:t>
      </w:r>
      <w:r>
        <w:rPr>
          <w:color w:val="000000"/>
        </w:rPr>
        <w:t>. Available at: https://doi.org/10.1007/s10796-024-10476-z.</w:t>
      </w:r>
    </w:p>
    <w:p w14:paraId="290C0CCD" w14:textId="77777777" w:rsidR="00F82232" w:rsidRDefault="00F82232" w:rsidP="00F67F11">
      <w:pPr>
        <w:pStyle w:val="NormalWeb"/>
        <w:spacing w:before="0" w:beforeAutospacing="0" w:after="240" w:afterAutospacing="0" w:line="360" w:lineRule="auto"/>
        <w:rPr>
          <w:color w:val="000000"/>
        </w:rPr>
      </w:pPr>
      <w:r>
        <w:rPr>
          <w:color w:val="000000"/>
        </w:rPr>
        <w:t>Ghosh, A., Saini, A. and Barad, H. (2025) ‘Artificial intelligence in governance: Recent trends, risks, challenges, innovative frameworks and future directions’,</w:t>
      </w:r>
      <w:r>
        <w:rPr>
          <w:rStyle w:val="apple-converted-space"/>
          <w:rFonts w:eastAsiaTheme="majorEastAsia"/>
          <w:color w:val="000000"/>
        </w:rPr>
        <w:t> </w:t>
      </w:r>
      <w:r>
        <w:rPr>
          <w:i/>
          <w:iCs/>
          <w:color w:val="000000"/>
        </w:rPr>
        <w:t>AI &amp; SOCIETY</w:t>
      </w:r>
      <w:r>
        <w:rPr>
          <w:rStyle w:val="apple-converted-space"/>
          <w:rFonts w:eastAsiaTheme="majorEastAsia"/>
          <w:color w:val="000000"/>
        </w:rPr>
        <w:t> </w:t>
      </w:r>
      <w:r>
        <w:rPr>
          <w:color w:val="000000"/>
        </w:rPr>
        <w:t>. Available at: https://doi.org/10.1007/s00146-025-02312-y.</w:t>
      </w:r>
    </w:p>
    <w:p w14:paraId="4E53CC85" w14:textId="77777777" w:rsidR="00F82232" w:rsidRDefault="00F82232" w:rsidP="00F67F11">
      <w:pPr>
        <w:pStyle w:val="NormalWeb"/>
        <w:spacing w:before="0" w:beforeAutospacing="0" w:after="240" w:afterAutospacing="0" w:line="360" w:lineRule="auto"/>
        <w:rPr>
          <w:color w:val="000000"/>
        </w:rPr>
      </w:pPr>
      <w:r>
        <w:rPr>
          <w:color w:val="000000"/>
        </w:rPr>
        <w:t>Giering, O. and Kirchner, S. (2025) ‘Artificial intelligence and autonomy at work: Empirical insights from Germany’,</w:t>
      </w:r>
      <w:r>
        <w:rPr>
          <w:rStyle w:val="apple-converted-space"/>
          <w:rFonts w:eastAsiaTheme="majorEastAsia"/>
          <w:color w:val="000000"/>
        </w:rPr>
        <w:t> </w:t>
      </w:r>
      <w:r>
        <w:rPr>
          <w:i/>
          <w:iCs/>
          <w:color w:val="000000"/>
        </w:rPr>
        <w:t>Journal for Labour Market Research</w:t>
      </w:r>
      <w:r>
        <w:rPr>
          <w:color w:val="000000"/>
        </w:rPr>
        <w:t>, 59(1). Available at: https://doi.org/10.1186/s12651-025-00401-5.</w:t>
      </w:r>
    </w:p>
    <w:p w14:paraId="7FD9DF0F" w14:textId="77777777" w:rsidR="00F82232" w:rsidRDefault="00F82232" w:rsidP="00F67F11">
      <w:pPr>
        <w:pStyle w:val="NormalWeb"/>
        <w:spacing w:before="0" w:beforeAutospacing="0" w:after="240" w:afterAutospacing="0" w:line="360" w:lineRule="auto"/>
        <w:rPr>
          <w:color w:val="000000"/>
        </w:rPr>
      </w:pPr>
      <w:r>
        <w:rPr>
          <w:color w:val="000000"/>
        </w:rPr>
        <w:t>GOV.UK (2023)</w:t>
      </w:r>
      <w:r>
        <w:rPr>
          <w:rStyle w:val="apple-converted-space"/>
          <w:rFonts w:eastAsiaTheme="majorEastAsia"/>
          <w:color w:val="000000"/>
        </w:rPr>
        <w:t> </w:t>
      </w:r>
      <w:r>
        <w:rPr>
          <w:i/>
          <w:iCs/>
          <w:color w:val="000000"/>
        </w:rPr>
        <w:t>A pro-innovation Approach to AI Regulation</w:t>
      </w:r>
      <w:r>
        <w:rPr>
          <w:color w:val="000000"/>
        </w:rPr>
        <w:t>,</w:t>
      </w:r>
      <w:r>
        <w:rPr>
          <w:rStyle w:val="apple-converted-space"/>
          <w:rFonts w:eastAsiaTheme="majorEastAsia"/>
          <w:color w:val="000000"/>
        </w:rPr>
        <w:t> </w:t>
      </w:r>
      <w:r>
        <w:rPr>
          <w:i/>
          <w:iCs/>
          <w:color w:val="000000"/>
        </w:rPr>
        <w:t>GOV.UK</w:t>
      </w:r>
      <w:r>
        <w:rPr>
          <w:color w:val="000000"/>
        </w:rPr>
        <w:t>. Available at: https://www.gov.uk/government/publications/ai-regulation-a-pro-innovation-approach/white-paper.</w:t>
      </w:r>
    </w:p>
    <w:p w14:paraId="644F2CFF" w14:textId="77777777" w:rsidR="00F82232" w:rsidRDefault="00F82232" w:rsidP="00F67F11">
      <w:pPr>
        <w:pStyle w:val="NormalWeb"/>
        <w:spacing w:before="0" w:beforeAutospacing="0" w:after="240" w:afterAutospacing="0" w:line="360" w:lineRule="auto"/>
        <w:rPr>
          <w:color w:val="000000"/>
        </w:rPr>
      </w:pPr>
      <w:r>
        <w:rPr>
          <w:color w:val="000000"/>
        </w:rPr>
        <w:t>Grange, C., Demazure, T., Ringeval, M., Bourdeau, S. and Martineau, C. (2025) ‘The human‐GenAI value loop in human‐centered innovation: Beyond the magical narrative’,</w:t>
      </w:r>
      <w:r>
        <w:rPr>
          <w:rStyle w:val="apple-converted-space"/>
          <w:rFonts w:eastAsiaTheme="majorEastAsia"/>
          <w:color w:val="000000"/>
        </w:rPr>
        <w:t> </w:t>
      </w:r>
      <w:r>
        <w:rPr>
          <w:i/>
          <w:iCs/>
          <w:color w:val="000000"/>
        </w:rPr>
        <w:t>Information Systems Journal</w:t>
      </w:r>
      <w:r>
        <w:rPr>
          <w:color w:val="000000"/>
        </w:rPr>
        <w:t>, 36(1). Available at: https://doi.org/10.1111/isj.12602.</w:t>
      </w:r>
    </w:p>
    <w:p w14:paraId="4C7E17DD" w14:textId="77777777" w:rsidR="00F82232" w:rsidRDefault="00F82232" w:rsidP="00F67F11">
      <w:pPr>
        <w:pStyle w:val="NormalWeb"/>
        <w:spacing w:before="0" w:beforeAutospacing="0" w:after="240" w:afterAutospacing="0" w:line="360" w:lineRule="auto"/>
        <w:rPr>
          <w:color w:val="000000"/>
        </w:rPr>
      </w:pPr>
      <w:r>
        <w:rPr>
          <w:color w:val="000000"/>
        </w:rPr>
        <w:t>Hair, J.F., Hult, G.T.M., Ringle, C.M. and Sarstedt, M. (2022)</w:t>
      </w:r>
      <w:r>
        <w:rPr>
          <w:rStyle w:val="apple-converted-space"/>
          <w:rFonts w:eastAsiaTheme="majorEastAsia"/>
          <w:color w:val="000000"/>
        </w:rPr>
        <w:t> </w:t>
      </w:r>
      <w:r>
        <w:rPr>
          <w:i/>
          <w:iCs/>
          <w:color w:val="000000"/>
        </w:rPr>
        <w:t>A primer on partial least squares structural equation modeling (PLS-SEM)</w:t>
      </w:r>
      <w:r>
        <w:rPr>
          <w:color w:val="000000"/>
        </w:rPr>
        <w:t>. Sage.</w:t>
      </w:r>
    </w:p>
    <w:p w14:paraId="1C666256" w14:textId="394F0406" w:rsidR="00F82232" w:rsidRDefault="00F82232" w:rsidP="00F67F11">
      <w:pPr>
        <w:pStyle w:val="NormalWeb"/>
        <w:spacing w:before="0" w:beforeAutospacing="0" w:after="240" w:afterAutospacing="0" w:line="360" w:lineRule="auto"/>
        <w:rPr>
          <w:color w:val="000000"/>
        </w:rPr>
      </w:pPr>
      <w:r>
        <w:rPr>
          <w:color w:val="000000"/>
        </w:rPr>
        <w:t>Hair, J.F., Risher, J.J., Sarstedt, M. and Ringle, C.M. (2019) ‘When to use and how to report the results of PLS-SEM’,</w:t>
      </w:r>
      <w:r>
        <w:rPr>
          <w:rStyle w:val="apple-converted-space"/>
          <w:rFonts w:eastAsiaTheme="majorEastAsia"/>
          <w:color w:val="000000"/>
        </w:rPr>
        <w:t> </w:t>
      </w:r>
      <w:r>
        <w:rPr>
          <w:i/>
          <w:iCs/>
          <w:color w:val="000000"/>
        </w:rPr>
        <w:t>European Business Review</w:t>
      </w:r>
      <w:r>
        <w:rPr>
          <w:color w:val="000000"/>
        </w:rPr>
        <w:t>, 31(1), pp. 2</w:t>
      </w:r>
      <w:r w:rsidR="0050188E">
        <w:rPr>
          <w:color w:val="000000"/>
        </w:rPr>
        <w:t>-</w:t>
      </w:r>
      <w:r>
        <w:rPr>
          <w:color w:val="000000"/>
        </w:rPr>
        <w:t>24. Available at: https://doi.org/https://doi.org/10.1108/EBR-11-2018-0203.</w:t>
      </w:r>
    </w:p>
    <w:p w14:paraId="1ED74A0C" w14:textId="492BC544" w:rsidR="00F82232" w:rsidRDefault="00F82232" w:rsidP="00F67F11">
      <w:pPr>
        <w:pStyle w:val="NormalWeb"/>
        <w:spacing w:before="0" w:beforeAutospacing="0" w:after="240" w:afterAutospacing="0" w:line="360" w:lineRule="auto"/>
        <w:rPr>
          <w:color w:val="000000"/>
        </w:rPr>
      </w:pPr>
      <w:r>
        <w:rPr>
          <w:color w:val="000000"/>
        </w:rPr>
        <w:t>Hayes, A.F. (2018) ‘Partial, conditional, and moderated moderated mediation: Quantification, inference, and interpretation’,</w:t>
      </w:r>
      <w:r>
        <w:rPr>
          <w:rStyle w:val="apple-converted-space"/>
          <w:rFonts w:eastAsiaTheme="majorEastAsia"/>
          <w:color w:val="000000"/>
        </w:rPr>
        <w:t> </w:t>
      </w:r>
      <w:r>
        <w:rPr>
          <w:i/>
          <w:iCs/>
          <w:color w:val="000000"/>
        </w:rPr>
        <w:t>Communication Monographs</w:t>
      </w:r>
      <w:r>
        <w:rPr>
          <w:color w:val="000000"/>
        </w:rPr>
        <w:t>, 85(1), pp. 4</w:t>
      </w:r>
      <w:r w:rsidR="0050188E">
        <w:rPr>
          <w:color w:val="000000"/>
        </w:rPr>
        <w:t>-</w:t>
      </w:r>
      <w:r>
        <w:rPr>
          <w:color w:val="000000"/>
        </w:rPr>
        <w:t>40. Available at: https://doi.org/10.1080/03637751.2017.1352100.</w:t>
      </w:r>
    </w:p>
    <w:p w14:paraId="444068CE" w14:textId="77777777" w:rsidR="00F82232" w:rsidRDefault="00F82232" w:rsidP="00F67F11">
      <w:pPr>
        <w:pStyle w:val="NormalWeb"/>
        <w:spacing w:before="0" w:beforeAutospacing="0" w:after="240" w:afterAutospacing="0" w:line="360" w:lineRule="auto"/>
        <w:rPr>
          <w:color w:val="000000"/>
        </w:rPr>
      </w:pPr>
      <w:r>
        <w:rPr>
          <w:color w:val="000000"/>
        </w:rPr>
        <w:t>Högemann, M., Hein, L., Britsche, J.-O. and Thomas, O. (2025) ‘Technostress and generative AI in the workplace: A qualitative analysis of young professionals’,</w:t>
      </w:r>
      <w:r>
        <w:rPr>
          <w:rStyle w:val="apple-converted-space"/>
          <w:rFonts w:eastAsiaTheme="majorEastAsia"/>
          <w:color w:val="000000"/>
        </w:rPr>
        <w:t> </w:t>
      </w:r>
      <w:r>
        <w:rPr>
          <w:i/>
          <w:iCs/>
          <w:color w:val="000000"/>
        </w:rPr>
        <w:t>Frontiers in Artificial Intelligence</w:t>
      </w:r>
      <w:r>
        <w:rPr>
          <w:color w:val="000000"/>
        </w:rPr>
        <w:t>, 8. Available at: https://doi.org/10.3389/frai.2025.1728881.</w:t>
      </w:r>
    </w:p>
    <w:p w14:paraId="76017462" w14:textId="77777777" w:rsidR="00F82232" w:rsidRDefault="00F82232" w:rsidP="00F67F11">
      <w:pPr>
        <w:pStyle w:val="NormalWeb"/>
        <w:spacing w:before="0" w:beforeAutospacing="0" w:after="240" w:afterAutospacing="0" w:line="360" w:lineRule="auto"/>
        <w:rPr>
          <w:color w:val="000000"/>
        </w:rPr>
      </w:pPr>
      <w:r>
        <w:rPr>
          <w:color w:val="000000"/>
        </w:rPr>
        <w:t>Imtiaz, M., Hamid, A.B.A., Nadarajah, D., Mehmood, S.A. and Ahmad, M.K. (2023) ‘Enhancing SMEs performance through supply chain collaboration and moderation of supply chain technology implementation’,</w:t>
      </w:r>
      <w:r>
        <w:rPr>
          <w:rStyle w:val="apple-converted-space"/>
          <w:rFonts w:eastAsiaTheme="majorEastAsia"/>
          <w:color w:val="000000"/>
        </w:rPr>
        <w:t> </w:t>
      </w:r>
      <w:r>
        <w:rPr>
          <w:i/>
          <w:iCs/>
          <w:color w:val="000000"/>
        </w:rPr>
        <w:t>Brazilian Journal of Operations &amp; Production Management</w:t>
      </w:r>
      <w:r>
        <w:rPr>
          <w:color w:val="000000"/>
        </w:rPr>
        <w:t>, 20(2), p. 1494. Available at: https://doi.org/10.14488/bjopm.1494.2023.</w:t>
      </w:r>
    </w:p>
    <w:p w14:paraId="30DAD3BB" w14:textId="77777777" w:rsidR="00F82232" w:rsidRDefault="00F82232" w:rsidP="00F67F11">
      <w:pPr>
        <w:pStyle w:val="NormalWeb"/>
        <w:spacing w:before="0" w:beforeAutospacing="0" w:after="240" w:afterAutospacing="0" w:line="360" w:lineRule="auto"/>
        <w:rPr>
          <w:color w:val="000000"/>
        </w:rPr>
      </w:pPr>
      <w:r>
        <w:rPr>
          <w:color w:val="000000"/>
        </w:rPr>
        <w:lastRenderedPageBreak/>
        <w:t>Jaciow, M., Adamczyk, A., Bartuś, K., Bratnicka-Myśliwiec, K., Hoffmann-Burdzińska, K., Skórska, A., Strzelecki, A., Szojda, G. and Wolny, R. (2026) ‘Perceived benefits, leadership engagement and AI maturity in Polish SMEs: A socio-technical perspective on sustainable digital transformation under competitive pressure’,</w:t>
      </w:r>
      <w:r>
        <w:rPr>
          <w:rStyle w:val="apple-converted-space"/>
          <w:rFonts w:eastAsiaTheme="majorEastAsia"/>
          <w:color w:val="000000"/>
        </w:rPr>
        <w:t> </w:t>
      </w:r>
      <w:r>
        <w:rPr>
          <w:i/>
          <w:iCs/>
          <w:color w:val="000000"/>
        </w:rPr>
        <w:t>Sustainability</w:t>
      </w:r>
      <w:r>
        <w:rPr>
          <w:color w:val="000000"/>
        </w:rPr>
        <w:t>, 18(10), p. 4807. Available at: https://doi.org/10.3390/su18104807.</w:t>
      </w:r>
    </w:p>
    <w:p w14:paraId="55F977C9" w14:textId="1D54EEF6" w:rsidR="00F82232" w:rsidRDefault="00F82232" w:rsidP="00F67F11">
      <w:pPr>
        <w:pStyle w:val="NormalWeb"/>
        <w:spacing w:before="0" w:beforeAutospacing="0" w:after="240" w:afterAutospacing="0" w:line="360" w:lineRule="auto"/>
        <w:rPr>
          <w:color w:val="000000"/>
        </w:rPr>
      </w:pPr>
      <w:r>
        <w:rPr>
          <w:color w:val="000000"/>
        </w:rPr>
        <w:t>Jaiswal, A., Arun, C.J. and Varma, A. (2021) ‘Rebooting employees: Upskilling for artificial intelligence in multinational corporations’,</w:t>
      </w:r>
      <w:r>
        <w:rPr>
          <w:rStyle w:val="apple-converted-space"/>
          <w:rFonts w:eastAsiaTheme="majorEastAsia"/>
          <w:color w:val="000000"/>
        </w:rPr>
        <w:t> </w:t>
      </w:r>
      <w:r>
        <w:rPr>
          <w:i/>
          <w:iCs/>
          <w:color w:val="000000"/>
        </w:rPr>
        <w:t>The International Journal of Human Resource Management</w:t>
      </w:r>
      <w:r>
        <w:rPr>
          <w:color w:val="000000"/>
        </w:rPr>
        <w:t>, 33(6), pp. 1</w:t>
      </w:r>
      <w:r w:rsidR="0050188E">
        <w:rPr>
          <w:color w:val="000000"/>
        </w:rPr>
        <w:t>-</w:t>
      </w:r>
      <w:r>
        <w:rPr>
          <w:color w:val="000000"/>
        </w:rPr>
        <w:t>30. Available at: https://doi.org/10.1080/09585192.2021.1891114.</w:t>
      </w:r>
    </w:p>
    <w:p w14:paraId="5E754577" w14:textId="29BBE70D" w:rsidR="00F82232" w:rsidRDefault="00F82232" w:rsidP="00F67F11">
      <w:pPr>
        <w:pStyle w:val="NormalWeb"/>
        <w:spacing w:before="0" w:beforeAutospacing="0" w:after="240" w:afterAutospacing="0" w:line="360" w:lineRule="auto"/>
        <w:rPr>
          <w:color w:val="000000"/>
        </w:rPr>
      </w:pPr>
      <w:r>
        <w:rPr>
          <w:color w:val="000000"/>
        </w:rPr>
        <w:t>Jakranpally, K. (2022) ‘Generative AI for automated customer service management in salesforce service cloud’,</w:t>
      </w:r>
      <w:r>
        <w:rPr>
          <w:rStyle w:val="apple-converted-space"/>
          <w:rFonts w:eastAsiaTheme="majorEastAsia"/>
          <w:color w:val="000000"/>
        </w:rPr>
        <w:t> </w:t>
      </w:r>
      <w:r>
        <w:rPr>
          <w:i/>
          <w:iCs/>
          <w:color w:val="000000"/>
        </w:rPr>
        <w:t>International Journal of Science and Research (IJSR)</w:t>
      </w:r>
      <w:r>
        <w:rPr>
          <w:color w:val="000000"/>
        </w:rPr>
        <w:t>, pp. 1677</w:t>
      </w:r>
      <w:r w:rsidR="0050188E">
        <w:rPr>
          <w:color w:val="000000"/>
        </w:rPr>
        <w:t>-</w:t>
      </w:r>
      <w:r>
        <w:rPr>
          <w:color w:val="000000"/>
        </w:rPr>
        <w:t>1679. Available at: https://doi.org/10.21275/ms2203083603.</w:t>
      </w:r>
    </w:p>
    <w:p w14:paraId="53F6D234" w14:textId="746B9432" w:rsidR="00F82232" w:rsidRDefault="00F82232" w:rsidP="00F67F11">
      <w:pPr>
        <w:pStyle w:val="NormalWeb"/>
        <w:spacing w:before="0" w:beforeAutospacing="0" w:after="240" w:afterAutospacing="0" w:line="360" w:lineRule="auto"/>
        <w:rPr>
          <w:color w:val="000000"/>
        </w:rPr>
      </w:pPr>
      <w:r>
        <w:rPr>
          <w:color w:val="000000"/>
        </w:rPr>
        <w:t>Jarrahi, M.H. (2018) ‘Artificial Intelligence and the Future of work: Human-AI Symbiosis in Organizational Decision Making’,</w:t>
      </w:r>
      <w:r>
        <w:rPr>
          <w:rStyle w:val="apple-converted-space"/>
          <w:rFonts w:eastAsiaTheme="majorEastAsia"/>
          <w:color w:val="000000"/>
        </w:rPr>
        <w:t> </w:t>
      </w:r>
      <w:r>
        <w:rPr>
          <w:i/>
          <w:iCs/>
          <w:color w:val="000000"/>
        </w:rPr>
        <w:t>Business Horizons</w:t>
      </w:r>
      <w:r>
        <w:rPr>
          <w:color w:val="000000"/>
        </w:rPr>
        <w:t>, 61(4), pp. 577</w:t>
      </w:r>
      <w:r w:rsidR="0050188E">
        <w:rPr>
          <w:color w:val="000000"/>
        </w:rPr>
        <w:t>-</w:t>
      </w:r>
      <w:r>
        <w:rPr>
          <w:color w:val="000000"/>
        </w:rPr>
        <w:t>586. Available at: https://doi.org/https://doi.org/10.1016/j.bushor.2018.03.007.</w:t>
      </w:r>
    </w:p>
    <w:p w14:paraId="3EEAE4EA" w14:textId="77777777" w:rsidR="00F82232" w:rsidRDefault="00F82232" w:rsidP="00F67F11">
      <w:pPr>
        <w:pStyle w:val="NormalWeb"/>
        <w:spacing w:before="0" w:beforeAutospacing="0" w:after="240" w:afterAutospacing="0" w:line="360" w:lineRule="auto"/>
        <w:rPr>
          <w:color w:val="000000"/>
        </w:rPr>
      </w:pPr>
      <w:r>
        <w:rPr>
          <w:color w:val="000000"/>
        </w:rPr>
        <w:t>Jetha, A., Liao, Q., Smith, P., Vu, V., Biswas, A., Smith, B. and Vahid Shahidi, F. (2026) ‘Large language model exposure and precarious occupations: Unpacking relationships in the Canadian labor force’,</w:t>
      </w:r>
      <w:r>
        <w:rPr>
          <w:rStyle w:val="apple-converted-space"/>
          <w:rFonts w:eastAsiaTheme="majorEastAsia"/>
          <w:color w:val="000000"/>
        </w:rPr>
        <w:t> </w:t>
      </w:r>
      <w:r>
        <w:rPr>
          <w:i/>
          <w:iCs/>
          <w:color w:val="000000"/>
        </w:rPr>
        <w:t>Scandinavian Journal of Work, Environment &amp; Health</w:t>
      </w:r>
      <w:r>
        <w:rPr>
          <w:rStyle w:val="apple-converted-space"/>
          <w:rFonts w:eastAsiaTheme="majorEastAsia"/>
          <w:color w:val="000000"/>
        </w:rPr>
        <w:t> </w:t>
      </w:r>
      <w:r>
        <w:rPr>
          <w:color w:val="000000"/>
        </w:rPr>
        <w:t>. Available at: https://doi.org/10.5271/sjweh.4312.</w:t>
      </w:r>
    </w:p>
    <w:p w14:paraId="545CBE8C" w14:textId="77777777" w:rsidR="00F82232" w:rsidRDefault="00F82232" w:rsidP="00F67F11">
      <w:pPr>
        <w:pStyle w:val="NormalWeb"/>
        <w:spacing w:before="0" w:beforeAutospacing="0" w:after="240" w:afterAutospacing="0" w:line="360" w:lineRule="auto"/>
        <w:rPr>
          <w:color w:val="000000"/>
        </w:rPr>
      </w:pPr>
      <w:r>
        <w:rPr>
          <w:color w:val="000000"/>
        </w:rPr>
        <w:t>Jiang, X. and Abdullah, Z. (2026) ‘AI-enabled governance in higher education: A systematic review of applications, outcomes, and emerging implications’,</w:t>
      </w:r>
      <w:r>
        <w:rPr>
          <w:rStyle w:val="apple-converted-space"/>
          <w:rFonts w:eastAsiaTheme="majorEastAsia"/>
          <w:color w:val="000000"/>
        </w:rPr>
        <w:t> </w:t>
      </w:r>
      <w:r>
        <w:rPr>
          <w:i/>
          <w:iCs/>
          <w:color w:val="000000"/>
        </w:rPr>
        <w:t>Frontiers in Education</w:t>
      </w:r>
      <w:r>
        <w:rPr>
          <w:color w:val="000000"/>
        </w:rPr>
        <w:t>, 11. Available at: https://doi.org/10.3389/feduc.2026.1856440.</w:t>
      </w:r>
    </w:p>
    <w:p w14:paraId="0506DD06" w14:textId="3A444131" w:rsidR="00F82232" w:rsidRDefault="00F82232" w:rsidP="00F67F11">
      <w:pPr>
        <w:pStyle w:val="NormalWeb"/>
        <w:spacing w:before="0" w:beforeAutospacing="0" w:after="240" w:afterAutospacing="0" w:line="360" w:lineRule="auto"/>
        <w:rPr>
          <w:color w:val="000000"/>
        </w:rPr>
      </w:pPr>
      <w:r>
        <w:rPr>
          <w:color w:val="000000"/>
        </w:rPr>
        <w:t>Kabir, M.N. (2025) ‘Governing generative AI at scale: Institutionalizing alignment for organizational purpose’,</w:t>
      </w:r>
      <w:r>
        <w:rPr>
          <w:rStyle w:val="apple-converted-space"/>
          <w:rFonts w:eastAsiaTheme="majorEastAsia"/>
          <w:color w:val="000000"/>
        </w:rPr>
        <w:t> </w:t>
      </w:r>
      <w:r>
        <w:rPr>
          <w:i/>
          <w:iCs/>
          <w:color w:val="000000"/>
        </w:rPr>
        <w:t>International Conference on AI Research</w:t>
      </w:r>
      <w:r>
        <w:rPr>
          <w:color w:val="000000"/>
        </w:rPr>
        <w:t>, 5(1), pp. 172</w:t>
      </w:r>
      <w:r w:rsidR="0050188E">
        <w:rPr>
          <w:color w:val="000000"/>
        </w:rPr>
        <w:t>-</w:t>
      </w:r>
      <w:r>
        <w:rPr>
          <w:color w:val="000000"/>
        </w:rPr>
        <w:t>180. Available at: https://doi.org/10.34190/icair.5.1.4374.</w:t>
      </w:r>
    </w:p>
    <w:p w14:paraId="7359F2B0" w14:textId="77777777" w:rsidR="00F82232" w:rsidRDefault="00F82232" w:rsidP="00F67F11">
      <w:pPr>
        <w:pStyle w:val="NormalWeb"/>
        <w:spacing w:before="0" w:beforeAutospacing="0" w:after="240" w:afterAutospacing="0" w:line="360" w:lineRule="auto"/>
        <w:rPr>
          <w:color w:val="000000"/>
        </w:rPr>
      </w:pPr>
      <w:r>
        <w:rPr>
          <w:color w:val="000000"/>
        </w:rPr>
        <w:t>Kallmuenzer, A., Mikhaylov, A., Chelaru, M. and Czakon, W. (2024) ‘Adoption and performance outcome of digitalization in small and medium-sized enterprises’,</w:t>
      </w:r>
      <w:r>
        <w:rPr>
          <w:rStyle w:val="apple-converted-space"/>
          <w:rFonts w:eastAsiaTheme="majorEastAsia"/>
          <w:color w:val="000000"/>
        </w:rPr>
        <w:t> </w:t>
      </w:r>
      <w:r>
        <w:rPr>
          <w:i/>
          <w:iCs/>
          <w:color w:val="000000"/>
        </w:rPr>
        <w:t>Review of Managerial Science</w:t>
      </w:r>
      <w:r>
        <w:rPr>
          <w:rStyle w:val="apple-converted-space"/>
          <w:rFonts w:eastAsiaTheme="majorEastAsia"/>
          <w:color w:val="000000"/>
        </w:rPr>
        <w:t> </w:t>
      </w:r>
      <w:r>
        <w:rPr>
          <w:color w:val="000000"/>
        </w:rPr>
        <w:t>. Available at: https://doi.org/10.1007/s11846-024-00744-2.</w:t>
      </w:r>
    </w:p>
    <w:p w14:paraId="5CC03D07" w14:textId="14499043" w:rsidR="00F82232" w:rsidRDefault="00F82232" w:rsidP="00F67F11">
      <w:pPr>
        <w:pStyle w:val="NormalWeb"/>
        <w:spacing w:before="0" w:beforeAutospacing="0" w:after="240" w:afterAutospacing="0" w:line="360" w:lineRule="auto"/>
        <w:rPr>
          <w:color w:val="000000"/>
        </w:rPr>
      </w:pPr>
      <w:r>
        <w:rPr>
          <w:color w:val="000000"/>
        </w:rPr>
        <w:t>Kanbach, D.K., Heiduk, L., Blueher, G., Schreiter, M. and Lahmann, A.D.F. (2023) ‘The GenAI is out of the bottle: Generative artificial intelligence from a business model innovation perspective’,</w:t>
      </w:r>
      <w:r>
        <w:rPr>
          <w:rStyle w:val="apple-converted-space"/>
          <w:rFonts w:eastAsiaTheme="majorEastAsia"/>
          <w:color w:val="000000"/>
        </w:rPr>
        <w:t> </w:t>
      </w:r>
      <w:r>
        <w:rPr>
          <w:i/>
          <w:iCs/>
          <w:color w:val="000000"/>
        </w:rPr>
        <w:t>Review of Managerial Science</w:t>
      </w:r>
      <w:r>
        <w:rPr>
          <w:color w:val="000000"/>
        </w:rPr>
        <w:t>, 18(4), pp. 1189</w:t>
      </w:r>
      <w:r w:rsidR="0050188E">
        <w:rPr>
          <w:color w:val="000000"/>
        </w:rPr>
        <w:t>-</w:t>
      </w:r>
      <w:r>
        <w:rPr>
          <w:color w:val="000000"/>
        </w:rPr>
        <w:t>1220. Available at: https://doi.org/10.1007/s11846-023-00696-z.</w:t>
      </w:r>
    </w:p>
    <w:p w14:paraId="55F20F62" w14:textId="7EBD0609" w:rsidR="00F82232" w:rsidRDefault="00F82232" w:rsidP="00F67F11">
      <w:pPr>
        <w:pStyle w:val="NormalWeb"/>
        <w:spacing w:before="0" w:beforeAutospacing="0" w:after="240" w:afterAutospacing="0" w:line="360" w:lineRule="auto"/>
        <w:rPr>
          <w:color w:val="000000"/>
        </w:rPr>
      </w:pPr>
      <w:r>
        <w:rPr>
          <w:color w:val="000000"/>
        </w:rPr>
        <w:lastRenderedPageBreak/>
        <w:t>Kellogg, K.C., Valentine, M.A. and Christin, A. (2020) ‘Algorithms at Work: The New Contested Terrain of Control’,</w:t>
      </w:r>
      <w:r>
        <w:rPr>
          <w:rStyle w:val="apple-converted-space"/>
          <w:rFonts w:eastAsiaTheme="majorEastAsia"/>
          <w:color w:val="000000"/>
        </w:rPr>
        <w:t> </w:t>
      </w:r>
      <w:r>
        <w:rPr>
          <w:i/>
          <w:iCs/>
          <w:color w:val="000000"/>
        </w:rPr>
        <w:t>Academy of Management Annals</w:t>
      </w:r>
      <w:r>
        <w:rPr>
          <w:color w:val="000000"/>
        </w:rPr>
        <w:t>, 14(1), pp. 366</w:t>
      </w:r>
      <w:r w:rsidR="0050188E">
        <w:rPr>
          <w:color w:val="000000"/>
        </w:rPr>
        <w:t>-</w:t>
      </w:r>
      <w:r>
        <w:rPr>
          <w:color w:val="000000"/>
        </w:rPr>
        <w:t>410.</w:t>
      </w:r>
    </w:p>
    <w:p w14:paraId="4244F446" w14:textId="77777777" w:rsidR="00F82232" w:rsidRDefault="00F82232" w:rsidP="00F67F11">
      <w:pPr>
        <w:pStyle w:val="NormalWeb"/>
        <w:spacing w:before="0" w:beforeAutospacing="0" w:after="240" w:afterAutospacing="0" w:line="360" w:lineRule="auto"/>
        <w:rPr>
          <w:color w:val="000000"/>
        </w:rPr>
      </w:pPr>
      <w:r>
        <w:rPr>
          <w:color w:val="000000"/>
        </w:rPr>
        <w:t>Kertechian, K.S. and El-Farr, H. (2024) ‘Dissecting the paradox of progress: The socioeconomic implications of artificial intelligence’,</w:t>
      </w:r>
      <w:r>
        <w:rPr>
          <w:rStyle w:val="apple-converted-space"/>
          <w:rFonts w:eastAsiaTheme="majorEastAsia"/>
          <w:color w:val="000000"/>
        </w:rPr>
        <w:t> </w:t>
      </w:r>
      <w:r>
        <w:rPr>
          <w:i/>
          <w:iCs/>
          <w:color w:val="000000"/>
        </w:rPr>
        <w:t>The Changing Landscape of Workplace and Workforce</w:t>
      </w:r>
      <w:r>
        <w:rPr>
          <w:rStyle w:val="apple-converted-space"/>
          <w:rFonts w:eastAsiaTheme="majorEastAsia"/>
          <w:color w:val="000000"/>
        </w:rPr>
        <w:t> </w:t>
      </w:r>
      <w:r>
        <w:rPr>
          <w:color w:val="000000"/>
        </w:rPr>
        <w:t>. Available at: https://doi.org/10.5772/intechopen.1004872.</w:t>
      </w:r>
    </w:p>
    <w:p w14:paraId="6A5BFAD1" w14:textId="77777777" w:rsidR="00F82232" w:rsidRDefault="00F82232" w:rsidP="00F67F11">
      <w:pPr>
        <w:pStyle w:val="NormalWeb"/>
        <w:spacing w:before="0" w:beforeAutospacing="0" w:after="240" w:afterAutospacing="0" w:line="360" w:lineRule="auto"/>
        <w:rPr>
          <w:color w:val="000000"/>
        </w:rPr>
      </w:pPr>
      <w:r>
        <w:rPr>
          <w:color w:val="000000"/>
        </w:rPr>
        <w:t>Kim, B.-J. and Lee, J. (2025) ‘AI adoption, employee depression and knowledge: How corporate social responsibility buffers psychological impact’,</w:t>
      </w:r>
      <w:r>
        <w:rPr>
          <w:rStyle w:val="apple-converted-space"/>
          <w:rFonts w:eastAsiaTheme="majorEastAsia"/>
          <w:color w:val="000000"/>
        </w:rPr>
        <w:t> </w:t>
      </w:r>
      <w:r>
        <w:rPr>
          <w:i/>
          <w:iCs/>
          <w:color w:val="000000"/>
        </w:rPr>
        <w:t>Journal of Innovation &amp;amp; Knowledge</w:t>
      </w:r>
      <w:r>
        <w:rPr>
          <w:color w:val="000000"/>
        </w:rPr>
        <w:t>, 10(6), p. 100815. Available at: https://doi.org/10.1016/j.jik.2025.100815.</w:t>
      </w:r>
    </w:p>
    <w:p w14:paraId="65B21883" w14:textId="1968E9E2" w:rsidR="00F82232" w:rsidRDefault="00F82232" w:rsidP="00F67F11">
      <w:pPr>
        <w:pStyle w:val="NormalWeb"/>
        <w:spacing w:before="0" w:beforeAutospacing="0" w:after="240" w:afterAutospacing="0" w:line="360" w:lineRule="auto"/>
        <w:rPr>
          <w:color w:val="000000"/>
        </w:rPr>
      </w:pPr>
      <w:r>
        <w:rPr>
          <w:color w:val="000000"/>
        </w:rPr>
        <w:t>Lee, J.S. and Cha, S.S. (2026) ‘Generative AI, knowledge worker job change, and organizational commitment: A literature review and integrated conceptual framework’,</w:t>
      </w:r>
      <w:r>
        <w:rPr>
          <w:rStyle w:val="apple-converted-space"/>
          <w:rFonts w:eastAsiaTheme="majorEastAsia"/>
          <w:color w:val="000000"/>
        </w:rPr>
        <w:t> </w:t>
      </w:r>
      <w:r>
        <w:rPr>
          <w:i/>
          <w:iCs/>
          <w:color w:val="000000"/>
        </w:rPr>
        <w:t>The Journal of Industrial Distribution &amp; Business</w:t>
      </w:r>
      <w:r>
        <w:rPr>
          <w:color w:val="000000"/>
        </w:rPr>
        <w:t>, 17(3), pp. 141</w:t>
      </w:r>
      <w:r w:rsidR="0050188E">
        <w:rPr>
          <w:color w:val="000000"/>
        </w:rPr>
        <w:t>-</w:t>
      </w:r>
      <w:r>
        <w:rPr>
          <w:color w:val="000000"/>
        </w:rPr>
        <w:t>149. Available at: https://doi.org/https://doi.org/10.13106/JIDB.2026.VOL17.NO3.141.</w:t>
      </w:r>
    </w:p>
    <w:p w14:paraId="7C634BB4" w14:textId="24E32753" w:rsidR="00F82232" w:rsidRDefault="00F82232" w:rsidP="00F67F11">
      <w:pPr>
        <w:pStyle w:val="NormalWeb"/>
        <w:spacing w:before="0" w:beforeAutospacing="0" w:after="240" w:afterAutospacing="0" w:line="360" w:lineRule="auto"/>
        <w:rPr>
          <w:color w:val="000000"/>
        </w:rPr>
      </w:pPr>
      <w:r>
        <w:rPr>
          <w:color w:val="000000"/>
        </w:rPr>
        <w:t>Leicht-Deobald, U., Busch, T., Schank, C., Weibel, A., Schafheitle, S., Wildhaber, I. and Kasper, G. (2019) ‘The challenges of algorithm-based HR decision-making for personal integrity’,</w:t>
      </w:r>
      <w:r>
        <w:rPr>
          <w:rStyle w:val="apple-converted-space"/>
          <w:rFonts w:eastAsiaTheme="majorEastAsia"/>
          <w:color w:val="000000"/>
        </w:rPr>
        <w:t> </w:t>
      </w:r>
      <w:r>
        <w:rPr>
          <w:i/>
          <w:iCs/>
          <w:color w:val="000000"/>
        </w:rPr>
        <w:t>Journal of Business Ethics</w:t>
      </w:r>
      <w:r>
        <w:rPr>
          <w:color w:val="000000"/>
        </w:rPr>
        <w:t>, 160(2), pp. 377</w:t>
      </w:r>
      <w:r w:rsidR="0050188E">
        <w:rPr>
          <w:color w:val="000000"/>
        </w:rPr>
        <w:t>-</w:t>
      </w:r>
      <w:r>
        <w:rPr>
          <w:color w:val="000000"/>
        </w:rPr>
        <w:t>392. Available at: https://doi.org/10.1007/s10551-019-04204-w.</w:t>
      </w:r>
    </w:p>
    <w:p w14:paraId="085C2ABC" w14:textId="752C7F29" w:rsidR="00F82232" w:rsidRDefault="00F82232" w:rsidP="00F67F11">
      <w:pPr>
        <w:pStyle w:val="NormalWeb"/>
        <w:spacing w:before="0" w:beforeAutospacing="0" w:after="240" w:afterAutospacing="0" w:line="360" w:lineRule="auto"/>
        <w:rPr>
          <w:color w:val="000000"/>
        </w:rPr>
      </w:pPr>
      <w:r>
        <w:rPr>
          <w:color w:val="000000"/>
        </w:rPr>
        <w:t>Levin, C., Naimi, E. and Saban, M. (2024) ‘Evaluating AI systems to combat mental health issues in healthcare workers: An integrative literature review’,</w:t>
      </w:r>
      <w:r>
        <w:rPr>
          <w:rStyle w:val="apple-converted-space"/>
          <w:rFonts w:eastAsiaTheme="majorEastAsia"/>
          <w:color w:val="000000"/>
        </w:rPr>
        <w:t> </w:t>
      </w:r>
      <w:r>
        <w:rPr>
          <w:i/>
          <w:iCs/>
          <w:color w:val="000000"/>
        </w:rPr>
        <w:t>International Journal of Medical Informatics</w:t>
      </w:r>
      <w:r>
        <w:rPr>
          <w:color w:val="000000"/>
        </w:rPr>
        <w:t>, 191, pp. 105566</w:t>
      </w:r>
      <w:r w:rsidR="0050188E">
        <w:rPr>
          <w:color w:val="000000"/>
        </w:rPr>
        <w:t>-</w:t>
      </w:r>
      <w:r>
        <w:rPr>
          <w:color w:val="000000"/>
        </w:rPr>
        <w:t>105566. Available at: https://doi.org/10.1016/j.ijmedinf.2024.105566.</w:t>
      </w:r>
    </w:p>
    <w:p w14:paraId="52E028F7" w14:textId="77777777" w:rsidR="00F82232" w:rsidRDefault="00F82232" w:rsidP="00F67F11">
      <w:pPr>
        <w:pStyle w:val="NormalWeb"/>
        <w:spacing w:before="0" w:beforeAutospacing="0" w:after="240" w:afterAutospacing="0" w:line="360" w:lineRule="auto"/>
        <w:rPr>
          <w:color w:val="000000"/>
        </w:rPr>
      </w:pPr>
      <w:r>
        <w:rPr>
          <w:color w:val="000000"/>
        </w:rPr>
        <w:t>Liu, Y., Sheng, F. and Liu, R. (2025) ‘Generative AI adoption and employee outcomes: A conservation of resources perspective on job crafting, career commitment, and the moderating role of liking of AI’,</w:t>
      </w:r>
      <w:r>
        <w:rPr>
          <w:rStyle w:val="apple-converted-space"/>
          <w:rFonts w:eastAsiaTheme="majorEastAsia"/>
          <w:color w:val="000000"/>
        </w:rPr>
        <w:t> </w:t>
      </w:r>
      <w:r>
        <w:rPr>
          <w:i/>
          <w:iCs/>
          <w:color w:val="000000"/>
        </w:rPr>
        <w:t>Humanities and Social Sciences Communications</w:t>
      </w:r>
      <w:r>
        <w:rPr>
          <w:color w:val="000000"/>
        </w:rPr>
        <w:t>, 12(1). Available at: https://doi.org/10.1057/s41599-025-05656-4.</w:t>
      </w:r>
    </w:p>
    <w:p w14:paraId="7C906E2F" w14:textId="62D6DD2B" w:rsidR="00F82232" w:rsidRDefault="00F82232" w:rsidP="00F67F11">
      <w:pPr>
        <w:pStyle w:val="NormalWeb"/>
        <w:spacing w:before="0" w:beforeAutospacing="0" w:after="240" w:afterAutospacing="0" w:line="360" w:lineRule="auto"/>
        <w:rPr>
          <w:color w:val="000000"/>
        </w:rPr>
      </w:pPr>
      <w:r>
        <w:rPr>
          <w:color w:val="000000"/>
        </w:rPr>
        <w:t>Lusiah, L. and Parulian, E. (2025) ‘Securing sustainable digitalization: An integrative study on data privacy, cybersecurity, and business continuity in SMEs’,</w:t>
      </w:r>
      <w:r>
        <w:rPr>
          <w:rStyle w:val="apple-converted-space"/>
          <w:rFonts w:eastAsiaTheme="majorEastAsia"/>
          <w:color w:val="000000"/>
        </w:rPr>
        <w:t> </w:t>
      </w:r>
      <w:r>
        <w:rPr>
          <w:i/>
          <w:iCs/>
          <w:color w:val="000000"/>
        </w:rPr>
        <w:t>Golden Ratio of Mapping Idea and Literature Format</w:t>
      </w:r>
      <w:r>
        <w:rPr>
          <w:color w:val="000000"/>
        </w:rPr>
        <w:t>, 5(2), pp. 72</w:t>
      </w:r>
      <w:r w:rsidR="0050188E">
        <w:rPr>
          <w:color w:val="000000"/>
        </w:rPr>
        <w:t>-</w:t>
      </w:r>
      <w:r>
        <w:rPr>
          <w:color w:val="000000"/>
        </w:rPr>
        <w:t>82. Available at: https://doi.org/10.52970/grmilf.v5i2.1475.</w:t>
      </w:r>
    </w:p>
    <w:p w14:paraId="4BDFF4D7" w14:textId="7246A92D" w:rsidR="00F82232" w:rsidRDefault="00F82232" w:rsidP="00F67F11">
      <w:pPr>
        <w:pStyle w:val="NormalWeb"/>
        <w:spacing w:before="0" w:beforeAutospacing="0" w:after="240" w:afterAutospacing="0" w:line="360" w:lineRule="auto"/>
        <w:rPr>
          <w:color w:val="000000"/>
        </w:rPr>
      </w:pPr>
      <w:r>
        <w:rPr>
          <w:color w:val="000000"/>
        </w:rPr>
        <w:t>Lévesque, C., Bowkett, C., Garneau, J.M.É. and Pérez-Lauzon, S. (2024) ‘Crafting human-centered AI in workspaces for better work’,</w:t>
      </w:r>
      <w:r>
        <w:rPr>
          <w:rStyle w:val="apple-converted-space"/>
          <w:rFonts w:eastAsiaTheme="majorEastAsia"/>
          <w:color w:val="000000"/>
        </w:rPr>
        <w:t> </w:t>
      </w:r>
      <w:r>
        <w:rPr>
          <w:i/>
          <w:iCs/>
          <w:color w:val="000000"/>
        </w:rPr>
        <w:t>Human-Centered AI</w:t>
      </w:r>
      <w:r>
        <w:rPr>
          <w:color w:val="000000"/>
        </w:rPr>
        <w:t>, pp. 129</w:t>
      </w:r>
      <w:r w:rsidR="0050188E">
        <w:rPr>
          <w:color w:val="000000"/>
        </w:rPr>
        <w:t>-</w:t>
      </w:r>
      <w:r>
        <w:rPr>
          <w:color w:val="000000"/>
        </w:rPr>
        <w:t>140. Available at: https://doi.org/10.1201/9781003320791-15.</w:t>
      </w:r>
    </w:p>
    <w:p w14:paraId="69C0A801" w14:textId="58ED1EF9" w:rsidR="00F82232" w:rsidRDefault="00F82232" w:rsidP="00F67F11">
      <w:pPr>
        <w:pStyle w:val="NormalWeb"/>
        <w:spacing w:before="0" w:beforeAutospacing="0" w:after="240" w:afterAutospacing="0" w:line="360" w:lineRule="auto"/>
        <w:rPr>
          <w:color w:val="000000"/>
        </w:rPr>
      </w:pPr>
      <w:r>
        <w:rPr>
          <w:color w:val="000000"/>
        </w:rPr>
        <w:lastRenderedPageBreak/>
        <w:t>Machkour, B. and Abriane, A. (2026) ‘Artificial intelligence in organizations: A systematic review of operationalizing generative artificial intelligence capabilities for organizational performance’,</w:t>
      </w:r>
      <w:r>
        <w:rPr>
          <w:rStyle w:val="apple-converted-space"/>
          <w:rFonts w:eastAsiaTheme="majorEastAsia"/>
          <w:color w:val="000000"/>
        </w:rPr>
        <w:t> </w:t>
      </w:r>
      <w:r>
        <w:rPr>
          <w:i/>
          <w:iCs/>
          <w:color w:val="000000"/>
        </w:rPr>
        <w:t>IEEE Access</w:t>
      </w:r>
      <w:r>
        <w:rPr>
          <w:color w:val="000000"/>
        </w:rPr>
        <w:t>, 14, pp. 72642</w:t>
      </w:r>
      <w:r w:rsidR="0050188E">
        <w:rPr>
          <w:color w:val="000000"/>
        </w:rPr>
        <w:t>-</w:t>
      </w:r>
      <w:r>
        <w:rPr>
          <w:color w:val="000000"/>
        </w:rPr>
        <w:t>72658. Available at: https://doi.org/10.1109/access.2026.3692425.</w:t>
      </w:r>
    </w:p>
    <w:p w14:paraId="1EFA2EA5" w14:textId="77777777" w:rsidR="00F82232" w:rsidRDefault="00F82232" w:rsidP="00F67F11">
      <w:pPr>
        <w:pStyle w:val="NormalWeb"/>
        <w:spacing w:before="0" w:beforeAutospacing="0" w:after="240" w:afterAutospacing="0" w:line="360" w:lineRule="auto"/>
        <w:rPr>
          <w:color w:val="000000"/>
        </w:rPr>
      </w:pPr>
      <w:r>
        <w:rPr>
          <w:color w:val="000000"/>
        </w:rPr>
        <w:t>Madanaguli, A., Sjödin, D., Parida, V. and Mikalef, P. (2024) ‘Artificial intelligence capabilities for circular business models: Research synthesis and future agenda’,</w:t>
      </w:r>
      <w:r>
        <w:rPr>
          <w:rStyle w:val="apple-converted-space"/>
          <w:rFonts w:eastAsiaTheme="majorEastAsia"/>
          <w:color w:val="000000"/>
        </w:rPr>
        <w:t> </w:t>
      </w:r>
      <w:r>
        <w:rPr>
          <w:i/>
          <w:iCs/>
          <w:color w:val="000000"/>
        </w:rPr>
        <w:t>Technological Forecasting and Social Change</w:t>
      </w:r>
      <w:r>
        <w:rPr>
          <w:color w:val="000000"/>
        </w:rPr>
        <w:t>, 200, p. 123189. Available at: https://doi.org/10.1016/j.techfore.2023.123189.</w:t>
      </w:r>
    </w:p>
    <w:p w14:paraId="7EDC2237" w14:textId="34BD044E" w:rsidR="00F82232" w:rsidRDefault="00F82232" w:rsidP="00F67F11">
      <w:pPr>
        <w:pStyle w:val="NormalWeb"/>
        <w:spacing w:before="0" w:beforeAutospacing="0" w:after="240" w:afterAutospacing="0" w:line="360" w:lineRule="auto"/>
        <w:rPr>
          <w:color w:val="000000"/>
        </w:rPr>
      </w:pPr>
      <w:r>
        <w:rPr>
          <w:color w:val="000000"/>
        </w:rPr>
        <w:t>Malterud, K., Siersma, V.D. and Guassora, A.D. (2015) ‘Sample size in qualitative interview studies: Guided by Information Power’,</w:t>
      </w:r>
      <w:r>
        <w:rPr>
          <w:rStyle w:val="apple-converted-space"/>
          <w:rFonts w:eastAsiaTheme="majorEastAsia"/>
          <w:color w:val="000000"/>
        </w:rPr>
        <w:t> </w:t>
      </w:r>
      <w:r>
        <w:rPr>
          <w:i/>
          <w:iCs/>
          <w:color w:val="000000"/>
        </w:rPr>
        <w:t>Qualitative Health Research</w:t>
      </w:r>
      <w:r>
        <w:rPr>
          <w:color w:val="000000"/>
        </w:rPr>
        <w:t>, 26(13), pp. 1753</w:t>
      </w:r>
      <w:r w:rsidR="0050188E">
        <w:rPr>
          <w:color w:val="000000"/>
        </w:rPr>
        <w:t>-</w:t>
      </w:r>
      <w:r>
        <w:rPr>
          <w:color w:val="000000"/>
        </w:rPr>
        <w:t>1760. Available at: https://doi.org/10.1177/1049732315617444.</w:t>
      </w:r>
    </w:p>
    <w:p w14:paraId="5E19939C" w14:textId="0582D0CB" w:rsidR="00F82232" w:rsidRDefault="00F82232" w:rsidP="00F67F11">
      <w:pPr>
        <w:pStyle w:val="NormalWeb"/>
        <w:spacing w:before="0" w:beforeAutospacing="0" w:after="240" w:afterAutospacing="0" w:line="360" w:lineRule="auto"/>
        <w:rPr>
          <w:color w:val="000000"/>
        </w:rPr>
      </w:pPr>
      <w:r>
        <w:rPr>
          <w:color w:val="000000"/>
        </w:rPr>
        <w:t>Marimon, F., Mas-Machuca, M. and Akhmedova, A. (2024) ‘Trusting in generative AI: Catalyst for employee performance and engagement in the workplace’,</w:t>
      </w:r>
      <w:r>
        <w:rPr>
          <w:rStyle w:val="apple-converted-space"/>
          <w:rFonts w:eastAsiaTheme="majorEastAsia"/>
          <w:color w:val="000000"/>
        </w:rPr>
        <w:t> </w:t>
      </w:r>
      <w:r>
        <w:rPr>
          <w:i/>
          <w:iCs/>
          <w:color w:val="000000"/>
        </w:rPr>
        <w:t>International Journal of Human-Computer Interaction</w:t>
      </w:r>
      <w:r>
        <w:rPr>
          <w:color w:val="000000"/>
        </w:rPr>
        <w:t>, pp. 1</w:t>
      </w:r>
      <w:r w:rsidR="0050188E">
        <w:rPr>
          <w:color w:val="000000"/>
        </w:rPr>
        <w:t>-</w:t>
      </w:r>
      <w:r>
        <w:rPr>
          <w:color w:val="000000"/>
        </w:rPr>
        <w:t>16. Available at: https://doi.org/10.1080/10447318.2024.2388482.</w:t>
      </w:r>
    </w:p>
    <w:p w14:paraId="1640BCCA" w14:textId="77777777" w:rsidR="00F82232" w:rsidRDefault="00F82232" w:rsidP="00F67F11">
      <w:pPr>
        <w:pStyle w:val="NormalWeb"/>
        <w:spacing w:before="0" w:beforeAutospacing="0" w:after="240" w:afterAutospacing="0" w:line="360" w:lineRule="auto"/>
        <w:rPr>
          <w:color w:val="000000"/>
        </w:rPr>
      </w:pPr>
      <w:r>
        <w:rPr>
          <w:color w:val="000000"/>
        </w:rPr>
        <w:t>Markelius, A., Wright, C., Kuiper, J., Delille, N. and Kuo, Y.-T. (2024) ‘The mechanisms of AI hype and its planetary and social costs’,</w:t>
      </w:r>
      <w:r>
        <w:rPr>
          <w:rStyle w:val="apple-converted-space"/>
          <w:rFonts w:eastAsiaTheme="majorEastAsia"/>
          <w:color w:val="000000"/>
        </w:rPr>
        <w:t> </w:t>
      </w:r>
      <w:r>
        <w:rPr>
          <w:i/>
          <w:iCs/>
          <w:color w:val="000000"/>
        </w:rPr>
        <w:t>AI and ethics (Print)</w:t>
      </w:r>
      <w:r>
        <w:rPr>
          <w:color w:val="000000"/>
        </w:rPr>
        <w:t>, 4. Available at: https://doi.org/10.1007/s43681-024-00461-2.</w:t>
      </w:r>
    </w:p>
    <w:p w14:paraId="4C974130" w14:textId="77777777" w:rsidR="00F82232" w:rsidRDefault="00F82232" w:rsidP="00F67F11">
      <w:pPr>
        <w:pStyle w:val="NormalWeb"/>
        <w:spacing w:before="0" w:beforeAutospacing="0" w:after="240" w:afterAutospacing="0" w:line="360" w:lineRule="auto"/>
        <w:rPr>
          <w:color w:val="000000"/>
        </w:rPr>
      </w:pPr>
      <w:r>
        <w:rPr>
          <w:color w:val="000000"/>
        </w:rPr>
        <w:t>Metzger, M., Reilly, S. and Bhaird, C.M. (2025) ‘Generative artificial intelligence augmenting SME financial management’,</w:t>
      </w:r>
      <w:r>
        <w:rPr>
          <w:rStyle w:val="apple-converted-space"/>
          <w:rFonts w:eastAsiaTheme="majorEastAsia"/>
          <w:color w:val="000000"/>
        </w:rPr>
        <w:t> </w:t>
      </w:r>
      <w:r>
        <w:rPr>
          <w:i/>
          <w:iCs/>
          <w:color w:val="000000"/>
        </w:rPr>
        <w:t>Technovation</w:t>
      </w:r>
      <w:r>
        <w:rPr>
          <w:color w:val="000000"/>
        </w:rPr>
        <w:t>, 147, p. 103313. Available at: https://doi.org/10.1016/j.technovation.2025.103313.</w:t>
      </w:r>
    </w:p>
    <w:p w14:paraId="61ACA3EE" w14:textId="77777777" w:rsidR="00F82232" w:rsidRDefault="00F82232" w:rsidP="00F67F11">
      <w:pPr>
        <w:pStyle w:val="NormalWeb"/>
        <w:spacing w:before="0" w:beforeAutospacing="0" w:after="240" w:afterAutospacing="0" w:line="360" w:lineRule="auto"/>
        <w:rPr>
          <w:color w:val="000000"/>
        </w:rPr>
      </w:pPr>
      <w:r>
        <w:rPr>
          <w:color w:val="000000"/>
        </w:rPr>
        <w:t>Mikalef, P. and Gupta, M. (2021) ‘Artificial Intelligence capability: Conceptualization, Measurement calibration, and Empirical Study on Its Impact on Organizational Creativity and Firm Performance’,</w:t>
      </w:r>
      <w:r>
        <w:rPr>
          <w:rStyle w:val="apple-converted-space"/>
          <w:rFonts w:eastAsiaTheme="majorEastAsia"/>
          <w:color w:val="000000"/>
        </w:rPr>
        <w:t> </w:t>
      </w:r>
      <w:r>
        <w:rPr>
          <w:i/>
          <w:iCs/>
          <w:color w:val="000000"/>
        </w:rPr>
        <w:t>Information &amp; Management</w:t>
      </w:r>
      <w:r>
        <w:rPr>
          <w:color w:val="000000"/>
        </w:rPr>
        <w:t>, 58(3). Available at: https://doi.org/10.1016/j.im.2021.103434.</w:t>
      </w:r>
    </w:p>
    <w:p w14:paraId="3719C4F7" w14:textId="78E98081" w:rsidR="00F82232" w:rsidRDefault="00F82232" w:rsidP="00F67F11">
      <w:pPr>
        <w:pStyle w:val="NormalWeb"/>
        <w:spacing w:before="0" w:beforeAutospacing="0" w:after="240" w:afterAutospacing="0" w:line="360" w:lineRule="auto"/>
        <w:rPr>
          <w:color w:val="000000"/>
        </w:rPr>
      </w:pPr>
      <w:r>
        <w:rPr>
          <w:color w:val="000000"/>
        </w:rPr>
        <w:t>Moch, E. and Oberdieck, T. (2025) ‘Institutional automation as an answer to the shortage of skilled labour and cost pressure from governance models’,</w:t>
      </w:r>
      <w:r>
        <w:rPr>
          <w:rStyle w:val="apple-converted-space"/>
          <w:rFonts w:eastAsiaTheme="majorEastAsia"/>
          <w:color w:val="000000"/>
        </w:rPr>
        <w:t> </w:t>
      </w:r>
      <w:r>
        <w:rPr>
          <w:i/>
          <w:iCs/>
          <w:color w:val="000000"/>
        </w:rPr>
        <w:t>International Journal of Research and Review</w:t>
      </w:r>
      <w:r>
        <w:rPr>
          <w:color w:val="000000"/>
        </w:rPr>
        <w:t>, 12(8), pp. 347</w:t>
      </w:r>
      <w:r w:rsidR="0050188E">
        <w:rPr>
          <w:color w:val="000000"/>
        </w:rPr>
        <w:t>-</w:t>
      </w:r>
      <w:r>
        <w:rPr>
          <w:color w:val="000000"/>
        </w:rPr>
        <w:t>356. Available at: https://doi.org/10.52403/ijrr.20250841.</w:t>
      </w:r>
    </w:p>
    <w:p w14:paraId="72A619F5" w14:textId="13283709" w:rsidR="00F82232" w:rsidRDefault="00F82232" w:rsidP="00F67F11">
      <w:pPr>
        <w:pStyle w:val="NormalWeb"/>
        <w:spacing w:before="0" w:beforeAutospacing="0" w:after="240" w:afterAutospacing="0" w:line="360" w:lineRule="auto"/>
        <w:rPr>
          <w:color w:val="000000"/>
        </w:rPr>
      </w:pPr>
      <w:r>
        <w:rPr>
          <w:color w:val="000000"/>
        </w:rPr>
        <w:t>Mohamad, M., Saali, T., Laryeafio, M.N., Ayertey, S. and Nyame, D. (2026) ‘The impact of AI adoption on engineers” job satisfaction and organisational culture: A systematic literature review and roadmap for engineering education’,</w:t>
      </w:r>
      <w:r>
        <w:rPr>
          <w:rStyle w:val="apple-converted-space"/>
          <w:rFonts w:eastAsiaTheme="majorEastAsia"/>
          <w:color w:val="000000"/>
        </w:rPr>
        <w:t> </w:t>
      </w:r>
      <w:r>
        <w:rPr>
          <w:i/>
          <w:iCs/>
          <w:color w:val="000000"/>
        </w:rPr>
        <w:t>Journal of Engineering Education Transformations</w:t>
      </w:r>
      <w:r>
        <w:rPr>
          <w:color w:val="000000"/>
        </w:rPr>
        <w:t>, 39(is3), pp. 79</w:t>
      </w:r>
      <w:r w:rsidR="0050188E">
        <w:rPr>
          <w:color w:val="000000"/>
        </w:rPr>
        <w:t>-</w:t>
      </w:r>
      <w:r>
        <w:rPr>
          <w:color w:val="000000"/>
        </w:rPr>
        <w:t>90. Available at: https://doi.org/10.16920/jeet/2026/v39is3/26100.</w:t>
      </w:r>
    </w:p>
    <w:p w14:paraId="693ED139" w14:textId="49AA1704" w:rsidR="00F82232" w:rsidRDefault="00F82232" w:rsidP="00F67F11">
      <w:pPr>
        <w:pStyle w:val="NormalWeb"/>
        <w:spacing w:before="0" w:beforeAutospacing="0" w:after="240" w:afterAutospacing="0" w:line="360" w:lineRule="auto"/>
        <w:rPr>
          <w:color w:val="000000"/>
        </w:rPr>
      </w:pPr>
      <w:r>
        <w:rPr>
          <w:color w:val="000000"/>
        </w:rPr>
        <w:lastRenderedPageBreak/>
        <w:t>Mou, A.J., Hossain, M.S. and Siddiqui, N.A. (2022) ‘Digital transformation in marketing: Evaluating the impact of web analytics and Seo on SME growth’,</w:t>
      </w:r>
      <w:r>
        <w:rPr>
          <w:rStyle w:val="apple-converted-space"/>
          <w:rFonts w:eastAsiaTheme="majorEastAsia"/>
          <w:color w:val="000000"/>
        </w:rPr>
        <w:t> </w:t>
      </w:r>
      <w:r>
        <w:rPr>
          <w:i/>
          <w:iCs/>
          <w:color w:val="000000"/>
        </w:rPr>
        <w:t>American Journal of Interdisciplinary Studies</w:t>
      </w:r>
      <w:r>
        <w:rPr>
          <w:color w:val="000000"/>
        </w:rPr>
        <w:t>, 03(04), pp. 61</w:t>
      </w:r>
      <w:r w:rsidR="0050188E">
        <w:rPr>
          <w:color w:val="000000"/>
        </w:rPr>
        <w:t>-</w:t>
      </w:r>
      <w:r>
        <w:rPr>
          <w:color w:val="000000"/>
        </w:rPr>
        <w:t>90. Available at: https://doi.org/10.63125/8t10v729.</w:t>
      </w:r>
    </w:p>
    <w:p w14:paraId="29ED766A" w14:textId="7F6BD23C" w:rsidR="00F82232" w:rsidRDefault="00F82232" w:rsidP="00F67F11">
      <w:pPr>
        <w:pStyle w:val="NormalWeb"/>
        <w:spacing w:before="0" w:beforeAutospacing="0" w:after="240" w:afterAutospacing="0" w:line="360" w:lineRule="auto"/>
        <w:rPr>
          <w:color w:val="000000"/>
        </w:rPr>
      </w:pPr>
      <w:r>
        <w:rPr>
          <w:color w:val="000000"/>
        </w:rPr>
        <w:t>Muraleedharan, N.V. and Velmurugan, V.P. (2025) ‘A review study on the influence and effect of knowledge management in small and medium enterprises’,</w:t>
      </w:r>
      <w:r>
        <w:rPr>
          <w:rStyle w:val="apple-converted-space"/>
          <w:rFonts w:eastAsiaTheme="majorEastAsia"/>
          <w:color w:val="000000"/>
        </w:rPr>
        <w:t> </w:t>
      </w:r>
      <w:r>
        <w:rPr>
          <w:i/>
          <w:iCs/>
          <w:color w:val="000000"/>
        </w:rPr>
        <w:t>Journal of Management World</w:t>
      </w:r>
      <w:r>
        <w:rPr>
          <w:color w:val="000000"/>
        </w:rPr>
        <w:t>, 2025(1), pp. 223</w:t>
      </w:r>
      <w:r w:rsidR="0050188E">
        <w:rPr>
          <w:color w:val="000000"/>
        </w:rPr>
        <w:t>-</w:t>
      </w:r>
      <w:r>
        <w:rPr>
          <w:color w:val="000000"/>
        </w:rPr>
        <w:t>239. Available at: https://doi.org/10.53935/jomw.v2024i4.642.</w:t>
      </w:r>
    </w:p>
    <w:p w14:paraId="15E479E8" w14:textId="09BD9655" w:rsidR="00F82232" w:rsidRDefault="00F82232" w:rsidP="00F67F11">
      <w:pPr>
        <w:pStyle w:val="NormalWeb"/>
        <w:spacing w:before="0" w:beforeAutospacing="0" w:after="240" w:afterAutospacing="0" w:line="360" w:lineRule="auto"/>
        <w:rPr>
          <w:color w:val="000000"/>
        </w:rPr>
      </w:pPr>
      <w:r>
        <w:rPr>
          <w:color w:val="000000"/>
        </w:rPr>
        <w:t>Musau, N.N. and Muathe, S. (2025) ‘Digital transformation strategy: The quest for competitive advantage among commercial banks in Kenya’,</w:t>
      </w:r>
      <w:r>
        <w:rPr>
          <w:rStyle w:val="apple-converted-space"/>
          <w:rFonts w:eastAsiaTheme="majorEastAsia"/>
          <w:color w:val="000000"/>
        </w:rPr>
        <w:t> </w:t>
      </w:r>
      <w:r>
        <w:rPr>
          <w:i/>
          <w:iCs/>
          <w:color w:val="000000"/>
        </w:rPr>
        <w:t>International Journal of Research in Business and Social Science (2147-4478)</w:t>
      </w:r>
      <w:r>
        <w:rPr>
          <w:color w:val="000000"/>
        </w:rPr>
        <w:t>, 14(5), pp. 01</w:t>
      </w:r>
      <w:r w:rsidR="0050188E">
        <w:rPr>
          <w:color w:val="000000"/>
        </w:rPr>
        <w:t>-</w:t>
      </w:r>
      <w:r>
        <w:rPr>
          <w:color w:val="000000"/>
        </w:rPr>
        <w:t>24. Available at: https://doi.org/10.20525/ijrbs.v14i5.4308.</w:t>
      </w:r>
    </w:p>
    <w:p w14:paraId="79257200" w14:textId="77777777" w:rsidR="00F82232" w:rsidRDefault="00F82232" w:rsidP="00F67F11">
      <w:pPr>
        <w:pStyle w:val="NormalWeb"/>
        <w:spacing w:before="0" w:beforeAutospacing="0" w:after="240" w:afterAutospacing="0" w:line="360" w:lineRule="auto"/>
        <w:rPr>
          <w:color w:val="000000"/>
        </w:rPr>
      </w:pPr>
      <w:r>
        <w:rPr>
          <w:color w:val="000000"/>
        </w:rPr>
        <w:t>Naqbi, H.A., Bahroun, Z. and Ahmed, V. (2024) ‘Enhancing work productivity through generative artificial intelligence: A comprehensive literature review’,</w:t>
      </w:r>
      <w:r>
        <w:rPr>
          <w:rStyle w:val="apple-converted-space"/>
          <w:rFonts w:eastAsiaTheme="majorEastAsia"/>
          <w:color w:val="000000"/>
        </w:rPr>
        <w:t> </w:t>
      </w:r>
      <w:r>
        <w:rPr>
          <w:i/>
          <w:iCs/>
          <w:color w:val="000000"/>
        </w:rPr>
        <w:t>Sustainability</w:t>
      </w:r>
      <w:r>
        <w:rPr>
          <w:color w:val="000000"/>
        </w:rPr>
        <w:t>, 16(3), p. 1166. Available at: https://doi.org/10.3390/su16031166.</w:t>
      </w:r>
    </w:p>
    <w:p w14:paraId="2C935719" w14:textId="4428ECDB" w:rsidR="00F82232" w:rsidRDefault="00F82232" w:rsidP="00F67F11">
      <w:pPr>
        <w:pStyle w:val="NormalWeb"/>
        <w:spacing w:before="0" w:beforeAutospacing="0" w:after="240" w:afterAutospacing="0" w:line="360" w:lineRule="auto"/>
        <w:rPr>
          <w:color w:val="000000"/>
        </w:rPr>
      </w:pPr>
      <w:r>
        <w:rPr>
          <w:color w:val="000000"/>
        </w:rPr>
        <w:t>Nassiri, E.M. and El Mzabi, A. (2026) ‘Generative AI and organizational decision-making: A systematic review of performance effects’,</w:t>
      </w:r>
      <w:r>
        <w:rPr>
          <w:rStyle w:val="apple-converted-space"/>
          <w:rFonts w:eastAsiaTheme="majorEastAsia"/>
          <w:color w:val="000000"/>
        </w:rPr>
        <w:t> </w:t>
      </w:r>
      <w:r>
        <w:rPr>
          <w:i/>
          <w:iCs/>
          <w:color w:val="000000"/>
        </w:rPr>
        <w:t>Procedia Computer Science</w:t>
      </w:r>
      <w:r>
        <w:rPr>
          <w:color w:val="000000"/>
        </w:rPr>
        <w:t>, 280, pp. 1344</w:t>
      </w:r>
      <w:r w:rsidR="0050188E">
        <w:rPr>
          <w:color w:val="000000"/>
        </w:rPr>
        <w:t>-</w:t>
      </w:r>
      <w:r>
        <w:rPr>
          <w:color w:val="000000"/>
        </w:rPr>
        <w:t>1349. Available at: https://doi.org/10.1016/j.procs.2026.04.182.</w:t>
      </w:r>
    </w:p>
    <w:p w14:paraId="2B811F8B" w14:textId="77777777" w:rsidR="00F82232" w:rsidRDefault="00F82232" w:rsidP="00F67F11">
      <w:pPr>
        <w:pStyle w:val="NormalWeb"/>
        <w:spacing w:before="0" w:beforeAutospacing="0" w:after="240" w:afterAutospacing="0" w:line="360" w:lineRule="auto"/>
        <w:rPr>
          <w:color w:val="000000"/>
        </w:rPr>
      </w:pPr>
      <w:r>
        <w:rPr>
          <w:color w:val="000000"/>
        </w:rPr>
        <w:t>Nguyen, H., Chen, H.-L. and Asfani, K. (2026) ‘Supporting self-regulated learning in the age of artificial intelligence: A comparative systematic review of earlier AI and generative AI’,</w:t>
      </w:r>
      <w:r>
        <w:rPr>
          <w:rStyle w:val="apple-converted-space"/>
          <w:rFonts w:eastAsiaTheme="majorEastAsia"/>
          <w:color w:val="000000"/>
        </w:rPr>
        <w:t> </w:t>
      </w:r>
      <w:r>
        <w:rPr>
          <w:i/>
          <w:iCs/>
          <w:color w:val="000000"/>
        </w:rPr>
        <w:t>Journal of Educational Computing Research</w:t>
      </w:r>
      <w:r>
        <w:rPr>
          <w:rStyle w:val="apple-converted-space"/>
          <w:rFonts w:eastAsiaTheme="majorEastAsia"/>
          <w:color w:val="000000"/>
        </w:rPr>
        <w:t> </w:t>
      </w:r>
      <w:r>
        <w:rPr>
          <w:color w:val="000000"/>
        </w:rPr>
        <w:t>. Available at: https://doi.org/10.1177/07356331261450647.</w:t>
      </w:r>
    </w:p>
    <w:p w14:paraId="13A3D996" w14:textId="77777777" w:rsidR="00F82232" w:rsidRDefault="00F82232" w:rsidP="00F67F11">
      <w:pPr>
        <w:pStyle w:val="NormalWeb"/>
        <w:spacing w:before="0" w:beforeAutospacing="0" w:after="240" w:afterAutospacing="0" w:line="360" w:lineRule="auto"/>
        <w:rPr>
          <w:color w:val="000000"/>
        </w:rPr>
      </w:pPr>
      <w:r>
        <w:rPr>
          <w:color w:val="000000"/>
        </w:rPr>
        <w:t>NguyenDuc, A., Cabrero-Daniel, B., Arora, C., Przybyłek, A., Khanna, D., Herda, T., Rafiq, U., Melegati, J., Guerra, E., Kai-Kristian Kemell, Mohd Yusof Saari, Zhang, Z., Lê, H., Quan, T. and Pekka Abrahamsson (2023) ‘Generative Artificial Intelligence for Software Engineering - A research agenda’,</w:t>
      </w:r>
      <w:r>
        <w:rPr>
          <w:rStyle w:val="apple-converted-space"/>
          <w:rFonts w:eastAsiaTheme="majorEastAsia"/>
          <w:color w:val="000000"/>
        </w:rPr>
        <w:t> </w:t>
      </w:r>
      <w:r>
        <w:rPr>
          <w:i/>
          <w:iCs/>
          <w:color w:val="000000"/>
        </w:rPr>
        <w:t>SSRN Electronic Journal</w:t>
      </w:r>
      <w:r>
        <w:rPr>
          <w:rStyle w:val="apple-converted-space"/>
          <w:rFonts w:eastAsiaTheme="majorEastAsia"/>
          <w:color w:val="000000"/>
        </w:rPr>
        <w:t> </w:t>
      </w:r>
      <w:r>
        <w:rPr>
          <w:color w:val="000000"/>
        </w:rPr>
        <w:t>. Available at: https://doi.org/10.2139/ssrn.4622517.</w:t>
      </w:r>
    </w:p>
    <w:p w14:paraId="0FDF0AEA" w14:textId="77777777" w:rsidR="00F82232" w:rsidRDefault="00F82232" w:rsidP="00F67F11">
      <w:pPr>
        <w:pStyle w:val="NormalWeb"/>
        <w:spacing w:before="0" w:beforeAutospacing="0" w:after="240" w:afterAutospacing="0" w:line="360" w:lineRule="auto"/>
        <w:rPr>
          <w:color w:val="000000"/>
        </w:rPr>
      </w:pPr>
      <w:r>
        <w:rPr>
          <w:color w:val="000000"/>
        </w:rPr>
        <w:t>Noel, A., Buics, L. and Sós, E. (2026) ‘Unlocking lean potential in SME logistics and supply chains: A study on commitment, tools, and outcomes through a systematic review and survey analysis’,</w:t>
      </w:r>
      <w:r>
        <w:rPr>
          <w:rStyle w:val="apple-converted-space"/>
          <w:rFonts w:eastAsiaTheme="majorEastAsia"/>
          <w:color w:val="000000"/>
        </w:rPr>
        <w:t> </w:t>
      </w:r>
      <w:r>
        <w:rPr>
          <w:i/>
          <w:iCs/>
          <w:color w:val="000000"/>
        </w:rPr>
        <w:t>Logistics</w:t>
      </w:r>
      <w:r>
        <w:rPr>
          <w:color w:val="000000"/>
        </w:rPr>
        <w:t>, 10(8), p. 174. Available at: https://doi.org/10.3390/logistics10080174.</w:t>
      </w:r>
    </w:p>
    <w:p w14:paraId="7AB2680E" w14:textId="77777777" w:rsidR="00F82232" w:rsidRDefault="00F82232" w:rsidP="00F67F11">
      <w:pPr>
        <w:pStyle w:val="NormalWeb"/>
        <w:spacing w:before="0" w:beforeAutospacing="0" w:after="240" w:afterAutospacing="0" w:line="360" w:lineRule="auto"/>
        <w:rPr>
          <w:color w:val="000000"/>
        </w:rPr>
      </w:pPr>
      <w:r>
        <w:rPr>
          <w:color w:val="000000"/>
        </w:rPr>
        <w:t>Noponen, N., Feshchenko, P., Auvinen, T., Luoma-aho, V. and Abrahamsson, P. (2023) ‘Taylorism on steroids or enabling autonomy? A systematic review of algorithmic management’,</w:t>
      </w:r>
      <w:r>
        <w:rPr>
          <w:rStyle w:val="apple-converted-space"/>
          <w:rFonts w:eastAsiaTheme="majorEastAsia"/>
          <w:color w:val="000000"/>
        </w:rPr>
        <w:t> </w:t>
      </w:r>
      <w:r>
        <w:rPr>
          <w:i/>
          <w:iCs/>
          <w:color w:val="000000"/>
        </w:rPr>
        <w:t>Management Review Quarterly</w:t>
      </w:r>
      <w:r>
        <w:rPr>
          <w:color w:val="000000"/>
        </w:rPr>
        <w:t>, 74. Available at: https://doi.org/10.1007/s11301-023-00345-5.</w:t>
      </w:r>
    </w:p>
    <w:p w14:paraId="294ED201" w14:textId="11725A38" w:rsidR="00F82232" w:rsidRDefault="00F82232" w:rsidP="00F67F11">
      <w:pPr>
        <w:pStyle w:val="NormalWeb"/>
        <w:spacing w:before="0" w:beforeAutospacing="0" w:after="240" w:afterAutospacing="0" w:line="360" w:lineRule="auto"/>
        <w:rPr>
          <w:color w:val="000000"/>
        </w:rPr>
      </w:pPr>
      <w:r>
        <w:rPr>
          <w:color w:val="000000"/>
        </w:rPr>
        <w:lastRenderedPageBreak/>
        <w:t>Noy, S. and Zhang, W. (2023) ‘Experimental evidence on the productivity effects of generative artificial intelligence’,</w:t>
      </w:r>
      <w:r>
        <w:rPr>
          <w:rStyle w:val="apple-converted-space"/>
          <w:rFonts w:eastAsiaTheme="majorEastAsia"/>
          <w:color w:val="000000"/>
        </w:rPr>
        <w:t> </w:t>
      </w:r>
      <w:r>
        <w:rPr>
          <w:i/>
          <w:iCs/>
          <w:color w:val="000000"/>
        </w:rPr>
        <w:t>Science</w:t>
      </w:r>
      <w:r>
        <w:rPr>
          <w:color w:val="000000"/>
        </w:rPr>
        <w:t>, 381(6654), pp. 187</w:t>
      </w:r>
      <w:r w:rsidR="0050188E">
        <w:rPr>
          <w:color w:val="000000"/>
        </w:rPr>
        <w:t>-</w:t>
      </w:r>
      <w:r>
        <w:rPr>
          <w:color w:val="000000"/>
        </w:rPr>
        <w:t>192. Available at: https://doi.org/10.1126/science.adh2586.</w:t>
      </w:r>
    </w:p>
    <w:p w14:paraId="4FDB4003" w14:textId="77777777" w:rsidR="00F82232" w:rsidRDefault="00F82232" w:rsidP="00F67F11">
      <w:pPr>
        <w:pStyle w:val="NormalWeb"/>
        <w:spacing w:before="0" w:beforeAutospacing="0" w:after="240" w:afterAutospacing="0" w:line="360" w:lineRule="auto"/>
        <w:rPr>
          <w:color w:val="000000"/>
        </w:rPr>
      </w:pPr>
      <w:r>
        <w:rPr>
          <w:color w:val="000000"/>
        </w:rPr>
        <w:t>Nyberg, A.J., Schleicher, D.J., Bell, B.S., Boon, C., Cappelli, P., Collings, D.G., Dalle Molle, J.E., Feuerriegel, S., Gerhart, B., Jeong, Y., Korsgaard, M.A., Minbaeva, D., Ployhart, R.E., Tambe, P., Weller, I., Wright, P.M. and Yakubovich, V. (2025) ‘A brave new world of human resources research: Navigating perils and identifying grand challenges of the GenAI revolution’,</w:t>
      </w:r>
      <w:r>
        <w:rPr>
          <w:rStyle w:val="apple-converted-space"/>
          <w:rFonts w:eastAsiaTheme="majorEastAsia"/>
          <w:color w:val="000000"/>
        </w:rPr>
        <w:t> </w:t>
      </w:r>
      <w:r>
        <w:rPr>
          <w:i/>
          <w:iCs/>
          <w:color w:val="000000"/>
        </w:rPr>
        <w:t>Journal of Management</w:t>
      </w:r>
      <w:r>
        <w:rPr>
          <w:color w:val="000000"/>
        </w:rPr>
        <w:t>, 51(6). Available at: https://doi.org/10.1177/01492063251325188.</w:t>
      </w:r>
    </w:p>
    <w:p w14:paraId="29339027" w14:textId="77777777" w:rsidR="00F82232" w:rsidRDefault="00F82232" w:rsidP="00F67F11">
      <w:pPr>
        <w:pStyle w:val="NormalWeb"/>
        <w:spacing w:before="0" w:beforeAutospacing="0" w:after="240" w:afterAutospacing="0" w:line="360" w:lineRule="auto"/>
        <w:rPr>
          <w:color w:val="000000"/>
        </w:rPr>
      </w:pPr>
      <w:r>
        <w:rPr>
          <w:color w:val="000000"/>
        </w:rPr>
        <w:t>OECD (2023) ‘OECD Employment Outlook 2023’,</w:t>
      </w:r>
      <w:r>
        <w:rPr>
          <w:rStyle w:val="apple-converted-space"/>
          <w:rFonts w:eastAsiaTheme="majorEastAsia"/>
          <w:color w:val="000000"/>
        </w:rPr>
        <w:t> </w:t>
      </w:r>
      <w:r>
        <w:rPr>
          <w:i/>
          <w:iCs/>
          <w:color w:val="000000"/>
        </w:rPr>
        <w:t>OECD Employment Outlook 2023</w:t>
      </w:r>
      <w:r>
        <w:rPr>
          <w:rStyle w:val="apple-converted-space"/>
          <w:rFonts w:eastAsiaTheme="majorEastAsia"/>
          <w:color w:val="000000"/>
        </w:rPr>
        <w:t> </w:t>
      </w:r>
      <w:r>
        <w:rPr>
          <w:color w:val="000000"/>
        </w:rPr>
        <w:t>. Available at: https://doi.org/10.1787/08785bba-en.</w:t>
      </w:r>
    </w:p>
    <w:p w14:paraId="3A2DF293" w14:textId="5AF2B282" w:rsidR="00F82232" w:rsidRDefault="00F82232" w:rsidP="00F67F11">
      <w:pPr>
        <w:pStyle w:val="NormalWeb"/>
        <w:spacing w:before="0" w:beforeAutospacing="0" w:after="240" w:afterAutospacing="0" w:line="360" w:lineRule="auto"/>
        <w:rPr>
          <w:color w:val="000000"/>
        </w:rPr>
      </w:pPr>
      <w:r>
        <w:rPr>
          <w:color w:val="000000"/>
        </w:rPr>
        <w:t>Olutimehin, D.O., Ofodile, O.C., Ejibe, I., Odunaiya, O.G. and Soyombo, O.T. (2024) ‘Implementing AI in business models: Strategies for efficiency and innovation’,</w:t>
      </w:r>
      <w:r>
        <w:rPr>
          <w:rStyle w:val="apple-converted-space"/>
          <w:rFonts w:eastAsiaTheme="majorEastAsia"/>
          <w:color w:val="000000"/>
        </w:rPr>
        <w:t> </w:t>
      </w:r>
      <w:r>
        <w:rPr>
          <w:i/>
          <w:iCs/>
          <w:color w:val="000000"/>
        </w:rPr>
        <w:t>International Journal of Management &amp; Entrepreneurship Research</w:t>
      </w:r>
      <w:r>
        <w:rPr>
          <w:color w:val="000000"/>
        </w:rPr>
        <w:t>, 6(3), pp. 863</w:t>
      </w:r>
      <w:r w:rsidR="0050188E">
        <w:rPr>
          <w:color w:val="000000"/>
        </w:rPr>
        <w:t>-</w:t>
      </w:r>
      <w:r>
        <w:rPr>
          <w:color w:val="000000"/>
        </w:rPr>
        <w:t>877. Available at: https://doi.org/10.51594/ijmer.v6i3.940.</w:t>
      </w:r>
    </w:p>
    <w:p w14:paraId="0FBFB30B" w14:textId="2874E90E" w:rsidR="00F82232" w:rsidRDefault="00F82232" w:rsidP="00F67F11">
      <w:pPr>
        <w:pStyle w:val="NormalWeb"/>
        <w:spacing w:before="0" w:beforeAutospacing="0" w:after="240" w:afterAutospacing="0" w:line="360" w:lineRule="auto"/>
        <w:rPr>
          <w:color w:val="000000"/>
        </w:rPr>
      </w:pPr>
      <w:r>
        <w:rPr>
          <w:color w:val="000000"/>
        </w:rPr>
        <w:t>Pak, R., Rovira, E. and McLaughlin, A. (2026) ‘GenAI as complete cognitive automation for untrained users at population scale: Implications for human factors and ergonomics’,</w:t>
      </w:r>
      <w:r>
        <w:rPr>
          <w:rStyle w:val="apple-converted-space"/>
          <w:rFonts w:eastAsiaTheme="majorEastAsia"/>
          <w:color w:val="000000"/>
        </w:rPr>
        <w:t> </w:t>
      </w:r>
      <w:r>
        <w:rPr>
          <w:i/>
          <w:iCs/>
          <w:color w:val="000000"/>
        </w:rPr>
        <w:t>Ergonomics</w:t>
      </w:r>
      <w:r>
        <w:rPr>
          <w:color w:val="000000"/>
        </w:rPr>
        <w:t>, pp. 1</w:t>
      </w:r>
      <w:r w:rsidR="0050188E">
        <w:rPr>
          <w:color w:val="000000"/>
        </w:rPr>
        <w:t>-</w:t>
      </w:r>
      <w:r>
        <w:rPr>
          <w:color w:val="000000"/>
        </w:rPr>
        <w:t>14. Available at: https://doi.org/10.1080/00140139.2026.2686284.</w:t>
      </w:r>
    </w:p>
    <w:p w14:paraId="484464F8" w14:textId="0DE2243F" w:rsidR="00F82232" w:rsidRDefault="00F82232" w:rsidP="00F67F11">
      <w:pPr>
        <w:pStyle w:val="NormalWeb"/>
        <w:spacing w:before="0" w:beforeAutospacing="0" w:after="240" w:afterAutospacing="0" w:line="360" w:lineRule="auto"/>
        <w:rPr>
          <w:color w:val="000000"/>
        </w:rPr>
      </w:pPr>
      <w:r>
        <w:rPr>
          <w:color w:val="000000"/>
        </w:rPr>
        <w:t>Panda, M. and Puri, R. (2025) ‘Understanding the role of artificial intelligence in knowledge management systems: A systematic review using the antecedent, consequences and intervention framework’,</w:t>
      </w:r>
      <w:r>
        <w:rPr>
          <w:rStyle w:val="apple-converted-space"/>
          <w:rFonts w:eastAsiaTheme="majorEastAsia"/>
          <w:color w:val="000000"/>
        </w:rPr>
        <w:t> </w:t>
      </w:r>
      <w:r>
        <w:rPr>
          <w:i/>
          <w:iCs/>
          <w:color w:val="000000"/>
        </w:rPr>
        <w:t>Journal of Work-Applied Management</w:t>
      </w:r>
      <w:r>
        <w:rPr>
          <w:color w:val="000000"/>
        </w:rPr>
        <w:t>, pp. 1</w:t>
      </w:r>
      <w:r w:rsidR="0050188E">
        <w:rPr>
          <w:color w:val="000000"/>
        </w:rPr>
        <w:t>-</w:t>
      </w:r>
      <w:r>
        <w:rPr>
          <w:color w:val="000000"/>
        </w:rPr>
        <w:t>14. Available at: https://doi.org/10.1108/jwam-05-2025-0082.</w:t>
      </w:r>
    </w:p>
    <w:p w14:paraId="02E24BE0" w14:textId="77777777" w:rsidR="00F82232" w:rsidRDefault="00F82232" w:rsidP="00F67F11">
      <w:pPr>
        <w:pStyle w:val="NormalWeb"/>
        <w:spacing w:before="0" w:beforeAutospacing="0" w:after="240" w:afterAutospacing="0" w:line="360" w:lineRule="auto"/>
        <w:rPr>
          <w:color w:val="000000"/>
        </w:rPr>
      </w:pPr>
      <w:r>
        <w:rPr>
          <w:color w:val="000000"/>
        </w:rPr>
        <w:t>Parida, V., Sjödin, D. and Reim, W. (2019) ‘Reviewing Literature on Digitalization, Business Model Innovation, and Sustainable Industry: Past Achievements and Future Promises’,</w:t>
      </w:r>
      <w:r>
        <w:rPr>
          <w:rStyle w:val="apple-converted-space"/>
          <w:rFonts w:eastAsiaTheme="majorEastAsia"/>
          <w:color w:val="000000"/>
        </w:rPr>
        <w:t> </w:t>
      </w:r>
      <w:r>
        <w:rPr>
          <w:i/>
          <w:iCs/>
          <w:color w:val="000000"/>
        </w:rPr>
        <w:t>Sustainability</w:t>
      </w:r>
      <w:r>
        <w:rPr>
          <w:color w:val="000000"/>
        </w:rPr>
        <w:t>, 11(2), p. 391. Available at: https://doi.org/10.3390/su11020391.</w:t>
      </w:r>
    </w:p>
    <w:p w14:paraId="3E857251" w14:textId="7124AA86" w:rsidR="00F82232" w:rsidRDefault="00F82232" w:rsidP="00F67F11">
      <w:pPr>
        <w:pStyle w:val="NormalWeb"/>
        <w:spacing w:before="0" w:beforeAutospacing="0" w:after="240" w:afterAutospacing="0" w:line="360" w:lineRule="auto"/>
        <w:rPr>
          <w:color w:val="000000"/>
        </w:rPr>
      </w:pPr>
      <w:r>
        <w:rPr>
          <w:color w:val="000000"/>
        </w:rPr>
        <w:t>Park, Y.S., Konge, L. and Artino, A.R. (2020) ‘The positivism paradigm of research’,</w:t>
      </w:r>
      <w:r>
        <w:rPr>
          <w:rStyle w:val="apple-converted-space"/>
          <w:rFonts w:eastAsiaTheme="majorEastAsia"/>
          <w:color w:val="000000"/>
        </w:rPr>
        <w:t> </w:t>
      </w:r>
      <w:r>
        <w:rPr>
          <w:i/>
          <w:iCs/>
          <w:color w:val="000000"/>
        </w:rPr>
        <w:t>Academic Medicine</w:t>
      </w:r>
      <w:r>
        <w:rPr>
          <w:color w:val="000000"/>
        </w:rPr>
        <w:t>, 95(5), pp. 690</w:t>
      </w:r>
      <w:r w:rsidR="0050188E">
        <w:rPr>
          <w:color w:val="000000"/>
        </w:rPr>
        <w:t>-</w:t>
      </w:r>
      <w:r>
        <w:rPr>
          <w:color w:val="000000"/>
        </w:rPr>
        <w:t>694. Available at: https://doi.org/10.1097/ACM.0000000000003093.</w:t>
      </w:r>
    </w:p>
    <w:p w14:paraId="207F7222" w14:textId="77777777" w:rsidR="00F82232" w:rsidRDefault="00F82232" w:rsidP="00F67F11">
      <w:pPr>
        <w:pStyle w:val="NormalWeb"/>
        <w:spacing w:before="0" w:beforeAutospacing="0" w:after="240" w:afterAutospacing="0" w:line="360" w:lineRule="auto"/>
        <w:rPr>
          <w:color w:val="000000"/>
        </w:rPr>
      </w:pPr>
      <w:r>
        <w:rPr>
          <w:color w:val="000000"/>
        </w:rPr>
        <w:t>Perozzo, H. and Ravarini, A. (2026) ‘Guided by the bot, driven by the worker: Task crafting and emerging competencies in GenAI-Augmented manufacturing’,</w:t>
      </w:r>
      <w:r>
        <w:rPr>
          <w:rStyle w:val="apple-converted-space"/>
          <w:rFonts w:eastAsiaTheme="majorEastAsia"/>
          <w:color w:val="000000"/>
        </w:rPr>
        <w:t> </w:t>
      </w:r>
      <w:r>
        <w:rPr>
          <w:i/>
          <w:iCs/>
          <w:color w:val="000000"/>
        </w:rPr>
        <w:t>Proceedings of the Annual Hawaii International Conference on System Sciences</w:t>
      </w:r>
      <w:r>
        <w:rPr>
          <w:color w:val="000000"/>
        </w:rPr>
        <w:t>. Available at: https://doi.org/10.24251/hicss.2026.642.</w:t>
      </w:r>
    </w:p>
    <w:p w14:paraId="544A51A0" w14:textId="1D6DA2BB" w:rsidR="00F82232" w:rsidRDefault="00F82232" w:rsidP="00F67F11">
      <w:pPr>
        <w:pStyle w:val="NormalWeb"/>
        <w:spacing w:before="0" w:beforeAutospacing="0" w:after="240" w:afterAutospacing="0" w:line="360" w:lineRule="auto"/>
        <w:rPr>
          <w:color w:val="000000"/>
        </w:rPr>
      </w:pPr>
      <w:r>
        <w:rPr>
          <w:color w:val="000000"/>
        </w:rPr>
        <w:lastRenderedPageBreak/>
        <w:t>Podsakoff, P.M., MacKenzie, S.B., Lee, J.-Y. and Podsakoff, N.P. (2003) ‘Common method biases in behavioral research: A critical review of the literature and recommended remedies.’,</w:t>
      </w:r>
      <w:r>
        <w:rPr>
          <w:rStyle w:val="apple-converted-space"/>
          <w:rFonts w:eastAsiaTheme="majorEastAsia"/>
          <w:color w:val="000000"/>
        </w:rPr>
        <w:t> </w:t>
      </w:r>
      <w:r>
        <w:rPr>
          <w:i/>
          <w:iCs/>
          <w:color w:val="000000"/>
        </w:rPr>
        <w:t>Journal of Applied Psychology</w:t>
      </w:r>
      <w:r>
        <w:rPr>
          <w:color w:val="000000"/>
        </w:rPr>
        <w:t>, 88(5), pp. 879</w:t>
      </w:r>
      <w:r w:rsidR="0050188E">
        <w:rPr>
          <w:color w:val="000000"/>
        </w:rPr>
        <w:t>-</w:t>
      </w:r>
      <w:r>
        <w:rPr>
          <w:color w:val="000000"/>
        </w:rPr>
        <w:t>903.</w:t>
      </w:r>
    </w:p>
    <w:p w14:paraId="422A47B5" w14:textId="77777777" w:rsidR="00F82232" w:rsidRDefault="00F82232" w:rsidP="00F67F11">
      <w:pPr>
        <w:pStyle w:val="NormalWeb"/>
        <w:spacing w:before="0" w:beforeAutospacing="0" w:after="240" w:afterAutospacing="0" w:line="360" w:lineRule="auto"/>
        <w:rPr>
          <w:color w:val="000000"/>
        </w:rPr>
      </w:pPr>
      <w:r>
        <w:rPr>
          <w:color w:val="000000"/>
        </w:rPr>
        <w:t>Pokhrel, S. and Somasiri, N. (2026) ‘Generative AI and customer engagement in digital marketing: A systematic review and evidence map of affective vs. behavioral outcomes, disclosure effects, and human-in-the-loop moderation’,</w:t>
      </w:r>
      <w:r>
        <w:rPr>
          <w:rStyle w:val="apple-converted-space"/>
          <w:rFonts w:eastAsiaTheme="majorEastAsia"/>
          <w:color w:val="000000"/>
        </w:rPr>
        <w:t> </w:t>
      </w:r>
      <w:r>
        <w:rPr>
          <w:i/>
          <w:iCs/>
          <w:color w:val="000000"/>
        </w:rPr>
        <w:t>Emerging Media</w:t>
      </w:r>
      <w:r>
        <w:rPr>
          <w:rStyle w:val="apple-converted-space"/>
          <w:rFonts w:eastAsiaTheme="majorEastAsia"/>
          <w:color w:val="000000"/>
        </w:rPr>
        <w:t> </w:t>
      </w:r>
      <w:r>
        <w:rPr>
          <w:color w:val="000000"/>
        </w:rPr>
        <w:t>. Available at: https://doi.org/10.1177/27523543261461786.</w:t>
      </w:r>
    </w:p>
    <w:p w14:paraId="6B0DC9C3" w14:textId="5B9E2DB4" w:rsidR="00F82232" w:rsidRDefault="00F82232" w:rsidP="00F67F11">
      <w:pPr>
        <w:pStyle w:val="NormalWeb"/>
        <w:spacing w:before="0" w:beforeAutospacing="0" w:after="240" w:afterAutospacing="0" w:line="360" w:lineRule="auto"/>
        <w:rPr>
          <w:color w:val="000000"/>
        </w:rPr>
      </w:pPr>
      <w:r>
        <w:rPr>
          <w:color w:val="000000"/>
        </w:rPr>
        <w:t>Qin, X., Zhou, X., Chen, C., Wu, D., Zhou, H., Dong, X., Cao, L. and Lu, J.G. (2025) ‘AI aversion or appreciation? A capability</w:t>
      </w:r>
      <w:r w:rsidR="0050188E">
        <w:rPr>
          <w:color w:val="000000"/>
        </w:rPr>
        <w:t>-</w:t>
      </w:r>
      <w:r>
        <w:rPr>
          <w:color w:val="000000"/>
        </w:rPr>
        <w:t>personalization framework and a meta-analytic review.’,</w:t>
      </w:r>
      <w:r>
        <w:rPr>
          <w:rStyle w:val="apple-converted-space"/>
          <w:rFonts w:eastAsiaTheme="majorEastAsia"/>
          <w:color w:val="000000"/>
        </w:rPr>
        <w:t> </w:t>
      </w:r>
      <w:r>
        <w:rPr>
          <w:i/>
          <w:iCs/>
          <w:color w:val="000000"/>
        </w:rPr>
        <w:t>Psychological Bulletin</w:t>
      </w:r>
      <w:r>
        <w:rPr>
          <w:color w:val="000000"/>
        </w:rPr>
        <w:t>, 151(5), pp. 580</w:t>
      </w:r>
      <w:r w:rsidR="0050188E">
        <w:rPr>
          <w:color w:val="000000"/>
        </w:rPr>
        <w:t>-</w:t>
      </w:r>
      <w:r>
        <w:rPr>
          <w:color w:val="000000"/>
        </w:rPr>
        <w:t>599. Available at: https://doi.org/10.1037/bul0000477.</w:t>
      </w:r>
    </w:p>
    <w:p w14:paraId="0B0223F8" w14:textId="2C7D3745" w:rsidR="00F82232" w:rsidRDefault="00F82232" w:rsidP="00F67F11">
      <w:pPr>
        <w:pStyle w:val="NormalWeb"/>
        <w:spacing w:before="0" w:beforeAutospacing="0" w:after="240" w:afterAutospacing="0" w:line="360" w:lineRule="auto"/>
        <w:rPr>
          <w:color w:val="000000"/>
        </w:rPr>
      </w:pPr>
      <w:r>
        <w:rPr>
          <w:color w:val="000000"/>
        </w:rPr>
        <w:t>Quainoo, C.R. and Ahad, M.A.R. (2026) ‘The role of information security in responsible AI for digital SMEs’,</w:t>
      </w:r>
      <w:r>
        <w:rPr>
          <w:rStyle w:val="apple-converted-space"/>
          <w:rFonts w:eastAsiaTheme="majorEastAsia"/>
          <w:color w:val="000000"/>
        </w:rPr>
        <w:t> </w:t>
      </w:r>
      <w:r>
        <w:rPr>
          <w:i/>
          <w:iCs/>
          <w:color w:val="000000"/>
        </w:rPr>
        <w:t>Journal of Ethics and Emerging Technologies</w:t>
      </w:r>
      <w:r>
        <w:rPr>
          <w:color w:val="000000"/>
        </w:rPr>
        <w:t>, 36(1), pp. 1</w:t>
      </w:r>
      <w:r w:rsidR="0050188E">
        <w:rPr>
          <w:color w:val="000000"/>
        </w:rPr>
        <w:t>-</w:t>
      </w:r>
      <w:r>
        <w:rPr>
          <w:color w:val="000000"/>
        </w:rPr>
        <w:t>29. Available at: https://doi.org/10.55613/jeet.v36i1.193.</w:t>
      </w:r>
    </w:p>
    <w:p w14:paraId="6C2AAABF" w14:textId="6834329D" w:rsidR="00F82232" w:rsidRDefault="00F82232" w:rsidP="00F67F11">
      <w:pPr>
        <w:pStyle w:val="NormalWeb"/>
        <w:spacing w:before="0" w:beforeAutospacing="0" w:after="240" w:afterAutospacing="0" w:line="360" w:lineRule="auto"/>
        <w:rPr>
          <w:color w:val="000000"/>
        </w:rPr>
      </w:pPr>
      <w:r>
        <w:rPr>
          <w:color w:val="000000"/>
        </w:rPr>
        <w:t>Raisch, S. and Krakowski, S. (2021) ‘Artificial Intelligence and Management: the Automation</w:t>
      </w:r>
      <w:r w:rsidR="0050188E">
        <w:rPr>
          <w:color w:val="000000"/>
        </w:rPr>
        <w:t>-</w:t>
      </w:r>
      <w:r>
        <w:rPr>
          <w:color w:val="000000"/>
        </w:rPr>
        <w:t>Augmentation Paradox’,</w:t>
      </w:r>
      <w:r>
        <w:rPr>
          <w:rStyle w:val="apple-converted-space"/>
          <w:rFonts w:eastAsiaTheme="majorEastAsia"/>
          <w:color w:val="000000"/>
        </w:rPr>
        <w:t> </w:t>
      </w:r>
      <w:r>
        <w:rPr>
          <w:i/>
          <w:iCs/>
          <w:color w:val="000000"/>
        </w:rPr>
        <w:t>Academy of Management Review</w:t>
      </w:r>
      <w:r>
        <w:rPr>
          <w:color w:val="000000"/>
        </w:rPr>
        <w:t>, 46(1), pp. 192</w:t>
      </w:r>
      <w:r w:rsidR="0050188E">
        <w:rPr>
          <w:color w:val="000000"/>
        </w:rPr>
        <w:t>-</w:t>
      </w:r>
      <w:r>
        <w:rPr>
          <w:color w:val="000000"/>
        </w:rPr>
        <w:t>210. Available at: https://doi.org/https://doi.org/10.5465/amr.2018.0072.</w:t>
      </w:r>
    </w:p>
    <w:p w14:paraId="3BE5506E" w14:textId="263A6C5B" w:rsidR="00F82232" w:rsidRDefault="00F82232" w:rsidP="00F67F11">
      <w:pPr>
        <w:pStyle w:val="NormalWeb"/>
        <w:spacing w:before="0" w:beforeAutospacing="0" w:after="240" w:afterAutospacing="0" w:line="360" w:lineRule="auto"/>
        <w:rPr>
          <w:color w:val="000000"/>
        </w:rPr>
      </w:pPr>
      <w:r>
        <w:rPr>
          <w:color w:val="000000"/>
        </w:rPr>
        <w:t>Rajagukguk, S.A. (2026) ‘A multi-agent generative AI</w:t>
      </w:r>
      <w:r w:rsidR="0050188E">
        <w:rPr>
          <w:color w:val="000000"/>
        </w:rPr>
        <w:t>-</w:t>
      </w:r>
      <w:r>
        <w:rPr>
          <w:color w:val="000000"/>
        </w:rPr>
        <w:t>driven framework for the rapid validation of digital business models through synthetic market intelligence’,</w:t>
      </w:r>
      <w:r>
        <w:rPr>
          <w:rStyle w:val="apple-converted-space"/>
          <w:rFonts w:eastAsiaTheme="majorEastAsia"/>
          <w:color w:val="000000"/>
        </w:rPr>
        <w:t> </w:t>
      </w:r>
      <w:r>
        <w:rPr>
          <w:i/>
          <w:iCs/>
          <w:color w:val="000000"/>
        </w:rPr>
        <w:t>Engineering, Technology &amp; Applied Science Research</w:t>
      </w:r>
      <w:r>
        <w:rPr>
          <w:color w:val="000000"/>
        </w:rPr>
        <w:t>, 16(3), pp. 35199</w:t>
      </w:r>
      <w:r w:rsidR="0050188E">
        <w:rPr>
          <w:color w:val="000000"/>
        </w:rPr>
        <w:t>-</w:t>
      </w:r>
      <w:r>
        <w:rPr>
          <w:color w:val="000000"/>
        </w:rPr>
        <w:t>35204. Available at: https://doi.org/10.48084/etasr.16536.</w:t>
      </w:r>
    </w:p>
    <w:p w14:paraId="674B6D4A" w14:textId="18A3A5D4" w:rsidR="00F82232" w:rsidRDefault="00F82232" w:rsidP="00F67F11">
      <w:pPr>
        <w:pStyle w:val="NormalWeb"/>
        <w:spacing w:before="0" w:beforeAutospacing="0" w:after="240" w:afterAutospacing="0" w:line="360" w:lineRule="auto"/>
        <w:rPr>
          <w:color w:val="000000"/>
        </w:rPr>
      </w:pPr>
      <w:r>
        <w:rPr>
          <w:color w:val="000000"/>
        </w:rPr>
        <w:t>Rana, N.P., Pillai, R., Sivathanu, B. and Malik, N. (2024) ‘Assessing the nexus of generative AI adoption, ethical considerations and organizational performance’,</w:t>
      </w:r>
      <w:r>
        <w:rPr>
          <w:rStyle w:val="apple-converted-space"/>
          <w:rFonts w:eastAsiaTheme="majorEastAsia"/>
          <w:color w:val="000000"/>
        </w:rPr>
        <w:t> </w:t>
      </w:r>
      <w:r>
        <w:rPr>
          <w:i/>
          <w:iCs/>
          <w:color w:val="000000"/>
        </w:rPr>
        <w:t>Technovation</w:t>
      </w:r>
      <w:r>
        <w:rPr>
          <w:color w:val="000000"/>
        </w:rPr>
        <w:t>, 135, pp. 103064</w:t>
      </w:r>
      <w:r w:rsidR="0050188E">
        <w:rPr>
          <w:color w:val="000000"/>
        </w:rPr>
        <w:t>-</w:t>
      </w:r>
      <w:r>
        <w:rPr>
          <w:color w:val="000000"/>
        </w:rPr>
        <w:t>103064. Available at: https://doi.org/10.1016/j.technovation.2024.103064.</w:t>
      </w:r>
    </w:p>
    <w:p w14:paraId="53ACAE36" w14:textId="5AA0DEB5" w:rsidR="00F82232" w:rsidRDefault="00F82232" w:rsidP="00F67F11">
      <w:pPr>
        <w:pStyle w:val="NormalWeb"/>
        <w:spacing w:before="0" w:beforeAutospacing="0" w:after="240" w:afterAutospacing="0" w:line="360" w:lineRule="auto"/>
        <w:rPr>
          <w:color w:val="000000"/>
        </w:rPr>
      </w:pPr>
      <w:r>
        <w:rPr>
          <w:color w:val="000000"/>
        </w:rPr>
        <w:t>Rao, K.R. and Shivani, B.M. (2026) ‘Generative AI’s role in transforming knowledge work and the workforce’,</w:t>
      </w:r>
      <w:r>
        <w:rPr>
          <w:rStyle w:val="apple-converted-space"/>
          <w:rFonts w:eastAsiaTheme="majorEastAsia"/>
          <w:color w:val="000000"/>
        </w:rPr>
        <w:t> </w:t>
      </w:r>
      <w:r>
        <w:rPr>
          <w:i/>
          <w:iCs/>
          <w:color w:val="000000"/>
        </w:rPr>
        <w:t>International Journal of Science and Research (IJSR)</w:t>
      </w:r>
      <w:r>
        <w:rPr>
          <w:color w:val="000000"/>
        </w:rPr>
        <w:t>, pp. 1714</w:t>
      </w:r>
      <w:r w:rsidR="0050188E">
        <w:rPr>
          <w:color w:val="000000"/>
        </w:rPr>
        <w:t>-</w:t>
      </w:r>
      <w:r>
        <w:rPr>
          <w:color w:val="000000"/>
        </w:rPr>
        <w:t>1716. Available at: https://doi.org/10.21275/sr26129154114.</w:t>
      </w:r>
    </w:p>
    <w:p w14:paraId="22A430E6" w14:textId="77777777" w:rsidR="00F82232" w:rsidRDefault="00F82232" w:rsidP="00F67F11">
      <w:pPr>
        <w:pStyle w:val="NormalWeb"/>
        <w:spacing w:before="0" w:beforeAutospacing="0" w:after="240" w:afterAutospacing="0" w:line="360" w:lineRule="auto"/>
        <w:rPr>
          <w:color w:val="000000"/>
        </w:rPr>
      </w:pPr>
      <w:r>
        <w:rPr>
          <w:color w:val="000000"/>
        </w:rPr>
        <w:t>Robles, P. and Mallinson, D.J. (2025) ‘Advancing AI governance with a unified theoretical framework: A systematic review’,</w:t>
      </w:r>
      <w:r>
        <w:rPr>
          <w:rStyle w:val="apple-converted-space"/>
          <w:rFonts w:eastAsiaTheme="majorEastAsia"/>
          <w:color w:val="000000"/>
        </w:rPr>
        <w:t> </w:t>
      </w:r>
      <w:r>
        <w:rPr>
          <w:i/>
          <w:iCs/>
          <w:color w:val="000000"/>
        </w:rPr>
        <w:t>Perspectives on Public Management and Governance</w:t>
      </w:r>
      <w:r>
        <w:rPr>
          <w:rStyle w:val="apple-converted-space"/>
          <w:rFonts w:eastAsiaTheme="majorEastAsia"/>
          <w:color w:val="000000"/>
        </w:rPr>
        <w:t> </w:t>
      </w:r>
      <w:r>
        <w:rPr>
          <w:color w:val="000000"/>
        </w:rPr>
        <w:t>. Available at: https://doi.org/10.1093/ppmgov/gvaf013.</w:t>
      </w:r>
    </w:p>
    <w:p w14:paraId="0FF4B4E2" w14:textId="79571369" w:rsidR="00F82232" w:rsidRDefault="00F82232" w:rsidP="00F67F11">
      <w:pPr>
        <w:pStyle w:val="NormalWeb"/>
        <w:spacing w:before="0" w:beforeAutospacing="0" w:after="240" w:afterAutospacing="0" w:line="360" w:lineRule="auto"/>
        <w:rPr>
          <w:color w:val="000000"/>
        </w:rPr>
      </w:pPr>
      <w:r>
        <w:rPr>
          <w:color w:val="000000"/>
        </w:rPr>
        <w:lastRenderedPageBreak/>
        <w:t>Sahana, A. (2025) ‘Impact of artificial intelligence adoption on employee productivity in SMEs’,</w:t>
      </w:r>
      <w:r>
        <w:rPr>
          <w:rStyle w:val="apple-converted-space"/>
          <w:rFonts w:eastAsiaTheme="majorEastAsia"/>
          <w:color w:val="000000"/>
        </w:rPr>
        <w:t> </w:t>
      </w:r>
      <w:r>
        <w:rPr>
          <w:i/>
          <w:iCs/>
          <w:color w:val="000000"/>
        </w:rPr>
        <w:t>International Journal of Emerging Research in Science, Engineering, and Management</w:t>
      </w:r>
      <w:r>
        <w:rPr>
          <w:color w:val="000000"/>
        </w:rPr>
        <w:t>, 1(4), pp. 9</w:t>
      </w:r>
      <w:r w:rsidR="0050188E">
        <w:rPr>
          <w:color w:val="000000"/>
        </w:rPr>
        <w:t>-</w:t>
      </w:r>
      <w:r>
        <w:rPr>
          <w:color w:val="000000"/>
        </w:rPr>
        <w:t>18. Available at: https://doi.org/10.58482/ijersem.v1i4.2.</w:t>
      </w:r>
    </w:p>
    <w:p w14:paraId="39CC06F6" w14:textId="7031292F" w:rsidR="00F82232" w:rsidRDefault="00F82232" w:rsidP="00F67F11">
      <w:pPr>
        <w:pStyle w:val="NormalWeb"/>
        <w:spacing w:before="0" w:beforeAutospacing="0" w:after="240" w:afterAutospacing="0" w:line="360" w:lineRule="auto"/>
        <w:rPr>
          <w:color w:val="000000"/>
        </w:rPr>
      </w:pPr>
      <w:r>
        <w:rPr>
          <w:color w:val="000000"/>
        </w:rPr>
        <w:t>Sahoo, S.K., Goswami, S.S., Sarkar, S. and Mitra, S. (2023) ‘A review of Digital Transformation and Industry 4.0 in supply chain management for small and medium-sized enterprises’,</w:t>
      </w:r>
      <w:r>
        <w:rPr>
          <w:rStyle w:val="apple-converted-space"/>
          <w:rFonts w:eastAsiaTheme="majorEastAsia"/>
          <w:color w:val="000000"/>
        </w:rPr>
        <w:t> </w:t>
      </w:r>
      <w:r>
        <w:rPr>
          <w:i/>
          <w:iCs/>
          <w:color w:val="000000"/>
        </w:rPr>
        <w:t>Spectrum of Engineering and Management Sciences</w:t>
      </w:r>
      <w:r>
        <w:rPr>
          <w:color w:val="000000"/>
        </w:rPr>
        <w:t>, 1(1), pp. 58</w:t>
      </w:r>
      <w:r w:rsidR="0050188E">
        <w:rPr>
          <w:color w:val="000000"/>
        </w:rPr>
        <w:t>-</w:t>
      </w:r>
      <w:r>
        <w:rPr>
          <w:color w:val="000000"/>
        </w:rPr>
        <w:t>72.</w:t>
      </w:r>
    </w:p>
    <w:p w14:paraId="6333E26F" w14:textId="77777777" w:rsidR="00F82232" w:rsidRDefault="00F82232" w:rsidP="00F67F11">
      <w:pPr>
        <w:pStyle w:val="NormalWeb"/>
        <w:spacing w:before="0" w:beforeAutospacing="0" w:after="240" w:afterAutospacing="0" w:line="360" w:lineRule="auto"/>
        <w:rPr>
          <w:color w:val="000000"/>
        </w:rPr>
      </w:pPr>
      <w:r>
        <w:rPr>
          <w:color w:val="000000"/>
        </w:rPr>
        <w:t>Salmeron, N.B. and Matias, R. (2025) ‘From digital facade to true transformation: Overcoming the AI mirage in SMEs’,</w:t>
      </w:r>
      <w:r>
        <w:rPr>
          <w:rStyle w:val="apple-converted-space"/>
          <w:rFonts w:eastAsiaTheme="majorEastAsia"/>
          <w:color w:val="000000"/>
        </w:rPr>
        <w:t> </w:t>
      </w:r>
      <w:r>
        <w:rPr>
          <w:i/>
          <w:iCs/>
          <w:color w:val="000000"/>
        </w:rPr>
        <w:t>Academy of Management Proceedings</w:t>
      </w:r>
      <w:r>
        <w:rPr>
          <w:color w:val="000000"/>
        </w:rPr>
        <w:t>, 2025(1). Available at: https://doi.org/10.5465/amproc.2025.21260poster.</w:t>
      </w:r>
    </w:p>
    <w:p w14:paraId="588298B6" w14:textId="77777777" w:rsidR="00F82232" w:rsidRDefault="00F82232" w:rsidP="00F67F11">
      <w:pPr>
        <w:pStyle w:val="NormalWeb"/>
        <w:spacing w:before="0" w:beforeAutospacing="0" w:after="240" w:afterAutospacing="0" w:line="360" w:lineRule="auto"/>
        <w:rPr>
          <w:color w:val="000000"/>
        </w:rPr>
      </w:pPr>
      <w:r>
        <w:rPr>
          <w:color w:val="000000"/>
        </w:rPr>
        <w:t>Sankaran, G., Palomino, M.A. and Siestrup, G. (2026) ‘A review of Human-AI complementarities across multiple dimensions of organisational complexity’,</w:t>
      </w:r>
      <w:r>
        <w:rPr>
          <w:rStyle w:val="apple-converted-space"/>
          <w:rFonts w:eastAsiaTheme="majorEastAsia"/>
          <w:color w:val="000000"/>
        </w:rPr>
        <w:t> </w:t>
      </w:r>
      <w:r>
        <w:rPr>
          <w:i/>
          <w:iCs/>
          <w:color w:val="000000"/>
        </w:rPr>
        <w:t>Big Data and Cognitive Computing</w:t>
      </w:r>
      <w:r>
        <w:rPr>
          <w:color w:val="000000"/>
        </w:rPr>
        <w:t>, 10(8), p. 268. Available at: https://doi.org/10.3390/bdcc10080268.</w:t>
      </w:r>
    </w:p>
    <w:p w14:paraId="25295689" w14:textId="5FA3F65E" w:rsidR="00F82232" w:rsidRDefault="00F82232" w:rsidP="00F67F11">
      <w:pPr>
        <w:pStyle w:val="NormalWeb"/>
        <w:spacing w:before="0" w:beforeAutospacing="0" w:after="240" w:afterAutospacing="0" w:line="360" w:lineRule="auto"/>
        <w:rPr>
          <w:color w:val="000000"/>
        </w:rPr>
      </w:pPr>
      <w:r>
        <w:rPr>
          <w:color w:val="000000"/>
        </w:rPr>
        <w:t>Satayapaisal, S., Ketcham, M. and Tantiathimongkhon, T. (2026) ‘Generative AI adoption and productivity outcomes in small and medium enterprises’,</w:t>
      </w:r>
      <w:r>
        <w:rPr>
          <w:rStyle w:val="apple-converted-space"/>
          <w:rFonts w:eastAsiaTheme="majorEastAsia"/>
          <w:color w:val="000000"/>
        </w:rPr>
        <w:t> </w:t>
      </w:r>
      <w:r>
        <w:rPr>
          <w:i/>
          <w:iCs/>
          <w:color w:val="000000"/>
        </w:rPr>
        <w:t>2026 IEEE International Conference on Cybernetics and Innovations (ICCI)</w:t>
      </w:r>
      <w:r>
        <w:rPr>
          <w:color w:val="000000"/>
        </w:rPr>
        <w:t>, pp. 1</w:t>
      </w:r>
      <w:r w:rsidR="0050188E">
        <w:rPr>
          <w:color w:val="000000"/>
        </w:rPr>
        <w:t>-</w:t>
      </w:r>
      <w:r>
        <w:rPr>
          <w:color w:val="000000"/>
        </w:rPr>
        <w:t>6. Available at: https://doi.org/10.1109/icci68752.2026.11506501.</w:t>
      </w:r>
    </w:p>
    <w:p w14:paraId="3DE98622" w14:textId="77777777" w:rsidR="00F82232" w:rsidRDefault="00F82232" w:rsidP="00F67F11">
      <w:pPr>
        <w:pStyle w:val="NormalWeb"/>
        <w:spacing w:before="0" w:beforeAutospacing="0" w:after="240" w:afterAutospacing="0" w:line="360" w:lineRule="auto"/>
        <w:rPr>
          <w:color w:val="000000"/>
        </w:rPr>
      </w:pPr>
      <w:r>
        <w:rPr>
          <w:color w:val="000000"/>
        </w:rPr>
        <w:t>Saunders, M., Thornhill, A. and Lewis, P. (2023)</w:t>
      </w:r>
      <w:r>
        <w:rPr>
          <w:rStyle w:val="apple-converted-space"/>
          <w:rFonts w:eastAsiaTheme="majorEastAsia"/>
          <w:color w:val="000000"/>
        </w:rPr>
        <w:t> </w:t>
      </w:r>
      <w:r>
        <w:rPr>
          <w:i/>
          <w:iCs/>
          <w:color w:val="000000"/>
        </w:rPr>
        <w:t>Research Methods for Business Students</w:t>
      </w:r>
      <w:r>
        <w:rPr>
          <w:color w:val="000000"/>
        </w:rPr>
        <w:t>. 9th edn. Pearson Education.</w:t>
      </w:r>
    </w:p>
    <w:p w14:paraId="42CBA151" w14:textId="77777777" w:rsidR="00F82232" w:rsidRDefault="00F82232" w:rsidP="00F67F11">
      <w:pPr>
        <w:pStyle w:val="NormalWeb"/>
        <w:spacing w:before="0" w:beforeAutospacing="0" w:after="240" w:afterAutospacing="0" w:line="360" w:lineRule="auto"/>
        <w:rPr>
          <w:color w:val="000000"/>
        </w:rPr>
      </w:pPr>
      <w:r>
        <w:rPr>
          <w:color w:val="000000"/>
        </w:rPr>
        <w:t>Savolainen, I., Ylinen, L., Grönroos, R. and Oksanen, A. (2025) ‘AI transformation in working life: A systematic review of usage and attitudes towards AI among workers’,</w:t>
      </w:r>
      <w:r>
        <w:rPr>
          <w:rStyle w:val="apple-converted-space"/>
          <w:rFonts w:eastAsiaTheme="majorEastAsia"/>
          <w:color w:val="000000"/>
        </w:rPr>
        <w:t> </w:t>
      </w:r>
      <w:r>
        <w:rPr>
          <w:i/>
          <w:iCs/>
          <w:color w:val="000000"/>
        </w:rPr>
        <w:t>Digital Business</w:t>
      </w:r>
      <w:r>
        <w:rPr>
          <w:color w:val="000000"/>
        </w:rPr>
        <w:t>, p. 100162. Available at: https://doi.org/10.1016/j.digbus.2025.100162.</w:t>
      </w:r>
    </w:p>
    <w:p w14:paraId="18F86789" w14:textId="26B21C54" w:rsidR="00F82232" w:rsidRDefault="00F82232" w:rsidP="00F67F11">
      <w:pPr>
        <w:pStyle w:val="NormalWeb"/>
        <w:spacing w:before="0" w:beforeAutospacing="0" w:after="240" w:afterAutospacing="0" w:line="360" w:lineRule="auto"/>
        <w:rPr>
          <w:color w:val="000000"/>
        </w:rPr>
      </w:pPr>
      <w:r>
        <w:rPr>
          <w:color w:val="000000"/>
        </w:rPr>
        <w:t>Shafik, W. (2025) ‘Unlocking the Generative Artificial Intelligence in small and medium-sized enterprises (SMEs)’,</w:t>
      </w:r>
      <w:r>
        <w:rPr>
          <w:rStyle w:val="apple-converted-space"/>
          <w:rFonts w:eastAsiaTheme="majorEastAsia"/>
          <w:color w:val="000000"/>
        </w:rPr>
        <w:t> </w:t>
      </w:r>
      <w:r>
        <w:rPr>
          <w:i/>
          <w:iCs/>
          <w:color w:val="000000"/>
        </w:rPr>
        <w:t>Advances in Computational Intelligence and Robotics</w:t>
      </w:r>
      <w:r>
        <w:rPr>
          <w:color w:val="000000"/>
        </w:rPr>
        <w:t>, pp. 461</w:t>
      </w:r>
      <w:r w:rsidR="0050188E">
        <w:rPr>
          <w:color w:val="000000"/>
        </w:rPr>
        <w:t>-</w:t>
      </w:r>
      <w:r>
        <w:rPr>
          <w:color w:val="000000"/>
        </w:rPr>
        <w:t>488. Available at: https://doi.org/10.4018/979-8-3693-9611-7.ch018.</w:t>
      </w:r>
    </w:p>
    <w:p w14:paraId="0CA8B4B6" w14:textId="7A3AB1BE" w:rsidR="00F82232" w:rsidRDefault="00F82232" w:rsidP="00F67F11">
      <w:pPr>
        <w:pStyle w:val="NormalWeb"/>
        <w:spacing w:before="0" w:beforeAutospacing="0" w:after="240" w:afterAutospacing="0" w:line="360" w:lineRule="auto"/>
        <w:rPr>
          <w:color w:val="000000"/>
        </w:rPr>
      </w:pPr>
      <w:r>
        <w:rPr>
          <w:color w:val="000000"/>
        </w:rPr>
        <w:t>Shore, A., Tiwari, M., Tandon, P. and Foropon, C. (2024) ‘Building entrepreneurial resilience during crisis using generative AI: An empirical study on SMEs’,</w:t>
      </w:r>
      <w:r>
        <w:rPr>
          <w:rStyle w:val="apple-converted-space"/>
          <w:rFonts w:eastAsiaTheme="majorEastAsia"/>
          <w:color w:val="000000"/>
        </w:rPr>
        <w:t> </w:t>
      </w:r>
      <w:r>
        <w:rPr>
          <w:i/>
          <w:iCs/>
          <w:color w:val="000000"/>
        </w:rPr>
        <w:t>Technovation</w:t>
      </w:r>
      <w:r>
        <w:rPr>
          <w:color w:val="000000"/>
        </w:rPr>
        <w:t>, 135, pp. 103063</w:t>
      </w:r>
      <w:r w:rsidR="0050188E">
        <w:rPr>
          <w:color w:val="000000"/>
        </w:rPr>
        <w:t>-</w:t>
      </w:r>
      <w:r>
        <w:rPr>
          <w:color w:val="000000"/>
        </w:rPr>
        <w:t>103063. Available at: https://doi.org/10.1016/j.technovation.2024.103063.</w:t>
      </w:r>
    </w:p>
    <w:p w14:paraId="3F295799" w14:textId="7B26A4AD" w:rsidR="00F82232" w:rsidRDefault="00F82232" w:rsidP="00F67F11">
      <w:pPr>
        <w:pStyle w:val="NormalWeb"/>
        <w:spacing w:before="0" w:beforeAutospacing="0" w:after="240" w:afterAutospacing="0" w:line="360" w:lineRule="auto"/>
        <w:rPr>
          <w:color w:val="000000"/>
        </w:rPr>
      </w:pPr>
      <w:r>
        <w:rPr>
          <w:color w:val="000000"/>
        </w:rPr>
        <w:t>Singh, D., Singh, P. and Alam, M.Q. (2024) ‘Power and Progress: Our 1000-Year Struggle Over Technology and Prosperity’,</w:t>
      </w:r>
      <w:r>
        <w:rPr>
          <w:rStyle w:val="apple-converted-space"/>
          <w:rFonts w:eastAsiaTheme="majorEastAsia"/>
          <w:color w:val="000000"/>
        </w:rPr>
        <w:t> </w:t>
      </w:r>
      <w:r>
        <w:rPr>
          <w:i/>
          <w:iCs/>
          <w:color w:val="000000"/>
        </w:rPr>
        <w:t>Synergy International Journal of Multidisciplinary Studies</w:t>
      </w:r>
      <w:r>
        <w:rPr>
          <w:color w:val="000000"/>
        </w:rPr>
        <w:t>, 1(2), pp. 1</w:t>
      </w:r>
      <w:r w:rsidR="0050188E">
        <w:rPr>
          <w:color w:val="000000"/>
        </w:rPr>
        <w:t>-</w:t>
      </w:r>
      <w:r>
        <w:rPr>
          <w:color w:val="000000"/>
        </w:rPr>
        <w:t>3. Available at: https://doi.org/10.63960/sijmds-2024-1256.</w:t>
      </w:r>
    </w:p>
    <w:p w14:paraId="30126C3D" w14:textId="52924FA4" w:rsidR="00F82232" w:rsidRDefault="00F82232" w:rsidP="00F67F11">
      <w:pPr>
        <w:pStyle w:val="NormalWeb"/>
        <w:spacing w:before="0" w:beforeAutospacing="0" w:after="240" w:afterAutospacing="0" w:line="360" w:lineRule="auto"/>
        <w:rPr>
          <w:color w:val="000000"/>
        </w:rPr>
      </w:pPr>
      <w:r>
        <w:rPr>
          <w:color w:val="000000"/>
        </w:rPr>
        <w:lastRenderedPageBreak/>
        <w:t>Sirinanda, M.D. and Balota, J.E. (2024) ‘Practical Digital Transformation Framework for small and medium-sized enterprises in the UK’,</w:t>
      </w:r>
      <w:r>
        <w:rPr>
          <w:rStyle w:val="apple-converted-space"/>
          <w:rFonts w:eastAsiaTheme="majorEastAsia"/>
          <w:color w:val="000000"/>
        </w:rPr>
        <w:t> </w:t>
      </w:r>
      <w:r>
        <w:rPr>
          <w:i/>
          <w:iCs/>
          <w:color w:val="000000"/>
        </w:rPr>
        <w:t>2024 IEEE International Conference on e-Business Engineering (ICEBE)</w:t>
      </w:r>
      <w:r>
        <w:rPr>
          <w:color w:val="000000"/>
        </w:rPr>
        <w:t>, pp. 168</w:t>
      </w:r>
      <w:r w:rsidR="0050188E">
        <w:rPr>
          <w:color w:val="000000"/>
        </w:rPr>
        <w:t>-</w:t>
      </w:r>
      <w:r>
        <w:rPr>
          <w:color w:val="000000"/>
        </w:rPr>
        <w:t>174. Available at: https://doi.org/10.1109/icebe62490.2024.00034.</w:t>
      </w:r>
    </w:p>
    <w:p w14:paraId="4DCF29F7" w14:textId="77777777" w:rsidR="00F82232" w:rsidRDefault="00F82232" w:rsidP="00F67F11">
      <w:pPr>
        <w:pStyle w:val="NormalWeb"/>
        <w:spacing w:before="0" w:beforeAutospacing="0" w:after="240" w:afterAutospacing="0" w:line="360" w:lineRule="auto"/>
        <w:rPr>
          <w:color w:val="000000"/>
        </w:rPr>
      </w:pPr>
      <w:r>
        <w:rPr>
          <w:color w:val="000000"/>
        </w:rPr>
        <w:t>Soudi, M.S. and Bauters, M. (2024) ‘AI guidelines and ethical readiness inside SMEs: A review and recommendations’,</w:t>
      </w:r>
      <w:r>
        <w:rPr>
          <w:rStyle w:val="apple-converted-space"/>
          <w:rFonts w:eastAsiaTheme="majorEastAsia"/>
          <w:color w:val="000000"/>
        </w:rPr>
        <w:t> </w:t>
      </w:r>
      <w:r>
        <w:rPr>
          <w:i/>
          <w:iCs/>
          <w:color w:val="000000"/>
        </w:rPr>
        <w:t>Digital Society</w:t>
      </w:r>
      <w:r>
        <w:rPr>
          <w:color w:val="000000"/>
        </w:rPr>
        <w:t>, 3(1). Available at: https://doi.org/10.1007/s44206-024-00087-1.</w:t>
      </w:r>
    </w:p>
    <w:p w14:paraId="1F89BF5A" w14:textId="506F9688" w:rsidR="00F82232" w:rsidRDefault="00F82232" w:rsidP="00F67F11">
      <w:pPr>
        <w:pStyle w:val="NormalWeb"/>
        <w:spacing w:before="0" w:beforeAutospacing="0" w:after="240" w:afterAutospacing="0" w:line="360" w:lineRule="auto"/>
        <w:rPr>
          <w:color w:val="000000"/>
        </w:rPr>
      </w:pPr>
      <w:r>
        <w:rPr>
          <w:color w:val="000000"/>
        </w:rPr>
        <w:t>Sun, L. and Bunchapattanasakda, C. (2019) ‘Employee engagement: A literature review’,</w:t>
      </w:r>
      <w:r>
        <w:rPr>
          <w:rStyle w:val="apple-converted-space"/>
          <w:rFonts w:eastAsiaTheme="majorEastAsia"/>
          <w:color w:val="000000"/>
        </w:rPr>
        <w:t> </w:t>
      </w:r>
      <w:r>
        <w:rPr>
          <w:i/>
          <w:iCs/>
          <w:color w:val="000000"/>
        </w:rPr>
        <w:t>International Journal of Human Resource Studies</w:t>
      </w:r>
      <w:r>
        <w:rPr>
          <w:color w:val="000000"/>
        </w:rPr>
        <w:t>, 9(1), pp. 63</w:t>
      </w:r>
      <w:r w:rsidR="0050188E">
        <w:rPr>
          <w:color w:val="000000"/>
        </w:rPr>
        <w:t>-</w:t>
      </w:r>
      <w:r>
        <w:rPr>
          <w:color w:val="000000"/>
        </w:rPr>
        <w:t>80. Available at: https://doi.org/10.5296/ijhrs.v9i1.14167.</w:t>
      </w:r>
    </w:p>
    <w:p w14:paraId="027E9247" w14:textId="77777777" w:rsidR="00F82232" w:rsidRDefault="00F82232" w:rsidP="00F67F11">
      <w:pPr>
        <w:pStyle w:val="NormalWeb"/>
        <w:spacing w:before="0" w:beforeAutospacing="0" w:after="240" w:afterAutospacing="0" w:line="360" w:lineRule="auto"/>
        <w:rPr>
          <w:color w:val="000000"/>
        </w:rPr>
      </w:pPr>
      <w:r>
        <w:rPr>
          <w:color w:val="000000"/>
        </w:rPr>
        <w:t>Sun, R., Wang, P., Tan, K.-L. and Chen, S. (2026) ‘Technology implementation and job crafting: A process model built from a systematic literature review’,</w:t>
      </w:r>
      <w:r>
        <w:rPr>
          <w:rStyle w:val="apple-converted-space"/>
          <w:rFonts w:eastAsiaTheme="majorEastAsia"/>
          <w:color w:val="000000"/>
        </w:rPr>
        <w:t> </w:t>
      </w:r>
      <w:r>
        <w:rPr>
          <w:i/>
          <w:iCs/>
          <w:color w:val="000000"/>
        </w:rPr>
        <w:t>Group &amp; Organization Management</w:t>
      </w:r>
      <w:r>
        <w:rPr>
          <w:rStyle w:val="apple-converted-space"/>
          <w:rFonts w:eastAsiaTheme="majorEastAsia"/>
          <w:color w:val="000000"/>
        </w:rPr>
        <w:t> </w:t>
      </w:r>
      <w:r>
        <w:rPr>
          <w:color w:val="000000"/>
        </w:rPr>
        <w:t>. Available at: https://doi.org/10.1177/10596011261472264.</w:t>
      </w:r>
    </w:p>
    <w:p w14:paraId="4CBE5235" w14:textId="77777777" w:rsidR="00F82232" w:rsidRDefault="00F82232" w:rsidP="00F67F11">
      <w:pPr>
        <w:pStyle w:val="NormalWeb"/>
        <w:spacing w:before="0" w:beforeAutospacing="0" w:after="240" w:afterAutospacing="0" w:line="360" w:lineRule="auto"/>
        <w:rPr>
          <w:color w:val="000000"/>
        </w:rPr>
      </w:pPr>
      <w:r>
        <w:rPr>
          <w:color w:val="000000"/>
        </w:rPr>
        <w:t>Söllner, M., Arnold, T., Benlian, A., Bretschneider, U., Knight, C., Ohly, S., Rudkowski, L., Schreiber, G. and Wendt, D. (2025) ‘ChatGPT and beyond: Exploring the responsible use of generative AI in the workplace’,</w:t>
      </w:r>
      <w:r>
        <w:rPr>
          <w:rStyle w:val="apple-converted-space"/>
          <w:rFonts w:eastAsiaTheme="majorEastAsia"/>
          <w:color w:val="000000"/>
        </w:rPr>
        <w:t> </w:t>
      </w:r>
      <w:r>
        <w:rPr>
          <w:i/>
          <w:iCs/>
          <w:color w:val="000000"/>
        </w:rPr>
        <w:t>Business &amp; Information Systems Engineering</w:t>
      </w:r>
      <w:r>
        <w:rPr>
          <w:color w:val="000000"/>
        </w:rPr>
        <w:t>, 67. Available at: https://doi.org/10.1007/s12599-025-00932-8.</w:t>
      </w:r>
    </w:p>
    <w:p w14:paraId="3C649FBC" w14:textId="5C0E2BF9" w:rsidR="00F82232" w:rsidRDefault="00F82232" w:rsidP="00F67F11">
      <w:pPr>
        <w:pStyle w:val="NormalWeb"/>
        <w:spacing w:before="0" w:beforeAutospacing="0" w:after="240" w:afterAutospacing="0" w:line="360" w:lineRule="auto"/>
        <w:rPr>
          <w:color w:val="000000"/>
        </w:rPr>
      </w:pPr>
      <w:r>
        <w:rPr>
          <w:color w:val="000000"/>
        </w:rPr>
        <w:t>Tanni, M.M.P., Mehely, Tanji, Rahman, M.S., Apu, M.M.H. and M. M., A. (2026) ‘Strategic integration of artificial intelligence in the U.S. industrial management: A qualitative study of organizational transformation’,</w:t>
      </w:r>
      <w:r>
        <w:rPr>
          <w:rStyle w:val="apple-converted-space"/>
          <w:rFonts w:eastAsiaTheme="majorEastAsia"/>
          <w:color w:val="000000"/>
        </w:rPr>
        <w:t> </w:t>
      </w:r>
      <w:r>
        <w:rPr>
          <w:i/>
          <w:iCs/>
          <w:color w:val="000000"/>
        </w:rPr>
        <w:t>International Journal of Science and Engineering</w:t>
      </w:r>
      <w:r>
        <w:rPr>
          <w:color w:val="000000"/>
        </w:rPr>
        <w:t>, 3(01), pp. 01</w:t>
      </w:r>
      <w:r w:rsidR="0050188E">
        <w:rPr>
          <w:color w:val="000000"/>
        </w:rPr>
        <w:t>-</w:t>
      </w:r>
      <w:r>
        <w:rPr>
          <w:color w:val="000000"/>
        </w:rPr>
        <w:t>09. Available at: https://doi.org/10.62304/ijse.v3i01.248.</w:t>
      </w:r>
    </w:p>
    <w:p w14:paraId="7B50D007" w14:textId="77777777" w:rsidR="00F82232" w:rsidRDefault="00F82232" w:rsidP="00F67F11">
      <w:pPr>
        <w:pStyle w:val="NormalWeb"/>
        <w:spacing w:before="0" w:beforeAutospacing="0" w:after="240" w:afterAutospacing="0" w:line="360" w:lineRule="auto"/>
        <w:rPr>
          <w:color w:val="000000"/>
        </w:rPr>
      </w:pPr>
      <w:r>
        <w:rPr>
          <w:color w:val="000000"/>
        </w:rPr>
        <w:t>Tiago, F. and Almeida, A. (2026) ‘Environmental, organizational, and individual determinants of AI adoption: A multilevel knowledge and analysis’,</w:t>
      </w:r>
      <w:r>
        <w:rPr>
          <w:rStyle w:val="apple-converted-space"/>
          <w:rFonts w:eastAsiaTheme="majorEastAsia"/>
          <w:color w:val="000000"/>
        </w:rPr>
        <w:t> </w:t>
      </w:r>
      <w:r>
        <w:rPr>
          <w:i/>
          <w:iCs/>
          <w:color w:val="000000"/>
        </w:rPr>
        <w:t>Journal of Innovation &amp;amp; Knowledge</w:t>
      </w:r>
      <w:r>
        <w:rPr>
          <w:color w:val="000000"/>
        </w:rPr>
        <w:t>, 13, p. 100934. Available at: https://doi.org/10.1016/j.jik.2025.100934.</w:t>
      </w:r>
    </w:p>
    <w:p w14:paraId="6649897D" w14:textId="44F2A62A" w:rsidR="00F82232" w:rsidRDefault="00F82232" w:rsidP="00F67F11">
      <w:pPr>
        <w:pStyle w:val="NormalWeb"/>
        <w:spacing w:before="0" w:beforeAutospacing="0" w:after="240" w:afterAutospacing="0" w:line="360" w:lineRule="auto"/>
        <w:rPr>
          <w:color w:val="000000"/>
        </w:rPr>
      </w:pPr>
      <w:r>
        <w:rPr>
          <w:color w:val="000000"/>
        </w:rPr>
        <w:t>Tiwari, S., Buch, D. and Rao, A. (2026) ‘Generative Artificial Intelligence as an enabler of organizational ambidexterity in the knowledge economy’,</w:t>
      </w:r>
      <w:r>
        <w:rPr>
          <w:rStyle w:val="apple-converted-space"/>
          <w:rFonts w:eastAsiaTheme="majorEastAsia"/>
          <w:color w:val="000000"/>
        </w:rPr>
        <w:t> </w:t>
      </w:r>
      <w:r>
        <w:rPr>
          <w:i/>
          <w:iCs/>
          <w:color w:val="000000"/>
        </w:rPr>
        <w:t>Management Dynamics in the Knowledge Economy</w:t>
      </w:r>
      <w:r>
        <w:rPr>
          <w:color w:val="000000"/>
        </w:rPr>
        <w:t>, 14(1), pp. 40</w:t>
      </w:r>
      <w:r w:rsidR="0050188E">
        <w:rPr>
          <w:color w:val="000000"/>
        </w:rPr>
        <w:t>-</w:t>
      </w:r>
      <w:r>
        <w:rPr>
          <w:color w:val="000000"/>
        </w:rPr>
        <w:t>53. Available at: https://doi.org/10.2478/mdke-2026-0003.</w:t>
      </w:r>
    </w:p>
    <w:p w14:paraId="2E2C5E72" w14:textId="67D7CBCC" w:rsidR="00F82232" w:rsidRDefault="00F82232" w:rsidP="00F67F11">
      <w:pPr>
        <w:pStyle w:val="NormalWeb"/>
        <w:spacing w:before="0" w:beforeAutospacing="0" w:after="240" w:afterAutospacing="0" w:line="360" w:lineRule="auto"/>
        <w:rPr>
          <w:color w:val="000000"/>
        </w:rPr>
      </w:pPr>
      <w:r>
        <w:rPr>
          <w:color w:val="000000"/>
        </w:rPr>
        <w:t>Tokkozhina, U., Martins, A.L., Ferreira, J.C., Mascarenhas, M. and Correia, R. (2025) ‘Unlocking the potential of Gen-AI in business context’,</w:t>
      </w:r>
      <w:r>
        <w:rPr>
          <w:rStyle w:val="apple-converted-space"/>
          <w:rFonts w:eastAsiaTheme="majorEastAsia"/>
          <w:color w:val="000000"/>
        </w:rPr>
        <w:t> </w:t>
      </w:r>
      <w:r>
        <w:rPr>
          <w:i/>
          <w:iCs/>
          <w:color w:val="000000"/>
        </w:rPr>
        <w:t>Journal of Global Information Management</w:t>
      </w:r>
      <w:r>
        <w:rPr>
          <w:color w:val="000000"/>
        </w:rPr>
        <w:t>, 33(1), pp. 1</w:t>
      </w:r>
      <w:r w:rsidR="0050188E">
        <w:rPr>
          <w:color w:val="000000"/>
        </w:rPr>
        <w:t>-</w:t>
      </w:r>
      <w:r>
        <w:rPr>
          <w:color w:val="000000"/>
        </w:rPr>
        <w:t>17. Available at: https://doi.org/10.4018/jgim.375388.</w:t>
      </w:r>
    </w:p>
    <w:p w14:paraId="773013AD" w14:textId="77777777" w:rsidR="00F82232" w:rsidRDefault="00F82232" w:rsidP="00F67F11">
      <w:pPr>
        <w:pStyle w:val="NormalWeb"/>
        <w:spacing w:before="0" w:beforeAutospacing="0" w:after="240" w:afterAutospacing="0" w:line="360" w:lineRule="auto"/>
        <w:rPr>
          <w:color w:val="000000"/>
        </w:rPr>
      </w:pPr>
      <w:r>
        <w:rPr>
          <w:color w:val="000000"/>
        </w:rPr>
        <w:lastRenderedPageBreak/>
        <w:t>Toorajipour, R., Perozzo, H., Ravarini, A., Eaton, B. and Ajami, M. (2026) ‘Navigating the generative AI adoption dilemma: Pathways and trade-offs through a data ecosystem perspective’,</w:t>
      </w:r>
      <w:r>
        <w:rPr>
          <w:rStyle w:val="apple-converted-space"/>
          <w:rFonts w:eastAsiaTheme="majorEastAsia"/>
          <w:color w:val="000000"/>
        </w:rPr>
        <w:t> </w:t>
      </w:r>
      <w:r>
        <w:rPr>
          <w:i/>
          <w:iCs/>
          <w:color w:val="000000"/>
        </w:rPr>
        <w:t>Proceedings of the Annual Hawaii International Conference on System Sciences</w:t>
      </w:r>
      <w:r>
        <w:rPr>
          <w:rStyle w:val="apple-converted-space"/>
          <w:rFonts w:eastAsiaTheme="majorEastAsia"/>
          <w:color w:val="000000"/>
        </w:rPr>
        <w:t> </w:t>
      </w:r>
      <w:r>
        <w:rPr>
          <w:color w:val="000000"/>
        </w:rPr>
        <w:t>. Available at: https://doi.org/10.24251/hicss.2026.778.</w:t>
      </w:r>
    </w:p>
    <w:p w14:paraId="0A6FD301" w14:textId="77777777" w:rsidR="00F82232" w:rsidRDefault="00F82232" w:rsidP="00F67F11">
      <w:pPr>
        <w:pStyle w:val="NormalWeb"/>
        <w:spacing w:before="0" w:beforeAutospacing="0" w:after="240" w:afterAutospacing="0" w:line="360" w:lineRule="auto"/>
        <w:rPr>
          <w:color w:val="000000"/>
        </w:rPr>
      </w:pPr>
      <w:r>
        <w:rPr>
          <w:color w:val="000000"/>
        </w:rPr>
        <w:t>Tornatzky, L.G. and Fleischer, M. (1990)</w:t>
      </w:r>
      <w:r>
        <w:rPr>
          <w:rStyle w:val="apple-converted-space"/>
          <w:rFonts w:eastAsiaTheme="majorEastAsia"/>
          <w:color w:val="000000"/>
        </w:rPr>
        <w:t> </w:t>
      </w:r>
      <w:r>
        <w:rPr>
          <w:i/>
          <w:iCs/>
          <w:color w:val="000000"/>
        </w:rPr>
        <w:t>The processes of technological innovation</w:t>
      </w:r>
      <w:r>
        <w:rPr>
          <w:color w:val="000000"/>
        </w:rPr>
        <w:t>. Free Press.</w:t>
      </w:r>
    </w:p>
    <w:p w14:paraId="7EFE8A47" w14:textId="77777777" w:rsidR="00F82232" w:rsidRDefault="00F82232" w:rsidP="00F67F11">
      <w:pPr>
        <w:pStyle w:val="NormalWeb"/>
        <w:spacing w:before="0" w:beforeAutospacing="0" w:after="240" w:afterAutospacing="0" w:line="360" w:lineRule="auto"/>
        <w:rPr>
          <w:color w:val="000000"/>
        </w:rPr>
      </w:pPr>
      <w:r>
        <w:rPr>
          <w:color w:val="000000"/>
        </w:rPr>
        <w:t>Trenerry, B., Chng, S., Wang, Y., Suhaila, Z.S., Lim, S.S., Lu, H.Y. and Oh, P.H. (2021) ‘Preparing workplaces for digital transformation: An integrative review and framework of multi-level factors’,</w:t>
      </w:r>
      <w:r>
        <w:rPr>
          <w:rStyle w:val="apple-converted-space"/>
          <w:rFonts w:eastAsiaTheme="majorEastAsia"/>
          <w:color w:val="000000"/>
        </w:rPr>
        <w:t> </w:t>
      </w:r>
      <w:r>
        <w:rPr>
          <w:i/>
          <w:iCs/>
          <w:color w:val="000000"/>
        </w:rPr>
        <w:t>Frontiers in Psychology</w:t>
      </w:r>
      <w:r>
        <w:rPr>
          <w:color w:val="000000"/>
        </w:rPr>
        <w:t>, 12(2), p. 822. Available at: https://doi.org/10.3389/fpsyg.2021.620766.</w:t>
      </w:r>
    </w:p>
    <w:p w14:paraId="060BB97C" w14:textId="77777777" w:rsidR="00F82232" w:rsidRDefault="00F82232" w:rsidP="00F67F11">
      <w:pPr>
        <w:pStyle w:val="NormalWeb"/>
        <w:spacing w:before="0" w:beforeAutospacing="0" w:after="240" w:afterAutospacing="0" w:line="360" w:lineRule="auto"/>
        <w:rPr>
          <w:color w:val="000000"/>
        </w:rPr>
      </w:pPr>
      <w:r>
        <w:rPr>
          <w:color w:val="000000"/>
        </w:rPr>
        <w:t>Valtonen, A., Saunila, M., Ukko, J., Treves, L. and Ritala, P. (2025) ‘AI and employee wellbeing in the workplace: An empirical study’,</w:t>
      </w:r>
      <w:r>
        <w:rPr>
          <w:rStyle w:val="apple-converted-space"/>
          <w:rFonts w:eastAsiaTheme="majorEastAsia"/>
          <w:color w:val="000000"/>
        </w:rPr>
        <w:t> </w:t>
      </w:r>
      <w:r>
        <w:rPr>
          <w:i/>
          <w:iCs/>
          <w:color w:val="000000"/>
        </w:rPr>
        <w:t>Journal of Business Research</w:t>
      </w:r>
      <w:r>
        <w:rPr>
          <w:color w:val="000000"/>
        </w:rPr>
        <w:t>, 199, p. 115584. Available at: https://doi.org/10.1016/j.jbusres.2025.115584.</w:t>
      </w:r>
    </w:p>
    <w:p w14:paraId="0AD78EE9" w14:textId="3DD273A9" w:rsidR="00F82232" w:rsidRDefault="00F82232" w:rsidP="00F67F11">
      <w:pPr>
        <w:pStyle w:val="NormalWeb"/>
        <w:spacing w:before="0" w:beforeAutospacing="0" w:after="240" w:afterAutospacing="0" w:line="360" w:lineRule="auto"/>
        <w:rPr>
          <w:color w:val="000000"/>
        </w:rPr>
      </w:pPr>
      <w:r>
        <w:rPr>
          <w:color w:val="000000"/>
        </w:rPr>
        <w:t>Vera, C.L., Bhimani, A., Gandía, J.A.G. and Lucas, A. de (2025) ‘Generative AI and the algorithmic workplace: A bibliometric and conceptual analysis of its impact on organisational decision-making and work design’,</w:t>
      </w:r>
      <w:r>
        <w:rPr>
          <w:rStyle w:val="apple-converted-space"/>
          <w:rFonts w:eastAsiaTheme="majorEastAsia"/>
          <w:color w:val="000000"/>
        </w:rPr>
        <w:t> </w:t>
      </w:r>
      <w:r>
        <w:rPr>
          <w:i/>
          <w:iCs/>
          <w:color w:val="000000"/>
        </w:rPr>
        <w:t>Journal of Open Innovation Technology Market and Complexity</w:t>
      </w:r>
      <w:r>
        <w:rPr>
          <w:color w:val="000000"/>
        </w:rPr>
        <w:t>, 12(1), pp. 100710</w:t>
      </w:r>
      <w:r w:rsidR="0050188E">
        <w:rPr>
          <w:color w:val="000000"/>
        </w:rPr>
        <w:t>-</w:t>
      </w:r>
      <w:r>
        <w:rPr>
          <w:color w:val="000000"/>
        </w:rPr>
        <w:t>100710. Available at: https://doi.org/10.1016/j.joitmc.2025.100710.</w:t>
      </w:r>
    </w:p>
    <w:p w14:paraId="0A92315A" w14:textId="77777777" w:rsidR="00F82232" w:rsidRDefault="00F82232" w:rsidP="00F67F11">
      <w:pPr>
        <w:pStyle w:val="NormalWeb"/>
        <w:spacing w:before="0" w:beforeAutospacing="0" w:after="240" w:afterAutospacing="0" w:line="360" w:lineRule="auto"/>
        <w:rPr>
          <w:color w:val="000000"/>
        </w:rPr>
      </w:pPr>
      <w:r>
        <w:rPr>
          <w:color w:val="000000"/>
        </w:rPr>
        <w:t>Wang, F., Li, N., Cheung, A.C.K. and Wong, G.K.W. (2025) ‘In GenAI we trust: An investigation of university students” reliance on and resistance to generative AI in language learning’,</w:t>
      </w:r>
      <w:r>
        <w:rPr>
          <w:rStyle w:val="apple-converted-space"/>
          <w:rFonts w:eastAsiaTheme="majorEastAsia"/>
          <w:color w:val="000000"/>
        </w:rPr>
        <w:t> </w:t>
      </w:r>
      <w:r>
        <w:rPr>
          <w:i/>
          <w:iCs/>
          <w:color w:val="000000"/>
        </w:rPr>
        <w:t>International Journal of Educational Technology in Higher Education</w:t>
      </w:r>
      <w:r>
        <w:rPr>
          <w:color w:val="000000"/>
        </w:rPr>
        <w:t>, 22(1). Available at: https://doi.org/10.1186/s41239-025-00547-9.</w:t>
      </w:r>
    </w:p>
    <w:p w14:paraId="257BFFB8" w14:textId="77777777" w:rsidR="00F82232" w:rsidRDefault="00F82232" w:rsidP="00F67F11">
      <w:pPr>
        <w:pStyle w:val="NormalWeb"/>
        <w:spacing w:before="0" w:beforeAutospacing="0" w:after="240" w:afterAutospacing="0" w:line="360" w:lineRule="auto"/>
        <w:rPr>
          <w:color w:val="000000"/>
        </w:rPr>
      </w:pPr>
      <w:r>
        <w:rPr>
          <w:color w:val="000000"/>
        </w:rPr>
        <w:t>Wang, X. and Long, L. (2025) ‘The innovation paradox in human-AI symbiosis: Ambidextrous effects of AI technology adoption on innovative behavior’,</w:t>
      </w:r>
      <w:r>
        <w:rPr>
          <w:rStyle w:val="apple-converted-space"/>
          <w:rFonts w:eastAsiaTheme="majorEastAsia"/>
          <w:color w:val="000000"/>
        </w:rPr>
        <w:t> </w:t>
      </w:r>
      <w:r>
        <w:rPr>
          <w:i/>
          <w:iCs/>
          <w:color w:val="000000"/>
        </w:rPr>
        <w:t>Frontiers in Artificial Intelligence</w:t>
      </w:r>
      <w:r>
        <w:rPr>
          <w:color w:val="000000"/>
        </w:rPr>
        <w:t>, 8. Available at: https://doi.org/10.3389/frai.2025.1635246.</w:t>
      </w:r>
    </w:p>
    <w:p w14:paraId="210E0E43" w14:textId="77777777" w:rsidR="00F82232" w:rsidRDefault="00F82232" w:rsidP="00F67F11">
      <w:pPr>
        <w:pStyle w:val="NormalWeb"/>
        <w:spacing w:before="0" w:beforeAutospacing="0" w:after="240" w:afterAutospacing="0" w:line="360" w:lineRule="auto"/>
        <w:rPr>
          <w:color w:val="000000"/>
        </w:rPr>
      </w:pPr>
      <w:r>
        <w:rPr>
          <w:color w:val="000000"/>
        </w:rPr>
        <w:t>Westover, J.H. (2025) ‘Navigating the AI revolution: How generative AI is reshaping work, skills, and organizational strategy’,</w:t>
      </w:r>
      <w:r>
        <w:rPr>
          <w:rStyle w:val="apple-converted-space"/>
          <w:rFonts w:eastAsiaTheme="majorEastAsia"/>
          <w:color w:val="000000"/>
        </w:rPr>
        <w:t> </w:t>
      </w:r>
      <w:r>
        <w:rPr>
          <w:i/>
          <w:iCs/>
          <w:color w:val="000000"/>
        </w:rPr>
        <w:t>Human Capital Leadership Review</w:t>
      </w:r>
      <w:r>
        <w:rPr>
          <w:color w:val="000000"/>
        </w:rPr>
        <w:t>, 23(2). Available at: https://doi.org/10.70175/hclreview.2020.23.2.4.</w:t>
      </w:r>
    </w:p>
    <w:p w14:paraId="3345E0B4" w14:textId="77777777" w:rsidR="00F82232" w:rsidRDefault="00F82232" w:rsidP="00F67F11">
      <w:pPr>
        <w:pStyle w:val="NormalWeb"/>
        <w:spacing w:before="0" w:beforeAutospacing="0" w:after="240" w:afterAutospacing="0" w:line="360" w:lineRule="auto"/>
        <w:rPr>
          <w:color w:val="000000"/>
        </w:rPr>
      </w:pPr>
      <w:r>
        <w:rPr>
          <w:color w:val="000000"/>
        </w:rPr>
        <w:t>Williams, N.S., Sinti, D., Vert, G. and Cantrell, S. (2023)</w:t>
      </w:r>
      <w:r>
        <w:rPr>
          <w:rStyle w:val="apple-converted-space"/>
          <w:rFonts w:eastAsiaTheme="majorEastAsia"/>
          <w:color w:val="000000"/>
        </w:rPr>
        <w:t> </w:t>
      </w:r>
      <w:r>
        <w:rPr>
          <w:i/>
          <w:iCs/>
          <w:color w:val="000000"/>
        </w:rPr>
        <w:t>Generative AI and the Future of Work | Deloitte Global</w:t>
      </w:r>
      <w:r>
        <w:rPr>
          <w:color w:val="000000"/>
        </w:rPr>
        <w:t>,</w:t>
      </w:r>
      <w:r>
        <w:rPr>
          <w:rStyle w:val="apple-converted-space"/>
          <w:rFonts w:eastAsiaTheme="majorEastAsia"/>
          <w:color w:val="000000"/>
        </w:rPr>
        <w:t> </w:t>
      </w:r>
      <w:r>
        <w:rPr>
          <w:i/>
          <w:iCs/>
          <w:color w:val="000000"/>
        </w:rPr>
        <w:t>www.deloitte.com</w:t>
      </w:r>
      <w:r>
        <w:rPr>
          <w:color w:val="000000"/>
        </w:rPr>
        <w:t>. Available at: https://www.deloitte.com/global/en/services/consulting/research/generative-ai-and-the-future-of-work.html.</w:t>
      </w:r>
    </w:p>
    <w:p w14:paraId="1ACA345B" w14:textId="77777777" w:rsidR="00F82232" w:rsidRDefault="00F82232" w:rsidP="00F67F11">
      <w:pPr>
        <w:pStyle w:val="NormalWeb"/>
        <w:spacing w:before="0" w:beforeAutospacing="0" w:after="240" w:afterAutospacing="0" w:line="360" w:lineRule="auto"/>
        <w:rPr>
          <w:color w:val="000000"/>
        </w:rPr>
      </w:pPr>
      <w:r>
        <w:rPr>
          <w:color w:val="000000"/>
        </w:rPr>
        <w:lastRenderedPageBreak/>
        <w:t>World Economic Forum (2023)</w:t>
      </w:r>
      <w:r>
        <w:rPr>
          <w:rStyle w:val="apple-converted-space"/>
          <w:rFonts w:eastAsiaTheme="majorEastAsia"/>
          <w:color w:val="000000"/>
        </w:rPr>
        <w:t> </w:t>
      </w:r>
      <w:r>
        <w:rPr>
          <w:i/>
          <w:iCs/>
          <w:color w:val="000000"/>
        </w:rPr>
        <w:t>The Future of Jobs Report 2023</w:t>
      </w:r>
      <w:r>
        <w:rPr>
          <w:color w:val="000000"/>
        </w:rPr>
        <w:t>,</w:t>
      </w:r>
      <w:r>
        <w:rPr>
          <w:rStyle w:val="apple-converted-space"/>
          <w:rFonts w:eastAsiaTheme="majorEastAsia"/>
          <w:color w:val="000000"/>
        </w:rPr>
        <w:t> </w:t>
      </w:r>
      <w:r>
        <w:rPr>
          <w:i/>
          <w:iCs/>
          <w:color w:val="000000"/>
        </w:rPr>
        <w:t>World Economic Forum</w:t>
      </w:r>
      <w:r>
        <w:rPr>
          <w:color w:val="000000"/>
        </w:rPr>
        <w:t>. Available at: https://www.weforum.org/publications/the-future-of-jobs-report-2023/.</w:t>
      </w:r>
    </w:p>
    <w:p w14:paraId="5A474E2A" w14:textId="77777777" w:rsidR="00F82232" w:rsidRDefault="00F82232" w:rsidP="00F67F11">
      <w:pPr>
        <w:pStyle w:val="NormalWeb"/>
        <w:spacing w:before="0" w:beforeAutospacing="0" w:after="240" w:afterAutospacing="0" w:line="360" w:lineRule="auto"/>
        <w:rPr>
          <w:color w:val="000000"/>
        </w:rPr>
      </w:pPr>
      <w:r>
        <w:rPr>
          <w:color w:val="000000"/>
        </w:rPr>
        <w:t>Zhang, M.M., Cooke, F.L., Ahlstrom, D. and McNeil, N. (2025) ‘The rise of algorithmic management and implications for work and organisations’,</w:t>
      </w:r>
      <w:r>
        <w:rPr>
          <w:rStyle w:val="apple-converted-space"/>
          <w:rFonts w:eastAsiaTheme="majorEastAsia"/>
          <w:color w:val="000000"/>
        </w:rPr>
        <w:t> </w:t>
      </w:r>
      <w:r>
        <w:rPr>
          <w:i/>
          <w:iCs/>
          <w:color w:val="000000"/>
        </w:rPr>
        <w:t>New Technology, Work and Employment</w:t>
      </w:r>
      <w:r>
        <w:rPr>
          <w:rStyle w:val="apple-converted-space"/>
          <w:rFonts w:eastAsiaTheme="majorEastAsia"/>
          <w:color w:val="000000"/>
        </w:rPr>
        <w:t> </w:t>
      </w:r>
      <w:r>
        <w:rPr>
          <w:color w:val="000000"/>
        </w:rPr>
        <w:t>. Available at: https://doi.org/10.1111/ntwe.12343.</w:t>
      </w:r>
    </w:p>
    <w:p w14:paraId="7C8E898E" w14:textId="77777777" w:rsidR="00F82232" w:rsidRDefault="00F82232" w:rsidP="00F67F11">
      <w:pPr>
        <w:pStyle w:val="NormalWeb"/>
        <w:spacing w:before="0" w:beforeAutospacing="0" w:after="240" w:afterAutospacing="0" w:line="360" w:lineRule="auto"/>
        <w:rPr>
          <w:color w:val="000000"/>
        </w:rPr>
      </w:pPr>
      <w:r>
        <w:rPr>
          <w:color w:val="000000"/>
        </w:rPr>
        <w:t>Zhu, Y.-Q., Corbett, J. and Chiu, Y.-T. (2020) ‘Understanding employees” responses to artificial intelligence’,</w:t>
      </w:r>
      <w:r>
        <w:rPr>
          <w:rStyle w:val="apple-converted-space"/>
          <w:rFonts w:eastAsiaTheme="majorEastAsia"/>
          <w:color w:val="000000"/>
        </w:rPr>
        <w:t> </w:t>
      </w:r>
      <w:r>
        <w:rPr>
          <w:i/>
          <w:iCs/>
          <w:color w:val="000000"/>
        </w:rPr>
        <w:t>Organizational Dynamics</w:t>
      </w:r>
      <w:r>
        <w:rPr>
          <w:color w:val="000000"/>
        </w:rPr>
        <w:t>, 50(2), p. 100786. Available at: https://doi.org/10.1016/j.orgdyn.2020.100786.</w:t>
      </w:r>
    </w:p>
    <w:p w14:paraId="034006CC" w14:textId="57F95CA6" w:rsidR="00F82232" w:rsidRDefault="00F82232" w:rsidP="00F67F11">
      <w:pPr>
        <w:pStyle w:val="NormalWeb"/>
        <w:spacing w:before="0" w:beforeAutospacing="0" w:after="240" w:afterAutospacing="0" w:line="360" w:lineRule="auto"/>
        <w:rPr>
          <w:color w:val="000000"/>
        </w:rPr>
      </w:pPr>
      <w:r>
        <w:rPr>
          <w:color w:val="000000"/>
        </w:rPr>
        <w:t>Çögenli, M.Z. (2026) ‘Generative AI as a conditional job resource under job demands in academic knowledge work: Directed content analysis using the job demands</w:t>
      </w:r>
      <w:r w:rsidR="0050188E">
        <w:rPr>
          <w:color w:val="000000"/>
        </w:rPr>
        <w:t>-</w:t>
      </w:r>
      <w:r>
        <w:rPr>
          <w:color w:val="000000"/>
        </w:rPr>
        <w:t>resources framework’,</w:t>
      </w:r>
      <w:r>
        <w:rPr>
          <w:rStyle w:val="apple-converted-space"/>
          <w:rFonts w:eastAsiaTheme="majorEastAsia"/>
          <w:color w:val="000000"/>
        </w:rPr>
        <w:t> </w:t>
      </w:r>
      <w:r>
        <w:rPr>
          <w:i/>
          <w:iCs/>
          <w:color w:val="000000"/>
        </w:rPr>
        <w:t>Frontiers in Artificial Intelligence</w:t>
      </w:r>
      <w:r>
        <w:rPr>
          <w:color w:val="000000"/>
        </w:rPr>
        <w:t>, 9. Available at: https://doi.org/10.3389/frai.2026.1774525.</w:t>
      </w:r>
    </w:p>
    <w:p w14:paraId="4A517D7A" w14:textId="77777777" w:rsidR="00F82232" w:rsidRDefault="00F82232">
      <w:pPr>
        <w:spacing w:line="240" w:lineRule="auto"/>
        <w:jc w:val="left"/>
        <w:rPr>
          <w:lang w:eastAsia="en-GB" w:bidi="hi-IN"/>
        </w:rPr>
      </w:pPr>
      <w:r>
        <w:rPr>
          <w:lang w:eastAsia="en-GB" w:bidi="hi-IN"/>
        </w:rPr>
        <w:br w:type="page"/>
      </w:r>
    </w:p>
    <w:p w14:paraId="33478219" w14:textId="553073BB" w:rsidR="00F82232" w:rsidRDefault="00F82232" w:rsidP="00F82232">
      <w:pPr>
        <w:pStyle w:val="Heading1"/>
        <w:rPr>
          <w:lang w:eastAsia="en-GB" w:bidi="hi-IN"/>
        </w:rPr>
      </w:pPr>
      <w:bookmarkStart w:id="136" w:name="_Toc240816349"/>
      <w:bookmarkStart w:id="137" w:name="_Toc241050439"/>
      <w:r>
        <w:rPr>
          <w:lang w:eastAsia="en-GB" w:bidi="hi-IN"/>
        </w:rPr>
        <w:lastRenderedPageBreak/>
        <w:t>Appendi</w:t>
      </w:r>
      <w:bookmarkEnd w:id="136"/>
      <w:r w:rsidR="006955F5">
        <w:rPr>
          <w:lang w:eastAsia="en-GB" w:bidi="hi-IN"/>
        </w:rPr>
        <w:t>ces</w:t>
      </w:r>
      <w:bookmarkEnd w:id="137"/>
    </w:p>
    <w:p w14:paraId="026A8A14" w14:textId="0A55C6DC" w:rsidR="006955F5" w:rsidRPr="006955F5" w:rsidRDefault="006955F5" w:rsidP="006955F5">
      <w:pPr>
        <w:pStyle w:val="Heading2"/>
        <w:rPr>
          <w:lang w:eastAsia="en-GB" w:bidi="hi-IN"/>
        </w:rPr>
      </w:pPr>
      <w:bookmarkStart w:id="138" w:name="_Toc241050440"/>
      <w:r>
        <w:rPr>
          <w:lang w:eastAsia="en-GB" w:bidi="hi-IN"/>
        </w:rPr>
        <w:t>Appendix-A: Survey Questionnaire</w:t>
      </w:r>
      <w:bookmarkEnd w:id="138"/>
    </w:p>
    <w:p w14:paraId="792B4BDE" w14:textId="77777777" w:rsidR="00F82232" w:rsidRPr="00F82232" w:rsidRDefault="00F82232" w:rsidP="00F82232">
      <w:pPr>
        <w:rPr>
          <w:lang w:eastAsia="en-GB" w:bidi="hi-IN"/>
        </w:rPr>
      </w:pPr>
    </w:p>
    <w:bookmarkStart w:id="139" w:name="_MON_1851488782"/>
    <w:bookmarkEnd w:id="139"/>
    <w:p w14:paraId="5494A7DE" w14:textId="77777777" w:rsidR="006955F5" w:rsidRDefault="00F93693">
      <w:pPr>
        <w:spacing w:line="240" w:lineRule="auto"/>
        <w:jc w:val="left"/>
        <w:rPr>
          <w:noProof/>
        </w:rPr>
      </w:pPr>
      <w:r>
        <w:rPr>
          <w:noProof/>
        </w:rPr>
        <w:object w:dxaOrig="1520" w:dyaOrig="985" w14:anchorId="763547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5.75pt;height:48.6pt;mso-width-percent:0;mso-height-percent:0;mso-width-percent:0;mso-height-percent:0" o:ole="">
            <v:imagedata r:id="rId15" o:title=""/>
          </v:shape>
          <o:OLEObject Type="Embed" ProgID="Word.Document.12" ShapeID="_x0000_i1025" DrawAspect="Icon" ObjectID="_1851666941" r:id="rId16">
            <o:FieldCodes>\s</o:FieldCodes>
          </o:OLEObject>
        </w:object>
      </w:r>
    </w:p>
    <w:p w14:paraId="17C90A62" w14:textId="77777777" w:rsidR="006955F5" w:rsidRDefault="006955F5" w:rsidP="006955F5"/>
    <w:p w14:paraId="13FE014B" w14:textId="77777777" w:rsidR="006955F5" w:rsidRDefault="006955F5" w:rsidP="006955F5"/>
    <w:p w14:paraId="0D0A7325" w14:textId="16A00574" w:rsidR="00F82232" w:rsidRDefault="00F82232">
      <w:pPr>
        <w:spacing w:line="240" w:lineRule="auto"/>
        <w:jc w:val="left"/>
      </w:pPr>
      <w:r>
        <w:br w:type="page"/>
      </w:r>
    </w:p>
    <w:p w14:paraId="64F010B4" w14:textId="1685DBAA" w:rsidR="00477A2D" w:rsidRDefault="00F82232" w:rsidP="006955F5">
      <w:pPr>
        <w:pStyle w:val="Heading2"/>
      </w:pPr>
      <w:bookmarkStart w:id="140" w:name="_Toc240816350"/>
      <w:bookmarkStart w:id="141" w:name="_Toc241050441"/>
      <w:r>
        <w:lastRenderedPageBreak/>
        <w:t>Appendix</w:t>
      </w:r>
      <w:bookmarkEnd w:id="140"/>
      <w:r w:rsidR="006955F5">
        <w:t>-B: Interview Questions</w:t>
      </w:r>
      <w:bookmarkEnd w:id="141"/>
    </w:p>
    <w:p w14:paraId="2848D02B" w14:textId="77777777" w:rsidR="006955F5" w:rsidRPr="006955F5" w:rsidRDefault="006955F5" w:rsidP="006955F5"/>
    <w:bookmarkStart w:id="142" w:name="_MON_1851488828"/>
    <w:bookmarkEnd w:id="142"/>
    <w:p w14:paraId="15B3D80E" w14:textId="0C66B912" w:rsidR="00F82232" w:rsidRDefault="00F93693" w:rsidP="00F82232">
      <w:pPr>
        <w:rPr>
          <w:rFonts w:eastAsia="Times New Roman" w:cs="Times New Roman"/>
          <w:b/>
          <w:bCs/>
          <w:noProof/>
          <w:color w:val="000000"/>
          <w:kern w:val="0"/>
          <w:sz w:val="27"/>
          <w:szCs w:val="27"/>
          <w:lang w:eastAsia="en-GB" w:bidi="hi-IN"/>
        </w:rPr>
      </w:pPr>
      <w:r w:rsidRPr="00E42D55">
        <w:rPr>
          <w:rFonts w:eastAsia="Times New Roman" w:cs="Times New Roman"/>
          <w:b/>
          <w:bCs/>
          <w:noProof/>
          <w:color w:val="000000"/>
          <w:kern w:val="0"/>
          <w:sz w:val="27"/>
          <w:szCs w:val="27"/>
          <w:lang w:eastAsia="en-GB" w:bidi="hi-IN"/>
        </w:rPr>
        <w:object w:dxaOrig="1520" w:dyaOrig="985" w14:anchorId="72D35D9F">
          <v:shape id="_x0000_i1026" type="#_x0000_t75" alt="" style="width:75.75pt;height:48.6pt;mso-width-percent:0;mso-height-percent:0;mso-width-percent:0;mso-height-percent:0" o:ole="">
            <v:imagedata r:id="rId17" o:title=""/>
          </v:shape>
          <o:OLEObject Type="Embed" ProgID="Word.Document.12" ShapeID="_x0000_i1026" DrawAspect="Icon" ObjectID="_1851666942" r:id="rId18">
            <o:FieldCodes>\s</o:FieldCodes>
          </o:OLEObject>
        </w:object>
      </w:r>
    </w:p>
    <w:p w14:paraId="5BD6AAE6" w14:textId="55671EB5" w:rsidR="006955F5" w:rsidRPr="006955F5" w:rsidRDefault="006955F5" w:rsidP="00F82232"/>
    <w:p w14:paraId="7011E7D5" w14:textId="77777777" w:rsidR="006955F5" w:rsidRDefault="006955F5" w:rsidP="00F82232"/>
    <w:p w14:paraId="2F745772" w14:textId="77777777" w:rsidR="00F82232" w:rsidRDefault="00F82232">
      <w:pPr>
        <w:spacing w:line="240" w:lineRule="auto"/>
        <w:jc w:val="left"/>
      </w:pPr>
      <w:r>
        <w:br w:type="page"/>
      </w:r>
    </w:p>
    <w:p w14:paraId="04D01FD2" w14:textId="0E95D88C" w:rsidR="004F347C" w:rsidRDefault="00F82232" w:rsidP="006955F5">
      <w:pPr>
        <w:pStyle w:val="Heading2"/>
      </w:pPr>
      <w:bookmarkStart w:id="143" w:name="_Toc240816351"/>
      <w:bookmarkStart w:id="144" w:name="_Toc241050442"/>
      <w:r>
        <w:lastRenderedPageBreak/>
        <w:t>Appendix</w:t>
      </w:r>
      <w:bookmarkEnd w:id="143"/>
      <w:r w:rsidR="006955F5">
        <w:t>-C: Ethics Form</w:t>
      </w:r>
      <w:bookmarkEnd w:id="144"/>
    </w:p>
    <w:p w14:paraId="25A11C12" w14:textId="77777777" w:rsidR="006955F5" w:rsidRPr="006955F5" w:rsidRDefault="006955F5" w:rsidP="006955F5"/>
    <w:bookmarkStart w:id="145" w:name="_MON_1851281538"/>
    <w:bookmarkEnd w:id="145"/>
    <w:p w14:paraId="1A8F4819" w14:textId="3B3C3BCC" w:rsidR="004F347C" w:rsidRDefault="00F93693" w:rsidP="00475164">
      <w:r>
        <w:rPr>
          <w:noProof/>
        </w:rPr>
        <w:object w:dxaOrig="1520" w:dyaOrig="985" w14:anchorId="10CEE764">
          <v:shape id="_x0000_i1027" type="#_x0000_t75" alt="" style="width:74.8pt;height:48.6pt;mso-width-percent:0;mso-height-percent:0;mso-width-percent:0;mso-height-percent:0" o:ole="">
            <v:imagedata r:id="rId19" o:title=""/>
          </v:shape>
          <o:OLEObject Type="Embed" ProgID="Word.Document.12" ShapeID="_x0000_i1027" DrawAspect="Icon" ObjectID="_1851666943" r:id="rId20">
            <o:FieldCodes>\s</o:FieldCodes>
          </o:OLEObject>
        </w:object>
      </w:r>
    </w:p>
    <w:p w14:paraId="017B5898" w14:textId="77777777" w:rsidR="004F347C" w:rsidRDefault="004F347C" w:rsidP="00475164"/>
    <w:p w14:paraId="1B8F9881" w14:textId="77777777" w:rsidR="004F347C" w:rsidRDefault="004F347C" w:rsidP="00475164"/>
    <w:p w14:paraId="4A04EBAF" w14:textId="39D28419" w:rsidR="004F347C" w:rsidRDefault="004F347C">
      <w:pPr>
        <w:spacing w:line="240" w:lineRule="auto"/>
        <w:jc w:val="left"/>
      </w:pPr>
      <w:r>
        <w:br w:type="page"/>
      </w:r>
    </w:p>
    <w:p w14:paraId="5C227FA8" w14:textId="2735CA90" w:rsidR="004F347C" w:rsidRDefault="004F347C" w:rsidP="006955F5">
      <w:pPr>
        <w:pStyle w:val="Heading2"/>
      </w:pPr>
      <w:bookmarkStart w:id="146" w:name="_Toc240816352"/>
      <w:bookmarkStart w:id="147" w:name="_Toc241050443"/>
      <w:r>
        <w:lastRenderedPageBreak/>
        <w:t>Appendix</w:t>
      </w:r>
      <w:bookmarkEnd w:id="146"/>
      <w:r w:rsidR="006955F5">
        <w:t>-D: Responses Collected</w:t>
      </w:r>
      <w:bookmarkEnd w:id="147"/>
    </w:p>
    <w:p w14:paraId="30643786" w14:textId="00BF4228" w:rsidR="004F347C" w:rsidRDefault="00F93693" w:rsidP="00475164">
      <w:pPr>
        <w:rPr>
          <w:noProof/>
        </w:rPr>
      </w:pPr>
      <w:r>
        <w:rPr>
          <w:noProof/>
        </w:rPr>
        <w:object w:dxaOrig="1520" w:dyaOrig="985" w14:anchorId="44BCA6E1">
          <v:shape id="_x0000_i1028" type="#_x0000_t75" alt="" style="width:74.8pt;height:48.6pt;mso-width-percent:0;mso-height-percent:0;mso-width-percent:0;mso-height-percent:0" o:ole="">
            <v:imagedata r:id="rId21" o:title=""/>
          </v:shape>
          <o:OLEObject Type="Embed" ProgID="Excel.Sheet.12" ShapeID="_x0000_i1028" DrawAspect="Icon" ObjectID="_1851666944" r:id="rId22"/>
        </w:object>
      </w:r>
    </w:p>
    <w:p w14:paraId="4459AC75" w14:textId="77777777" w:rsidR="006955F5" w:rsidRDefault="006955F5" w:rsidP="00475164"/>
    <w:p w14:paraId="5D87670E" w14:textId="4D00F61A" w:rsidR="004F347C" w:rsidRDefault="00F93693" w:rsidP="00475164">
      <w:pPr>
        <w:rPr>
          <w:noProof/>
        </w:rPr>
      </w:pPr>
      <w:r>
        <w:rPr>
          <w:noProof/>
        </w:rPr>
        <w:object w:dxaOrig="1520" w:dyaOrig="985" w14:anchorId="364C6FF7">
          <v:shape id="_x0000_i1029" type="#_x0000_t75" alt="" style="width:75.75pt;height:48.6pt;mso-width-percent:0;mso-height-percent:0;mso-width-percent:0;mso-height-percent:0" o:ole="">
            <v:imagedata r:id="rId23" o:title=""/>
          </v:shape>
          <o:OLEObject Type="Embed" ProgID="Package" ShapeID="_x0000_i1029" DrawAspect="Icon" ObjectID="_1851666945" r:id="rId24"/>
        </w:object>
      </w:r>
    </w:p>
    <w:p w14:paraId="38EE308B" w14:textId="24C909F5" w:rsidR="006955F5" w:rsidRDefault="006955F5" w:rsidP="00475164">
      <w:pPr>
        <w:rPr>
          <w:noProof/>
        </w:rPr>
      </w:pPr>
    </w:p>
    <w:p w14:paraId="4F8FBE17" w14:textId="587C5A23" w:rsidR="006955F5" w:rsidRDefault="006955F5" w:rsidP="00475164">
      <w:pPr>
        <w:rPr>
          <w:noProof/>
        </w:rPr>
      </w:pPr>
    </w:p>
    <w:p w14:paraId="359ACC21" w14:textId="77777777" w:rsidR="006955F5" w:rsidRPr="00475164" w:rsidRDefault="006955F5" w:rsidP="00475164"/>
    <w:sectPr w:rsidR="006955F5" w:rsidRPr="00475164" w:rsidSect="006955F5">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2C75D" w14:textId="77777777" w:rsidR="00C50013" w:rsidRDefault="00C50013" w:rsidP="006955F5">
      <w:pPr>
        <w:spacing w:line="240" w:lineRule="auto"/>
      </w:pPr>
      <w:r>
        <w:separator/>
      </w:r>
    </w:p>
  </w:endnote>
  <w:endnote w:type="continuationSeparator" w:id="0">
    <w:p w14:paraId="1C747285" w14:textId="77777777" w:rsidR="00C50013" w:rsidRDefault="00C50013" w:rsidP="006955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133173"/>
      <w:docPartObj>
        <w:docPartGallery w:val="Page Numbers (Bottom of Page)"/>
        <w:docPartUnique/>
      </w:docPartObj>
    </w:sdtPr>
    <w:sdtEndPr>
      <w:rPr>
        <w:noProof/>
      </w:rPr>
    </w:sdtEndPr>
    <w:sdtContent>
      <w:p w14:paraId="01894AD8" w14:textId="2405156A" w:rsidR="006955F5" w:rsidRDefault="006955F5" w:rsidP="006955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C4670" w14:textId="77777777" w:rsidR="00C50013" w:rsidRDefault="00C50013" w:rsidP="006955F5">
      <w:pPr>
        <w:spacing w:line="240" w:lineRule="auto"/>
      </w:pPr>
      <w:r>
        <w:separator/>
      </w:r>
    </w:p>
  </w:footnote>
  <w:footnote w:type="continuationSeparator" w:id="0">
    <w:p w14:paraId="5EC5020D" w14:textId="77777777" w:rsidR="00C50013" w:rsidRDefault="00C50013" w:rsidP="006955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6A87"/>
    <w:multiLevelType w:val="multilevel"/>
    <w:tmpl w:val="2DD0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B7A87"/>
    <w:multiLevelType w:val="multilevel"/>
    <w:tmpl w:val="A4721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F6C7D"/>
    <w:multiLevelType w:val="multilevel"/>
    <w:tmpl w:val="9C3C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A6F55"/>
    <w:multiLevelType w:val="multilevel"/>
    <w:tmpl w:val="CA6C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C1F18"/>
    <w:multiLevelType w:val="hybridMultilevel"/>
    <w:tmpl w:val="2376A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30A50"/>
    <w:multiLevelType w:val="multilevel"/>
    <w:tmpl w:val="AC98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76120"/>
    <w:multiLevelType w:val="multilevel"/>
    <w:tmpl w:val="CCD6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D6283"/>
    <w:multiLevelType w:val="multilevel"/>
    <w:tmpl w:val="312A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BF655C"/>
    <w:multiLevelType w:val="multilevel"/>
    <w:tmpl w:val="902C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C5579"/>
    <w:multiLevelType w:val="multilevel"/>
    <w:tmpl w:val="7828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72D26"/>
    <w:multiLevelType w:val="multilevel"/>
    <w:tmpl w:val="69B4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34A61"/>
    <w:multiLevelType w:val="multilevel"/>
    <w:tmpl w:val="7744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837BC5"/>
    <w:multiLevelType w:val="multilevel"/>
    <w:tmpl w:val="1804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AC3A1A"/>
    <w:multiLevelType w:val="multilevel"/>
    <w:tmpl w:val="8D26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23694A"/>
    <w:multiLevelType w:val="multilevel"/>
    <w:tmpl w:val="F86A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ED1F13"/>
    <w:multiLevelType w:val="multilevel"/>
    <w:tmpl w:val="8F7AC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16B74"/>
    <w:multiLevelType w:val="multilevel"/>
    <w:tmpl w:val="2A9A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7D7102"/>
    <w:multiLevelType w:val="hybridMultilevel"/>
    <w:tmpl w:val="38C65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521BF"/>
    <w:multiLevelType w:val="multilevel"/>
    <w:tmpl w:val="C6A0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122584"/>
    <w:multiLevelType w:val="multilevel"/>
    <w:tmpl w:val="FD08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7B257E"/>
    <w:multiLevelType w:val="multilevel"/>
    <w:tmpl w:val="0CC6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F47BF3"/>
    <w:multiLevelType w:val="multilevel"/>
    <w:tmpl w:val="DC400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332BA9"/>
    <w:multiLevelType w:val="multilevel"/>
    <w:tmpl w:val="36E0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1"/>
  </w:num>
  <w:num w:numId="4">
    <w:abstractNumId w:val="9"/>
  </w:num>
  <w:num w:numId="5">
    <w:abstractNumId w:val="3"/>
  </w:num>
  <w:num w:numId="6">
    <w:abstractNumId w:val="13"/>
  </w:num>
  <w:num w:numId="7">
    <w:abstractNumId w:val="0"/>
  </w:num>
  <w:num w:numId="8">
    <w:abstractNumId w:val="2"/>
  </w:num>
  <w:num w:numId="9">
    <w:abstractNumId w:val="17"/>
  </w:num>
  <w:num w:numId="10">
    <w:abstractNumId w:val="19"/>
  </w:num>
  <w:num w:numId="11">
    <w:abstractNumId w:val="5"/>
  </w:num>
  <w:num w:numId="12">
    <w:abstractNumId w:val="14"/>
  </w:num>
  <w:num w:numId="13">
    <w:abstractNumId w:val="15"/>
  </w:num>
  <w:num w:numId="14">
    <w:abstractNumId w:val="12"/>
  </w:num>
  <w:num w:numId="15">
    <w:abstractNumId w:val="20"/>
  </w:num>
  <w:num w:numId="16">
    <w:abstractNumId w:val="21"/>
  </w:num>
  <w:num w:numId="17">
    <w:abstractNumId w:val="10"/>
  </w:num>
  <w:num w:numId="18">
    <w:abstractNumId w:val="8"/>
  </w:num>
  <w:num w:numId="19">
    <w:abstractNumId w:val="7"/>
  </w:num>
  <w:num w:numId="20">
    <w:abstractNumId w:val="16"/>
  </w:num>
  <w:num w:numId="21">
    <w:abstractNumId w:val="6"/>
  </w:num>
  <w:num w:numId="22">
    <w:abstractNumId w:val="18"/>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9C8"/>
    <w:rsid w:val="000001B5"/>
    <w:rsid w:val="00006DA3"/>
    <w:rsid w:val="0001725A"/>
    <w:rsid w:val="00024E03"/>
    <w:rsid w:val="00051EC6"/>
    <w:rsid w:val="0008544B"/>
    <w:rsid w:val="000A3C94"/>
    <w:rsid w:val="000A41A7"/>
    <w:rsid w:val="000B2A69"/>
    <w:rsid w:val="000B73A9"/>
    <w:rsid w:val="000E2ECB"/>
    <w:rsid w:val="0010446A"/>
    <w:rsid w:val="00125C12"/>
    <w:rsid w:val="00134DDF"/>
    <w:rsid w:val="00146120"/>
    <w:rsid w:val="00167033"/>
    <w:rsid w:val="001719AC"/>
    <w:rsid w:val="00174035"/>
    <w:rsid w:val="00186709"/>
    <w:rsid w:val="0018725E"/>
    <w:rsid w:val="00193090"/>
    <w:rsid w:val="001A08B7"/>
    <w:rsid w:val="001A7E8B"/>
    <w:rsid w:val="001E5774"/>
    <w:rsid w:val="001F79EB"/>
    <w:rsid w:val="002029C8"/>
    <w:rsid w:val="00221C32"/>
    <w:rsid w:val="00281BAC"/>
    <w:rsid w:val="00296A35"/>
    <w:rsid w:val="002B0196"/>
    <w:rsid w:val="002B332F"/>
    <w:rsid w:val="002C7FB2"/>
    <w:rsid w:val="002D5D11"/>
    <w:rsid w:val="002E47C1"/>
    <w:rsid w:val="0030568B"/>
    <w:rsid w:val="00313691"/>
    <w:rsid w:val="00320BC5"/>
    <w:rsid w:val="003350E3"/>
    <w:rsid w:val="00354A5B"/>
    <w:rsid w:val="00355878"/>
    <w:rsid w:val="00366F17"/>
    <w:rsid w:val="00382424"/>
    <w:rsid w:val="00385EC9"/>
    <w:rsid w:val="003A1495"/>
    <w:rsid w:val="003F043E"/>
    <w:rsid w:val="003F4573"/>
    <w:rsid w:val="003F59ED"/>
    <w:rsid w:val="00401977"/>
    <w:rsid w:val="0041111C"/>
    <w:rsid w:val="00415102"/>
    <w:rsid w:val="004174E8"/>
    <w:rsid w:val="00432338"/>
    <w:rsid w:val="00475164"/>
    <w:rsid w:val="00477A2D"/>
    <w:rsid w:val="0048502A"/>
    <w:rsid w:val="004A528B"/>
    <w:rsid w:val="004A6D71"/>
    <w:rsid w:val="004C5499"/>
    <w:rsid w:val="004C6A9D"/>
    <w:rsid w:val="004E2853"/>
    <w:rsid w:val="004E4AF7"/>
    <w:rsid w:val="004F347C"/>
    <w:rsid w:val="004F7E98"/>
    <w:rsid w:val="0050188E"/>
    <w:rsid w:val="00506A5D"/>
    <w:rsid w:val="00513D45"/>
    <w:rsid w:val="005372C3"/>
    <w:rsid w:val="0053788E"/>
    <w:rsid w:val="00551A19"/>
    <w:rsid w:val="00556F29"/>
    <w:rsid w:val="00561F96"/>
    <w:rsid w:val="00572A4B"/>
    <w:rsid w:val="005816F9"/>
    <w:rsid w:val="005B2A3D"/>
    <w:rsid w:val="005B2B5C"/>
    <w:rsid w:val="005B5B5E"/>
    <w:rsid w:val="005D5749"/>
    <w:rsid w:val="005F77B5"/>
    <w:rsid w:val="0062548C"/>
    <w:rsid w:val="00631669"/>
    <w:rsid w:val="0063168D"/>
    <w:rsid w:val="006545BD"/>
    <w:rsid w:val="00671FB5"/>
    <w:rsid w:val="00675DFA"/>
    <w:rsid w:val="006955F5"/>
    <w:rsid w:val="006A68CD"/>
    <w:rsid w:val="006A7441"/>
    <w:rsid w:val="006C4DFD"/>
    <w:rsid w:val="006D3FE9"/>
    <w:rsid w:val="006D5A21"/>
    <w:rsid w:val="006E64CD"/>
    <w:rsid w:val="006F640B"/>
    <w:rsid w:val="006F648C"/>
    <w:rsid w:val="00701953"/>
    <w:rsid w:val="007447A6"/>
    <w:rsid w:val="00747687"/>
    <w:rsid w:val="00770849"/>
    <w:rsid w:val="00771162"/>
    <w:rsid w:val="007809B5"/>
    <w:rsid w:val="00796083"/>
    <w:rsid w:val="00797CC3"/>
    <w:rsid w:val="007B79D9"/>
    <w:rsid w:val="007C6EEE"/>
    <w:rsid w:val="007D1293"/>
    <w:rsid w:val="007D4D16"/>
    <w:rsid w:val="007F2EE8"/>
    <w:rsid w:val="0080546B"/>
    <w:rsid w:val="008166FF"/>
    <w:rsid w:val="008318E2"/>
    <w:rsid w:val="00837F27"/>
    <w:rsid w:val="00840E4F"/>
    <w:rsid w:val="00845CEF"/>
    <w:rsid w:val="0085070B"/>
    <w:rsid w:val="0085237F"/>
    <w:rsid w:val="00861969"/>
    <w:rsid w:val="00870F21"/>
    <w:rsid w:val="00884E55"/>
    <w:rsid w:val="00896C61"/>
    <w:rsid w:val="008B51F0"/>
    <w:rsid w:val="008B78A6"/>
    <w:rsid w:val="008E31AE"/>
    <w:rsid w:val="008F5319"/>
    <w:rsid w:val="00926A6E"/>
    <w:rsid w:val="009355BB"/>
    <w:rsid w:val="00976A28"/>
    <w:rsid w:val="009A172E"/>
    <w:rsid w:val="009D313B"/>
    <w:rsid w:val="009D4A2A"/>
    <w:rsid w:val="009F4467"/>
    <w:rsid w:val="009F532D"/>
    <w:rsid w:val="009F799C"/>
    <w:rsid w:val="00A67035"/>
    <w:rsid w:val="00A67062"/>
    <w:rsid w:val="00A70E51"/>
    <w:rsid w:val="00A7186F"/>
    <w:rsid w:val="00A810C1"/>
    <w:rsid w:val="00AA0F8E"/>
    <w:rsid w:val="00AB006B"/>
    <w:rsid w:val="00AE0B75"/>
    <w:rsid w:val="00B15195"/>
    <w:rsid w:val="00B250B8"/>
    <w:rsid w:val="00B3693B"/>
    <w:rsid w:val="00B56029"/>
    <w:rsid w:val="00B67D6A"/>
    <w:rsid w:val="00BD25F6"/>
    <w:rsid w:val="00C126AD"/>
    <w:rsid w:val="00C302AA"/>
    <w:rsid w:val="00C30B5D"/>
    <w:rsid w:val="00C31EAA"/>
    <w:rsid w:val="00C400F2"/>
    <w:rsid w:val="00C41017"/>
    <w:rsid w:val="00C43101"/>
    <w:rsid w:val="00C458BB"/>
    <w:rsid w:val="00C50013"/>
    <w:rsid w:val="00C57128"/>
    <w:rsid w:val="00C73410"/>
    <w:rsid w:val="00C74CA3"/>
    <w:rsid w:val="00C758CF"/>
    <w:rsid w:val="00C76F22"/>
    <w:rsid w:val="00C77DBA"/>
    <w:rsid w:val="00C842CD"/>
    <w:rsid w:val="00C85073"/>
    <w:rsid w:val="00C93433"/>
    <w:rsid w:val="00CC44EF"/>
    <w:rsid w:val="00CE38A1"/>
    <w:rsid w:val="00CE45D0"/>
    <w:rsid w:val="00CF4FB1"/>
    <w:rsid w:val="00D06BD5"/>
    <w:rsid w:val="00D25CE1"/>
    <w:rsid w:val="00D5568D"/>
    <w:rsid w:val="00D655E3"/>
    <w:rsid w:val="00D71887"/>
    <w:rsid w:val="00DA022E"/>
    <w:rsid w:val="00DA09AB"/>
    <w:rsid w:val="00DF14D8"/>
    <w:rsid w:val="00E42D55"/>
    <w:rsid w:val="00E71B44"/>
    <w:rsid w:val="00E912C6"/>
    <w:rsid w:val="00E917E0"/>
    <w:rsid w:val="00E97AFE"/>
    <w:rsid w:val="00EA0178"/>
    <w:rsid w:val="00EA6C9A"/>
    <w:rsid w:val="00EA7B8E"/>
    <w:rsid w:val="00F05713"/>
    <w:rsid w:val="00F2717C"/>
    <w:rsid w:val="00F410B0"/>
    <w:rsid w:val="00F41671"/>
    <w:rsid w:val="00F43FE8"/>
    <w:rsid w:val="00F461FD"/>
    <w:rsid w:val="00F47B2D"/>
    <w:rsid w:val="00F56DAE"/>
    <w:rsid w:val="00F621CB"/>
    <w:rsid w:val="00F6579F"/>
    <w:rsid w:val="00F67F11"/>
    <w:rsid w:val="00F702A7"/>
    <w:rsid w:val="00F82232"/>
    <w:rsid w:val="00F93693"/>
    <w:rsid w:val="00FD514E"/>
    <w:rsid w:val="00FE674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73B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742"/>
    <w:pPr>
      <w:spacing w:line="480" w:lineRule="auto"/>
      <w:jc w:val="both"/>
    </w:pPr>
    <w:rPr>
      <w:rFonts w:ascii="Times New Roman" w:hAnsi="Times New Roman" w:cs="Vrinda"/>
      <w:color w:val="000000" w:themeColor="text1"/>
    </w:rPr>
  </w:style>
  <w:style w:type="paragraph" w:styleId="Heading1">
    <w:name w:val="heading 1"/>
    <w:basedOn w:val="Normal"/>
    <w:next w:val="Normal"/>
    <w:link w:val="Heading1Char"/>
    <w:uiPriority w:val="9"/>
    <w:qFormat/>
    <w:rsid w:val="00861969"/>
    <w:pPr>
      <w:jc w:val="center"/>
      <w:outlineLvl w:val="0"/>
    </w:pPr>
    <w:rPr>
      <w:b/>
      <w:sz w:val="32"/>
    </w:rPr>
  </w:style>
  <w:style w:type="paragraph" w:styleId="Heading2">
    <w:name w:val="heading 2"/>
    <w:basedOn w:val="Normal"/>
    <w:next w:val="Normal"/>
    <w:link w:val="Heading2Char"/>
    <w:uiPriority w:val="9"/>
    <w:unhideWhenUsed/>
    <w:qFormat/>
    <w:rsid w:val="00861969"/>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A70E51"/>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3F4573"/>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A7E8B"/>
    <w:pPr>
      <w:contextualSpacing/>
      <w:jc w:val="center"/>
    </w:pPr>
    <w:rPr>
      <w:rFonts w:eastAsiaTheme="majorEastAsia" w:cstheme="majorBidi"/>
      <w:b/>
      <w:spacing w:val="-10"/>
      <w:kern w:val="28"/>
      <w:sz w:val="40"/>
      <w:szCs w:val="71"/>
    </w:rPr>
  </w:style>
  <w:style w:type="character" w:customStyle="1" w:styleId="TitleChar">
    <w:name w:val="Title Char"/>
    <w:basedOn w:val="DefaultParagraphFont"/>
    <w:link w:val="Title"/>
    <w:uiPriority w:val="10"/>
    <w:rsid w:val="001A7E8B"/>
    <w:rPr>
      <w:rFonts w:ascii="Times New Roman" w:eastAsiaTheme="majorEastAsia" w:hAnsi="Times New Roman" w:cstheme="majorBidi"/>
      <w:b/>
      <w:color w:val="000000" w:themeColor="text1"/>
      <w:spacing w:val="-10"/>
      <w:kern w:val="28"/>
      <w:sz w:val="40"/>
      <w:szCs w:val="71"/>
      <w:lang w:val="en-GB"/>
    </w:rPr>
  </w:style>
  <w:style w:type="character" w:customStyle="1" w:styleId="Heading1Char">
    <w:name w:val="Heading 1 Char"/>
    <w:basedOn w:val="DefaultParagraphFont"/>
    <w:link w:val="Heading1"/>
    <w:uiPriority w:val="9"/>
    <w:rsid w:val="00861969"/>
    <w:rPr>
      <w:rFonts w:ascii="Times New Roman" w:hAnsi="Times New Roman" w:cs="Vrinda"/>
      <w:b/>
      <w:color w:val="000000" w:themeColor="text1"/>
      <w:sz w:val="32"/>
      <w:lang w:val="en-GB"/>
    </w:rPr>
  </w:style>
  <w:style w:type="character" w:customStyle="1" w:styleId="Heading3Char">
    <w:name w:val="Heading 3 Char"/>
    <w:basedOn w:val="DefaultParagraphFont"/>
    <w:link w:val="Heading3"/>
    <w:uiPriority w:val="9"/>
    <w:rsid w:val="00A70E51"/>
    <w:rPr>
      <w:rFonts w:ascii="Times New Roman" w:eastAsiaTheme="majorEastAsia" w:hAnsi="Times New Roman" w:cstheme="majorBidi"/>
      <w:b/>
      <w:color w:val="000000" w:themeColor="text1"/>
      <w:lang w:val="en-GB"/>
    </w:rPr>
  </w:style>
  <w:style w:type="character" w:customStyle="1" w:styleId="Heading2Char">
    <w:name w:val="Heading 2 Char"/>
    <w:basedOn w:val="DefaultParagraphFont"/>
    <w:link w:val="Heading2"/>
    <w:uiPriority w:val="9"/>
    <w:rsid w:val="00861969"/>
    <w:rPr>
      <w:rFonts w:ascii="Times New Roman" w:eastAsiaTheme="majorEastAsia" w:hAnsi="Times New Roman" w:cstheme="majorBidi"/>
      <w:b/>
      <w:color w:val="000000" w:themeColor="text1"/>
      <w:sz w:val="28"/>
      <w:szCs w:val="33"/>
      <w:lang w:val="en-GB"/>
    </w:rPr>
  </w:style>
  <w:style w:type="paragraph" w:styleId="TOC1">
    <w:name w:val="toc 1"/>
    <w:basedOn w:val="Normal"/>
    <w:next w:val="Normal"/>
    <w:autoRedefine/>
    <w:uiPriority w:val="39"/>
    <w:unhideWhenUsed/>
    <w:rsid w:val="00EA6C9A"/>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EA6C9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EA6C9A"/>
    <w:pPr>
      <w:ind w:left="480"/>
      <w:jc w:val="left"/>
    </w:pPr>
    <w:rPr>
      <w:rFonts w:asciiTheme="minorHAnsi" w:hAnsiTheme="minorHAnsi"/>
      <w:sz w:val="20"/>
      <w:szCs w:val="20"/>
    </w:rPr>
  </w:style>
  <w:style w:type="paragraph" w:styleId="Caption">
    <w:name w:val="caption"/>
    <w:basedOn w:val="Normal"/>
    <w:next w:val="Normal"/>
    <w:uiPriority w:val="35"/>
    <w:unhideWhenUsed/>
    <w:qFormat/>
    <w:rsid w:val="006955F5"/>
    <w:pPr>
      <w:spacing w:after="200" w:line="360" w:lineRule="auto"/>
      <w:jc w:val="center"/>
    </w:pPr>
    <w:rPr>
      <w:i/>
      <w:iCs/>
      <w:szCs w:val="22"/>
    </w:rPr>
  </w:style>
  <w:style w:type="paragraph" w:styleId="Subtitle">
    <w:name w:val="Subtitle"/>
    <w:basedOn w:val="Normal"/>
    <w:next w:val="Normal"/>
    <w:link w:val="SubtitleChar"/>
    <w:uiPriority w:val="11"/>
    <w:qFormat/>
    <w:rsid w:val="006A7441"/>
    <w:pPr>
      <w:numPr>
        <w:ilvl w:val="1"/>
      </w:numPr>
      <w:pBdr>
        <w:top w:val="single" w:sz="4" w:space="1" w:color="auto"/>
        <w:left w:val="single" w:sz="4" w:space="4" w:color="auto"/>
        <w:bottom w:val="single" w:sz="4" w:space="1" w:color="auto"/>
        <w:right w:val="single" w:sz="4" w:space="4" w:color="auto"/>
      </w:pBdr>
      <w:spacing w:after="40"/>
      <w:ind w:left="737" w:right="737"/>
      <w:jc w:val="center"/>
    </w:pPr>
    <w:rPr>
      <w:rFonts w:eastAsiaTheme="minorEastAsia" w:cstheme="minorBidi"/>
      <w:spacing w:val="15"/>
      <w:szCs w:val="28"/>
    </w:rPr>
  </w:style>
  <w:style w:type="character" w:customStyle="1" w:styleId="SubtitleChar">
    <w:name w:val="Subtitle Char"/>
    <w:basedOn w:val="DefaultParagraphFont"/>
    <w:link w:val="Subtitle"/>
    <w:uiPriority w:val="11"/>
    <w:rsid w:val="006A7441"/>
    <w:rPr>
      <w:rFonts w:ascii="Times New Roman" w:eastAsiaTheme="minorEastAsia" w:hAnsi="Times New Roman"/>
      <w:color w:val="000000" w:themeColor="text1"/>
      <w:spacing w:val="15"/>
      <w:szCs w:val="28"/>
      <w:lang w:val="en-GB"/>
    </w:rPr>
  </w:style>
  <w:style w:type="character" w:customStyle="1" w:styleId="Heading4Char">
    <w:name w:val="Heading 4 Char"/>
    <w:basedOn w:val="DefaultParagraphFont"/>
    <w:link w:val="Heading4"/>
    <w:uiPriority w:val="9"/>
    <w:rsid w:val="003F4573"/>
    <w:rPr>
      <w:rFonts w:ascii="Times New Roman" w:eastAsiaTheme="majorEastAsia" w:hAnsi="Times New Roman" w:cstheme="majorBidi"/>
      <w:i/>
      <w:iCs/>
      <w:color w:val="2F5496" w:themeColor="accent1" w:themeShade="BF"/>
      <w:lang w:val="en-GB"/>
    </w:rPr>
  </w:style>
  <w:style w:type="paragraph" w:styleId="NormalWeb">
    <w:name w:val="Normal (Web)"/>
    <w:aliases w:val="APA style"/>
    <w:basedOn w:val="Normal"/>
    <w:uiPriority w:val="99"/>
    <w:unhideWhenUsed/>
    <w:rsid w:val="00EA0178"/>
    <w:pPr>
      <w:spacing w:before="100" w:beforeAutospacing="1" w:after="100" w:afterAutospacing="1" w:line="240" w:lineRule="auto"/>
      <w:ind w:left="720" w:hanging="720"/>
    </w:pPr>
    <w:rPr>
      <w:rFonts w:eastAsia="Times New Roman" w:cs="Times New Roman"/>
      <w:color w:val="auto"/>
      <w:sz w:val="22"/>
      <w:szCs w:val="24"/>
      <w:lang w:val="en-US" w:bidi="ar-SA"/>
    </w:rPr>
  </w:style>
  <w:style w:type="paragraph" w:styleId="ListParagraph">
    <w:name w:val="List Paragraph"/>
    <w:basedOn w:val="Normal"/>
    <w:uiPriority w:val="34"/>
    <w:qFormat/>
    <w:rsid w:val="00C77DBA"/>
    <w:pPr>
      <w:ind w:left="720"/>
      <w:contextualSpacing/>
    </w:pPr>
  </w:style>
  <w:style w:type="character" w:customStyle="1" w:styleId="apple-converted-space">
    <w:name w:val="apple-converted-space"/>
    <w:basedOn w:val="DefaultParagraphFont"/>
    <w:rsid w:val="00296A35"/>
  </w:style>
  <w:style w:type="character" w:styleId="Strong">
    <w:name w:val="Strong"/>
    <w:basedOn w:val="DefaultParagraphFont"/>
    <w:uiPriority w:val="22"/>
    <w:qFormat/>
    <w:rsid w:val="00513D45"/>
    <w:rPr>
      <w:b/>
      <w:bCs/>
    </w:rPr>
  </w:style>
  <w:style w:type="table" w:styleId="TableGrid">
    <w:name w:val="Table Grid"/>
    <w:basedOn w:val="TableNormal"/>
    <w:uiPriority w:val="39"/>
    <w:rsid w:val="00513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tns-c3519020110-75">
    <w:name w:val="ng-tns-c3519020110-75"/>
    <w:basedOn w:val="DefaultParagraphFont"/>
    <w:rsid w:val="00477A2D"/>
  </w:style>
  <w:style w:type="paragraph" w:styleId="HTMLPreformatted">
    <w:name w:val="HTML Preformatted"/>
    <w:basedOn w:val="Normal"/>
    <w:link w:val="HTMLPreformattedChar"/>
    <w:uiPriority w:val="99"/>
    <w:semiHidden/>
    <w:unhideWhenUsed/>
    <w:rsid w:val="00477A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color w:val="auto"/>
      <w:kern w:val="0"/>
      <w:sz w:val="20"/>
      <w:szCs w:val="20"/>
      <w:lang w:eastAsia="en-GB" w:bidi="hi-IN"/>
    </w:rPr>
  </w:style>
  <w:style w:type="character" w:customStyle="1" w:styleId="HTMLPreformattedChar">
    <w:name w:val="HTML Preformatted Char"/>
    <w:basedOn w:val="DefaultParagraphFont"/>
    <w:link w:val="HTMLPreformatted"/>
    <w:uiPriority w:val="99"/>
    <w:semiHidden/>
    <w:rsid w:val="00477A2D"/>
    <w:rPr>
      <w:rFonts w:ascii="Courier New" w:eastAsia="Times New Roman" w:hAnsi="Courier New" w:cs="Courier New"/>
      <w:kern w:val="0"/>
      <w:sz w:val="20"/>
      <w:szCs w:val="20"/>
      <w:lang w:eastAsia="en-GB" w:bidi="hi-IN"/>
    </w:rPr>
  </w:style>
  <w:style w:type="character" w:styleId="HTMLCode">
    <w:name w:val="HTML Code"/>
    <w:basedOn w:val="DefaultParagraphFont"/>
    <w:uiPriority w:val="99"/>
    <w:semiHidden/>
    <w:unhideWhenUsed/>
    <w:rsid w:val="00477A2D"/>
    <w:rPr>
      <w:rFonts w:ascii="Courier New" w:eastAsia="Times New Roman" w:hAnsi="Courier New" w:cs="Courier New"/>
      <w:sz w:val="20"/>
      <w:szCs w:val="20"/>
    </w:rPr>
  </w:style>
  <w:style w:type="character" w:customStyle="1" w:styleId="source-count">
    <w:name w:val="source-count"/>
    <w:basedOn w:val="DefaultParagraphFont"/>
    <w:rsid w:val="00477A2D"/>
  </w:style>
  <w:style w:type="character" w:customStyle="1" w:styleId="math-inline">
    <w:name w:val="math-inline"/>
    <w:basedOn w:val="DefaultParagraphFont"/>
    <w:rsid w:val="00477A2D"/>
  </w:style>
  <w:style w:type="character" w:customStyle="1" w:styleId="mord">
    <w:name w:val="mord"/>
    <w:basedOn w:val="DefaultParagraphFont"/>
    <w:rsid w:val="00477A2D"/>
  </w:style>
  <w:style w:type="character" w:customStyle="1" w:styleId="mrel">
    <w:name w:val="mrel"/>
    <w:basedOn w:val="DefaultParagraphFont"/>
    <w:rsid w:val="00477A2D"/>
  </w:style>
  <w:style w:type="table" w:customStyle="1" w:styleId="APA7">
    <w:name w:val="APA 7"/>
    <w:basedOn w:val="TableNormal"/>
    <w:uiPriority w:val="99"/>
    <w:rsid w:val="007F2EE8"/>
    <w:pPr>
      <w:spacing w:line="360" w:lineRule="auto"/>
    </w:pPr>
    <w:rPr>
      <w:rFonts w:ascii="Times New Roman" w:hAnsi="Times New Roman"/>
    </w:rPr>
    <w:tblPr>
      <w:tblBorders>
        <w:top w:val="single" w:sz="4" w:space="0" w:color="auto"/>
        <w:bottom w:val="single" w:sz="4" w:space="0" w:color="auto"/>
      </w:tblBorders>
    </w:tblPr>
    <w:tblStylePr w:type="firstRow">
      <w:rPr>
        <w:b/>
      </w:rPr>
      <w:tblPr/>
      <w:tcPr>
        <w:tcBorders>
          <w:bottom w:val="single" w:sz="4" w:space="0" w:color="auto"/>
        </w:tcBorders>
      </w:tcPr>
    </w:tblStylePr>
  </w:style>
  <w:style w:type="character" w:customStyle="1" w:styleId="mopen">
    <w:name w:val="mopen"/>
    <w:basedOn w:val="DefaultParagraphFont"/>
    <w:rsid w:val="007F2EE8"/>
  </w:style>
  <w:style w:type="character" w:customStyle="1" w:styleId="mpunct">
    <w:name w:val="mpunct"/>
    <w:basedOn w:val="DefaultParagraphFont"/>
    <w:rsid w:val="007F2EE8"/>
  </w:style>
  <w:style w:type="character" w:customStyle="1" w:styleId="mclose">
    <w:name w:val="mclose"/>
    <w:basedOn w:val="DefaultParagraphFont"/>
    <w:rsid w:val="007F2EE8"/>
  </w:style>
  <w:style w:type="paragraph" w:styleId="TOCHeading">
    <w:name w:val="TOC Heading"/>
    <w:basedOn w:val="Heading1"/>
    <w:next w:val="Normal"/>
    <w:uiPriority w:val="39"/>
    <w:unhideWhenUsed/>
    <w:qFormat/>
    <w:rsid w:val="00AB006B"/>
    <w:pPr>
      <w:keepNext/>
      <w:keepLines/>
      <w:spacing w:before="480" w:line="276" w:lineRule="auto"/>
      <w:jc w:val="left"/>
      <w:outlineLvl w:val="9"/>
    </w:pPr>
    <w:rPr>
      <w:rFonts w:eastAsiaTheme="majorEastAsia" w:cstheme="majorBidi"/>
      <w:bCs/>
      <w:color w:val="auto"/>
      <w:kern w:val="0"/>
      <w:sz w:val="28"/>
      <w:szCs w:val="28"/>
      <w:lang w:val="en-US" w:bidi="ar-SA"/>
      <w14:ligatures w14:val="none"/>
    </w:rPr>
  </w:style>
  <w:style w:type="character" w:styleId="Hyperlink">
    <w:name w:val="Hyperlink"/>
    <w:basedOn w:val="DefaultParagraphFont"/>
    <w:uiPriority w:val="99"/>
    <w:unhideWhenUsed/>
    <w:rsid w:val="007F2EE8"/>
    <w:rPr>
      <w:color w:val="0563C1" w:themeColor="hyperlink"/>
      <w:u w:val="single"/>
    </w:rPr>
  </w:style>
  <w:style w:type="paragraph" w:styleId="TOC4">
    <w:name w:val="toc 4"/>
    <w:basedOn w:val="Normal"/>
    <w:next w:val="Normal"/>
    <w:autoRedefine/>
    <w:uiPriority w:val="39"/>
    <w:semiHidden/>
    <w:unhideWhenUsed/>
    <w:rsid w:val="007F2EE8"/>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F2EE8"/>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F2EE8"/>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F2EE8"/>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F2EE8"/>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F2EE8"/>
    <w:pPr>
      <w:ind w:left="1920"/>
      <w:jc w:val="left"/>
    </w:pPr>
    <w:rPr>
      <w:rFonts w:asciiTheme="minorHAnsi" w:hAnsiTheme="minorHAnsi"/>
      <w:sz w:val="20"/>
      <w:szCs w:val="20"/>
    </w:rPr>
  </w:style>
  <w:style w:type="paragraph" w:styleId="NoSpacing">
    <w:name w:val="No Spacing"/>
    <w:uiPriority w:val="1"/>
    <w:qFormat/>
    <w:rsid w:val="00F82232"/>
    <w:pPr>
      <w:jc w:val="both"/>
    </w:pPr>
    <w:rPr>
      <w:rFonts w:ascii="Times New Roman" w:hAnsi="Times New Roman" w:cs="Vrinda"/>
      <w:color w:val="000000" w:themeColor="text1"/>
    </w:rPr>
  </w:style>
  <w:style w:type="paragraph" w:styleId="TableofFigures">
    <w:name w:val="table of figures"/>
    <w:basedOn w:val="Normal"/>
    <w:next w:val="Normal"/>
    <w:uiPriority w:val="99"/>
    <w:unhideWhenUsed/>
    <w:rsid w:val="00193090"/>
  </w:style>
  <w:style w:type="paragraph" w:styleId="Header">
    <w:name w:val="header"/>
    <w:basedOn w:val="Normal"/>
    <w:link w:val="HeaderChar"/>
    <w:uiPriority w:val="99"/>
    <w:unhideWhenUsed/>
    <w:rsid w:val="006955F5"/>
    <w:pPr>
      <w:tabs>
        <w:tab w:val="center" w:pos="4513"/>
        <w:tab w:val="right" w:pos="9026"/>
      </w:tabs>
      <w:spacing w:line="240" w:lineRule="auto"/>
    </w:pPr>
  </w:style>
  <w:style w:type="character" w:customStyle="1" w:styleId="HeaderChar">
    <w:name w:val="Header Char"/>
    <w:basedOn w:val="DefaultParagraphFont"/>
    <w:link w:val="Header"/>
    <w:uiPriority w:val="99"/>
    <w:rsid w:val="006955F5"/>
    <w:rPr>
      <w:rFonts w:ascii="Times New Roman" w:hAnsi="Times New Roman" w:cs="Vrinda"/>
      <w:color w:val="000000" w:themeColor="text1"/>
      <w:lang w:val="en-GB"/>
    </w:rPr>
  </w:style>
  <w:style w:type="paragraph" w:styleId="Footer">
    <w:name w:val="footer"/>
    <w:basedOn w:val="Normal"/>
    <w:link w:val="FooterChar"/>
    <w:uiPriority w:val="99"/>
    <w:unhideWhenUsed/>
    <w:rsid w:val="006955F5"/>
    <w:pPr>
      <w:tabs>
        <w:tab w:val="center" w:pos="4513"/>
        <w:tab w:val="right" w:pos="9026"/>
      </w:tabs>
      <w:spacing w:line="240" w:lineRule="auto"/>
    </w:pPr>
  </w:style>
  <w:style w:type="character" w:customStyle="1" w:styleId="FooterChar">
    <w:name w:val="Footer Char"/>
    <w:basedOn w:val="DefaultParagraphFont"/>
    <w:link w:val="Footer"/>
    <w:uiPriority w:val="99"/>
    <w:rsid w:val="006955F5"/>
    <w:rPr>
      <w:rFonts w:ascii="Times New Roman" w:hAnsi="Times New Roman" w:cs="Vrinda"/>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29912">
      <w:bodyDiv w:val="1"/>
      <w:marLeft w:val="0"/>
      <w:marRight w:val="0"/>
      <w:marTop w:val="0"/>
      <w:marBottom w:val="0"/>
      <w:divBdr>
        <w:top w:val="none" w:sz="0" w:space="0" w:color="auto"/>
        <w:left w:val="none" w:sz="0" w:space="0" w:color="auto"/>
        <w:bottom w:val="none" w:sz="0" w:space="0" w:color="auto"/>
        <w:right w:val="none" w:sz="0" w:space="0" w:color="auto"/>
      </w:divBdr>
    </w:div>
    <w:div w:id="164365186">
      <w:bodyDiv w:val="1"/>
      <w:marLeft w:val="0"/>
      <w:marRight w:val="0"/>
      <w:marTop w:val="0"/>
      <w:marBottom w:val="0"/>
      <w:divBdr>
        <w:top w:val="none" w:sz="0" w:space="0" w:color="auto"/>
        <w:left w:val="none" w:sz="0" w:space="0" w:color="auto"/>
        <w:bottom w:val="none" w:sz="0" w:space="0" w:color="auto"/>
        <w:right w:val="none" w:sz="0" w:space="0" w:color="auto"/>
      </w:divBdr>
      <w:divsChild>
        <w:div w:id="2057196223">
          <w:marLeft w:val="0"/>
          <w:marRight w:val="0"/>
          <w:marTop w:val="0"/>
          <w:marBottom w:val="0"/>
          <w:divBdr>
            <w:top w:val="none" w:sz="0" w:space="0" w:color="auto"/>
            <w:left w:val="none" w:sz="0" w:space="0" w:color="auto"/>
            <w:bottom w:val="none" w:sz="0" w:space="0" w:color="auto"/>
            <w:right w:val="none" w:sz="0" w:space="0" w:color="auto"/>
          </w:divBdr>
        </w:div>
      </w:divsChild>
    </w:div>
    <w:div w:id="185558805">
      <w:bodyDiv w:val="1"/>
      <w:marLeft w:val="0"/>
      <w:marRight w:val="0"/>
      <w:marTop w:val="0"/>
      <w:marBottom w:val="0"/>
      <w:divBdr>
        <w:top w:val="none" w:sz="0" w:space="0" w:color="auto"/>
        <w:left w:val="none" w:sz="0" w:space="0" w:color="auto"/>
        <w:bottom w:val="none" w:sz="0" w:space="0" w:color="auto"/>
        <w:right w:val="none" w:sz="0" w:space="0" w:color="auto"/>
      </w:divBdr>
    </w:div>
    <w:div w:id="233011512">
      <w:bodyDiv w:val="1"/>
      <w:marLeft w:val="0"/>
      <w:marRight w:val="0"/>
      <w:marTop w:val="0"/>
      <w:marBottom w:val="0"/>
      <w:divBdr>
        <w:top w:val="none" w:sz="0" w:space="0" w:color="auto"/>
        <w:left w:val="none" w:sz="0" w:space="0" w:color="auto"/>
        <w:bottom w:val="none" w:sz="0" w:space="0" w:color="auto"/>
        <w:right w:val="none" w:sz="0" w:space="0" w:color="auto"/>
      </w:divBdr>
      <w:divsChild>
        <w:div w:id="483203084">
          <w:marLeft w:val="0"/>
          <w:marRight w:val="0"/>
          <w:marTop w:val="0"/>
          <w:marBottom w:val="0"/>
          <w:divBdr>
            <w:top w:val="none" w:sz="0" w:space="0" w:color="auto"/>
            <w:left w:val="none" w:sz="0" w:space="0" w:color="auto"/>
            <w:bottom w:val="none" w:sz="0" w:space="0" w:color="auto"/>
            <w:right w:val="none" w:sz="0" w:space="0" w:color="auto"/>
          </w:divBdr>
        </w:div>
      </w:divsChild>
    </w:div>
    <w:div w:id="329455399">
      <w:bodyDiv w:val="1"/>
      <w:marLeft w:val="0"/>
      <w:marRight w:val="0"/>
      <w:marTop w:val="0"/>
      <w:marBottom w:val="0"/>
      <w:divBdr>
        <w:top w:val="none" w:sz="0" w:space="0" w:color="auto"/>
        <w:left w:val="none" w:sz="0" w:space="0" w:color="auto"/>
        <w:bottom w:val="none" w:sz="0" w:space="0" w:color="auto"/>
        <w:right w:val="none" w:sz="0" w:space="0" w:color="auto"/>
      </w:divBdr>
    </w:div>
    <w:div w:id="344139549">
      <w:bodyDiv w:val="1"/>
      <w:marLeft w:val="0"/>
      <w:marRight w:val="0"/>
      <w:marTop w:val="0"/>
      <w:marBottom w:val="0"/>
      <w:divBdr>
        <w:top w:val="none" w:sz="0" w:space="0" w:color="auto"/>
        <w:left w:val="none" w:sz="0" w:space="0" w:color="auto"/>
        <w:bottom w:val="none" w:sz="0" w:space="0" w:color="auto"/>
        <w:right w:val="none" w:sz="0" w:space="0" w:color="auto"/>
      </w:divBdr>
    </w:div>
    <w:div w:id="419563354">
      <w:bodyDiv w:val="1"/>
      <w:marLeft w:val="0"/>
      <w:marRight w:val="0"/>
      <w:marTop w:val="0"/>
      <w:marBottom w:val="0"/>
      <w:divBdr>
        <w:top w:val="none" w:sz="0" w:space="0" w:color="auto"/>
        <w:left w:val="none" w:sz="0" w:space="0" w:color="auto"/>
        <w:bottom w:val="none" w:sz="0" w:space="0" w:color="auto"/>
        <w:right w:val="none" w:sz="0" w:space="0" w:color="auto"/>
      </w:divBdr>
      <w:divsChild>
        <w:div w:id="1522205924">
          <w:marLeft w:val="0"/>
          <w:marRight w:val="0"/>
          <w:marTop w:val="0"/>
          <w:marBottom w:val="0"/>
          <w:divBdr>
            <w:top w:val="none" w:sz="0" w:space="0" w:color="auto"/>
            <w:left w:val="none" w:sz="0" w:space="0" w:color="auto"/>
            <w:bottom w:val="none" w:sz="0" w:space="0" w:color="auto"/>
            <w:right w:val="none" w:sz="0" w:space="0" w:color="auto"/>
          </w:divBdr>
          <w:divsChild>
            <w:div w:id="65151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98759">
      <w:bodyDiv w:val="1"/>
      <w:marLeft w:val="0"/>
      <w:marRight w:val="0"/>
      <w:marTop w:val="0"/>
      <w:marBottom w:val="0"/>
      <w:divBdr>
        <w:top w:val="none" w:sz="0" w:space="0" w:color="auto"/>
        <w:left w:val="none" w:sz="0" w:space="0" w:color="auto"/>
        <w:bottom w:val="none" w:sz="0" w:space="0" w:color="auto"/>
        <w:right w:val="none" w:sz="0" w:space="0" w:color="auto"/>
      </w:divBdr>
    </w:div>
    <w:div w:id="624389335">
      <w:bodyDiv w:val="1"/>
      <w:marLeft w:val="0"/>
      <w:marRight w:val="0"/>
      <w:marTop w:val="0"/>
      <w:marBottom w:val="0"/>
      <w:divBdr>
        <w:top w:val="none" w:sz="0" w:space="0" w:color="auto"/>
        <w:left w:val="none" w:sz="0" w:space="0" w:color="auto"/>
        <w:bottom w:val="none" w:sz="0" w:space="0" w:color="auto"/>
        <w:right w:val="none" w:sz="0" w:space="0" w:color="auto"/>
      </w:divBdr>
    </w:div>
    <w:div w:id="731542352">
      <w:bodyDiv w:val="1"/>
      <w:marLeft w:val="0"/>
      <w:marRight w:val="0"/>
      <w:marTop w:val="0"/>
      <w:marBottom w:val="0"/>
      <w:divBdr>
        <w:top w:val="none" w:sz="0" w:space="0" w:color="auto"/>
        <w:left w:val="none" w:sz="0" w:space="0" w:color="auto"/>
        <w:bottom w:val="none" w:sz="0" w:space="0" w:color="auto"/>
        <w:right w:val="none" w:sz="0" w:space="0" w:color="auto"/>
      </w:divBdr>
      <w:divsChild>
        <w:div w:id="2087798483">
          <w:marLeft w:val="0"/>
          <w:marRight w:val="0"/>
          <w:marTop w:val="0"/>
          <w:marBottom w:val="0"/>
          <w:divBdr>
            <w:top w:val="none" w:sz="0" w:space="0" w:color="auto"/>
            <w:left w:val="none" w:sz="0" w:space="0" w:color="auto"/>
            <w:bottom w:val="none" w:sz="0" w:space="0" w:color="auto"/>
            <w:right w:val="none" w:sz="0" w:space="0" w:color="auto"/>
          </w:divBdr>
        </w:div>
      </w:divsChild>
    </w:div>
    <w:div w:id="853614472">
      <w:bodyDiv w:val="1"/>
      <w:marLeft w:val="0"/>
      <w:marRight w:val="0"/>
      <w:marTop w:val="0"/>
      <w:marBottom w:val="0"/>
      <w:divBdr>
        <w:top w:val="none" w:sz="0" w:space="0" w:color="auto"/>
        <w:left w:val="none" w:sz="0" w:space="0" w:color="auto"/>
        <w:bottom w:val="none" w:sz="0" w:space="0" w:color="auto"/>
        <w:right w:val="none" w:sz="0" w:space="0" w:color="auto"/>
      </w:divBdr>
      <w:divsChild>
        <w:div w:id="1963340364">
          <w:marLeft w:val="0"/>
          <w:marRight w:val="0"/>
          <w:marTop w:val="0"/>
          <w:marBottom w:val="0"/>
          <w:divBdr>
            <w:top w:val="none" w:sz="0" w:space="0" w:color="auto"/>
            <w:left w:val="none" w:sz="0" w:space="0" w:color="auto"/>
            <w:bottom w:val="none" w:sz="0" w:space="0" w:color="auto"/>
            <w:right w:val="none" w:sz="0" w:space="0" w:color="auto"/>
          </w:divBdr>
        </w:div>
      </w:divsChild>
    </w:div>
    <w:div w:id="863518053">
      <w:bodyDiv w:val="1"/>
      <w:marLeft w:val="0"/>
      <w:marRight w:val="0"/>
      <w:marTop w:val="0"/>
      <w:marBottom w:val="0"/>
      <w:divBdr>
        <w:top w:val="none" w:sz="0" w:space="0" w:color="auto"/>
        <w:left w:val="none" w:sz="0" w:space="0" w:color="auto"/>
        <w:bottom w:val="none" w:sz="0" w:space="0" w:color="auto"/>
        <w:right w:val="none" w:sz="0" w:space="0" w:color="auto"/>
      </w:divBdr>
    </w:div>
    <w:div w:id="900673283">
      <w:bodyDiv w:val="1"/>
      <w:marLeft w:val="0"/>
      <w:marRight w:val="0"/>
      <w:marTop w:val="0"/>
      <w:marBottom w:val="0"/>
      <w:divBdr>
        <w:top w:val="none" w:sz="0" w:space="0" w:color="auto"/>
        <w:left w:val="none" w:sz="0" w:space="0" w:color="auto"/>
        <w:bottom w:val="none" w:sz="0" w:space="0" w:color="auto"/>
        <w:right w:val="none" w:sz="0" w:space="0" w:color="auto"/>
      </w:divBdr>
      <w:divsChild>
        <w:div w:id="969241583">
          <w:marLeft w:val="0"/>
          <w:marRight w:val="0"/>
          <w:marTop w:val="0"/>
          <w:marBottom w:val="0"/>
          <w:divBdr>
            <w:top w:val="none" w:sz="0" w:space="0" w:color="auto"/>
            <w:left w:val="none" w:sz="0" w:space="0" w:color="auto"/>
            <w:bottom w:val="none" w:sz="0" w:space="0" w:color="auto"/>
            <w:right w:val="none" w:sz="0" w:space="0" w:color="auto"/>
          </w:divBdr>
        </w:div>
      </w:divsChild>
    </w:div>
    <w:div w:id="930968384">
      <w:bodyDiv w:val="1"/>
      <w:marLeft w:val="0"/>
      <w:marRight w:val="0"/>
      <w:marTop w:val="0"/>
      <w:marBottom w:val="0"/>
      <w:divBdr>
        <w:top w:val="none" w:sz="0" w:space="0" w:color="auto"/>
        <w:left w:val="none" w:sz="0" w:space="0" w:color="auto"/>
        <w:bottom w:val="none" w:sz="0" w:space="0" w:color="auto"/>
        <w:right w:val="none" w:sz="0" w:space="0" w:color="auto"/>
      </w:divBdr>
    </w:div>
    <w:div w:id="995499772">
      <w:bodyDiv w:val="1"/>
      <w:marLeft w:val="0"/>
      <w:marRight w:val="0"/>
      <w:marTop w:val="0"/>
      <w:marBottom w:val="0"/>
      <w:divBdr>
        <w:top w:val="none" w:sz="0" w:space="0" w:color="auto"/>
        <w:left w:val="none" w:sz="0" w:space="0" w:color="auto"/>
        <w:bottom w:val="none" w:sz="0" w:space="0" w:color="auto"/>
        <w:right w:val="none" w:sz="0" w:space="0" w:color="auto"/>
      </w:divBdr>
      <w:divsChild>
        <w:div w:id="56320795">
          <w:marLeft w:val="0"/>
          <w:marRight w:val="0"/>
          <w:marTop w:val="0"/>
          <w:marBottom w:val="0"/>
          <w:divBdr>
            <w:top w:val="none" w:sz="0" w:space="0" w:color="auto"/>
            <w:left w:val="none" w:sz="0" w:space="0" w:color="auto"/>
            <w:bottom w:val="none" w:sz="0" w:space="0" w:color="auto"/>
            <w:right w:val="none" w:sz="0" w:space="0" w:color="auto"/>
          </w:divBdr>
        </w:div>
      </w:divsChild>
    </w:div>
    <w:div w:id="1055473829">
      <w:bodyDiv w:val="1"/>
      <w:marLeft w:val="0"/>
      <w:marRight w:val="0"/>
      <w:marTop w:val="0"/>
      <w:marBottom w:val="0"/>
      <w:divBdr>
        <w:top w:val="none" w:sz="0" w:space="0" w:color="auto"/>
        <w:left w:val="none" w:sz="0" w:space="0" w:color="auto"/>
        <w:bottom w:val="none" w:sz="0" w:space="0" w:color="auto"/>
        <w:right w:val="none" w:sz="0" w:space="0" w:color="auto"/>
      </w:divBdr>
      <w:divsChild>
        <w:div w:id="1038360923">
          <w:marLeft w:val="0"/>
          <w:marRight w:val="0"/>
          <w:marTop w:val="0"/>
          <w:marBottom w:val="0"/>
          <w:divBdr>
            <w:top w:val="none" w:sz="0" w:space="0" w:color="auto"/>
            <w:left w:val="none" w:sz="0" w:space="0" w:color="auto"/>
            <w:bottom w:val="none" w:sz="0" w:space="0" w:color="auto"/>
            <w:right w:val="none" w:sz="0" w:space="0" w:color="auto"/>
          </w:divBdr>
          <w:divsChild>
            <w:div w:id="154714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35581">
      <w:bodyDiv w:val="1"/>
      <w:marLeft w:val="0"/>
      <w:marRight w:val="0"/>
      <w:marTop w:val="0"/>
      <w:marBottom w:val="0"/>
      <w:divBdr>
        <w:top w:val="none" w:sz="0" w:space="0" w:color="auto"/>
        <w:left w:val="none" w:sz="0" w:space="0" w:color="auto"/>
        <w:bottom w:val="none" w:sz="0" w:space="0" w:color="auto"/>
        <w:right w:val="none" w:sz="0" w:space="0" w:color="auto"/>
      </w:divBdr>
      <w:divsChild>
        <w:div w:id="1969357606">
          <w:marLeft w:val="0"/>
          <w:marRight w:val="0"/>
          <w:marTop w:val="0"/>
          <w:marBottom w:val="0"/>
          <w:divBdr>
            <w:top w:val="none" w:sz="0" w:space="0" w:color="auto"/>
            <w:left w:val="none" w:sz="0" w:space="0" w:color="auto"/>
            <w:bottom w:val="none" w:sz="0" w:space="0" w:color="auto"/>
            <w:right w:val="none" w:sz="0" w:space="0" w:color="auto"/>
          </w:divBdr>
          <w:divsChild>
            <w:div w:id="50575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5709">
      <w:bodyDiv w:val="1"/>
      <w:marLeft w:val="0"/>
      <w:marRight w:val="0"/>
      <w:marTop w:val="0"/>
      <w:marBottom w:val="0"/>
      <w:divBdr>
        <w:top w:val="none" w:sz="0" w:space="0" w:color="auto"/>
        <w:left w:val="none" w:sz="0" w:space="0" w:color="auto"/>
        <w:bottom w:val="none" w:sz="0" w:space="0" w:color="auto"/>
        <w:right w:val="none" w:sz="0" w:space="0" w:color="auto"/>
      </w:divBdr>
      <w:divsChild>
        <w:div w:id="631449281">
          <w:marLeft w:val="0"/>
          <w:marRight w:val="0"/>
          <w:marTop w:val="0"/>
          <w:marBottom w:val="0"/>
          <w:divBdr>
            <w:top w:val="none" w:sz="0" w:space="0" w:color="auto"/>
            <w:left w:val="none" w:sz="0" w:space="0" w:color="auto"/>
            <w:bottom w:val="none" w:sz="0" w:space="0" w:color="auto"/>
            <w:right w:val="none" w:sz="0" w:space="0" w:color="auto"/>
          </w:divBdr>
          <w:divsChild>
            <w:div w:id="588463056">
              <w:marLeft w:val="0"/>
              <w:marRight w:val="0"/>
              <w:marTop w:val="0"/>
              <w:marBottom w:val="0"/>
              <w:divBdr>
                <w:top w:val="none" w:sz="0" w:space="0" w:color="auto"/>
                <w:left w:val="none" w:sz="0" w:space="0" w:color="auto"/>
                <w:bottom w:val="none" w:sz="0" w:space="0" w:color="auto"/>
                <w:right w:val="none" w:sz="0" w:space="0" w:color="auto"/>
              </w:divBdr>
              <w:divsChild>
                <w:div w:id="1507789419">
                  <w:marLeft w:val="0"/>
                  <w:marRight w:val="0"/>
                  <w:marTop w:val="0"/>
                  <w:marBottom w:val="0"/>
                  <w:divBdr>
                    <w:top w:val="none" w:sz="0" w:space="0" w:color="auto"/>
                    <w:left w:val="none" w:sz="0" w:space="0" w:color="auto"/>
                    <w:bottom w:val="none" w:sz="0" w:space="0" w:color="auto"/>
                    <w:right w:val="none" w:sz="0" w:space="0" w:color="auto"/>
                  </w:divBdr>
                  <w:divsChild>
                    <w:div w:id="42986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591751">
      <w:bodyDiv w:val="1"/>
      <w:marLeft w:val="0"/>
      <w:marRight w:val="0"/>
      <w:marTop w:val="0"/>
      <w:marBottom w:val="0"/>
      <w:divBdr>
        <w:top w:val="none" w:sz="0" w:space="0" w:color="auto"/>
        <w:left w:val="none" w:sz="0" w:space="0" w:color="auto"/>
        <w:bottom w:val="none" w:sz="0" w:space="0" w:color="auto"/>
        <w:right w:val="none" w:sz="0" w:space="0" w:color="auto"/>
      </w:divBdr>
      <w:divsChild>
        <w:div w:id="2008247216">
          <w:marLeft w:val="0"/>
          <w:marRight w:val="0"/>
          <w:marTop w:val="0"/>
          <w:marBottom w:val="0"/>
          <w:divBdr>
            <w:top w:val="none" w:sz="0" w:space="0" w:color="auto"/>
            <w:left w:val="none" w:sz="0" w:space="0" w:color="auto"/>
            <w:bottom w:val="none" w:sz="0" w:space="0" w:color="auto"/>
            <w:right w:val="none" w:sz="0" w:space="0" w:color="auto"/>
          </w:divBdr>
        </w:div>
      </w:divsChild>
    </w:div>
    <w:div w:id="1576472927">
      <w:bodyDiv w:val="1"/>
      <w:marLeft w:val="0"/>
      <w:marRight w:val="0"/>
      <w:marTop w:val="0"/>
      <w:marBottom w:val="0"/>
      <w:divBdr>
        <w:top w:val="none" w:sz="0" w:space="0" w:color="auto"/>
        <w:left w:val="none" w:sz="0" w:space="0" w:color="auto"/>
        <w:bottom w:val="none" w:sz="0" w:space="0" w:color="auto"/>
        <w:right w:val="none" w:sz="0" w:space="0" w:color="auto"/>
      </w:divBdr>
      <w:divsChild>
        <w:div w:id="1014305902">
          <w:marLeft w:val="0"/>
          <w:marRight w:val="0"/>
          <w:marTop w:val="0"/>
          <w:marBottom w:val="0"/>
          <w:divBdr>
            <w:top w:val="none" w:sz="0" w:space="0" w:color="auto"/>
            <w:left w:val="none" w:sz="0" w:space="0" w:color="auto"/>
            <w:bottom w:val="none" w:sz="0" w:space="0" w:color="auto"/>
            <w:right w:val="none" w:sz="0" w:space="0" w:color="auto"/>
          </w:divBdr>
          <w:divsChild>
            <w:div w:id="49430151">
              <w:marLeft w:val="0"/>
              <w:marRight w:val="0"/>
              <w:marTop w:val="0"/>
              <w:marBottom w:val="0"/>
              <w:divBdr>
                <w:top w:val="none" w:sz="0" w:space="0" w:color="auto"/>
                <w:left w:val="none" w:sz="0" w:space="0" w:color="auto"/>
                <w:bottom w:val="none" w:sz="0" w:space="0" w:color="auto"/>
                <w:right w:val="none" w:sz="0" w:space="0" w:color="auto"/>
              </w:divBdr>
            </w:div>
            <w:div w:id="1327781724">
              <w:marLeft w:val="0"/>
              <w:marRight w:val="0"/>
              <w:marTop w:val="0"/>
              <w:marBottom w:val="0"/>
              <w:divBdr>
                <w:top w:val="none" w:sz="0" w:space="0" w:color="auto"/>
                <w:left w:val="none" w:sz="0" w:space="0" w:color="auto"/>
                <w:bottom w:val="none" w:sz="0" w:space="0" w:color="auto"/>
                <w:right w:val="none" w:sz="0" w:space="0" w:color="auto"/>
              </w:divBdr>
            </w:div>
            <w:div w:id="381173135">
              <w:marLeft w:val="0"/>
              <w:marRight w:val="0"/>
              <w:marTop w:val="0"/>
              <w:marBottom w:val="0"/>
              <w:divBdr>
                <w:top w:val="none" w:sz="0" w:space="0" w:color="auto"/>
                <w:left w:val="none" w:sz="0" w:space="0" w:color="auto"/>
                <w:bottom w:val="none" w:sz="0" w:space="0" w:color="auto"/>
                <w:right w:val="none" w:sz="0" w:space="0" w:color="auto"/>
              </w:divBdr>
            </w:div>
            <w:div w:id="546066600">
              <w:marLeft w:val="0"/>
              <w:marRight w:val="0"/>
              <w:marTop w:val="0"/>
              <w:marBottom w:val="0"/>
              <w:divBdr>
                <w:top w:val="none" w:sz="0" w:space="0" w:color="auto"/>
                <w:left w:val="none" w:sz="0" w:space="0" w:color="auto"/>
                <w:bottom w:val="none" w:sz="0" w:space="0" w:color="auto"/>
                <w:right w:val="none" w:sz="0" w:space="0" w:color="auto"/>
              </w:divBdr>
            </w:div>
            <w:div w:id="1498040048">
              <w:marLeft w:val="0"/>
              <w:marRight w:val="0"/>
              <w:marTop w:val="0"/>
              <w:marBottom w:val="0"/>
              <w:divBdr>
                <w:top w:val="none" w:sz="0" w:space="0" w:color="auto"/>
                <w:left w:val="none" w:sz="0" w:space="0" w:color="auto"/>
                <w:bottom w:val="none" w:sz="0" w:space="0" w:color="auto"/>
                <w:right w:val="none" w:sz="0" w:space="0" w:color="auto"/>
              </w:divBdr>
            </w:div>
            <w:div w:id="20522168">
              <w:marLeft w:val="0"/>
              <w:marRight w:val="0"/>
              <w:marTop w:val="0"/>
              <w:marBottom w:val="0"/>
              <w:divBdr>
                <w:top w:val="none" w:sz="0" w:space="0" w:color="auto"/>
                <w:left w:val="none" w:sz="0" w:space="0" w:color="auto"/>
                <w:bottom w:val="none" w:sz="0" w:space="0" w:color="auto"/>
                <w:right w:val="none" w:sz="0" w:space="0" w:color="auto"/>
              </w:divBdr>
            </w:div>
            <w:div w:id="789594173">
              <w:marLeft w:val="0"/>
              <w:marRight w:val="0"/>
              <w:marTop w:val="0"/>
              <w:marBottom w:val="0"/>
              <w:divBdr>
                <w:top w:val="none" w:sz="0" w:space="0" w:color="auto"/>
                <w:left w:val="none" w:sz="0" w:space="0" w:color="auto"/>
                <w:bottom w:val="none" w:sz="0" w:space="0" w:color="auto"/>
                <w:right w:val="none" w:sz="0" w:space="0" w:color="auto"/>
              </w:divBdr>
            </w:div>
            <w:div w:id="2011786908">
              <w:marLeft w:val="0"/>
              <w:marRight w:val="0"/>
              <w:marTop w:val="0"/>
              <w:marBottom w:val="0"/>
              <w:divBdr>
                <w:top w:val="none" w:sz="0" w:space="0" w:color="auto"/>
                <w:left w:val="none" w:sz="0" w:space="0" w:color="auto"/>
                <w:bottom w:val="none" w:sz="0" w:space="0" w:color="auto"/>
                <w:right w:val="none" w:sz="0" w:space="0" w:color="auto"/>
              </w:divBdr>
            </w:div>
            <w:div w:id="2146005158">
              <w:marLeft w:val="0"/>
              <w:marRight w:val="0"/>
              <w:marTop w:val="0"/>
              <w:marBottom w:val="0"/>
              <w:divBdr>
                <w:top w:val="none" w:sz="0" w:space="0" w:color="auto"/>
                <w:left w:val="none" w:sz="0" w:space="0" w:color="auto"/>
                <w:bottom w:val="none" w:sz="0" w:space="0" w:color="auto"/>
                <w:right w:val="none" w:sz="0" w:space="0" w:color="auto"/>
              </w:divBdr>
            </w:div>
            <w:div w:id="92749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552222">
      <w:bodyDiv w:val="1"/>
      <w:marLeft w:val="0"/>
      <w:marRight w:val="0"/>
      <w:marTop w:val="0"/>
      <w:marBottom w:val="0"/>
      <w:divBdr>
        <w:top w:val="none" w:sz="0" w:space="0" w:color="auto"/>
        <w:left w:val="none" w:sz="0" w:space="0" w:color="auto"/>
        <w:bottom w:val="none" w:sz="0" w:space="0" w:color="auto"/>
        <w:right w:val="none" w:sz="0" w:space="0" w:color="auto"/>
      </w:divBdr>
    </w:div>
    <w:div w:id="1735158750">
      <w:bodyDiv w:val="1"/>
      <w:marLeft w:val="0"/>
      <w:marRight w:val="0"/>
      <w:marTop w:val="0"/>
      <w:marBottom w:val="0"/>
      <w:divBdr>
        <w:top w:val="none" w:sz="0" w:space="0" w:color="auto"/>
        <w:left w:val="none" w:sz="0" w:space="0" w:color="auto"/>
        <w:bottom w:val="none" w:sz="0" w:space="0" w:color="auto"/>
        <w:right w:val="none" w:sz="0" w:space="0" w:color="auto"/>
      </w:divBdr>
      <w:divsChild>
        <w:div w:id="976647259">
          <w:marLeft w:val="0"/>
          <w:marRight w:val="0"/>
          <w:marTop w:val="0"/>
          <w:marBottom w:val="0"/>
          <w:divBdr>
            <w:top w:val="none" w:sz="0" w:space="0" w:color="auto"/>
            <w:left w:val="none" w:sz="0" w:space="0" w:color="auto"/>
            <w:bottom w:val="none" w:sz="0" w:space="0" w:color="auto"/>
            <w:right w:val="none" w:sz="0" w:space="0" w:color="auto"/>
          </w:divBdr>
        </w:div>
      </w:divsChild>
    </w:div>
    <w:div w:id="1773091550">
      <w:bodyDiv w:val="1"/>
      <w:marLeft w:val="0"/>
      <w:marRight w:val="0"/>
      <w:marTop w:val="0"/>
      <w:marBottom w:val="0"/>
      <w:divBdr>
        <w:top w:val="none" w:sz="0" w:space="0" w:color="auto"/>
        <w:left w:val="none" w:sz="0" w:space="0" w:color="auto"/>
        <w:bottom w:val="none" w:sz="0" w:space="0" w:color="auto"/>
        <w:right w:val="none" w:sz="0" w:space="0" w:color="auto"/>
      </w:divBdr>
    </w:div>
    <w:div w:id="1791050117">
      <w:bodyDiv w:val="1"/>
      <w:marLeft w:val="0"/>
      <w:marRight w:val="0"/>
      <w:marTop w:val="0"/>
      <w:marBottom w:val="0"/>
      <w:divBdr>
        <w:top w:val="none" w:sz="0" w:space="0" w:color="auto"/>
        <w:left w:val="none" w:sz="0" w:space="0" w:color="auto"/>
        <w:bottom w:val="none" w:sz="0" w:space="0" w:color="auto"/>
        <w:right w:val="none" w:sz="0" w:space="0" w:color="auto"/>
      </w:divBdr>
      <w:divsChild>
        <w:div w:id="957486404">
          <w:marLeft w:val="0"/>
          <w:marRight w:val="0"/>
          <w:marTop w:val="0"/>
          <w:marBottom w:val="0"/>
          <w:divBdr>
            <w:top w:val="none" w:sz="0" w:space="0" w:color="auto"/>
            <w:left w:val="none" w:sz="0" w:space="0" w:color="auto"/>
            <w:bottom w:val="none" w:sz="0" w:space="0" w:color="auto"/>
            <w:right w:val="none" w:sz="0" w:space="0" w:color="auto"/>
          </w:divBdr>
          <w:divsChild>
            <w:div w:id="810100326">
              <w:marLeft w:val="0"/>
              <w:marRight w:val="0"/>
              <w:marTop w:val="0"/>
              <w:marBottom w:val="0"/>
              <w:divBdr>
                <w:top w:val="none" w:sz="0" w:space="0" w:color="auto"/>
                <w:left w:val="none" w:sz="0" w:space="0" w:color="auto"/>
                <w:bottom w:val="none" w:sz="0" w:space="0" w:color="auto"/>
                <w:right w:val="none" w:sz="0" w:space="0" w:color="auto"/>
              </w:divBdr>
              <w:divsChild>
                <w:div w:id="1041323856">
                  <w:marLeft w:val="0"/>
                  <w:marRight w:val="0"/>
                  <w:marTop w:val="0"/>
                  <w:marBottom w:val="0"/>
                  <w:divBdr>
                    <w:top w:val="none" w:sz="0" w:space="0" w:color="auto"/>
                    <w:left w:val="none" w:sz="0" w:space="0" w:color="auto"/>
                    <w:bottom w:val="none" w:sz="0" w:space="0" w:color="auto"/>
                    <w:right w:val="none" w:sz="0" w:space="0" w:color="auto"/>
                  </w:divBdr>
                  <w:divsChild>
                    <w:div w:id="1161851460">
                      <w:marLeft w:val="0"/>
                      <w:marRight w:val="0"/>
                      <w:marTop w:val="0"/>
                      <w:marBottom w:val="0"/>
                      <w:divBdr>
                        <w:top w:val="none" w:sz="0" w:space="0" w:color="auto"/>
                        <w:left w:val="none" w:sz="0" w:space="0" w:color="auto"/>
                        <w:bottom w:val="none" w:sz="0" w:space="0" w:color="auto"/>
                        <w:right w:val="none" w:sz="0" w:space="0" w:color="auto"/>
                      </w:divBdr>
                      <w:divsChild>
                        <w:div w:id="15686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800983">
      <w:bodyDiv w:val="1"/>
      <w:marLeft w:val="0"/>
      <w:marRight w:val="0"/>
      <w:marTop w:val="0"/>
      <w:marBottom w:val="0"/>
      <w:divBdr>
        <w:top w:val="none" w:sz="0" w:space="0" w:color="auto"/>
        <w:left w:val="none" w:sz="0" w:space="0" w:color="auto"/>
        <w:bottom w:val="none" w:sz="0" w:space="0" w:color="auto"/>
        <w:right w:val="none" w:sz="0" w:space="0" w:color="auto"/>
      </w:divBdr>
      <w:divsChild>
        <w:div w:id="1039166408">
          <w:marLeft w:val="0"/>
          <w:marRight w:val="0"/>
          <w:marTop w:val="0"/>
          <w:marBottom w:val="0"/>
          <w:divBdr>
            <w:top w:val="none" w:sz="0" w:space="0" w:color="auto"/>
            <w:left w:val="none" w:sz="0" w:space="0" w:color="auto"/>
            <w:bottom w:val="none" w:sz="0" w:space="0" w:color="auto"/>
            <w:right w:val="none" w:sz="0" w:space="0" w:color="auto"/>
          </w:divBdr>
        </w:div>
      </w:divsChild>
    </w:div>
    <w:div w:id="1998920731">
      <w:bodyDiv w:val="1"/>
      <w:marLeft w:val="0"/>
      <w:marRight w:val="0"/>
      <w:marTop w:val="0"/>
      <w:marBottom w:val="0"/>
      <w:divBdr>
        <w:top w:val="none" w:sz="0" w:space="0" w:color="auto"/>
        <w:left w:val="none" w:sz="0" w:space="0" w:color="auto"/>
        <w:bottom w:val="none" w:sz="0" w:space="0" w:color="auto"/>
        <w:right w:val="none" w:sz="0" w:space="0" w:color="auto"/>
      </w:divBdr>
    </w:div>
    <w:div w:id="2018651575">
      <w:bodyDiv w:val="1"/>
      <w:marLeft w:val="0"/>
      <w:marRight w:val="0"/>
      <w:marTop w:val="0"/>
      <w:marBottom w:val="0"/>
      <w:divBdr>
        <w:top w:val="none" w:sz="0" w:space="0" w:color="auto"/>
        <w:left w:val="none" w:sz="0" w:space="0" w:color="auto"/>
        <w:bottom w:val="none" w:sz="0" w:space="0" w:color="auto"/>
        <w:right w:val="none" w:sz="0" w:space="0" w:color="auto"/>
      </w:divBdr>
    </w:div>
    <w:div w:id="2048411226">
      <w:bodyDiv w:val="1"/>
      <w:marLeft w:val="0"/>
      <w:marRight w:val="0"/>
      <w:marTop w:val="0"/>
      <w:marBottom w:val="0"/>
      <w:divBdr>
        <w:top w:val="none" w:sz="0" w:space="0" w:color="auto"/>
        <w:left w:val="none" w:sz="0" w:space="0" w:color="auto"/>
        <w:bottom w:val="none" w:sz="0" w:space="0" w:color="auto"/>
        <w:right w:val="none" w:sz="0" w:space="0" w:color="auto"/>
      </w:divBdr>
      <w:divsChild>
        <w:div w:id="1824852839">
          <w:marLeft w:val="0"/>
          <w:marRight w:val="0"/>
          <w:marTop w:val="0"/>
          <w:marBottom w:val="0"/>
          <w:divBdr>
            <w:top w:val="none" w:sz="0" w:space="0" w:color="auto"/>
            <w:left w:val="none" w:sz="0" w:space="0" w:color="auto"/>
            <w:bottom w:val="none" w:sz="0" w:space="0" w:color="auto"/>
            <w:right w:val="none" w:sz="0" w:space="0" w:color="auto"/>
          </w:divBdr>
        </w:div>
      </w:divsChild>
    </w:div>
    <w:div w:id="2082874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package" Target="embeddings/Microsoft_Word_Document1.docx"/><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Word_Document.docx"/><Relationship Id="rId20" Type="http://schemas.openxmlformats.org/officeDocument/2006/relationships/package" Target="embeddings/Microsoft_Word_Document2.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2.emf"/><Relationship Id="rId10" Type="http://schemas.openxmlformats.org/officeDocument/2006/relationships/image" Target="media/image3.pn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package" Target="embeddings/Microsoft_Excel_Worksheet.xls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C3EEA-E77A-4D3C-A2FD-EB05F861D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21655</Words>
  <Characters>123436</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2026-09-23T04:07:00Z</dcterms:created>
  <dcterms:modified xsi:type="dcterms:W3CDTF">2026-09-23T05:09:00Z</dcterms:modified>
</cp:coreProperties>
</file>