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line="360" w:lineRule="auto"/>
        <w:jc w:val="center"/>
        <w:rPr>
          <w:rFonts w:hint="eastAsia" w:ascii="DFKai-SB" w:hAnsi="DFKai-SB" w:eastAsia="DFKai-SB" w:cs="DFKai-SB"/>
          <w:b/>
          <w:bCs/>
          <w:sz w:val="40"/>
          <w:szCs w:val="40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40"/>
          <w:szCs w:val="40"/>
          <w:lang w:val="en-US" w:eastAsia="zh-CN"/>
        </w:rPr>
        <w:t>鄭伯克段于鄢的啟示</w:t>
      </w:r>
    </w:p>
    <w:p>
      <w:pPr>
        <w:spacing w:line="360" w:lineRule="auto"/>
        <w:jc w:val="center"/>
        <w:rPr>
          <w:rFonts w:hint="default" w:ascii="DFKai-SB" w:hAnsi="DFKai-SB" w:eastAsia="DFKai-SB" w:cs="DFKai-SB"/>
          <w:sz w:val="32"/>
          <w:szCs w:val="32"/>
          <w:lang w:val="en-US" w:eastAsia="zh-CN"/>
        </w:rPr>
      </w:pPr>
    </w:p>
    <w:p>
      <w:pPr>
        <w:spacing w:line="360" w:lineRule="auto"/>
        <w:jc w:val="center"/>
        <w:rPr>
          <w:rFonts w:hint="eastAsia" w:ascii="DFKai-SB" w:hAnsi="DFKai-SB" w:eastAsia="DFKai-SB" w:cs="DFKai-SB"/>
          <w:sz w:val="32"/>
          <w:szCs w:val="32"/>
          <w:lang w:val="en-US" w:eastAsia="zh-CN"/>
        </w:rPr>
      </w:pPr>
      <w:r>
        <w:rPr>
          <w:rFonts w:hint="eastAsia" w:ascii="DFKai-SB" w:hAnsi="DFKai-SB" w:eastAsia="DFKai-SB" w:cs="DFKai-SB"/>
          <w:sz w:val="32"/>
          <w:szCs w:val="32"/>
          <w:lang w:val="en-US" w:eastAsia="zh-CN"/>
        </w:rPr>
        <w:t>蔡磊</w:t>
      </w:r>
    </w:p>
    <w:p>
      <w:pPr>
        <w:spacing w:line="360" w:lineRule="auto"/>
        <w:jc w:val="center"/>
        <w:rPr>
          <w:rFonts w:hint="eastAsia" w:ascii="DFKai-SB" w:hAnsi="DFKai-SB" w:eastAsia="DFKai-SB" w:cs="DFKai-SB"/>
          <w:sz w:val="32"/>
          <w:szCs w:val="32"/>
          <w:lang w:val="en-US" w:eastAsia="zh-CN"/>
        </w:rPr>
      </w:pPr>
    </w:p>
    <w:p>
      <w:pPr>
        <w:spacing w:line="360" w:lineRule="auto"/>
        <w:jc w:val="center"/>
        <w:rPr>
          <w:rFonts w:hint="default" w:ascii="DFKai-SB" w:hAnsi="DFKai-SB" w:eastAsia="DFKai-SB" w:cs="DFKai-SB"/>
          <w:b/>
          <w:bCs/>
          <w:sz w:val="36"/>
          <w:szCs w:val="36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  <w:t>前言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〈鄭伯克段于鄢〉是《左傳》中的名篇，歷來對其不乏深刻、精彩的品評，但所論的角度各有不同，或闡發義理、或研究歷史、或分析文筆。張高評認為，若僅從某一方面來對《左傳》進行研究，「皆未能得《左傳》之大全與體要」，因此欲全面解讀《左傳》，整合文、史、義三方面來進行分析是有必要的。本文將嘗試結合三個角度來解讀〈鄭伯克段于鄢〉，冀以一篇為例，為全方位解讀《左傳》之法提供一參考路徑。</w:t>
      </w:r>
    </w:p>
    <w:p>
      <w:pPr>
        <w:spacing w:line="360" w:lineRule="auto"/>
        <w:ind w:firstLine="480" w:firstLineChars="200"/>
        <w:jc w:val="both"/>
        <w:rPr>
          <w:rFonts w:hint="eastAsia" w:ascii="PMingLiU" w:hAnsi="PMingLiU" w:eastAsia="PMingLiU" w:cs="PMingLiU"/>
          <w:sz w:val="24"/>
          <w:szCs w:val="24"/>
          <w:lang w:val="en-US" w:eastAsia="zh-CN"/>
        </w:rPr>
      </w:pPr>
    </w:p>
    <w:p>
      <w:pPr>
        <w:spacing w:line="360" w:lineRule="auto"/>
        <w:jc w:val="center"/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  <w:t>壹、敘事手法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要論《左傳》的筆法，則離不開《春秋》的書法，因為《左傳》以敘事寓褒貶的風格，乃是承續《春秋》書法而來。《左傳·成公十四年》提到：「《春秋》之稱，微而顯，志而晦，婉而成章，盡而不汙，懲惡而勸善，非聖人，誰能脩之？」此五例即是《春秋》的寫作之法，而《左傳》亦承此而來，張高評把它歸納為「用晦」、「貴簡」、「尚比」、「致曲」四個條例。〈鄭伯克段于鄢〉一文雖然不長，但四個條例均有所體現，以下將分別進行討論。</w:t>
      </w:r>
    </w:p>
    <w:p>
      <w:pPr>
        <w:spacing w:line="360" w:lineRule="auto"/>
        <w:jc w:val="both"/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  <w:t>一、用晦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 xml:space="preserve">  用晦之意，即《春秋》五例中的「志而晦」。杜預注：「志，記也。晦亦微也。謂約言以記事，事敘而文微。」亦即行文含蓄。在〈鄭伯克段于鄢〉一文中，其「用晦」之例最精彩處有幾條如下：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1.雖然文章的主角是莊公，以莊公的不孝不悌作為批評的主題，但其實也強調了姜氏和共叔段之非。如開頭一句「遂惡之」，實為整一事件的源頭。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2.由果代因，從祭仲語「今京不度，非制也」，含蓄地傳達了共叔段到京城居住後，並沒有安守本分，而是擅自擴大京城的規模，使之比肩鄭國國都的趨勢，彰顯共叔段奪權的野心，也暗含出了姜氏授意叔段所為。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3.由祭仲、公子呂與莊公的對話，層層遞進以顯莊公故意使弟弟犯錯，給自己提供驅逐弟弟的正當理由。</w:t>
      </w:r>
    </w:p>
    <w:p>
      <w:pPr>
        <w:spacing w:line="360" w:lineRule="auto"/>
        <w:jc w:val="both"/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  <w:t>二、貴簡</w:t>
      </w:r>
    </w:p>
    <w:p>
      <w:pPr>
        <w:spacing w:line="360" w:lineRule="auto"/>
        <w:ind w:firstLine="480" w:firstLineChars="200"/>
        <w:jc w:val="both"/>
        <w:rPr>
          <w:rFonts w:hint="eastAsia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1.公聞其期，曰：「可矣！」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2.黃泉相見兩首賦。</w:t>
      </w:r>
    </w:p>
    <w:p>
      <w:pPr>
        <w:spacing w:line="360" w:lineRule="auto"/>
        <w:jc w:val="both"/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  <w:t>三、尚比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 xml:space="preserve">   以潁考叔之孝與莊公之不孝作對比，彰顯孝道之要。</w:t>
      </w:r>
    </w:p>
    <w:p>
      <w:pPr>
        <w:spacing w:line="360" w:lineRule="auto"/>
        <w:jc w:val="both"/>
        <w:rPr>
          <w:rFonts w:hint="default" w:ascii="DFKai-SB" w:hAnsi="DFKai-SB" w:eastAsia="DFKai-SB" w:cs="DFKai-SB"/>
          <w:b/>
          <w:bCs/>
          <w:sz w:val="32"/>
          <w:szCs w:val="32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2"/>
          <w:szCs w:val="32"/>
          <w:lang w:val="en-US" w:eastAsia="zh-CN"/>
        </w:rPr>
        <w:t>四、致曲</w:t>
      </w:r>
    </w:p>
    <w:p>
      <w:pPr>
        <w:spacing w:line="360" w:lineRule="auto"/>
        <w:ind w:firstLine="480" w:firstLineChars="200"/>
        <w:jc w:val="both"/>
        <w:rPr>
          <w:rFonts w:hint="eastAsia" w:ascii="PMingLiU" w:hAnsi="PMingLiU" w:eastAsia="PMingLiU" w:cs="PMingLiU"/>
          <w:sz w:val="24"/>
          <w:szCs w:val="24"/>
          <w:lang w:val="en-US" w:eastAsia="zh-CN"/>
        </w:rPr>
      </w:pPr>
    </w:p>
    <w:p>
      <w:pPr>
        <w:spacing w:line="360" w:lineRule="auto"/>
        <w:jc w:val="center"/>
        <w:rPr>
          <w:rFonts w:hint="default" w:ascii="DFKai-SB" w:hAnsi="DFKai-SB" w:eastAsia="DFKai-SB" w:cs="DFKai-SB"/>
          <w:b/>
          <w:bCs/>
          <w:sz w:val="36"/>
          <w:szCs w:val="36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  <w:t>貳、歷史考究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是時諸侯雖多有不孝不悌之事，但孝道仍然是深入人心的，不孝之人定遭譴責。雖為一方諸侯，權利之大乃至於能貶謫母后，但終要遭受輿論的壓力。（或可與西方歷史作對比，目前對西方史尚未有研究。）</w:t>
      </w:r>
    </w:p>
    <w:p>
      <w:pPr>
        <w:spacing w:line="360" w:lineRule="auto"/>
        <w:jc w:val="both"/>
        <w:rPr>
          <w:rFonts w:hint="eastAsia" w:ascii="PMingLiU" w:hAnsi="PMingLiU" w:eastAsia="PMingLiU" w:cs="PMingLiU"/>
          <w:sz w:val="24"/>
          <w:szCs w:val="24"/>
          <w:lang w:val="en-US" w:eastAsia="zh-CN"/>
        </w:rPr>
      </w:pPr>
    </w:p>
    <w:p>
      <w:pPr>
        <w:numPr>
          <w:numId w:val="0"/>
        </w:numPr>
        <w:spacing w:line="360" w:lineRule="auto"/>
        <w:jc w:val="center"/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  <w:t>參、義理闡發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開頭寫姜氏因莊公難產而「惡之」，失為人母之慈愛，而莊公狡猾、跋扈的扭曲性格，或許也由於姜氏之惡而來。至於共叔段之不悌，亦由於姜氏偏愛，教之奪權而致。於斯可知母教之要也。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</w:p>
    <w:p>
      <w:pPr>
        <w:numPr>
          <w:numId w:val="0"/>
        </w:numPr>
        <w:spacing w:line="360" w:lineRule="auto"/>
        <w:jc w:val="center"/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</w:pPr>
      <w:r>
        <w:rPr>
          <w:rFonts w:hint="eastAsia" w:ascii="DFKai-SB" w:hAnsi="DFKai-SB" w:eastAsia="DFKai-SB" w:cs="DFKai-SB"/>
          <w:b/>
          <w:bCs/>
          <w:sz w:val="36"/>
          <w:szCs w:val="36"/>
          <w:lang w:val="en-US" w:eastAsia="zh-CN"/>
        </w:rPr>
        <w:t>肆、結語</w:t>
      </w:r>
    </w:p>
    <w:p>
      <w:pPr>
        <w:spacing w:line="360" w:lineRule="auto"/>
        <w:ind w:firstLine="480" w:firstLineChars="200"/>
        <w:jc w:val="both"/>
        <w:rPr>
          <w:rFonts w:hint="default" w:ascii="PMingLiU" w:hAnsi="PMingLiU" w:eastAsia="PMingLiU" w:cs="PMingLiU"/>
          <w:sz w:val="24"/>
          <w:szCs w:val="24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 xml:space="preserve">  《春秋》、《左傳》之旨，文筆為體，懲惡勸善為用。</w:t>
      </w:r>
      <w:bookmarkStart w:id="0" w:name="_GoBack"/>
      <w:bookmarkEnd w:id="0"/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DFKai-SB">
    <w:panose1 w:val="03000509000000000000"/>
    <w:charset w:val="88"/>
    <w:family w:val="auto"/>
    <w:pitch w:val="default"/>
    <w:sig w:usb0="00000003" w:usb1="082E0000" w:usb2="00000016" w:usb3="00000000" w:csb0="00100001" w:csb1="00000000"/>
  </w:font>
  <w:font w:name="PMingLiU">
    <w:panose1 w:val="02020500000000000000"/>
    <w:charset w:val="88"/>
    <w:family w:val="auto"/>
    <w:pitch w:val="default"/>
    <w:sig w:usb0="A00002FF" w:usb1="28CFFCFA" w:usb2="00000016" w:usb3="00000000" w:csb0="001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doNotDisplayPageBoundaries w:val="1"/>
  <w:embedSystemFonts/>
  <w:bordersDoNotSurroundHeader w:val="1"/>
  <w:bordersDoNotSurroundFooter w:val="1"/>
  <w:documentProtection w:enforcement="0"/>
  <w:defaultTabStop w:val="720"/>
  <w:drawingGridVerticalSpacing w:val="156"/>
  <w:displayHorizontalDrawingGridEvery w:val="0"/>
  <w:displayVerticalDrawingGridEvery w:val="2"/>
  <w:characterSpacingControl w:val="doNotCompress"/>
  <w:compat>
    <w:spaceForUL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B340E02"/>
    <w:rsid w:val="18CA43AA"/>
    <w:rsid w:val="246C17B8"/>
    <w:rsid w:val="25023B09"/>
    <w:rsid w:val="2C197C50"/>
    <w:rsid w:val="2D1F2489"/>
    <w:rsid w:val="357F5F46"/>
    <w:rsid w:val="36AF47B7"/>
    <w:rsid w:val="3BDA17A0"/>
    <w:rsid w:val="41BB28E8"/>
    <w:rsid w:val="44F651FA"/>
    <w:rsid w:val="50663BD0"/>
    <w:rsid w:val="6A852A96"/>
    <w:rsid w:val="7ED95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Office_11.2.0.11254_F1E327BC-269C-435d-A152-05C5408002CA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2022-08-03T10:14:00Z</dcterms:created>
  <dc:creator>36933</dc:creator>
  <cp:lastModifiedBy>36933</cp:lastModifiedBy>
  <dcterms:modified xsi:type="dcterms:W3CDTF">2022-08-19T07:32:09Z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1033-11.2.0.11254</vt:lpwstr>
  </property>
  <property fmtid="{D5CDD505-2E9C-101B-9397-08002B2CF9AE}" pid="3" name="ICV">
    <vt:lpwstr>78716B96797841419FAB2B6FE9A3F16C</vt:lpwstr>
  </property>
</Properties>
</file>