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DCAE59" w14:textId="77777777" w:rsidR="00CE2A0A" w:rsidRDefault="00CE2A0A">
      <w:pPr>
        <w:rPr>
          <w:rFonts w:ascii="Times New Roman" w:hAnsi="Times New Roman" w:cs="Times New Roman"/>
          <w:sz w:val="40"/>
          <w:szCs w:val="40"/>
        </w:rPr>
      </w:pPr>
    </w:p>
    <w:p w14:paraId="5FA89B5A" w14:textId="01A4E473" w:rsidR="00E65269" w:rsidRDefault="00E65269">
      <w:pPr>
        <w:rPr>
          <w:rFonts w:ascii="Times New Roman" w:hAnsi="Times New Roman" w:cs="Times New Roman"/>
          <w:sz w:val="40"/>
          <w:szCs w:val="40"/>
        </w:rPr>
      </w:pPr>
      <w:r w:rsidRPr="00E65269">
        <w:rPr>
          <w:rFonts w:ascii="Times New Roman" w:hAnsi="Times New Roman" w:cs="Times New Roman"/>
          <w:sz w:val="40"/>
          <w:szCs w:val="40"/>
        </w:rPr>
        <w:t xml:space="preserve">UNIVERSITY OF WALES TRINITY SAINT DAVID </w:t>
      </w:r>
      <w:r>
        <w:rPr>
          <w:rFonts w:ascii="Times New Roman" w:hAnsi="Times New Roman" w:cs="Times New Roman"/>
          <w:sz w:val="40"/>
          <w:szCs w:val="40"/>
        </w:rPr>
        <w:t xml:space="preserve"> </w:t>
      </w:r>
    </w:p>
    <w:p w14:paraId="179FA1AE" w14:textId="77777777" w:rsidR="00286AAB" w:rsidRDefault="00E65269">
      <w:pPr>
        <w:rPr>
          <w:rFonts w:ascii="Times New Roman" w:hAnsi="Times New Roman" w:cs="Times New Roman"/>
          <w:sz w:val="40"/>
          <w:szCs w:val="40"/>
        </w:rPr>
      </w:pPr>
      <w:r>
        <w:rPr>
          <w:rFonts w:ascii="Times New Roman" w:hAnsi="Times New Roman" w:cs="Times New Roman"/>
          <w:sz w:val="40"/>
          <w:szCs w:val="40"/>
        </w:rPr>
        <w:t xml:space="preserve">                                    LONDON   </w:t>
      </w:r>
    </w:p>
    <w:p w14:paraId="420F635D" w14:textId="77777777" w:rsidR="00286AAB" w:rsidRDefault="00286AAB">
      <w:pPr>
        <w:rPr>
          <w:rFonts w:ascii="Times New Roman" w:hAnsi="Times New Roman" w:cs="Times New Roman"/>
          <w:sz w:val="40"/>
          <w:szCs w:val="40"/>
        </w:rPr>
      </w:pPr>
    </w:p>
    <w:p w14:paraId="052C4870" w14:textId="77777777" w:rsidR="00286AAB" w:rsidRDefault="00286AAB">
      <w:pPr>
        <w:rPr>
          <w:rFonts w:ascii="Times New Roman" w:hAnsi="Times New Roman" w:cs="Times New Roman"/>
          <w:sz w:val="40"/>
          <w:szCs w:val="40"/>
        </w:rPr>
      </w:pPr>
    </w:p>
    <w:p w14:paraId="4F3D23FF" w14:textId="77777777" w:rsidR="00286AAB" w:rsidRDefault="00286AAB">
      <w:pPr>
        <w:rPr>
          <w:rFonts w:ascii="Times New Roman" w:hAnsi="Times New Roman" w:cs="Times New Roman"/>
          <w:sz w:val="40"/>
          <w:szCs w:val="40"/>
        </w:rPr>
      </w:pPr>
    </w:p>
    <w:p w14:paraId="279AF2A5" w14:textId="77B44973" w:rsidR="001E25D3" w:rsidRPr="006818D0" w:rsidRDefault="001E25D3">
      <w:pPr>
        <w:rPr>
          <w:rFonts w:ascii="Times New Roman" w:hAnsi="Times New Roman" w:cs="Times New Roman"/>
          <w:sz w:val="36"/>
          <w:szCs w:val="36"/>
        </w:rPr>
      </w:pPr>
      <w:r>
        <w:rPr>
          <w:rFonts w:ascii="Times New Roman" w:hAnsi="Times New Roman" w:cs="Times New Roman"/>
          <w:sz w:val="40"/>
          <w:szCs w:val="40"/>
        </w:rPr>
        <w:t xml:space="preserve"> </w:t>
      </w:r>
      <w:r w:rsidR="006818D0">
        <w:rPr>
          <w:rFonts w:ascii="Times New Roman" w:hAnsi="Times New Roman" w:cs="Times New Roman"/>
          <w:sz w:val="40"/>
          <w:szCs w:val="40"/>
        </w:rPr>
        <w:t xml:space="preserve">     </w:t>
      </w:r>
      <w:r w:rsidRPr="006818D0">
        <w:rPr>
          <w:rFonts w:ascii="Times New Roman" w:hAnsi="Times New Roman" w:cs="Times New Roman"/>
          <w:sz w:val="36"/>
          <w:szCs w:val="36"/>
        </w:rPr>
        <w:t xml:space="preserve"> </w:t>
      </w:r>
      <w:r w:rsidR="00286AAB" w:rsidRPr="006818D0">
        <w:rPr>
          <w:rFonts w:ascii="Times New Roman" w:hAnsi="Times New Roman" w:cs="Times New Roman"/>
          <w:sz w:val="36"/>
          <w:szCs w:val="36"/>
        </w:rPr>
        <w:t>INTERNATIONAL</w:t>
      </w:r>
      <w:r w:rsidR="00397FA8" w:rsidRPr="006818D0">
        <w:rPr>
          <w:rFonts w:ascii="Times New Roman" w:hAnsi="Times New Roman" w:cs="Times New Roman"/>
          <w:sz w:val="36"/>
          <w:szCs w:val="36"/>
        </w:rPr>
        <w:t xml:space="preserve"> FINANCIAL MANAGEMENT</w:t>
      </w:r>
      <w:r w:rsidR="00E65269" w:rsidRPr="006818D0">
        <w:rPr>
          <w:rFonts w:ascii="Times New Roman" w:hAnsi="Times New Roman" w:cs="Times New Roman"/>
          <w:sz w:val="36"/>
          <w:szCs w:val="36"/>
        </w:rPr>
        <w:t xml:space="preserve"> </w:t>
      </w:r>
    </w:p>
    <w:p w14:paraId="0245D7F7" w14:textId="2EB223F0" w:rsidR="00932696" w:rsidRPr="006818D0" w:rsidRDefault="001E25D3">
      <w:pPr>
        <w:rPr>
          <w:rFonts w:ascii="Times New Roman" w:hAnsi="Times New Roman" w:cs="Times New Roman"/>
          <w:sz w:val="36"/>
          <w:szCs w:val="36"/>
        </w:rPr>
      </w:pPr>
      <w:r w:rsidRPr="006818D0">
        <w:rPr>
          <w:rFonts w:ascii="Times New Roman" w:hAnsi="Times New Roman" w:cs="Times New Roman"/>
          <w:sz w:val="36"/>
          <w:szCs w:val="36"/>
        </w:rPr>
        <w:t xml:space="preserve">                                </w:t>
      </w:r>
      <w:r w:rsidR="00D0164F">
        <w:rPr>
          <w:rFonts w:ascii="Times New Roman" w:hAnsi="Times New Roman" w:cs="Times New Roman"/>
          <w:sz w:val="36"/>
          <w:szCs w:val="36"/>
        </w:rPr>
        <w:t xml:space="preserve">       </w:t>
      </w:r>
      <w:r w:rsidRPr="006818D0">
        <w:rPr>
          <w:rFonts w:ascii="Times New Roman" w:hAnsi="Times New Roman" w:cs="Times New Roman"/>
          <w:sz w:val="36"/>
          <w:szCs w:val="36"/>
        </w:rPr>
        <w:t xml:space="preserve">  (LCBB</w:t>
      </w:r>
      <w:r w:rsidR="00932696" w:rsidRPr="006818D0">
        <w:rPr>
          <w:rFonts w:ascii="Times New Roman" w:hAnsi="Times New Roman" w:cs="Times New Roman"/>
          <w:sz w:val="36"/>
          <w:szCs w:val="36"/>
        </w:rPr>
        <w:t>6002)</w:t>
      </w:r>
    </w:p>
    <w:p w14:paraId="5B298947" w14:textId="2998CA4E" w:rsidR="00943B71" w:rsidRDefault="00932696">
      <w:pPr>
        <w:rPr>
          <w:rFonts w:ascii="Times New Roman" w:hAnsi="Times New Roman" w:cs="Times New Roman"/>
          <w:sz w:val="36"/>
          <w:szCs w:val="36"/>
        </w:rPr>
      </w:pPr>
      <w:r w:rsidRPr="006818D0">
        <w:rPr>
          <w:rFonts w:ascii="Times New Roman" w:hAnsi="Times New Roman" w:cs="Times New Roman"/>
          <w:sz w:val="36"/>
          <w:szCs w:val="36"/>
        </w:rPr>
        <w:t xml:space="preserve">                           </w:t>
      </w:r>
      <w:r w:rsidR="00D0164F">
        <w:rPr>
          <w:rFonts w:ascii="Times New Roman" w:hAnsi="Times New Roman" w:cs="Times New Roman"/>
          <w:sz w:val="36"/>
          <w:szCs w:val="36"/>
        </w:rPr>
        <w:t xml:space="preserve">       </w:t>
      </w:r>
      <w:r w:rsidRPr="006818D0">
        <w:rPr>
          <w:rFonts w:ascii="Times New Roman" w:hAnsi="Times New Roman" w:cs="Times New Roman"/>
          <w:sz w:val="36"/>
          <w:szCs w:val="36"/>
        </w:rPr>
        <w:t xml:space="preserve">   ASSESSMENT 1</w:t>
      </w:r>
      <w:r w:rsidR="00E65269" w:rsidRPr="006818D0">
        <w:rPr>
          <w:rFonts w:ascii="Times New Roman" w:hAnsi="Times New Roman" w:cs="Times New Roman"/>
          <w:sz w:val="36"/>
          <w:szCs w:val="36"/>
        </w:rPr>
        <w:t xml:space="preserve">    </w:t>
      </w:r>
    </w:p>
    <w:p w14:paraId="3FCF5758" w14:textId="77777777" w:rsidR="00D0164F" w:rsidRDefault="00D0164F">
      <w:pPr>
        <w:rPr>
          <w:rFonts w:ascii="Times New Roman" w:hAnsi="Times New Roman" w:cs="Times New Roman"/>
          <w:sz w:val="36"/>
          <w:szCs w:val="36"/>
        </w:rPr>
      </w:pPr>
    </w:p>
    <w:p w14:paraId="66D80C8D" w14:textId="77777777" w:rsidR="00D0164F" w:rsidRDefault="00D0164F">
      <w:pPr>
        <w:rPr>
          <w:rFonts w:ascii="Times New Roman" w:hAnsi="Times New Roman" w:cs="Times New Roman"/>
          <w:sz w:val="36"/>
          <w:szCs w:val="36"/>
        </w:rPr>
      </w:pPr>
    </w:p>
    <w:p w14:paraId="385D1902" w14:textId="77777777" w:rsidR="00D0164F" w:rsidRDefault="00D0164F">
      <w:pPr>
        <w:rPr>
          <w:rFonts w:ascii="Times New Roman" w:hAnsi="Times New Roman" w:cs="Times New Roman"/>
          <w:sz w:val="36"/>
          <w:szCs w:val="36"/>
        </w:rPr>
      </w:pPr>
    </w:p>
    <w:p w14:paraId="051B26DD" w14:textId="77777777" w:rsidR="00D0164F" w:rsidRDefault="00D0164F">
      <w:pPr>
        <w:rPr>
          <w:rFonts w:ascii="Times New Roman" w:hAnsi="Times New Roman" w:cs="Times New Roman"/>
          <w:sz w:val="36"/>
          <w:szCs w:val="36"/>
        </w:rPr>
      </w:pPr>
    </w:p>
    <w:p w14:paraId="2C9BCB63" w14:textId="77777777" w:rsidR="00D0164F" w:rsidRDefault="00D0164F">
      <w:pPr>
        <w:rPr>
          <w:rFonts w:ascii="Times New Roman" w:hAnsi="Times New Roman" w:cs="Times New Roman"/>
          <w:sz w:val="36"/>
          <w:szCs w:val="36"/>
        </w:rPr>
      </w:pPr>
    </w:p>
    <w:p w14:paraId="0F463372" w14:textId="77777777" w:rsidR="00D0164F" w:rsidRDefault="00D0164F">
      <w:pPr>
        <w:rPr>
          <w:rFonts w:ascii="Times New Roman" w:hAnsi="Times New Roman" w:cs="Times New Roman"/>
          <w:sz w:val="36"/>
          <w:szCs w:val="36"/>
        </w:rPr>
      </w:pPr>
    </w:p>
    <w:p w14:paraId="3DEEC117" w14:textId="4DEF85B9" w:rsidR="00D0164F" w:rsidRDefault="00F75665">
      <w:pPr>
        <w:rPr>
          <w:rFonts w:ascii="Times New Roman" w:hAnsi="Times New Roman" w:cs="Times New Roman"/>
          <w:sz w:val="36"/>
          <w:szCs w:val="36"/>
        </w:rPr>
      </w:pPr>
      <w:r>
        <w:rPr>
          <w:rFonts w:ascii="Times New Roman" w:hAnsi="Times New Roman" w:cs="Times New Roman"/>
          <w:sz w:val="36"/>
          <w:szCs w:val="36"/>
        </w:rPr>
        <w:t>Submitted to:</w:t>
      </w:r>
      <w:r w:rsidR="000705CF">
        <w:rPr>
          <w:rFonts w:ascii="Times New Roman" w:hAnsi="Times New Roman" w:cs="Times New Roman"/>
          <w:sz w:val="36"/>
          <w:szCs w:val="36"/>
        </w:rPr>
        <w:t xml:space="preserve">                                                   Submitted by</w:t>
      </w:r>
      <w:r w:rsidR="002055A4">
        <w:rPr>
          <w:rFonts w:ascii="Times New Roman" w:hAnsi="Times New Roman" w:cs="Times New Roman"/>
          <w:sz w:val="36"/>
          <w:szCs w:val="36"/>
        </w:rPr>
        <w:t>:</w:t>
      </w:r>
    </w:p>
    <w:p w14:paraId="37DD9547" w14:textId="790F1051" w:rsidR="00F75665" w:rsidRDefault="00F75665">
      <w:pPr>
        <w:rPr>
          <w:rFonts w:ascii="Times New Roman" w:hAnsi="Times New Roman" w:cs="Times New Roman"/>
          <w:sz w:val="36"/>
          <w:szCs w:val="36"/>
        </w:rPr>
      </w:pPr>
      <w:r>
        <w:rPr>
          <w:rFonts w:ascii="Times New Roman" w:hAnsi="Times New Roman" w:cs="Times New Roman"/>
          <w:sz w:val="36"/>
          <w:szCs w:val="36"/>
        </w:rPr>
        <w:t>Taye</w:t>
      </w:r>
      <w:r w:rsidR="000705CF">
        <w:rPr>
          <w:rFonts w:ascii="Times New Roman" w:hAnsi="Times New Roman" w:cs="Times New Roman"/>
          <w:sz w:val="36"/>
          <w:szCs w:val="36"/>
        </w:rPr>
        <w:t xml:space="preserve"> Osadiya</w:t>
      </w:r>
      <w:r w:rsidR="002055A4">
        <w:rPr>
          <w:rFonts w:ascii="Times New Roman" w:hAnsi="Times New Roman" w:cs="Times New Roman"/>
          <w:sz w:val="36"/>
          <w:szCs w:val="36"/>
        </w:rPr>
        <w:t xml:space="preserve">                                             Nadya Zarankova</w:t>
      </w:r>
    </w:p>
    <w:p w14:paraId="48504DED" w14:textId="7F332608" w:rsidR="002055A4" w:rsidRDefault="002055A4">
      <w:pPr>
        <w:rPr>
          <w:rFonts w:ascii="Times New Roman" w:hAnsi="Times New Roman" w:cs="Times New Roman"/>
          <w:sz w:val="36"/>
          <w:szCs w:val="36"/>
        </w:rPr>
      </w:pPr>
      <w:r>
        <w:rPr>
          <w:rFonts w:ascii="Times New Roman" w:hAnsi="Times New Roman" w:cs="Times New Roman"/>
          <w:sz w:val="36"/>
          <w:szCs w:val="36"/>
        </w:rPr>
        <w:t xml:space="preserve">                                                                                 1914056</w:t>
      </w:r>
    </w:p>
    <w:p w14:paraId="2FE13CE8" w14:textId="77777777" w:rsidR="00EA43B2" w:rsidRDefault="00EA43B2">
      <w:pPr>
        <w:rPr>
          <w:rFonts w:ascii="Times New Roman" w:hAnsi="Times New Roman" w:cs="Times New Roman"/>
          <w:sz w:val="36"/>
          <w:szCs w:val="36"/>
        </w:rPr>
      </w:pPr>
    </w:p>
    <w:p w14:paraId="319FBCD1" w14:textId="77777777" w:rsidR="00EA43B2" w:rsidRDefault="00EA43B2">
      <w:pPr>
        <w:rPr>
          <w:rFonts w:ascii="Times New Roman" w:hAnsi="Times New Roman" w:cs="Times New Roman"/>
          <w:sz w:val="36"/>
          <w:szCs w:val="36"/>
        </w:rPr>
      </w:pPr>
    </w:p>
    <w:p w14:paraId="2C452020" w14:textId="77777777" w:rsidR="00EA43B2" w:rsidRDefault="00EA43B2">
      <w:pPr>
        <w:rPr>
          <w:rFonts w:ascii="Times New Roman" w:hAnsi="Times New Roman" w:cs="Times New Roman"/>
          <w:sz w:val="36"/>
          <w:szCs w:val="36"/>
        </w:rPr>
      </w:pPr>
    </w:p>
    <w:p w14:paraId="36652083" w14:textId="77777777" w:rsidR="00EA43B2" w:rsidRDefault="00EA43B2">
      <w:pPr>
        <w:rPr>
          <w:rFonts w:ascii="Times New Roman" w:hAnsi="Times New Roman" w:cs="Times New Roman"/>
          <w:sz w:val="36"/>
          <w:szCs w:val="36"/>
        </w:rPr>
      </w:pPr>
    </w:p>
    <w:p w14:paraId="2FDCDAE6" w14:textId="4345FCCC" w:rsidR="00EA43B2" w:rsidRPr="00EA43B2" w:rsidRDefault="00EA43B2" w:rsidP="00EA43B2">
      <w:pPr>
        <w:spacing w:line="360" w:lineRule="auto"/>
        <w:jc w:val="both"/>
        <w:rPr>
          <w:rFonts w:ascii="Times New Roman" w:hAnsi="Times New Roman"/>
        </w:rPr>
      </w:pPr>
    </w:p>
    <w:p w14:paraId="46C68604" w14:textId="77777777" w:rsidR="00EA43B2" w:rsidRPr="00EA43B2" w:rsidRDefault="00EA43B2" w:rsidP="00EA43B2">
      <w:pPr>
        <w:keepNext/>
        <w:keepLines/>
        <w:spacing w:before="240" w:after="0" w:line="360" w:lineRule="auto"/>
        <w:jc w:val="both"/>
        <w:outlineLvl w:val="0"/>
        <w:rPr>
          <w:rFonts w:ascii="Times New Roman" w:eastAsiaTheme="majorEastAsia" w:hAnsi="Times New Roman" w:cstheme="majorBidi"/>
          <w:b/>
          <w:color w:val="000000" w:themeColor="text1"/>
          <w:sz w:val="28"/>
          <w:szCs w:val="32"/>
          <w:lang w:val="bg-BG"/>
        </w:rPr>
      </w:pPr>
    </w:p>
    <w:sdt>
      <w:sdtPr>
        <w:rPr>
          <w:rFonts w:ascii="Times New Roman" w:hAnsi="Times New Roman"/>
        </w:rPr>
        <w:id w:val="-1565563974"/>
        <w:docPartObj>
          <w:docPartGallery w:val="Table of Contents"/>
          <w:docPartUnique/>
        </w:docPartObj>
      </w:sdtPr>
      <w:sdtEndPr>
        <w:rPr>
          <w:b/>
          <w:bCs/>
          <w:noProof/>
        </w:rPr>
      </w:sdtEndPr>
      <w:sdtContent>
        <w:p w14:paraId="1FA3BF42" w14:textId="77777777" w:rsidR="00A63B69" w:rsidRPr="00A63B69" w:rsidRDefault="00A63B69" w:rsidP="00A63B69">
          <w:pPr>
            <w:keepNext/>
            <w:keepLines/>
            <w:spacing w:before="240" w:after="0"/>
            <w:rPr>
              <w:rFonts w:ascii="Times New Roman" w:eastAsiaTheme="majorEastAsia" w:hAnsi="Times New Roman" w:cs="Times New Roman"/>
              <w:b/>
              <w:bCs/>
              <w:color w:val="000000" w:themeColor="text1"/>
              <w:sz w:val="28"/>
              <w:szCs w:val="28"/>
              <w:lang w:val="en-US"/>
            </w:rPr>
          </w:pPr>
          <w:r w:rsidRPr="00A63B69">
            <w:rPr>
              <w:rFonts w:ascii="Times New Roman" w:eastAsiaTheme="majorEastAsia" w:hAnsi="Times New Roman" w:cs="Times New Roman"/>
              <w:b/>
              <w:bCs/>
              <w:color w:val="000000" w:themeColor="text1"/>
              <w:sz w:val="28"/>
              <w:szCs w:val="28"/>
              <w:lang w:val="en-US"/>
            </w:rPr>
            <w:t>Table of Contents</w:t>
          </w:r>
        </w:p>
        <w:p w14:paraId="67ED0683" w14:textId="77777777" w:rsidR="00A63B69" w:rsidRPr="00A63B69" w:rsidRDefault="00A63B69" w:rsidP="00A63B69">
          <w:pPr>
            <w:spacing w:line="360" w:lineRule="auto"/>
            <w:jc w:val="both"/>
            <w:rPr>
              <w:rFonts w:ascii="Times New Roman" w:hAnsi="Times New Roman"/>
              <w:lang w:val="en-US"/>
            </w:rPr>
          </w:pPr>
        </w:p>
        <w:p w14:paraId="39F8719D" w14:textId="05FF4821" w:rsidR="00CD1D39" w:rsidRDefault="00A63B69">
          <w:pPr>
            <w:pStyle w:val="TOC1"/>
            <w:tabs>
              <w:tab w:val="right" w:leader="dot" w:pos="9016"/>
            </w:tabs>
            <w:rPr>
              <w:rFonts w:eastAsiaTheme="minorEastAsia"/>
              <w:noProof/>
              <w:lang w:eastAsia="en-GB"/>
            </w:rPr>
          </w:pPr>
          <w:r w:rsidRPr="00A63B69">
            <w:rPr>
              <w:rFonts w:ascii="Times New Roman" w:hAnsi="Times New Roman"/>
            </w:rPr>
            <w:fldChar w:fldCharType="begin"/>
          </w:r>
          <w:r w:rsidRPr="00A63B69">
            <w:rPr>
              <w:rFonts w:ascii="Times New Roman" w:hAnsi="Times New Roman"/>
            </w:rPr>
            <w:instrText xml:space="preserve"> TOC \o "1-3" \h \z \u </w:instrText>
          </w:r>
          <w:r w:rsidRPr="00A63B69">
            <w:rPr>
              <w:rFonts w:ascii="Times New Roman" w:hAnsi="Times New Roman"/>
            </w:rPr>
            <w:fldChar w:fldCharType="separate"/>
          </w:r>
          <w:hyperlink w:anchor="_Toc102423082" w:history="1">
            <w:r w:rsidR="00CD1D39" w:rsidRPr="00136761">
              <w:rPr>
                <w:rStyle w:val="Hyperlink"/>
                <w:rFonts w:ascii="Times New Roman" w:eastAsiaTheme="majorEastAsia" w:hAnsi="Times New Roman" w:cstheme="majorBidi"/>
                <w:b/>
                <w:noProof/>
                <w:lang w:val="bg-BG"/>
              </w:rPr>
              <w:t>Introduction</w:t>
            </w:r>
            <w:r w:rsidR="00CD1D39">
              <w:rPr>
                <w:noProof/>
                <w:webHidden/>
              </w:rPr>
              <w:tab/>
            </w:r>
            <w:r w:rsidR="00CD1D39">
              <w:rPr>
                <w:noProof/>
                <w:webHidden/>
              </w:rPr>
              <w:fldChar w:fldCharType="begin"/>
            </w:r>
            <w:r w:rsidR="00CD1D39">
              <w:rPr>
                <w:noProof/>
                <w:webHidden/>
              </w:rPr>
              <w:instrText xml:space="preserve"> PAGEREF _Toc102423082 \h </w:instrText>
            </w:r>
            <w:r w:rsidR="00CD1D39">
              <w:rPr>
                <w:noProof/>
                <w:webHidden/>
              </w:rPr>
            </w:r>
            <w:r w:rsidR="00CD1D39">
              <w:rPr>
                <w:noProof/>
                <w:webHidden/>
              </w:rPr>
              <w:fldChar w:fldCharType="separate"/>
            </w:r>
            <w:r w:rsidR="00CD1D39">
              <w:rPr>
                <w:noProof/>
                <w:webHidden/>
              </w:rPr>
              <w:t>3</w:t>
            </w:r>
            <w:r w:rsidR="00CD1D39">
              <w:rPr>
                <w:noProof/>
                <w:webHidden/>
              </w:rPr>
              <w:fldChar w:fldCharType="end"/>
            </w:r>
          </w:hyperlink>
        </w:p>
        <w:p w14:paraId="0B2B5A8C" w14:textId="109ED26C" w:rsidR="00CD1D39" w:rsidRDefault="00CD1D39">
          <w:pPr>
            <w:pStyle w:val="TOC1"/>
            <w:tabs>
              <w:tab w:val="right" w:leader="dot" w:pos="9016"/>
            </w:tabs>
            <w:rPr>
              <w:rFonts w:eastAsiaTheme="minorEastAsia"/>
              <w:noProof/>
              <w:lang w:eastAsia="en-GB"/>
            </w:rPr>
          </w:pPr>
          <w:hyperlink w:anchor="_Toc102423083" w:history="1">
            <w:r w:rsidRPr="00136761">
              <w:rPr>
                <w:rStyle w:val="Hyperlink"/>
                <w:rFonts w:ascii="Times New Roman" w:eastAsiaTheme="majorEastAsia" w:hAnsi="Times New Roman" w:cstheme="majorBidi"/>
                <w:b/>
                <w:noProof/>
              </w:rPr>
              <w:t>Critically analyse and evaluate your chosen multinational corporation's dividend distribution policy</w:t>
            </w:r>
            <w:r>
              <w:rPr>
                <w:noProof/>
                <w:webHidden/>
              </w:rPr>
              <w:tab/>
            </w:r>
            <w:r>
              <w:rPr>
                <w:noProof/>
                <w:webHidden/>
              </w:rPr>
              <w:fldChar w:fldCharType="begin"/>
            </w:r>
            <w:r>
              <w:rPr>
                <w:noProof/>
                <w:webHidden/>
              </w:rPr>
              <w:instrText xml:space="preserve"> PAGEREF _Toc102423083 \h </w:instrText>
            </w:r>
            <w:r>
              <w:rPr>
                <w:noProof/>
                <w:webHidden/>
              </w:rPr>
            </w:r>
            <w:r>
              <w:rPr>
                <w:noProof/>
                <w:webHidden/>
              </w:rPr>
              <w:fldChar w:fldCharType="separate"/>
            </w:r>
            <w:r>
              <w:rPr>
                <w:noProof/>
                <w:webHidden/>
              </w:rPr>
              <w:t>3</w:t>
            </w:r>
            <w:r>
              <w:rPr>
                <w:noProof/>
                <w:webHidden/>
              </w:rPr>
              <w:fldChar w:fldCharType="end"/>
            </w:r>
          </w:hyperlink>
        </w:p>
        <w:p w14:paraId="193D5D6A" w14:textId="62C42F10" w:rsidR="00CD1D39" w:rsidRDefault="00CD1D39">
          <w:pPr>
            <w:pStyle w:val="TOC1"/>
            <w:tabs>
              <w:tab w:val="right" w:leader="dot" w:pos="9016"/>
            </w:tabs>
            <w:rPr>
              <w:rFonts w:eastAsiaTheme="minorEastAsia"/>
              <w:noProof/>
              <w:lang w:eastAsia="en-GB"/>
            </w:rPr>
          </w:pPr>
          <w:hyperlink w:anchor="_Toc102423084" w:history="1">
            <w:r w:rsidRPr="00136761">
              <w:rPr>
                <w:rStyle w:val="Hyperlink"/>
                <w:rFonts w:ascii="Times New Roman" w:eastAsiaTheme="majorEastAsia" w:hAnsi="Times New Roman" w:cstheme="majorBidi"/>
                <w:b/>
                <w:noProof/>
              </w:rPr>
              <w:t>Critically analyse the efficient market hypothesis theory</w:t>
            </w:r>
            <w:r>
              <w:rPr>
                <w:noProof/>
                <w:webHidden/>
              </w:rPr>
              <w:tab/>
            </w:r>
            <w:r>
              <w:rPr>
                <w:noProof/>
                <w:webHidden/>
              </w:rPr>
              <w:fldChar w:fldCharType="begin"/>
            </w:r>
            <w:r>
              <w:rPr>
                <w:noProof/>
                <w:webHidden/>
              </w:rPr>
              <w:instrText xml:space="preserve"> PAGEREF _Toc102423084 \h </w:instrText>
            </w:r>
            <w:r>
              <w:rPr>
                <w:noProof/>
                <w:webHidden/>
              </w:rPr>
            </w:r>
            <w:r>
              <w:rPr>
                <w:noProof/>
                <w:webHidden/>
              </w:rPr>
              <w:fldChar w:fldCharType="separate"/>
            </w:r>
            <w:r>
              <w:rPr>
                <w:noProof/>
                <w:webHidden/>
              </w:rPr>
              <w:t>4</w:t>
            </w:r>
            <w:r>
              <w:rPr>
                <w:noProof/>
                <w:webHidden/>
              </w:rPr>
              <w:fldChar w:fldCharType="end"/>
            </w:r>
          </w:hyperlink>
        </w:p>
        <w:p w14:paraId="623579F5" w14:textId="033F67B9" w:rsidR="00CD1D39" w:rsidRDefault="00CD1D39">
          <w:pPr>
            <w:pStyle w:val="TOC1"/>
            <w:tabs>
              <w:tab w:val="right" w:leader="dot" w:pos="9016"/>
            </w:tabs>
            <w:rPr>
              <w:rFonts w:eastAsiaTheme="minorEastAsia"/>
              <w:noProof/>
              <w:lang w:eastAsia="en-GB"/>
            </w:rPr>
          </w:pPr>
          <w:hyperlink w:anchor="_Toc102423085" w:history="1">
            <w:r w:rsidRPr="00136761">
              <w:rPr>
                <w:rStyle w:val="Hyperlink"/>
                <w:rFonts w:ascii="Times New Roman" w:eastAsiaTheme="majorEastAsia" w:hAnsi="Times New Roman" w:cstheme="majorBidi"/>
                <w:b/>
                <w:noProof/>
              </w:rPr>
              <w:t>Critically analyse and evaluate your chosen multinational corporation's methods of appraising projects</w:t>
            </w:r>
            <w:r>
              <w:rPr>
                <w:noProof/>
                <w:webHidden/>
              </w:rPr>
              <w:tab/>
            </w:r>
            <w:r>
              <w:rPr>
                <w:noProof/>
                <w:webHidden/>
              </w:rPr>
              <w:fldChar w:fldCharType="begin"/>
            </w:r>
            <w:r>
              <w:rPr>
                <w:noProof/>
                <w:webHidden/>
              </w:rPr>
              <w:instrText xml:space="preserve"> PAGEREF _Toc102423085 \h </w:instrText>
            </w:r>
            <w:r>
              <w:rPr>
                <w:noProof/>
                <w:webHidden/>
              </w:rPr>
            </w:r>
            <w:r>
              <w:rPr>
                <w:noProof/>
                <w:webHidden/>
              </w:rPr>
              <w:fldChar w:fldCharType="separate"/>
            </w:r>
            <w:r>
              <w:rPr>
                <w:noProof/>
                <w:webHidden/>
              </w:rPr>
              <w:t>5</w:t>
            </w:r>
            <w:r>
              <w:rPr>
                <w:noProof/>
                <w:webHidden/>
              </w:rPr>
              <w:fldChar w:fldCharType="end"/>
            </w:r>
          </w:hyperlink>
        </w:p>
        <w:p w14:paraId="38948CAA" w14:textId="3993A460" w:rsidR="00CD1D39" w:rsidRDefault="00CD1D39">
          <w:pPr>
            <w:pStyle w:val="TOC1"/>
            <w:tabs>
              <w:tab w:val="right" w:leader="dot" w:pos="9016"/>
            </w:tabs>
            <w:rPr>
              <w:rFonts w:eastAsiaTheme="minorEastAsia"/>
              <w:noProof/>
              <w:lang w:eastAsia="en-GB"/>
            </w:rPr>
          </w:pPr>
          <w:hyperlink w:anchor="_Toc102423086" w:history="1">
            <w:r w:rsidRPr="00136761">
              <w:rPr>
                <w:rStyle w:val="Hyperlink"/>
                <w:rFonts w:ascii="Times New Roman" w:eastAsiaTheme="majorEastAsia" w:hAnsi="Times New Roman" w:cstheme="majorBidi"/>
                <w:b/>
                <w:noProof/>
                <w:lang w:eastAsia="en-GB"/>
              </w:rPr>
              <w:t>Conclusion</w:t>
            </w:r>
            <w:r>
              <w:rPr>
                <w:noProof/>
                <w:webHidden/>
              </w:rPr>
              <w:tab/>
            </w:r>
            <w:r>
              <w:rPr>
                <w:noProof/>
                <w:webHidden/>
              </w:rPr>
              <w:fldChar w:fldCharType="begin"/>
            </w:r>
            <w:r>
              <w:rPr>
                <w:noProof/>
                <w:webHidden/>
              </w:rPr>
              <w:instrText xml:space="preserve"> PAGEREF _Toc102423086 \h </w:instrText>
            </w:r>
            <w:r>
              <w:rPr>
                <w:noProof/>
                <w:webHidden/>
              </w:rPr>
            </w:r>
            <w:r>
              <w:rPr>
                <w:noProof/>
                <w:webHidden/>
              </w:rPr>
              <w:fldChar w:fldCharType="separate"/>
            </w:r>
            <w:r>
              <w:rPr>
                <w:noProof/>
                <w:webHidden/>
              </w:rPr>
              <w:t>7</w:t>
            </w:r>
            <w:r>
              <w:rPr>
                <w:noProof/>
                <w:webHidden/>
              </w:rPr>
              <w:fldChar w:fldCharType="end"/>
            </w:r>
          </w:hyperlink>
        </w:p>
        <w:p w14:paraId="35E5155F" w14:textId="51761816" w:rsidR="00CD1D39" w:rsidRDefault="00CD1D39">
          <w:pPr>
            <w:pStyle w:val="TOC1"/>
            <w:tabs>
              <w:tab w:val="right" w:leader="dot" w:pos="9016"/>
            </w:tabs>
            <w:rPr>
              <w:rFonts w:eastAsiaTheme="minorEastAsia"/>
              <w:noProof/>
              <w:lang w:eastAsia="en-GB"/>
            </w:rPr>
          </w:pPr>
          <w:hyperlink w:anchor="_Toc102423087" w:history="1">
            <w:r w:rsidRPr="00136761">
              <w:rPr>
                <w:rStyle w:val="Hyperlink"/>
                <w:rFonts w:ascii="Times New Roman" w:eastAsiaTheme="majorEastAsia" w:hAnsi="Times New Roman" w:cstheme="majorBidi"/>
                <w:b/>
                <w:noProof/>
                <w:lang w:val="en-US"/>
              </w:rPr>
              <w:t>Reference list</w:t>
            </w:r>
            <w:r>
              <w:rPr>
                <w:noProof/>
                <w:webHidden/>
              </w:rPr>
              <w:tab/>
            </w:r>
            <w:r>
              <w:rPr>
                <w:noProof/>
                <w:webHidden/>
              </w:rPr>
              <w:fldChar w:fldCharType="begin"/>
            </w:r>
            <w:r>
              <w:rPr>
                <w:noProof/>
                <w:webHidden/>
              </w:rPr>
              <w:instrText xml:space="preserve"> PAGEREF _Toc102423087 \h </w:instrText>
            </w:r>
            <w:r>
              <w:rPr>
                <w:noProof/>
                <w:webHidden/>
              </w:rPr>
            </w:r>
            <w:r>
              <w:rPr>
                <w:noProof/>
                <w:webHidden/>
              </w:rPr>
              <w:fldChar w:fldCharType="separate"/>
            </w:r>
            <w:r>
              <w:rPr>
                <w:noProof/>
                <w:webHidden/>
              </w:rPr>
              <w:t>8</w:t>
            </w:r>
            <w:r>
              <w:rPr>
                <w:noProof/>
                <w:webHidden/>
              </w:rPr>
              <w:fldChar w:fldCharType="end"/>
            </w:r>
          </w:hyperlink>
        </w:p>
        <w:p w14:paraId="0486458C" w14:textId="3071BF85" w:rsidR="00A63B69" w:rsidRPr="00A63B69" w:rsidRDefault="00A63B69" w:rsidP="00A63B69">
          <w:pPr>
            <w:spacing w:line="360" w:lineRule="auto"/>
            <w:jc w:val="both"/>
            <w:rPr>
              <w:rFonts w:ascii="Times New Roman" w:hAnsi="Times New Roman"/>
              <w:b/>
              <w:bCs/>
              <w:noProof/>
            </w:rPr>
          </w:pPr>
          <w:r w:rsidRPr="00A63B69">
            <w:rPr>
              <w:rFonts w:ascii="Times New Roman" w:hAnsi="Times New Roman"/>
              <w:noProof/>
            </w:rPr>
            <w:fldChar w:fldCharType="end"/>
          </w:r>
        </w:p>
      </w:sdtContent>
    </w:sdt>
    <w:p w14:paraId="491026D6" w14:textId="0A1D160D" w:rsidR="00EA43B2" w:rsidRPr="00EA43B2" w:rsidRDefault="00EA43B2" w:rsidP="00177B7C">
      <w:pPr>
        <w:pStyle w:val="TOCHeading"/>
        <w:rPr>
          <w:rFonts w:ascii="Times New Roman" w:hAnsi="Times New Roman"/>
          <w:lang w:val="bg-BG"/>
        </w:rPr>
      </w:pPr>
      <w:r w:rsidRPr="00EA43B2">
        <w:rPr>
          <w:rFonts w:ascii="Times New Roman" w:hAnsi="Times New Roman"/>
          <w:lang w:val="bg-BG"/>
        </w:rPr>
        <w:br w:type="page"/>
      </w:r>
    </w:p>
    <w:p w14:paraId="0BAEC25A" w14:textId="77777777" w:rsidR="00EA43B2" w:rsidRPr="00EA43B2" w:rsidRDefault="00EA43B2" w:rsidP="00EA43B2">
      <w:pPr>
        <w:keepNext/>
        <w:keepLines/>
        <w:spacing w:before="240" w:after="0" w:line="360" w:lineRule="auto"/>
        <w:jc w:val="both"/>
        <w:outlineLvl w:val="0"/>
        <w:rPr>
          <w:rFonts w:ascii="Times New Roman" w:eastAsiaTheme="majorEastAsia" w:hAnsi="Times New Roman" w:cstheme="majorBidi"/>
          <w:b/>
          <w:color w:val="000000" w:themeColor="text1"/>
          <w:sz w:val="28"/>
          <w:szCs w:val="32"/>
          <w:lang w:val="bg-BG"/>
        </w:rPr>
      </w:pPr>
      <w:bookmarkStart w:id="0" w:name="_Toc102420636"/>
      <w:bookmarkStart w:id="1" w:name="_Toc102423082"/>
      <w:r w:rsidRPr="00EA43B2">
        <w:rPr>
          <w:rFonts w:ascii="Times New Roman" w:eastAsiaTheme="majorEastAsia" w:hAnsi="Times New Roman" w:cstheme="majorBidi"/>
          <w:b/>
          <w:color w:val="000000" w:themeColor="text1"/>
          <w:sz w:val="28"/>
          <w:szCs w:val="32"/>
          <w:lang w:val="bg-BG"/>
        </w:rPr>
        <w:lastRenderedPageBreak/>
        <w:t>Introduction</w:t>
      </w:r>
      <w:bookmarkEnd w:id="0"/>
      <w:bookmarkEnd w:id="1"/>
    </w:p>
    <w:p w14:paraId="4A62ABAB" w14:textId="77777777" w:rsidR="00EA43B2" w:rsidRPr="00EA43B2" w:rsidRDefault="00EA43B2" w:rsidP="00EA43B2">
      <w:pPr>
        <w:spacing w:line="360" w:lineRule="auto"/>
        <w:jc w:val="both"/>
        <w:rPr>
          <w:rFonts w:ascii="Times New Roman" w:hAnsi="Times New Roman"/>
          <w:lang w:val="bg-BG"/>
        </w:rPr>
      </w:pPr>
    </w:p>
    <w:p w14:paraId="4660A912" w14:textId="1D011EA2" w:rsidR="00EA43B2" w:rsidRPr="00EA43B2" w:rsidRDefault="006D3165" w:rsidP="00EA43B2">
      <w:pPr>
        <w:spacing w:line="360" w:lineRule="auto"/>
        <w:jc w:val="both"/>
        <w:rPr>
          <w:rFonts w:ascii="Times New Roman" w:hAnsi="Times New Roman" w:cs="Times New Roman"/>
          <w:sz w:val="24"/>
          <w:szCs w:val="24"/>
          <w:lang w:val="bg-BG"/>
        </w:rPr>
      </w:pPr>
      <w:r w:rsidRPr="006A5F3B">
        <w:rPr>
          <w:rFonts w:ascii="Times New Roman" w:hAnsi="Times New Roman" w:cs="Times New Roman"/>
          <w:sz w:val="24"/>
          <w:szCs w:val="24"/>
          <w:lang w:val="bg-BG"/>
        </w:rPr>
        <w:t>Toyota is a multinational car corporation in Japan</w:t>
      </w:r>
      <w:r w:rsidRPr="006A5F3B">
        <w:rPr>
          <w:rFonts w:ascii="Times New Roman" w:hAnsi="Times New Roman" w:cs="Times New Roman"/>
          <w:sz w:val="24"/>
          <w:szCs w:val="24"/>
        </w:rPr>
        <w:t xml:space="preserve"> (Toyota Motor Corporation, 2019).</w:t>
      </w:r>
      <w:r w:rsidRPr="006A5F3B">
        <w:rPr>
          <w:rFonts w:ascii="Times New Roman" w:hAnsi="Times New Roman" w:cs="Times New Roman"/>
          <w:sz w:val="24"/>
          <w:szCs w:val="24"/>
          <w:lang w:val="bg-BG"/>
        </w:rPr>
        <w:t xml:space="preserve"> The company was founded in 1937, and today it </w:t>
      </w:r>
      <w:r w:rsidR="00EA43B2" w:rsidRPr="00EA43B2">
        <w:rPr>
          <w:rFonts w:ascii="Times New Roman" w:hAnsi="Times New Roman" w:cs="Times New Roman"/>
          <w:sz w:val="24"/>
          <w:szCs w:val="24"/>
          <w:lang w:val="bg-BG"/>
        </w:rPr>
        <w:t>offers its products on all continents around the world. This makes the company multinational, as it is perceived as close to customers to some extent.</w:t>
      </w:r>
      <w:r w:rsidR="00EA43B2" w:rsidRPr="00EA43B2">
        <w:rPr>
          <w:rFonts w:ascii="Times New Roman" w:hAnsi="Times New Roman" w:cs="Times New Roman"/>
          <w:sz w:val="24"/>
          <w:szCs w:val="24"/>
        </w:rPr>
        <w:t xml:space="preserve"> </w:t>
      </w:r>
      <w:r w:rsidR="00EA43B2" w:rsidRPr="00EA43B2">
        <w:rPr>
          <w:rFonts w:ascii="Times New Roman" w:hAnsi="Times New Roman" w:cs="Times New Roman"/>
          <w:sz w:val="24"/>
          <w:szCs w:val="24"/>
          <w:lang w:val="bg-BG"/>
        </w:rPr>
        <w:t xml:space="preserve">The report aims to </w:t>
      </w:r>
      <w:r w:rsidR="00095B65" w:rsidRPr="00EA43B2">
        <w:rPr>
          <w:rFonts w:ascii="Times New Roman" w:hAnsi="Times New Roman" w:cs="Times New Roman"/>
          <w:sz w:val="24"/>
          <w:szCs w:val="24"/>
          <w:lang w:val="bg-BG"/>
        </w:rPr>
        <w:t>Toyota is a multinational car corporation in Japan</w:t>
      </w:r>
      <w:r w:rsidR="00095B65" w:rsidRPr="00EA43B2">
        <w:rPr>
          <w:rFonts w:ascii="Times New Roman" w:hAnsi="Times New Roman" w:cs="Times New Roman"/>
          <w:sz w:val="24"/>
          <w:szCs w:val="24"/>
        </w:rPr>
        <w:t xml:space="preserve"> (Toyota Motor Corporation, 2019).</w:t>
      </w:r>
      <w:r w:rsidR="00095B65" w:rsidRPr="00EA43B2">
        <w:rPr>
          <w:rFonts w:ascii="Times New Roman" w:hAnsi="Times New Roman" w:cs="Times New Roman"/>
          <w:sz w:val="24"/>
          <w:szCs w:val="24"/>
          <w:lang w:val="bg-BG"/>
        </w:rPr>
        <w:t xml:space="preserve"> The company was founded in 1937, and today it </w:t>
      </w:r>
      <w:r w:rsidR="00EA43B2" w:rsidRPr="00EA43B2">
        <w:rPr>
          <w:rFonts w:ascii="Times New Roman" w:hAnsi="Times New Roman" w:cs="Times New Roman"/>
          <w:sz w:val="24"/>
          <w:szCs w:val="24"/>
          <w:lang w:val="bg-BG"/>
        </w:rPr>
        <w:t>analyse Toyota's dividend policy critically. First, the dividend distribution policy is presented, indicating this policy type. Secondly, the theory of the efficient market hypothesis is considered through the prism of Toyota. Third, a critical analysis is made of the methods that a selected corporation uses in relation to project evaluation.</w:t>
      </w:r>
    </w:p>
    <w:p w14:paraId="0542EB3D" w14:textId="185F65AE" w:rsidR="00EA43B2" w:rsidRPr="00EA43B2" w:rsidRDefault="00EA43B2" w:rsidP="00EA43B2">
      <w:pPr>
        <w:keepNext/>
        <w:keepLines/>
        <w:spacing w:before="240" w:after="0" w:line="360" w:lineRule="auto"/>
        <w:jc w:val="both"/>
        <w:outlineLvl w:val="0"/>
        <w:rPr>
          <w:rFonts w:ascii="Times New Roman" w:eastAsiaTheme="majorEastAsia" w:hAnsi="Times New Roman" w:cstheme="majorBidi"/>
          <w:b/>
          <w:color w:val="000000" w:themeColor="text1"/>
          <w:sz w:val="28"/>
          <w:szCs w:val="28"/>
        </w:rPr>
      </w:pPr>
      <w:bookmarkStart w:id="2" w:name="_Toc102420637"/>
      <w:bookmarkStart w:id="3" w:name="_Toc102423083"/>
      <w:r w:rsidRPr="00EA43B2">
        <w:rPr>
          <w:rFonts w:ascii="Times New Roman" w:eastAsiaTheme="majorEastAsia" w:hAnsi="Times New Roman" w:cstheme="majorBidi"/>
          <w:b/>
          <w:color w:val="000000" w:themeColor="text1"/>
          <w:sz w:val="28"/>
          <w:szCs w:val="28"/>
        </w:rPr>
        <w:t>Critically analyse and evaluate your chosen multinational corporation's dividend distribution policy</w:t>
      </w:r>
      <w:bookmarkEnd w:id="2"/>
      <w:bookmarkEnd w:id="3"/>
    </w:p>
    <w:p w14:paraId="73473283" w14:textId="77777777" w:rsidR="00EA43B2" w:rsidRPr="00EA43B2" w:rsidRDefault="00EA43B2" w:rsidP="00EA43B2">
      <w:pPr>
        <w:spacing w:line="360" w:lineRule="auto"/>
        <w:jc w:val="both"/>
        <w:rPr>
          <w:rFonts w:ascii="Times New Roman" w:hAnsi="Times New Roman"/>
          <w:lang w:val="bg-BG"/>
        </w:rPr>
      </w:pPr>
    </w:p>
    <w:p w14:paraId="0D69C401" w14:textId="77777777" w:rsidR="00EA43B2" w:rsidRPr="00EA43B2" w:rsidRDefault="00EA43B2" w:rsidP="00EA43B2">
      <w:pPr>
        <w:spacing w:line="360" w:lineRule="auto"/>
        <w:jc w:val="both"/>
        <w:rPr>
          <w:rFonts w:ascii="Times New Roman" w:hAnsi="Times New Roman" w:cs="Times New Roman"/>
          <w:sz w:val="24"/>
          <w:szCs w:val="24"/>
        </w:rPr>
      </w:pPr>
      <w:r w:rsidRPr="00EA43B2">
        <w:rPr>
          <w:rFonts w:ascii="Times New Roman" w:hAnsi="Times New Roman" w:cs="Times New Roman"/>
          <w:sz w:val="24"/>
          <w:szCs w:val="24"/>
          <w:lang w:val="bg-BG"/>
        </w:rPr>
        <w:t>By default, dividends represent cash and other consideration received after the acquisition of a profit</w:t>
      </w:r>
      <w:r w:rsidRPr="00EA43B2">
        <w:rPr>
          <w:rFonts w:ascii="Times New Roman" w:hAnsi="Times New Roman" w:cs="Times New Roman"/>
          <w:sz w:val="24"/>
          <w:szCs w:val="24"/>
        </w:rPr>
        <w:t xml:space="preserve"> </w:t>
      </w:r>
      <w:r w:rsidRPr="00EA43B2">
        <w:rPr>
          <w:rFonts w:ascii="Times New Roman" w:eastAsia="Times New Roman" w:hAnsi="Times New Roman" w:cs="Times New Roman"/>
          <w:color w:val="000000"/>
          <w:sz w:val="24"/>
          <w:szCs w:val="24"/>
          <w:lang w:eastAsia="en-GB"/>
        </w:rPr>
        <w:t>(C and Wachowicz, 2008)</w:t>
      </w:r>
      <w:r w:rsidRPr="00EA43B2">
        <w:rPr>
          <w:rFonts w:ascii="Times New Roman" w:hAnsi="Times New Roman" w:cs="Times New Roman"/>
          <w:sz w:val="24"/>
          <w:szCs w:val="24"/>
          <w:lang w:val="bg-BG"/>
        </w:rPr>
        <w:t xml:space="preserve">. </w:t>
      </w:r>
      <w:r w:rsidRPr="00EA43B2">
        <w:rPr>
          <w:rFonts w:ascii="Times New Roman" w:hAnsi="Times New Roman" w:cs="Times New Roman"/>
          <w:sz w:val="24"/>
          <w:szCs w:val="24"/>
        </w:rPr>
        <w:t xml:space="preserve">The company's dividend policy is directly related to the ability to distribute prices according to the annual profit. Moreover, Toyota has chosen to distribute cash dividends to its shareholders based on its earnings to increase the competitiveness of its products while increasing its production capacity in the countries where Toyota is manufactured. </w:t>
      </w:r>
    </w:p>
    <w:p w14:paraId="2D9109F2" w14:textId="77777777" w:rsidR="00EA43B2" w:rsidRPr="00EA43B2" w:rsidRDefault="00EA43B2" w:rsidP="00EA43B2">
      <w:pPr>
        <w:spacing w:line="360" w:lineRule="auto"/>
        <w:jc w:val="both"/>
        <w:rPr>
          <w:rFonts w:ascii="Times New Roman" w:hAnsi="Times New Roman" w:cs="Times New Roman"/>
          <w:sz w:val="24"/>
          <w:szCs w:val="24"/>
        </w:rPr>
      </w:pPr>
      <w:r w:rsidRPr="00EA43B2">
        <w:rPr>
          <w:rFonts w:ascii="Times New Roman" w:hAnsi="Times New Roman" w:cs="Times New Roman"/>
          <w:sz w:val="24"/>
          <w:szCs w:val="24"/>
        </w:rPr>
        <w:t>This is contrary to the theory of Franco Modigliani and Burton Miller, who argue that dividend policy should not be tied to the value of the shares, and hence to the value of the company. The idea that neutrality must be otherwise observed in this way can influence investors' decisions.</w:t>
      </w:r>
    </w:p>
    <w:p w14:paraId="30374981" w14:textId="77777777" w:rsidR="00EA43B2" w:rsidRPr="00EA43B2" w:rsidRDefault="00EA43B2" w:rsidP="00EA43B2">
      <w:pPr>
        <w:spacing w:line="360" w:lineRule="auto"/>
        <w:jc w:val="both"/>
        <w:rPr>
          <w:rFonts w:ascii="Times New Roman" w:eastAsia="Times New Roman" w:hAnsi="Times New Roman" w:cs="Times New Roman"/>
          <w:color w:val="000000"/>
          <w:sz w:val="24"/>
          <w:szCs w:val="24"/>
          <w:lang w:val="bg-BG" w:eastAsia="en-GB"/>
        </w:rPr>
      </w:pPr>
      <w:r w:rsidRPr="00EA43B2">
        <w:rPr>
          <w:rFonts w:ascii="Times New Roman" w:eastAsia="Times New Roman" w:hAnsi="Times New Roman" w:cs="Times New Roman"/>
          <w:color w:val="000000"/>
          <w:sz w:val="24"/>
          <w:szCs w:val="24"/>
          <w:lang w:val="bg-BG" w:eastAsia="en-GB"/>
        </w:rPr>
        <w:t>The company itself follows the rule to pay dividends twice a year, making the dividend payment policy regular. This is enshrined in the statutes of the corporation in A</w:t>
      </w:r>
      <w:r w:rsidRPr="00EA43B2">
        <w:rPr>
          <w:rFonts w:ascii="Times New Roman" w:eastAsia="Times New Roman" w:hAnsi="Times New Roman" w:cs="Times New Roman"/>
          <w:color w:val="000000"/>
          <w:sz w:val="24"/>
          <w:szCs w:val="24"/>
          <w:lang w:eastAsia="en-GB"/>
        </w:rPr>
        <w:t>c</w:t>
      </w:r>
      <w:r w:rsidRPr="00EA43B2">
        <w:rPr>
          <w:rFonts w:ascii="Times New Roman" w:eastAsia="Times New Roman" w:hAnsi="Times New Roman" w:cs="Times New Roman"/>
          <w:color w:val="000000"/>
          <w:sz w:val="24"/>
          <w:szCs w:val="24"/>
          <w:lang w:val="bg-BG" w:eastAsia="en-GB"/>
        </w:rPr>
        <w:t>t. 454-2 - according to which dividends are paid twice a year, once during the current year and once from retained earnings at the end of the year.</w:t>
      </w:r>
    </w:p>
    <w:p w14:paraId="540BA35E" w14:textId="77777777" w:rsidR="00EA43B2" w:rsidRPr="00EA43B2" w:rsidRDefault="00EA43B2" w:rsidP="00EA43B2">
      <w:pPr>
        <w:spacing w:line="360" w:lineRule="auto"/>
        <w:jc w:val="both"/>
        <w:rPr>
          <w:rFonts w:ascii="Times New Roman" w:hAnsi="Times New Roman" w:cs="Times New Roman"/>
          <w:sz w:val="24"/>
          <w:szCs w:val="24"/>
          <w:lang w:val="bg-BG"/>
        </w:rPr>
      </w:pPr>
      <w:r w:rsidRPr="00EA43B2">
        <w:rPr>
          <w:rFonts w:ascii="Times New Roman" w:hAnsi="Times New Roman" w:cs="Times New Roman"/>
          <w:sz w:val="24"/>
          <w:szCs w:val="24"/>
          <w:lang w:val="bg-BG"/>
        </w:rPr>
        <w:t>In accordance with the annual report of the Board of Directors, Toyota decides on April 30, 2021 to bring twice a year the following dividends related to share:</w:t>
      </w:r>
    </w:p>
    <w:p w14:paraId="5D872E41" w14:textId="77777777" w:rsidR="00EA43B2" w:rsidRPr="00EA43B2" w:rsidRDefault="00EA43B2" w:rsidP="00EA43B2">
      <w:pPr>
        <w:spacing w:line="360" w:lineRule="auto"/>
        <w:jc w:val="both"/>
        <w:rPr>
          <w:rFonts w:ascii="Times New Roman" w:hAnsi="Times New Roman" w:cs="Times New Roman"/>
          <w:sz w:val="24"/>
          <w:szCs w:val="24"/>
          <w:lang w:val="bg-BG"/>
        </w:rPr>
      </w:pPr>
      <w:r w:rsidRPr="00EA43B2">
        <w:rPr>
          <w:rFonts w:ascii="Times New Roman" w:hAnsi="Times New Roman" w:cs="Times New Roman"/>
          <w:sz w:val="24"/>
          <w:szCs w:val="24"/>
          <w:lang w:val="bg-BG"/>
        </w:rPr>
        <w:t xml:space="preserve">  - currently in the year 70, 00 Japanese yen per share;</w:t>
      </w:r>
    </w:p>
    <w:p w14:paraId="26065D0A" w14:textId="77777777" w:rsidR="00EA43B2" w:rsidRPr="00EA43B2" w:rsidRDefault="00EA43B2" w:rsidP="00EA43B2">
      <w:pPr>
        <w:spacing w:line="360" w:lineRule="auto"/>
        <w:jc w:val="both"/>
        <w:rPr>
          <w:rFonts w:ascii="Times New Roman" w:hAnsi="Times New Roman"/>
          <w:sz w:val="24"/>
          <w:szCs w:val="24"/>
          <w:lang w:val="bg-BG"/>
        </w:rPr>
      </w:pPr>
      <w:r w:rsidRPr="00EA43B2">
        <w:rPr>
          <w:rFonts w:ascii="Times New Roman" w:hAnsi="Times New Roman"/>
          <w:sz w:val="24"/>
          <w:szCs w:val="24"/>
          <w:lang w:val="bg-BG"/>
        </w:rPr>
        <w:lastRenderedPageBreak/>
        <w:t xml:space="preserve">  - at the end of the year 80, 00 Japanese yen per share.</w:t>
      </w:r>
    </w:p>
    <w:p w14:paraId="5D2C11E9" w14:textId="77777777" w:rsidR="00EA43B2" w:rsidRPr="00EA43B2" w:rsidRDefault="00EA43B2" w:rsidP="00EA43B2">
      <w:pPr>
        <w:spacing w:line="360" w:lineRule="auto"/>
        <w:jc w:val="both"/>
        <w:rPr>
          <w:rFonts w:ascii="Times New Roman" w:eastAsia="Times New Roman" w:hAnsi="Times New Roman" w:cs="Times New Roman"/>
          <w:color w:val="000000"/>
          <w:sz w:val="24"/>
          <w:szCs w:val="24"/>
          <w:lang w:eastAsia="en-GB"/>
        </w:rPr>
      </w:pPr>
      <w:r w:rsidRPr="00EA43B2">
        <w:rPr>
          <w:rFonts w:ascii="Times New Roman" w:hAnsi="Times New Roman"/>
          <w:sz w:val="24"/>
          <w:szCs w:val="24"/>
          <w:lang w:val="bg-BG"/>
        </w:rPr>
        <w:t>This makes a total of 150.00 yen per share for all shareholders</w:t>
      </w:r>
      <w:r w:rsidRPr="00EA43B2">
        <w:rPr>
          <w:rFonts w:ascii="Times New Roman" w:hAnsi="Times New Roman"/>
          <w:sz w:val="24"/>
          <w:szCs w:val="24"/>
        </w:rPr>
        <w:t xml:space="preserve"> (Toyota Industries Corporation, 2021).</w:t>
      </w:r>
      <w:r w:rsidRPr="00EA43B2">
        <w:rPr>
          <w:rFonts w:ascii="Times New Roman" w:hAnsi="Times New Roman"/>
          <w:sz w:val="24"/>
          <w:szCs w:val="24"/>
          <w:lang w:val="bg-BG"/>
        </w:rPr>
        <w:t xml:space="preserve"> </w:t>
      </w:r>
      <w:r w:rsidRPr="00EA43B2">
        <w:rPr>
          <w:rFonts w:ascii="Times New Roman" w:hAnsi="Times New Roman"/>
          <w:sz w:val="24"/>
          <w:szCs w:val="24"/>
        </w:rPr>
        <w:t>The amount of the dividend for Toyota is formed as the monetary value of the remainder of retained earnings. This follows the policy of passive distribution of dividends entirely. When there is a profit, and it is undistributed - a surplus is formed, and then the monetary amount of the dividend is determined. It is this passive approach that Toyota is taking.</w:t>
      </w:r>
    </w:p>
    <w:p w14:paraId="7EB80A35" w14:textId="77777777" w:rsidR="00EA43B2" w:rsidRPr="00EA43B2" w:rsidRDefault="00EA43B2" w:rsidP="00EA43B2">
      <w:pPr>
        <w:keepNext/>
        <w:keepLines/>
        <w:spacing w:before="240" w:after="0" w:line="360" w:lineRule="auto"/>
        <w:jc w:val="both"/>
        <w:outlineLvl w:val="0"/>
        <w:rPr>
          <w:rFonts w:ascii="Times New Roman" w:eastAsiaTheme="majorEastAsia" w:hAnsi="Times New Roman" w:cstheme="majorBidi"/>
          <w:b/>
          <w:color w:val="000000" w:themeColor="text1"/>
          <w:sz w:val="28"/>
          <w:szCs w:val="28"/>
        </w:rPr>
      </w:pPr>
      <w:bookmarkStart w:id="4" w:name="_Toc102420638"/>
      <w:bookmarkStart w:id="5" w:name="_Toc102423084"/>
      <w:r w:rsidRPr="00EA43B2">
        <w:rPr>
          <w:rFonts w:ascii="Times New Roman" w:eastAsiaTheme="majorEastAsia" w:hAnsi="Times New Roman" w:cstheme="majorBidi"/>
          <w:b/>
          <w:color w:val="000000" w:themeColor="text1"/>
          <w:sz w:val="28"/>
          <w:szCs w:val="28"/>
        </w:rPr>
        <w:t>Critically analyse the efficient market hypothesis theory</w:t>
      </w:r>
      <w:bookmarkEnd w:id="4"/>
      <w:bookmarkEnd w:id="5"/>
      <w:r w:rsidRPr="00EA43B2">
        <w:rPr>
          <w:rFonts w:ascii="Times New Roman" w:eastAsiaTheme="majorEastAsia" w:hAnsi="Times New Roman" w:cstheme="majorBidi"/>
          <w:b/>
          <w:color w:val="000000" w:themeColor="text1"/>
          <w:sz w:val="28"/>
          <w:szCs w:val="28"/>
        </w:rPr>
        <w:t xml:space="preserve"> </w:t>
      </w:r>
    </w:p>
    <w:p w14:paraId="756C890A" w14:textId="77777777" w:rsidR="00EA43B2" w:rsidRPr="00EA43B2" w:rsidRDefault="00EA43B2" w:rsidP="00EA43B2">
      <w:pPr>
        <w:spacing w:line="360" w:lineRule="auto"/>
        <w:jc w:val="both"/>
        <w:rPr>
          <w:rFonts w:ascii="Times New Roman" w:hAnsi="Times New Roman"/>
          <w:lang w:val="bg-BG"/>
        </w:rPr>
      </w:pPr>
    </w:p>
    <w:p w14:paraId="5FD23327" w14:textId="77777777" w:rsidR="00EA43B2" w:rsidRPr="00EA43B2" w:rsidRDefault="00EA43B2" w:rsidP="00EA43B2">
      <w:pPr>
        <w:spacing w:line="360" w:lineRule="auto"/>
        <w:jc w:val="both"/>
        <w:rPr>
          <w:rFonts w:ascii="Times New Roman" w:eastAsia="Times New Roman" w:hAnsi="Times New Roman" w:cs="Times New Roman"/>
          <w:color w:val="000000"/>
          <w:sz w:val="24"/>
          <w:szCs w:val="24"/>
          <w:lang w:eastAsia="en-GB"/>
        </w:rPr>
      </w:pPr>
      <w:r w:rsidRPr="00EA43B2">
        <w:rPr>
          <w:rFonts w:ascii="Times New Roman" w:hAnsi="Times New Roman"/>
          <w:sz w:val="24"/>
          <w:szCs w:val="24"/>
          <w:lang w:val="bg-BG"/>
        </w:rPr>
        <w:t xml:space="preserve">The efficient market hypothesis theory generally states that stock prices follow only the new information available </w:t>
      </w:r>
      <w:r w:rsidRPr="00EA43B2">
        <w:rPr>
          <w:rFonts w:ascii="Times New Roman" w:hAnsi="Times New Roman"/>
          <w:sz w:val="24"/>
          <w:szCs w:val="24"/>
        </w:rPr>
        <w:t>(C and Wachowicz, 2008).</w:t>
      </w:r>
      <w:r w:rsidRPr="00EA43B2">
        <w:rPr>
          <w:rFonts w:ascii="Times New Roman" w:hAnsi="Times New Roman"/>
          <w:sz w:val="24"/>
          <w:szCs w:val="24"/>
          <w:lang w:val="bg-BG"/>
        </w:rPr>
        <w:t xml:space="preserve"> It is impossible to predict future market movements based on forecasts and only follow the news from the latest information. It is essential to realise that no matter what modern technologies or classical trends in predicting market behaviour can be used, based on this theory, these ideas are not justified. That is why the theory works in high-risk conditions. Therefore, in this case, Technical Analysis, which is a classic tool for analysing market behaviour, simply becomes meaningless.</w:t>
      </w:r>
      <w:r w:rsidRPr="00EA43B2">
        <w:rPr>
          <w:rFonts w:ascii="Times New Roman" w:hAnsi="Times New Roman"/>
          <w:sz w:val="24"/>
          <w:szCs w:val="24"/>
        </w:rPr>
        <w:t xml:space="preserve"> </w:t>
      </w:r>
      <w:r w:rsidRPr="00EA43B2">
        <w:rPr>
          <w:rFonts w:ascii="Times New Roman" w:hAnsi="Times New Roman"/>
          <w:sz w:val="24"/>
          <w:szCs w:val="24"/>
          <w:lang w:val="bg-BG"/>
        </w:rPr>
        <w:t xml:space="preserve">The idea is that the price of the traded share can be predicted based on available information. But this information must be up-to-date, new and timely. If you work with old information, the forecast becomes outdated and allows for risky and wrong investment activities. For example, Toyota's share price can be seen in </w:t>
      </w:r>
      <w:r w:rsidRPr="00EA43B2">
        <w:rPr>
          <w:rFonts w:ascii="Times New Roman" w:hAnsi="Times New Roman"/>
          <w:sz w:val="24"/>
          <w:szCs w:val="24"/>
        </w:rPr>
        <w:t>Table</w:t>
      </w:r>
      <w:r w:rsidRPr="00EA43B2">
        <w:rPr>
          <w:rFonts w:ascii="Times New Roman" w:hAnsi="Times New Roman"/>
          <w:sz w:val="24"/>
          <w:szCs w:val="24"/>
          <w:lang w:val="bg-BG"/>
        </w:rPr>
        <w:t xml:space="preserve"> 1.</w:t>
      </w:r>
    </w:p>
    <w:p w14:paraId="1E013603" w14:textId="77777777" w:rsidR="00EA43B2" w:rsidRPr="00EA43B2" w:rsidRDefault="00EA43B2" w:rsidP="00EA43B2">
      <w:pPr>
        <w:spacing w:line="360" w:lineRule="auto"/>
        <w:jc w:val="both"/>
        <w:rPr>
          <w:rFonts w:ascii="Times New Roman" w:hAnsi="Times New Roman"/>
          <w:b/>
          <w:bCs/>
          <w:sz w:val="24"/>
          <w:szCs w:val="24"/>
        </w:rPr>
      </w:pPr>
      <w:r w:rsidRPr="00EA43B2">
        <w:rPr>
          <w:rFonts w:ascii="Times New Roman" w:hAnsi="Times New Roman"/>
          <w:b/>
          <w:bCs/>
          <w:sz w:val="24"/>
          <w:szCs w:val="24"/>
        </w:rPr>
        <w:t>Table 1. Changes in the number and balance of treasury stock consist of the following</w:t>
      </w:r>
    </w:p>
    <w:tbl>
      <w:tblPr>
        <w:tblStyle w:val="TableGrid"/>
        <w:tblW w:w="0" w:type="auto"/>
        <w:tblLook w:val="04A0" w:firstRow="1" w:lastRow="0" w:firstColumn="1" w:lastColumn="0" w:noHBand="0" w:noVBand="1"/>
      </w:tblPr>
      <w:tblGrid>
        <w:gridCol w:w="3823"/>
        <w:gridCol w:w="2551"/>
        <w:gridCol w:w="2642"/>
      </w:tblGrid>
      <w:tr w:rsidR="00EA43B2" w:rsidRPr="00EA43B2" w14:paraId="65620092" w14:textId="77777777" w:rsidTr="003C6788">
        <w:tc>
          <w:tcPr>
            <w:tcW w:w="3823" w:type="dxa"/>
          </w:tcPr>
          <w:p w14:paraId="2F81D893" w14:textId="77777777" w:rsidR="00EA43B2" w:rsidRPr="00EA43B2" w:rsidRDefault="00EA43B2" w:rsidP="00EA43B2">
            <w:pPr>
              <w:spacing w:line="360" w:lineRule="auto"/>
              <w:jc w:val="both"/>
              <w:rPr>
                <w:rFonts w:ascii="Times New Roman" w:hAnsi="Times New Roman"/>
                <w:lang w:val="bg-BG"/>
              </w:rPr>
            </w:pPr>
          </w:p>
        </w:tc>
        <w:tc>
          <w:tcPr>
            <w:tcW w:w="2551" w:type="dxa"/>
          </w:tcPr>
          <w:p w14:paraId="235E3DD2" w14:textId="77777777" w:rsidR="00EA43B2" w:rsidRPr="00EA43B2" w:rsidRDefault="00EA43B2" w:rsidP="00EA43B2">
            <w:pPr>
              <w:spacing w:line="360" w:lineRule="auto"/>
              <w:jc w:val="both"/>
              <w:rPr>
                <w:rFonts w:ascii="Times New Roman" w:hAnsi="Times New Roman"/>
                <w:lang w:val="bg-BG"/>
              </w:rPr>
            </w:pPr>
            <w:r w:rsidRPr="00EA43B2">
              <w:rPr>
                <w:rFonts w:ascii="Arial" w:hAnsi="Arial" w:cs="Arial"/>
                <w:sz w:val="18"/>
                <w:szCs w:val="18"/>
              </w:rPr>
              <w:t>Number of shares (shares)</w:t>
            </w:r>
          </w:p>
        </w:tc>
        <w:tc>
          <w:tcPr>
            <w:tcW w:w="2642" w:type="dxa"/>
          </w:tcPr>
          <w:p w14:paraId="71766087" w14:textId="77777777" w:rsidR="00EA43B2" w:rsidRPr="00EA43B2" w:rsidRDefault="00EA43B2" w:rsidP="00EA43B2">
            <w:pPr>
              <w:spacing w:line="360" w:lineRule="auto"/>
              <w:jc w:val="both"/>
              <w:rPr>
                <w:rFonts w:ascii="Times New Roman" w:hAnsi="Times New Roman"/>
                <w:lang w:val="bg-BG"/>
              </w:rPr>
            </w:pPr>
            <w:r w:rsidRPr="00EA43B2">
              <w:rPr>
                <w:rFonts w:ascii="Arial" w:hAnsi="Arial" w:cs="Arial"/>
                <w:sz w:val="18"/>
                <w:szCs w:val="18"/>
              </w:rPr>
              <w:t>Amount (millions of yen)</w:t>
            </w:r>
          </w:p>
        </w:tc>
      </w:tr>
      <w:tr w:rsidR="00EA43B2" w:rsidRPr="00EA43B2" w14:paraId="196976B7" w14:textId="77777777" w:rsidTr="003C6788">
        <w:tc>
          <w:tcPr>
            <w:tcW w:w="3823" w:type="dxa"/>
          </w:tcPr>
          <w:p w14:paraId="7BBCBFAC" w14:textId="77777777" w:rsidR="00EA43B2" w:rsidRPr="00EA43B2" w:rsidRDefault="00EA43B2" w:rsidP="00EA43B2">
            <w:pPr>
              <w:spacing w:line="360" w:lineRule="auto"/>
              <w:jc w:val="both"/>
              <w:rPr>
                <w:rFonts w:ascii="Times New Roman" w:hAnsi="Times New Roman"/>
                <w:lang w:val="bg-BG"/>
              </w:rPr>
            </w:pPr>
            <w:r w:rsidRPr="00EA43B2">
              <w:rPr>
                <w:rFonts w:ascii="Arial" w:hAnsi="Arial" w:cs="Arial"/>
                <w:sz w:val="18"/>
                <w:szCs w:val="18"/>
              </w:rPr>
              <w:t>Beginning of FY2020 (as of April 1, 2019)</w:t>
            </w:r>
          </w:p>
        </w:tc>
        <w:tc>
          <w:tcPr>
            <w:tcW w:w="2551" w:type="dxa"/>
          </w:tcPr>
          <w:p w14:paraId="13121323" w14:textId="77777777" w:rsidR="00EA43B2" w:rsidRPr="00EA43B2" w:rsidRDefault="00EA43B2" w:rsidP="00EA43B2">
            <w:pPr>
              <w:spacing w:line="360" w:lineRule="auto"/>
              <w:jc w:val="center"/>
              <w:rPr>
                <w:rFonts w:ascii="Times New Roman" w:hAnsi="Times New Roman"/>
                <w:lang w:val="bg-BG"/>
              </w:rPr>
            </w:pPr>
            <w:r w:rsidRPr="00EA43B2">
              <w:rPr>
                <w:rFonts w:ascii="Arial" w:hAnsi="Arial" w:cs="Arial"/>
                <w:sz w:val="18"/>
                <w:szCs w:val="18"/>
              </w:rPr>
              <w:t>15,355,468</w:t>
            </w:r>
          </w:p>
        </w:tc>
        <w:tc>
          <w:tcPr>
            <w:tcW w:w="2642" w:type="dxa"/>
          </w:tcPr>
          <w:p w14:paraId="3774DDB0" w14:textId="77777777" w:rsidR="00EA43B2" w:rsidRPr="00EA43B2" w:rsidRDefault="00EA43B2" w:rsidP="00EA43B2">
            <w:pPr>
              <w:spacing w:line="360" w:lineRule="auto"/>
              <w:jc w:val="center"/>
              <w:rPr>
                <w:rFonts w:ascii="Times New Roman" w:hAnsi="Times New Roman"/>
                <w:lang w:val="bg-BG"/>
              </w:rPr>
            </w:pPr>
            <w:r w:rsidRPr="00EA43B2">
              <w:rPr>
                <w:rFonts w:ascii="Arial" w:hAnsi="Arial" w:cs="Arial"/>
                <w:sz w:val="18"/>
                <w:szCs w:val="18"/>
              </w:rPr>
              <w:t>59,297</w:t>
            </w:r>
          </w:p>
        </w:tc>
      </w:tr>
      <w:tr w:rsidR="00EA43B2" w:rsidRPr="00EA43B2" w14:paraId="0C4EB1C2" w14:textId="77777777" w:rsidTr="003C6788">
        <w:tc>
          <w:tcPr>
            <w:tcW w:w="3823" w:type="dxa"/>
          </w:tcPr>
          <w:p w14:paraId="7DFC12C8" w14:textId="77777777" w:rsidR="00EA43B2" w:rsidRPr="00EA43B2" w:rsidRDefault="00EA43B2" w:rsidP="00EA43B2">
            <w:pPr>
              <w:spacing w:line="360" w:lineRule="auto"/>
              <w:jc w:val="both"/>
              <w:rPr>
                <w:rFonts w:ascii="Times New Roman" w:hAnsi="Times New Roman"/>
                <w:lang w:val="bg-BG"/>
              </w:rPr>
            </w:pPr>
            <w:r w:rsidRPr="00EA43B2">
              <w:rPr>
                <w:rFonts w:ascii="Arial" w:hAnsi="Arial" w:cs="Arial"/>
                <w:sz w:val="18"/>
                <w:szCs w:val="18"/>
              </w:rPr>
              <w:t>Increase (decrease) during period</w:t>
            </w:r>
          </w:p>
        </w:tc>
        <w:tc>
          <w:tcPr>
            <w:tcW w:w="2551" w:type="dxa"/>
          </w:tcPr>
          <w:p w14:paraId="4A698DB9" w14:textId="77777777" w:rsidR="00EA43B2" w:rsidRPr="00EA43B2" w:rsidRDefault="00EA43B2" w:rsidP="00EA43B2">
            <w:pPr>
              <w:spacing w:line="360" w:lineRule="auto"/>
              <w:jc w:val="center"/>
              <w:rPr>
                <w:rFonts w:ascii="Times New Roman" w:hAnsi="Times New Roman"/>
                <w:lang w:val="bg-BG"/>
              </w:rPr>
            </w:pPr>
            <w:r w:rsidRPr="00EA43B2">
              <w:rPr>
                <w:rFonts w:ascii="Arial" w:hAnsi="Arial" w:cs="Arial"/>
                <w:sz w:val="18"/>
                <w:szCs w:val="18"/>
              </w:rPr>
              <w:t>1,560</w:t>
            </w:r>
          </w:p>
        </w:tc>
        <w:tc>
          <w:tcPr>
            <w:tcW w:w="2642" w:type="dxa"/>
          </w:tcPr>
          <w:p w14:paraId="4E6ED0D7" w14:textId="77777777" w:rsidR="00EA43B2" w:rsidRPr="00EA43B2" w:rsidRDefault="00EA43B2" w:rsidP="00EA43B2">
            <w:pPr>
              <w:spacing w:line="360" w:lineRule="auto"/>
              <w:jc w:val="center"/>
              <w:rPr>
                <w:rFonts w:ascii="Times New Roman" w:hAnsi="Times New Roman"/>
                <w:lang w:val="bg-BG"/>
              </w:rPr>
            </w:pPr>
            <w:r w:rsidRPr="00EA43B2">
              <w:rPr>
                <w:rFonts w:ascii="Arial" w:hAnsi="Arial" w:cs="Arial"/>
                <w:sz w:val="18"/>
                <w:szCs w:val="18"/>
              </w:rPr>
              <w:t>9</w:t>
            </w:r>
          </w:p>
        </w:tc>
      </w:tr>
      <w:tr w:rsidR="00EA43B2" w:rsidRPr="00EA43B2" w14:paraId="2D806634" w14:textId="77777777" w:rsidTr="003C6788">
        <w:tc>
          <w:tcPr>
            <w:tcW w:w="3823" w:type="dxa"/>
          </w:tcPr>
          <w:p w14:paraId="4206174C" w14:textId="77777777" w:rsidR="00EA43B2" w:rsidRPr="00EA43B2" w:rsidRDefault="00EA43B2" w:rsidP="00EA43B2">
            <w:pPr>
              <w:spacing w:line="360" w:lineRule="auto"/>
              <w:jc w:val="both"/>
              <w:rPr>
                <w:rFonts w:ascii="Times New Roman" w:hAnsi="Times New Roman"/>
                <w:lang w:val="bg-BG"/>
              </w:rPr>
            </w:pPr>
            <w:r w:rsidRPr="00EA43B2">
              <w:rPr>
                <w:rFonts w:ascii="Arial" w:hAnsi="Arial" w:cs="Arial"/>
                <w:sz w:val="18"/>
                <w:szCs w:val="18"/>
              </w:rPr>
              <w:t>FY2020 (as of March 31, 2020)</w:t>
            </w:r>
          </w:p>
        </w:tc>
        <w:tc>
          <w:tcPr>
            <w:tcW w:w="2551" w:type="dxa"/>
          </w:tcPr>
          <w:p w14:paraId="7EB8A4CF" w14:textId="77777777" w:rsidR="00EA43B2" w:rsidRPr="00EA43B2" w:rsidRDefault="00EA43B2" w:rsidP="00EA43B2">
            <w:pPr>
              <w:spacing w:line="360" w:lineRule="auto"/>
              <w:jc w:val="center"/>
              <w:rPr>
                <w:rFonts w:ascii="Times New Roman" w:hAnsi="Times New Roman"/>
                <w:lang w:val="bg-BG"/>
              </w:rPr>
            </w:pPr>
            <w:r w:rsidRPr="00EA43B2">
              <w:rPr>
                <w:rFonts w:ascii="Arial" w:hAnsi="Arial" w:cs="Arial"/>
                <w:sz w:val="18"/>
                <w:szCs w:val="18"/>
              </w:rPr>
              <w:t>15,357,028</w:t>
            </w:r>
          </w:p>
        </w:tc>
        <w:tc>
          <w:tcPr>
            <w:tcW w:w="2642" w:type="dxa"/>
          </w:tcPr>
          <w:p w14:paraId="0C97901D" w14:textId="77777777" w:rsidR="00EA43B2" w:rsidRPr="00EA43B2" w:rsidRDefault="00EA43B2" w:rsidP="00EA43B2">
            <w:pPr>
              <w:spacing w:line="360" w:lineRule="auto"/>
              <w:jc w:val="center"/>
              <w:rPr>
                <w:rFonts w:ascii="Times New Roman" w:hAnsi="Times New Roman"/>
                <w:lang w:val="bg-BG"/>
              </w:rPr>
            </w:pPr>
            <w:r w:rsidRPr="00EA43B2">
              <w:rPr>
                <w:rFonts w:ascii="Arial" w:hAnsi="Arial" w:cs="Arial"/>
                <w:sz w:val="18"/>
                <w:szCs w:val="18"/>
              </w:rPr>
              <w:t>59,307</w:t>
            </w:r>
          </w:p>
        </w:tc>
      </w:tr>
      <w:tr w:rsidR="00EA43B2" w:rsidRPr="00EA43B2" w14:paraId="3A770C55" w14:textId="77777777" w:rsidTr="003C6788">
        <w:tc>
          <w:tcPr>
            <w:tcW w:w="3823" w:type="dxa"/>
          </w:tcPr>
          <w:p w14:paraId="31DD9F2D" w14:textId="77777777" w:rsidR="00EA43B2" w:rsidRPr="00EA43B2" w:rsidRDefault="00EA43B2" w:rsidP="00EA43B2">
            <w:pPr>
              <w:spacing w:line="360" w:lineRule="auto"/>
              <w:jc w:val="both"/>
              <w:rPr>
                <w:rFonts w:ascii="Times New Roman" w:hAnsi="Times New Roman"/>
                <w:lang w:val="bg-BG"/>
              </w:rPr>
            </w:pPr>
            <w:r w:rsidRPr="00EA43B2">
              <w:rPr>
                <w:rFonts w:ascii="Arial" w:hAnsi="Arial" w:cs="Arial"/>
                <w:sz w:val="18"/>
                <w:szCs w:val="18"/>
              </w:rPr>
              <w:t>Increase (decrease) during period</w:t>
            </w:r>
          </w:p>
        </w:tc>
        <w:tc>
          <w:tcPr>
            <w:tcW w:w="2551" w:type="dxa"/>
          </w:tcPr>
          <w:p w14:paraId="1E30435D" w14:textId="77777777" w:rsidR="00EA43B2" w:rsidRPr="00EA43B2" w:rsidRDefault="00EA43B2" w:rsidP="00EA43B2">
            <w:pPr>
              <w:spacing w:line="360" w:lineRule="auto"/>
              <w:jc w:val="center"/>
              <w:rPr>
                <w:rFonts w:ascii="Times New Roman" w:hAnsi="Times New Roman"/>
                <w:lang w:val="bg-BG"/>
              </w:rPr>
            </w:pPr>
            <w:r w:rsidRPr="00EA43B2">
              <w:rPr>
                <w:rFonts w:ascii="Arial" w:hAnsi="Arial" w:cs="Arial"/>
                <w:sz w:val="18"/>
                <w:szCs w:val="18"/>
              </w:rPr>
              <w:t>1,834</w:t>
            </w:r>
          </w:p>
        </w:tc>
        <w:tc>
          <w:tcPr>
            <w:tcW w:w="2642" w:type="dxa"/>
          </w:tcPr>
          <w:p w14:paraId="3C94FB3C" w14:textId="77777777" w:rsidR="00EA43B2" w:rsidRPr="00EA43B2" w:rsidRDefault="00EA43B2" w:rsidP="00EA43B2">
            <w:pPr>
              <w:spacing w:line="360" w:lineRule="auto"/>
              <w:jc w:val="center"/>
              <w:rPr>
                <w:rFonts w:ascii="Times New Roman" w:hAnsi="Times New Roman"/>
                <w:lang w:val="bg-BG"/>
              </w:rPr>
            </w:pPr>
            <w:r w:rsidRPr="00EA43B2">
              <w:rPr>
                <w:rFonts w:ascii="Arial" w:hAnsi="Arial" w:cs="Arial"/>
                <w:sz w:val="18"/>
                <w:szCs w:val="18"/>
              </w:rPr>
              <w:t>14</w:t>
            </w:r>
          </w:p>
        </w:tc>
      </w:tr>
      <w:tr w:rsidR="00EA43B2" w:rsidRPr="00EA43B2" w14:paraId="24CC3ED1" w14:textId="77777777" w:rsidTr="003C6788">
        <w:tc>
          <w:tcPr>
            <w:tcW w:w="3823" w:type="dxa"/>
          </w:tcPr>
          <w:p w14:paraId="0420E310" w14:textId="77777777" w:rsidR="00EA43B2" w:rsidRPr="00EA43B2" w:rsidRDefault="00EA43B2" w:rsidP="00EA43B2">
            <w:pPr>
              <w:spacing w:line="360" w:lineRule="auto"/>
              <w:jc w:val="both"/>
              <w:rPr>
                <w:rFonts w:ascii="Times New Roman" w:hAnsi="Times New Roman"/>
                <w:lang w:val="bg-BG"/>
              </w:rPr>
            </w:pPr>
            <w:r w:rsidRPr="00EA43B2">
              <w:rPr>
                <w:rFonts w:ascii="Arial" w:hAnsi="Arial" w:cs="Arial"/>
                <w:sz w:val="18"/>
                <w:szCs w:val="18"/>
              </w:rPr>
              <w:t>FY2021 (as of March 31, 2021)</w:t>
            </w:r>
          </w:p>
        </w:tc>
        <w:tc>
          <w:tcPr>
            <w:tcW w:w="2551" w:type="dxa"/>
          </w:tcPr>
          <w:p w14:paraId="7CB3898B" w14:textId="77777777" w:rsidR="00EA43B2" w:rsidRPr="00EA43B2" w:rsidRDefault="00EA43B2" w:rsidP="00EA43B2">
            <w:pPr>
              <w:spacing w:line="360" w:lineRule="auto"/>
              <w:jc w:val="center"/>
              <w:rPr>
                <w:rFonts w:ascii="Times New Roman" w:hAnsi="Times New Roman"/>
                <w:lang w:val="bg-BG"/>
              </w:rPr>
            </w:pPr>
            <w:r w:rsidRPr="00EA43B2">
              <w:rPr>
                <w:rFonts w:ascii="Arial" w:hAnsi="Arial" w:cs="Arial"/>
                <w:sz w:val="18"/>
                <w:szCs w:val="18"/>
              </w:rPr>
              <w:t>15,358,862</w:t>
            </w:r>
          </w:p>
        </w:tc>
        <w:tc>
          <w:tcPr>
            <w:tcW w:w="2642" w:type="dxa"/>
          </w:tcPr>
          <w:p w14:paraId="0EB08433" w14:textId="77777777" w:rsidR="00EA43B2" w:rsidRPr="00EA43B2" w:rsidRDefault="00EA43B2" w:rsidP="00EA43B2">
            <w:pPr>
              <w:spacing w:line="360" w:lineRule="auto"/>
              <w:jc w:val="center"/>
              <w:rPr>
                <w:rFonts w:ascii="Times New Roman" w:hAnsi="Times New Roman"/>
                <w:lang w:val="bg-BG"/>
              </w:rPr>
            </w:pPr>
            <w:r w:rsidRPr="00EA43B2">
              <w:rPr>
                <w:rFonts w:ascii="Arial" w:hAnsi="Arial" w:cs="Arial"/>
                <w:sz w:val="18"/>
                <w:szCs w:val="18"/>
              </w:rPr>
              <w:t>59,321</w:t>
            </w:r>
          </w:p>
        </w:tc>
      </w:tr>
    </w:tbl>
    <w:p w14:paraId="4A92AACC" w14:textId="77777777" w:rsidR="00EA43B2" w:rsidRPr="00EA43B2" w:rsidRDefault="00EA43B2" w:rsidP="00EA43B2">
      <w:pPr>
        <w:spacing w:line="360" w:lineRule="auto"/>
        <w:jc w:val="both"/>
        <w:rPr>
          <w:rFonts w:ascii="Times New Roman" w:hAnsi="Times New Roman"/>
          <w:lang w:val="bg-BG"/>
        </w:rPr>
      </w:pPr>
    </w:p>
    <w:p w14:paraId="77AF29E6" w14:textId="77777777" w:rsidR="00EA43B2" w:rsidRPr="00EA43B2" w:rsidRDefault="00EA43B2" w:rsidP="00EA43B2">
      <w:pPr>
        <w:spacing w:line="360" w:lineRule="auto"/>
        <w:jc w:val="center"/>
        <w:rPr>
          <w:rFonts w:ascii="Times New Roman" w:hAnsi="Times New Roman"/>
          <w:sz w:val="24"/>
          <w:szCs w:val="24"/>
        </w:rPr>
      </w:pPr>
      <w:r w:rsidRPr="00EA43B2">
        <w:rPr>
          <w:rFonts w:ascii="Times New Roman" w:hAnsi="Times New Roman"/>
          <w:sz w:val="24"/>
          <w:szCs w:val="24"/>
        </w:rPr>
        <w:t>Source: Changes in the number and balance of treasury stock consist of the following</w:t>
      </w:r>
    </w:p>
    <w:p w14:paraId="15E75BF0" w14:textId="4F09402A" w:rsidR="00EA43B2" w:rsidRPr="00EA43B2" w:rsidRDefault="00EA43B2" w:rsidP="00EA43B2">
      <w:pPr>
        <w:spacing w:line="360" w:lineRule="auto"/>
        <w:jc w:val="both"/>
        <w:rPr>
          <w:rFonts w:ascii="Times New Roman" w:hAnsi="Times New Roman"/>
          <w:lang w:val="bg-BG"/>
        </w:rPr>
      </w:pPr>
      <w:r w:rsidRPr="00EA43B2">
        <w:rPr>
          <w:rFonts w:ascii="Times New Roman" w:hAnsi="Times New Roman"/>
          <w:sz w:val="24"/>
          <w:szCs w:val="24"/>
        </w:rPr>
        <w:t xml:space="preserve">Theoretically, only inside company information can produce news about the company's share prices. From here, there is the possibility of a high degree of risk and speculation in the traded markets. This can be seen in Figure 2. The figure shows that prices do not follow any theory or pattern. The movement </w:t>
      </w:r>
      <w:r w:rsidR="00415EE4" w:rsidRPr="00EA43B2">
        <w:rPr>
          <w:rFonts w:ascii="Times New Roman" w:hAnsi="Times New Roman"/>
          <w:sz w:val="24"/>
          <w:szCs w:val="24"/>
        </w:rPr>
        <w:t>forms</w:t>
      </w:r>
      <w:r w:rsidRPr="00EA43B2">
        <w:rPr>
          <w:rFonts w:ascii="Times New Roman" w:hAnsi="Times New Roman"/>
          <w:sz w:val="24"/>
          <w:szCs w:val="24"/>
        </w:rPr>
        <w:t xml:space="preserve"> a trend, but the regularity cannot be perceived as a policy for </w:t>
      </w:r>
      <w:r w:rsidRPr="00EA43B2">
        <w:rPr>
          <w:rFonts w:ascii="Times New Roman" w:hAnsi="Times New Roman"/>
          <w:sz w:val="24"/>
          <w:szCs w:val="24"/>
        </w:rPr>
        <w:lastRenderedPageBreak/>
        <w:t xml:space="preserve">future trade. If there was no inside information on Toyota's financial stability and prosperity, no technical or even fundamental analysis instrument would have predicted this trend. </w:t>
      </w:r>
      <w:r w:rsidR="00605DD0" w:rsidRPr="00EA43B2">
        <w:rPr>
          <w:rFonts w:ascii="Times New Roman" w:hAnsi="Times New Roman"/>
          <w:sz w:val="24"/>
          <w:szCs w:val="24"/>
        </w:rPr>
        <w:t>Toyota</w:t>
      </w:r>
      <w:r w:rsidRPr="00EA43B2">
        <w:rPr>
          <w:rFonts w:ascii="Times New Roman" w:hAnsi="Times New Roman"/>
          <w:sz w:val="24"/>
          <w:szCs w:val="24"/>
        </w:rPr>
        <w:t xml:space="preserve"> also follows this policy, and even the fact that the distribution of dividends is based on an internal decision by the board of directors can be cited as proof.</w:t>
      </w:r>
      <w:r w:rsidRPr="00EA43B2">
        <w:rPr>
          <w:rFonts w:ascii="Times New Roman" w:hAnsi="Times New Roman"/>
          <w:sz w:val="24"/>
          <w:szCs w:val="24"/>
          <w:lang w:val="bg-BG"/>
        </w:rPr>
        <w:t xml:space="preserve"> The table shows that there is an increase in the absolute size of Toyota's shares. This is done by an internal decision of the company and instead on the board of directors. This is another proof that the company also accepts the theory of the Effective Market Hypothesis.</w:t>
      </w:r>
    </w:p>
    <w:p w14:paraId="67BEB192" w14:textId="77777777" w:rsidR="00EA43B2" w:rsidRPr="00EA43B2" w:rsidRDefault="00EA43B2" w:rsidP="00EA43B2">
      <w:pPr>
        <w:spacing w:line="360" w:lineRule="auto"/>
        <w:jc w:val="center"/>
        <w:rPr>
          <w:rFonts w:ascii="Times New Roman" w:hAnsi="Times New Roman"/>
          <w:sz w:val="24"/>
          <w:szCs w:val="24"/>
        </w:rPr>
      </w:pPr>
      <w:r w:rsidRPr="00EA43B2">
        <w:rPr>
          <w:rFonts w:ascii="Times New Roman" w:hAnsi="Times New Roman"/>
          <w:noProof/>
          <w:sz w:val="24"/>
          <w:szCs w:val="24"/>
        </w:rPr>
        <w:drawing>
          <wp:inline distT="0" distB="0" distL="0" distR="0" wp14:anchorId="0EA1D78E" wp14:editId="71D71203">
            <wp:extent cx="4325492" cy="2588168"/>
            <wp:effectExtent l="0" t="0" r="0" b="317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6"/>
                    <a:srcRect l="14721" t="27688" r="40837" b="25036"/>
                    <a:stretch/>
                  </pic:blipFill>
                  <pic:spPr bwMode="auto">
                    <a:xfrm>
                      <a:off x="0" y="0"/>
                      <a:ext cx="4356442" cy="2606687"/>
                    </a:xfrm>
                    <a:prstGeom prst="rect">
                      <a:avLst/>
                    </a:prstGeom>
                    <a:ln>
                      <a:noFill/>
                    </a:ln>
                    <a:extLst>
                      <a:ext uri="{53640926-AAD7-44D8-BBD7-CCE9431645EC}">
                        <a14:shadowObscured xmlns:a14="http://schemas.microsoft.com/office/drawing/2010/main"/>
                      </a:ext>
                    </a:extLst>
                  </pic:spPr>
                </pic:pic>
              </a:graphicData>
            </a:graphic>
          </wp:inline>
        </w:drawing>
      </w:r>
    </w:p>
    <w:p w14:paraId="19AF0E66" w14:textId="77777777" w:rsidR="00EA43B2" w:rsidRPr="00EA43B2" w:rsidRDefault="00EA43B2" w:rsidP="00EA43B2">
      <w:pPr>
        <w:spacing w:line="360" w:lineRule="auto"/>
        <w:jc w:val="center"/>
        <w:rPr>
          <w:rFonts w:ascii="Times New Roman" w:hAnsi="Times New Roman"/>
          <w:b/>
          <w:bCs/>
          <w:sz w:val="24"/>
          <w:szCs w:val="24"/>
        </w:rPr>
      </w:pPr>
      <w:r w:rsidRPr="00EA43B2">
        <w:rPr>
          <w:rFonts w:ascii="Times New Roman" w:hAnsi="Times New Roman"/>
          <w:b/>
          <w:bCs/>
          <w:sz w:val="24"/>
          <w:szCs w:val="24"/>
        </w:rPr>
        <w:t>Figure 2. Toyota share price movement for the last one year</w:t>
      </w:r>
    </w:p>
    <w:p w14:paraId="6BC82928" w14:textId="77777777" w:rsidR="00EA43B2" w:rsidRPr="00EA43B2" w:rsidRDefault="00EA43B2" w:rsidP="00EA43B2">
      <w:pPr>
        <w:shd w:val="clear" w:color="auto" w:fill="FFFFFF"/>
        <w:spacing w:line="240" w:lineRule="auto"/>
        <w:jc w:val="center"/>
        <w:rPr>
          <w:rFonts w:ascii="Times New Roman" w:eastAsia="Times New Roman" w:hAnsi="Times New Roman" w:cs="Times New Roman"/>
          <w:color w:val="000000"/>
          <w:sz w:val="24"/>
          <w:szCs w:val="24"/>
          <w:lang w:eastAsia="en-GB"/>
        </w:rPr>
      </w:pPr>
      <w:r w:rsidRPr="00EA43B2">
        <w:rPr>
          <w:rFonts w:ascii="Times New Roman" w:hAnsi="Times New Roman"/>
          <w:sz w:val="24"/>
          <w:szCs w:val="24"/>
        </w:rPr>
        <w:t xml:space="preserve">Source: </w:t>
      </w:r>
      <w:r w:rsidRPr="00EA43B2">
        <w:rPr>
          <w:rFonts w:ascii="Times New Roman" w:eastAsia="Times New Roman" w:hAnsi="Times New Roman" w:cs="Times New Roman"/>
          <w:color w:val="000000"/>
          <w:sz w:val="24"/>
          <w:szCs w:val="24"/>
          <w:lang w:eastAsia="en-GB"/>
        </w:rPr>
        <w:t>(Google Finance, 2022)</w:t>
      </w:r>
    </w:p>
    <w:p w14:paraId="78DFD605" w14:textId="77777777" w:rsidR="00EA43B2" w:rsidRPr="00EA43B2" w:rsidRDefault="00EA43B2" w:rsidP="00EA43B2">
      <w:pPr>
        <w:shd w:val="clear" w:color="auto" w:fill="FFFFFF"/>
        <w:spacing w:line="240" w:lineRule="auto"/>
        <w:jc w:val="center"/>
        <w:rPr>
          <w:rFonts w:ascii="Times New Roman" w:eastAsia="Times New Roman" w:hAnsi="Times New Roman" w:cs="Times New Roman"/>
          <w:color w:val="000000"/>
          <w:sz w:val="24"/>
          <w:szCs w:val="24"/>
          <w:lang w:eastAsia="en-GB"/>
        </w:rPr>
      </w:pPr>
    </w:p>
    <w:p w14:paraId="3E226CA3" w14:textId="77777777" w:rsidR="00EA43B2" w:rsidRPr="00EA43B2" w:rsidRDefault="00EA43B2" w:rsidP="00EA43B2">
      <w:pPr>
        <w:autoSpaceDE w:val="0"/>
        <w:autoSpaceDN w:val="0"/>
        <w:adjustRightInd w:val="0"/>
        <w:spacing w:after="0" w:line="240" w:lineRule="auto"/>
        <w:rPr>
          <w:rFonts w:ascii="Arial" w:hAnsi="Arial" w:cs="Arial"/>
          <w:color w:val="000000"/>
          <w:sz w:val="24"/>
          <w:szCs w:val="24"/>
        </w:rPr>
      </w:pPr>
    </w:p>
    <w:p w14:paraId="49AE7591" w14:textId="77777777" w:rsidR="00EA43B2" w:rsidRPr="00EA43B2" w:rsidRDefault="00EA43B2" w:rsidP="00EA43B2">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bookmarkStart w:id="6" w:name="_Toc102420639"/>
      <w:bookmarkStart w:id="7" w:name="_Toc102423085"/>
      <w:r w:rsidRPr="00EA43B2">
        <w:rPr>
          <w:rFonts w:ascii="Times New Roman" w:eastAsiaTheme="majorEastAsia" w:hAnsi="Times New Roman" w:cstheme="majorBidi"/>
          <w:b/>
          <w:color w:val="000000" w:themeColor="text1"/>
          <w:sz w:val="28"/>
          <w:szCs w:val="32"/>
        </w:rPr>
        <w:t>Critically analyse and evaluate your chosen multinational corporation's methods of appraising projects</w:t>
      </w:r>
      <w:bookmarkEnd w:id="6"/>
      <w:bookmarkEnd w:id="7"/>
      <w:r w:rsidRPr="00EA43B2">
        <w:rPr>
          <w:rFonts w:ascii="Times New Roman" w:eastAsiaTheme="majorEastAsia" w:hAnsi="Times New Roman" w:cstheme="majorBidi"/>
          <w:b/>
          <w:color w:val="000000" w:themeColor="text1"/>
          <w:sz w:val="28"/>
          <w:szCs w:val="32"/>
        </w:rPr>
        <w:t xml:space="preserve"> </w:t>
      </w:r>
    </w:p>
    <w:p w14:paraId="44E11909" w14:textId="77777777" w:rsidR="00EA43B2" w:rsidRPr="00EA43B2" w:rsidRDefault="00EA43B2" w:rsidP="00EA43B2">
      <w:pPr>
        <w:spacing w:line="360" w:lineRule="auto"/>
        <w:jc w:val="both"/>
        <w:rPr>
          <w:rFonts w:ascii="Times New Roman" w:hAnsi="Times New Roman"/>
          <w:lang w:eastAsia="en-GB"/>
        </w:rPr>
      </w:pPr>
    </w:p>
    <w:p w14:paraId="0A8A548D" w14:textId="75F1FD0E" w:rsidR="00EA43B2" w:rsidRPr="00EA43B2" w:rsidRDefault="00EA43B2" w:rsidP="00EA43B2">
      <w:pPr>
        <w:spacing w:line="360" w:lineRule="auto"/>
        <w:jc w:val="both"/>
        <w:rPr>
          <w:rFonts w:ascii="Times New Roman" w:eastAsia="Times New Roman" w:hAnsi="Times New Roman" w:cs="Times New Roman"/>
          <w:color w:val="000000"/>
          <w:sz w:val="24"/>
          <w:szCs w:val="24"/>
          <w:lang w:eastAsia="en-GB"/>
        </w:rPr>
      </w:pPr>
      <w:r w:rsidRPr="00EA43B2">
        <w:rPr>
          <w:rFonts w:ascii="Times New Roman" w:hAnsi="Times New Roman"/>
          <w:sz w:val="24"/>
          <w:szCs w:val="24"/>
          <w:lang w:eastAsia="en-GB"/>
        </w:rPr>
        <w:t xml:space="preserve">Each company implements financial investment projects, expecting to realise future financial benefits. It is logical to learn that </w:t>
      </w:r>
      <w:r w:rsidR="0068598D" w:rsidRPr="00EA43B2">
        <w:rPr>
          <w:rFonts w:ascii="Times New Roman" w:hAnsi="Times New Roman"/>
          <w:sz w:val="24"/>
          <w:szCs w:val="24"/>
          <w:lang w:eastAsia="en-GB"/>
        </w:rPr>
        <w:t>to</w:t>
      </w:r>
      <w:r w:rsidRPr="00EA43B2">
        <w:rPr>
          <w:rFonts w:ascii="Times New Roman" w:hAnsi="Times New Roman"/>
          <w:sz w:val="24"/>
          <w:szCs w:val="24"/>
          <w:lang w:eastAsia="en-GB"/>
        </w:rPr>
        <w:t xml:space="preserve"> implement these financial projects, their viability must first be assessed. In other words, the state of the fixed capital - the corporation's assets and the working capital - must be </w:t>
      </w:r>
      <w:r w:rsidRPr="00EA43B2">
        <w:rPr>
          <w:rFonts w:ascii="Times New Roman" w:hAnsi="Times New Roman"/>
          <w:sz w:val="24"/>
          <w:szCs w:val="24"/>
        </w:rPr>
        <w:t>assessed (Shapiro, 2014).</w:t>
      </w:r>
      <w:r w:rsidRPr="00EA43B2">
        <w:rPr>
          <w:rFonts w:ascii="Times New Roman" w:hAnsi="Times New Roman"/>
          <w:sz w:val="24"/>
          <w:szCs w:val="24"/>
          <w:lang w:val="bg-BG" w:eastAsia="en-GB"/>
        </w:rPr>
        <w:t xml:space="preserve"> </w:t>
      </w:r>
      <w:r w:rsidRPr="00EA43B2">
        <w:rPr>
          <w:rFonts w:ascii="Times New Roman" w:hAnsi="Times New Roman"/>
          <w:sz w:val="24"/>
          <w:szCs w:val="24"/>
          <w:lang w:eastAsia="en-GB"/>
        </w:rPr>
        <w:t xml:space="preserve">Fixed capital enables the corporation to </w:t>
      </w:r>
      <w:r w:rsidR="00F118F1" w:rsidRPr="00EA43B2">
        <w:rPr>
          <w:rFonts w:ascii="Times New Roman" w:hAnsi="Times New Roman"/>
          <w:sz w:val="24"/>
          <w:szCs w:val="24"/>
          <w:lang w:eastAsia="en-GB"/>
        </w:rPr>
        <w:t>take</w:t>
      </w:r>
      <w:r w:rsidRPr="00EA43B2">
        <w:rPr>
          <w:rFonts w:ascii="Times New Roman" w:hAnsi="Times New Roman"/>
          <w:sz w:val="24"/>
          <w:szCs w:val="24"/>
          <w:lang w:eastAsia="en-GB"/>
        </w:rPr>
        <w:t xml:space="preserve"> a clear picture of the possibility of its future investment projects. That is why it is essential to analyse the quality of fixed assets - tangible and intangible. The structure of Toyota's assets is shown in Figure 3.</w:t>
      </w:r>
      <w:r w:rsidRPr="00EA43B2">
        <w:rPr>
          <w:rFonts w:ascii="Times New Roman" w:hAnsi="Times New Roman"/>
          <w:sz w:val="24"/>
          <w:szCs w:val="24"/>
          <w:lang w:val="bg-BG" w:eastAsia="en-GB"/>
        </w:rPr>
        <w:t xml:space="preserve"> Observing figure 3, it is interesting to see that for 2021. the amount of </w:t>
      </w:r>
      <w:r w:rsidRPr="00EA43B2">
        <w:rPr>
          <w:rFonts w:ascii="Times New Roman" w:hAnsi="Times New Roman"/>
          <w:sz w:val="24"/>
          <w:szCs w:val="24"/>
          <w:lang w:val="bg-BG" w:eastAsia="en-GB"/>
        </w:rPr>
        <w:lastRenderedPageBreak/>
        <w:t>investment has almost doubled from 10,991 to 16,812. This means that Toyota has free resources to implement investment projects. Another indicator of this is the size of financial assets. Here, too, for 2021, there is an increase from 2,120,298 to 3,051,702. This supports the fact that Toyota intends to expand its policy on the production of hybrid and electric cars, and for this, it is necessary to have the financial means.</w:t>
      </w:r>
    </w:p>
    <w:p w14:paraId="77DA565F" w14:textId="77777777" w:rsidR="00EA43B2" w:rsidRPr="00EA43B2" w:rsidRDefault="00EA43B2" w:rsidP="00EA43B2">
      <w:pPr>
        <w:spacing w:line="360" w:lineRule="auto"/>
        <w:jc w:val="both"/>
        <w:rPr>
          <w:rFonts w:ascii="Times New Roman" w:hAnsi="Times New Roman"/>
          <w:sz w:val="24"/>
          <w:szCs w:val="24"/>
          <w:lang w:val="bg-BG" w:eastAsia="en-GB"/>
        </w:rPr>
      </w:pPr>
      <w:r w:rsidRPr="00EA43B2">
        <w:rPr>
          <w:rFonts w:ascii="Times New Roman" w:hAnsi="Times New Roman"/>
          <w:sz w:val="24"/>
          <w:szCs w:val="24"/>
          <w:lang w:val="bg-BG" w:eastAsia="en-GB"/>
        </w:rPr>
        <w:t>Another purely financial opportunity that enables the company to generate funds is analysing Toyota's working capital. As a rule, Toyota's working capital is the ratio of the corporation's current assets to the corporation's current liabilities for the year. The balance should be 2: 1. Let's look at the situation first for 2021.</w:t>
      </w:r>
    </w:p>
    <w:p w14:paraId="0E3080B6" w14:textId="77777777" w:rsidR="00EA43B2" w:rsidRPr="00EA43B2" w:rsidRDefault="00EA43B2" w:rsidP="00EA43B2">
      <w:pPr>
        <w:spacing w:line="360" w:lineRule="auto"/>
        <w:jc w:val="center"/>
        <w:rPr>
          <w:rFonts w:ascii="Times New Roman" w:hAnsi="Times New Roman"/>
          <w:lang w:val="bg-BG" w:eastAsia="en-GB"/>
        </w:rPr>
      </w:pPr>
      <w:r w:rsidRPr="00EA43B2">
        <w:rPr>
          <w:rFonts w:ascii="Times New Roman" w:hAnsi="Times New Roman"/>
          <w:noProof/>
        </w:rPr>
        <w:drawing>
          <wp:inline distT="0" distB="0" distL="0" distR="0" wp14:anchorId="62DAFC77" wp14:editId="06145958">
            <wp:extent cx="4836302" cy="4305300"/>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7"/>
                    <a:srcRect l="25454" t="14857" r="26213" b="8651"/>
                    <a:stretch/>
                  </pic:blipFill>
                  <pic:spPr bwMode="auto">
                    <a:xfrm>
                      <a:off x="0" y="0"/>
                      <a:ext cx="4846813" cy="4314657"/>
                    </a:xfrm>
                    <a:prstGeom prst="rect">
                      <a:avLst/>
                    </a:prstGeom>
                    <a:ln>
                      <a:noFill/>
                    </a:ln>
                    <a:extLst>
                      <a:ext uri="{53640926-AAD7-44D8-BBD7-CCE9431645EC}">
                        <a14:shadowObscured xmlns:a14="http://schemas.microsoft.com/office/drawing/2010/main"/>
                      </a:ext>
                    </a:extLst>
                  </pic:spPr>
                </pic:pic>
              </a:graphicData>
            </a:graphic>
          </wp:inline>
        </w:drawing>
      </w:r>
    </w:p>
    <w:p w14:paraId="75C685E1" w14:textId="77777777" w:rsidR="00EA43B2" w:rsidRPr="00EA43B2" w:rsidRDefault="00EA43B2" w:rsidP="00EA43B2">
      <w:pPr>
        <w:spacing w:line="360" w:lineRule="auto"/>
        <w:jc w:val="center"/>
        <w:rPr>
          <w:rFonts w:ascii="Times New Roman" w:hAnsi="Times New Roman"/>
          <w:b/>
          <w:bCs/>
          <w:sz w:val="24"/>
          <w:szCs w:val="24"/>
          <w:lang w:eastAsia="en-GB"/>
        </w:rPr>
      </w:pPr>
      <w:r w:rsidRPr="00EA43B2">
        <w:rPr>
          <w:rFonts w:ascii="Times New Roman" w:hAnsi="Times New Roman"/>
          <w:b/>
          <w:bCs/>
          <w:sz w:val="24"/>
          <w:szCs w:val="24"/>
          <w:lang w:eastAsia="en-GB"/>
        </w:rPr>
        <w:t>Figure 3. Toyota's assets</w:t>
      </w:r>
    </w:p>
    <w:p w14:paraId="5C0AF8AE" w14:textId="77777777" w:rsidR="00EA43B2" w:rsidRPr="00EA43B2" w:rsidRDefault="00EA43B2" w:rsidP="00EA43B2">
      <w:pPr>
        <w:spacing w:line="360" w:lineRule="auto"/>
        <w:jc w:val="center"/>
        <w:rPr>
          <w:rFonts w:ascii="Times New Roman" w:hAnsi="Times New Roman"/>
          <w:sz w:val="24"/>
          <w:szCs w:val="24"/>
          <w:lang w:eastAsia="en-GB"/>
        </w:rPr>
      </w:pPr>
      <w:r w:rsidRPr="00EA43B2">
        <w:rPr>
          <w:rFonts w:ascii="Times New Roman" w:hAnsi="Times New Roman"/>
          <w:sz w:val="24"/>
          <w:szCs w:val="24"/>
          <w:lang w:eastAsia="en-GB"/>
        </w:rPr>
        <w:t>Source: (Toyota Industries Corporation, 2021)</w:t>
      </w:r>
    </w:p>
    <w:p w14:paraId="2BF31370" w14:textId="77777777" w:rsidR="00EA43B2" w:rsidRPr="00EA43B2" w:rsidRDefault="00EA43B2" w:rsidP="00EA43B2">
      <w:pPr>
        <w:spacing w:line="360" w:lineRule="auto"/>
        <w:jc w:val="both"/>
        <w:rPr>
          <w:rFonts w:ascii="Times New Roman" w:hAnsi="Times New Roman"/>
          <w:sz w:val="24"/>
          <w:szCs w:val="24"/>
          <w:lang w:eastAsia="en-GB"/>
        </w:rPr>
      </w:pPr>
      <w:r w:rsidRPr="00EA43B2">
        <w:rPr>
          <w:rFonts w:ascii="Times New Roman" w:hAnsi="Times New Roman"/>
          <w:sz w:val="24"/>
          <w:szCs w:val="24"/>
          <w:lang w:eastAsia="en-GB"/>
        </w:rPr>
        <w:t>For the current financial year, according to official data from the company's balance sheet, the amount shows that Toyota has current assets of 1,948,081. The amount of current liabilities is respectively 1,188,239. This means that a ratio of 1.63 is obtained. In other words, the company is almost able to pay off its short-term liabilities with its current assets.</w:t>
      </w:r>
    </w:p>
    <w:p w14:paraId="273D7C91" w14:textId="0E5E0656" w:rsidR="00EA43B2" w:rsidRPr="00EA43B2" w:rsidRDefault="00EA43B2" w:rsidP="00EA43B2">
      <w:pPr>
        <w:spacing w:line="360" w:lineRule="auto"/>
        <w:jc w:val="both"/>
        <w:rPr>
          <w:rFonts w:ascii="Times New Roman" w:hAnsi="Times New Roman"/>
          <w:sz w:val="24"/>
          <w:szCs w:val="24"/>
          <w:lang w:eastAsia="en-GB"/>
        </w:rPr>
      </w:pPr>
      <w:r w:rsidRPr="00EA43B2">
        <w:rPr>
          <w:rFonts w:ascii="Times New Roman" w:hAnsi="Times New Roman"/>
          <w:sz w:val="24"/>
          <w:szCs w:val="24"/>
          <w:lang w:eastAsia="en-GB"/>
        </w:rPr>
        <w:lastRenderedPageBreak/>
        <w:t xml:space="preserve">Let's look at the situation for 2020 as well because we could then evaluate the current year by comparing the two results. For 2020 the data show that the amount of current assets is 1, 739,883. Against them, the size of the current liabilities is 974, 314. Again, calculating the ratio between the two quantities, a result of 1.79 is obtained. Toyota also almost managed to cover its short-term obligations by following the 2: 1 rule. Unfortunately, perhaps the global pandemic of </w:t>
      </w:r>
      <w:r w:rsidR="00482ABA" w:rsidRPr="00EA43B2">
        <w:rPr>
          <w:rFonts w:ascii="Times New Roman" w:hAnsi="Times New Roman"/>
          <w:sz w:val="24"/>
          <w:szCs w:val="24"/>
          <w:lang w:eastAsia="en-GB"/>
        </w:rPr>
        <w:t>Covid-19</w:t>
      </w:r>
      <w:r w:rsidRPr="00EA43B2">
        <w:rPr>
          <w:rFonts w:ascii="Times New Roman" w:hAnsi="Times New Roman"/>
          <w:sz w:val="24"/>
          <w:szCs w:val="24"/>
          <w:lang w:eastAsia="en-GB"/>
        </w:rPr>
        <w:t xml:space="preserve"> virus has led to a drop in sales. This leads to lower results in this indicator. However, Toyota has enough resources to carry out its investment projects.</w:t>
      </w:r>
    </w:p>
    <w:p w14:paraId="7CE08816" w14:textId="406DBF8A" w:rsidR="00EA43B2" w:rsidRPr="00EA43B2" w:rsidRDefault="00EA43B2" w:rsidP="00EA43B2">
      <w:pPr>
        <w:spacing w:line="360" w:lineRule="auto"/>
        <w:jc w:val="both"/>
        <w:rPr>
          <w:rFonts w:ascii="Times New Roman" w:hAnsi="Times New Roman"/>
          <w:sz w:val="24"/>
          <w:szCs w:val="24"/>
          <w:lang w:eastAsia="en-GB"/>
        </w:rPr>
      </w:pPr>
      <w:r w:rsidRPr="00EA43B2">
        <w:rPr>
          <w:rFonts w:ascii="Times New Roman" w:hAnsi="Times New Roman"/>
          <w:sz w:val="24"/>
          <w:szCs w:val="24"/>
          <w:lang w:eastAsia="en-GB"/>
        </w:rPr>
        <w:t xml:space="preserve">On the other hand, </w:t>
      </w:r>
      <w:r w:rsidR="006B5EE0" w:rsidRPr="00EA43B2">
        <w:rPr>
          <w:rFonts w:ascii="Times New Roman" w:hAnsi="Times New Roman"/>
          <w:sz w:val="24"/>
          <w:szCs w:val="24"/>
          <w:lang w:eastAsia="en-GB"/>
        </w:rPr>
        <w:t>to</w:t>
      </w:r>
      <w:r w:rsidRPr="00EA43B2">
        <w:rPr>
          <w:rFonts w:ascii="Times New Roman" w:hAnsi="Times New Roman"/>
          <w:sz w:val="24"/>
          <w:szCs w:val="24"/>
          <w:lang w:eastAsia="en-GB"/>
        </w:rPr>
        <w:t xml:space="preserve"> evaluate Toyota's projects, the net annual cash flow, discounted by the cost of the project's capital, must be </w:t>
      </w:r>
      <w:r w:rsidR="004F056C" w:rsidRPr="00EA43B2">
        <w:rPr>
          <w:rFonts w:ascii="Times New Roman" w:hAnsi="Times New Roman"/>
          <w:sz w:val="24"/>
          <w:szCs w:val="24"/>
          <w:lang w:eastAsia="en-GB"/>
        </w:rPr>
        <w:t>collected,</w:t>
      </w:r>
      <w:r w:rsidRPr="00EA43B2">
        <w:rPr>
          <w:rFonts w:ascii="Times New Roman" w:hAnsi="Times New Roman"/>
          <w:sz w:val="24"/>
          <w:szCs w:val="24"/>
          <w:lang w:eastAsia="en-GB"/>
        </w:rPr>
        <w:t xml:space="preserve"> and deducted from the first costs.</w:t>
      </w:r>
      <w:r w:rsidRPr="00EA43B2">
        <w:rPr>
          <w:rFonts w:ascii="Times New Roman" w:hAnsi="Times New Roman"/>
          <w:sz w:val="24"/>
          <w:szCs w:val="24"/>
          <w:lang w:val="bg-BG" w:eastAsia="en-GB"/>
        </w:rPr>
        <w:t xml:space="preserve"> </w:t>
      </w:r>
      <w:r w:rsidRPr="00EA43B2">
        <w:rPr>
          <w:rFonts w:ascii="Times New Roman" w:hAnsi="Times New Roman"/>
          <w:sz w:val="24"/>
          <w:szCs w:val="24"/>
          <w:lang w:eastAsia="en-GB"/>
        </w:rPr>
        <w:t>Toyota perceives the Net Present Value of the Projects.</w:t>
      </w:r>
    </w:p>
    <w:p w14:paraId="4CD1A3C9" w14:textId="77777777" w:rsidR="00EA43B2" w:rsidRPr="00EA43B2" w:rsidRDefault="00EA43B2" w:rsidP="00EA43B2">
      <w:pPr>
        <w:spacing w:line="360" w:lineRule="auto"/>
        <w:jc w:val="both"/>
        <w:rPr>
          <w:rFonts w:ascii="Times New Roman" w:hAnsi="Times New Roman"/>
          <w:sz w:val="24"/>
          <w:szCs w:val="24"/>
          <w:lang w:eastAsia="en-GB"/>
        </w:rPr>
      </w:pPr>
      <w:r w:rsidRPr="00EA43B2">
        <w:rPr>
          <w:rFonts w:ascii="Times New Roman" w:hAnsi="Times New Roman"/>
          <w:sz w:val="24"/>
          <w:szCs w:val="24"/>
          <w:lang w:eastAsia="en-GB"/>
        </w:rPr>
        <w:t>This value is shown in Figure 4.</w:t>
      </w:r>
    </w:p>
    <w:p w14:paraId="21853029" w14:textId="77777777" w:rsidR="00EA43B2" w:rsidRPr="00EA43B2" w:rsidRDefault="00EA43B2" w:rsidP="00EA43B2">
      <w:pPr>
        <w:spacing w:line="360" w:lineRule="auto"/>
        <w:jc w:val="both"/>
        <w:rPr>
          <w:rFonts w:ascii="Times New Roman" w:hAnsi="Times New Roman"/>
          <w:lang w:eastAsia="en-GB"/>
        </w:rPr>
      </w:pPr>
      <w:r w:rsidRPr="00EA43B2">
        <w:rPr>
          <w:rFonts w:ascii="Times New Roman" w:hAnsi="Times New Roman"/>
          <w:noProof/>
        </w:rPr>
        <w:drawing>
          <wp:inline distT="0" distB="0" distL="0" distR="0" wp14:anchorId="55B43EF6" wp14:editId="7EE053D5">
            <wp:extent cx="5402449" cy="1583871"/>
            <wp:effectExtent l="0" t="0" r="8255"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8"/>
                    <a:srcRect l="29820" t="42546" r="6366" b="24194"/>
                    <a:stretch/>
                  </pic:blipFill>
                  <pic:spPr bwMode="auto">
                    <a:xfrm>
                      <a:off x="0" y="0"/>
                      <a:ext cx="5412424" cy="1586795"/>
                    </a:xfrm>
                    <a:prstGeom prst="rect">
                      <a:avLst/>
                    </a:prstGeom>
                    <a:ln>
                      <a:noFill/>
                    </a:ln>
                    <a:extLst>
                      <a:ext uri="{53640926-AAD7-44D8-BBD7-CCE9431645EC}">
                        <a14:shadowObscured xmlns:a14="http://schemas.microsoft.com/office/drawing/2010/main"/>
                      </a:ext>
                    </a:extLst>
                  </pic:spPr>
                </pic:pic>
              </a:graphicData>
            </a:graphic>
          </wp:inline>
        </w:drawing>
      </w:r>
    </w:p>
    <w:p w14:paraId="0D955C14" w14:textId="77777777" w:rsidR="00EA43B2" w:rsidRPr="00EA43B2" w:rsidRDefault="00EA43B2" w:rsidP="00EA43B2">
      <w:pPr>
        <w:spacing w:line="360" w:lineRule="auto"/>
        <w:jc w:val="center"/>
        <w:rPr>
          <w:rFonts w:ascii="Times New Roman" w:hAnsi="Times New Roman"/>
          <w:b/>
          <w:bCs/>
          <w:sz w:val="24"/>
          <w:szCs w:val="24"/>
          <w:lang w:val="bg-BG" w:eastAsia="en-GB"/>
        </w:rPr>
      </w:pPr>
      <w:r w:rsidRPr="00EA43B2">
        <w:rPr>
          <w:rFonts w:ascii="Times New Roman" w:hAnsi="Times New Roman"/>
          <w:b/>
          <w:bCs/>
          <w:sz w:val="24"/>
          <w:szCs w:val="24"/>
          <w:lang w:val="bg-BG" w:eastAsia="en-GB"/>
        </w:rPr>
        <w:t>F|igure 4. Present Value of Free Cash Flow to Equity (FCFE)</w:t>
      </w:r>
    </w:p>
    <w:p w14:paraId="35FA342C" w14:textId="77777777" w:rsidR="00EA43B2" w:rsidRPr="00604137" w:rsidRDefault="00EA43B2" w:rsidP="00EA43B2">
      <w:pPr>
        <w:spacing w:line="360" w:lineRule="auto"/>
        <w:jc w:val="center"/>
        <w:rPr>
          <w:rFonts w:ascii="Times New Roman" w:hAnsi="Times New Roman"/>
          <w:sz w:val="24"/>
          <w:szCs w:val="24"/>
          <w:lang w:eastAsia="en-GB"/>
        </w:rPr>
      </w:pPr>
      <w:r w:rsidRPr="00EA43B2">
        <w:rPr>
          <w:rFonts w:ascii="Times New Roman" w:hAnsi="Times New Roman"/>
          <w:sz w:val="24"/>
          <w:szCs w:val="24"/>
          <w:lang w:eastAsia="en-GB"/>
        </w:rPr>
        <w:t>Source: (Stock Analysis on Net, 2022)</w:t>
      </w:r>
    </w:p>
    <w:p w14:paraId="1FAF003B" w14:textId="77777777" w:rsidR="004913C8" w:rsidRPr="00EA43B2" w:rsidRDefault="004913C8" w:rsidP="00CD1D39">
      <w:pPr>
        <w:spacing w:line="360" w:lineRule="auto"/>
        <w:rPr>
          <w:rFonts w:ascii="Times New Roman" w:hAnsi="Times New Roman"/>
          <w:lang w:eastAsia="en-GB"/>
        </w:rPr>
      </w:pPr>
    </w:p>
    <w:p w14:paraId="4898D133" w14:textId="488D6BF3" w:rsidR="00CD1D39" w:rsidRPr="00EA43B2" w:rsidRDefault="00EA43B2" w:rsidP="00EA43B2">
      <w:pPr>
        <w:keepNext/>
        <w:keepLines/>
        <w:spacing w:before="240" w:after="0" w:line="360" w:lineRule="auto"/>
        <w:jc w:val="both"/>
        <w:outlineLvl w:val="0"/>
        <w:rPr>
          <w:rFonts w:ascii="Times New Roman" w:eastAsiaTheme="majorEastAsia" w:hAnsi="Times New Roman" w:cstheme="majorBidi"/>
          <w:b/>
          <w:color w:val="000000" w:themeColor="text1"/>
          <w:sz w:val="28"/>
          <w:szCs w:val="32"/>
          <w:lang w:eastAsia="en-GB"/>
        </w:rPr>
      </w:pPr>
      <w:bookmarkStart w:id="8" w:name="_Toc102420640"/>
      <w:bookmarkStart w:id="9" w:name="_Toc102423086"/>
      <w:r w:rsidRPr="00EA43B2">
        <w:rPr>
          <w:rFonts w:ascii="Times New Roman" w:eastAsiaTheme="majorEastAsia" w:hAnsi="Times New Roman" w:cstheme="majorBidi"/>
          <w:b/>
          <w:color w:val="000000" w:themeColor="text1"/>
          <w:sz w:val="28"/>
          <w:szCs w:val="32"/>
          <w:lang w:eastAsia="en-GB"/>
        </w:rPr>
        <w:t>Conclusio</w:t>
      </w:r>
      <w:bookmarkEnd w:id="8"/>
      <w:r w:rsidR="006B7ECE">
        <w:rPr>
          <w:rFonts w:ascii="Times New Roman" w:eastAsiaTheme="majorEastAsia" w:hAnsi="Times New Roman" w:cstheme="majorBidi"/>
          <w:b/>
          <w:color w:val="000000" w:themeColor="text1"/>
          <w:sz w:val="28"/>
          <w:szCs w:val="32"/>
          <w:lang w:eastAsia="en-GB"/>
        </w:rPr>
        <w:t>n</w:t>
      </w:r>
      <w:bookmarkEnd w:id="9"/>
    </w:p>
    <w:p w14:paraId="13EB0FC0" w14:textId="4884BC1A" w:rsidR="004F056C" w:rsidRPr="00EA43B2" w:rsidRDefault="00EA43B2" w:rsidP="00EA43B2">
      <w:pPr>
        <w:spacing w:line="360" w:lineRule="auto"/>
        <w:jc w:val="both"/>
        <w:rPr>
          <w:rFonts w:ascii="Times New Roman" w:hAnsi="Times New Roman"/>
          <w:lang w:val="bg-BG" w:eastAsia="en-GB"/>
        </w:rPr>
      </w:pPr>
      <w:r w:rsidRPr="00EA43B2">
        <w:rPr>
          <w:rFonts w:ascii="Times New Roman" w:hAnsi="Times New Roman"/>
          <w:sz w:val="24"/>
          <w:szCs w:val="24"/>
          <w:lang w:eastAsia="en-GB"/>
        </w:rPr>
        <w:t>The report presents Toyota's main financial policies related to the distribution of the company's dividends and the application of the theory of the Effective Market Price Hypothesis. Finally, the main approach that the company adopts when evaluating its projects is presented.</w:t>
      </w:r>
      <w:r w:rsidRPr="00EA43B2">
        <w:rPr>
          <w:rFonts w:ascii="Times New Roman" w:hAnsi="Times New Roman"/>
          <w:sz w:val="24"/>
          <w:szCs w:val="24"/>
          <w:lang w:val="bg-BG" w:eastAsia="en-GB"/>
        </w:rPr>
        <w:t xml:space="preserve"> It can be said that the company applies a moderate policy regarding the distribution of dividends. This means that Toyota distributes its dividends regularly. Moreover, Toyota fully applies the philosophy that stock prices should only reflect current market news and do not comply with</w:t>
      </w:r>
      <w:r w:rsidR="00797414">
        <w:rPr>
          <w:rFonts w:ascii="Times New Roman" w:hAnsi="Times New Roman"/>
          <w:sz w:val="24"/>
          <w:szCs w:val="24"/>
          <w:lang w:eastAsia="en-GB"/>
        </w:rPr>
        <w:t xml:space="preserve"> </w:t>
      </w:r>
      <w:r w:rsidRPr="00EA43B2">
        <w:rPr>
          <w:rFonts w:ascii="Times New Roman" w:hAnsi="Times New Roman"/>
          <w:sz w:val="24"/>
          <w:szCs w:val="24"/>
          <w:lang w:val="bg-BG" w:eastAsia="en-GB"/>
        </w:rPr>
        <w:t>fundamental and technical analysis. Third, the project management policy is implemented entirely based on the current value of free financial flows</w:t>
      </w:r>
    </w:p>
    <w:p w14:paraId="6DE43A0D" w14:textId="0D6B481E" w:rsidR="004135AD" w:rsidRDefault="00EA43B2" w:rsidP="00EA43B2">
      <w:pPr>
        <w:keepNext/>
        <w:keepLines/>
        <w:spacing w:before="240" w:after="0" w:line="360" w:lineRule="auto"/>
        <w:jc w:val="both"/>
        <w:outlineLvl w:val="0"/>
        <w:rPr>
          <w:rFonts w:ascii="Times New Roman" w:eastAsiaTheme="majorEastAsia" w:hAnsi="Times New Roman" w:cstheme="majorBidi"/>
          <w:b/>
          <w:color w:val="000000" w:themeColor="text1"/>
          <w:sz w:val="28"/>
          <w:szCs w:val="32"/>
          <w:lang w:val="en-US"/>
        </w:rPr>
      </w:pPr>
      <w:bookmarkStart w:id="10" w:name="_Toc102420641"/>
      <w:bookmarkStart w:id="11" w:name="_Toc102423087"/>
      <w:r w:rsidRPr="00EA43B2">
        <w:rPr>
          <w:rFonts w:ascii="Times New Roman" w:eastAsiaTheme="majorEastAsia" w:hAnsi="Times New Roman" w:cstheme="majorBidi"/>
          <w:b/>
          <w:color w:val="000000" w:themeColor="text1"/>
          <w:sz w:val="28"/>
          <w:szCs w:val="32"/>
          <w:lang w:val="en-US"/>
        </w:rPr>
        <w:lastRenderedPageBreak/>
        <w:t>Reference lis</w:t>
      </w:r>
      <w:bookmarkEnd w:id="10"/>
      <w:r w:rsidR="009042D5">
        <w:rPr>
          <w:rFonts w:ascii="Times New Roman" w:eastAsiaTheme="majorEastAsia" w:hAnsi="Times New Roman" w:cstheme="majorBidi"/>
          <w:b/>
          <w:color w:val="000000" w:themeColor="text1"/>
          <w:sz w:val="28"/>
          <w:szCs w:val="32"/>
          <w:lang w:val="en-US"/>
        </w:rPr>
        <w:t>t</w:t>
      </w:r>
      <w:bookmarkEnd w:id="11"/>
    </w:p>
    <w:p w14:paraId="76268425" w14:textId="77777777" w:rsidR="009042D5" w:rsidRPr="00EA43B2" w:rsidRDefault="009042D5" w:rsidP="00DC4C0C">
      <w:pPr>
        <w:rPr>
          <w:lang w:val="en-US"/>
        </w:rPr>
      </w:pPr>
    </w:p>
    <w:p w14:paraId="42567559" w14:textId="77777777" w:rsidR="00EA43B2" w:rsidRPr="00EA43B2" w:rsidRDefault="00EA43B2" w:rsidP="00EA43B2">
      <w:pPr>
        <w:spacing w:line="360" w:lineRule="auto"/>
        <w:rPr>
          <w:rFonts w:ascii="Times New Roman" w:hAnsi="Times New Roman"/>
          <w:sz w:val="24"/>
          <w:szCs w:val="24"/>
          <w:lang w:val="en-US"/>
        </w:rPr>
      </w:pPr>
      <w:proofErr w:type="spellStart"/>
      <w:r w:rsidRPr="00EA43B2">
        <w:rPr>
          <w:rFonts w:ascii="Times New Roman" w:hAnsi="Times New Roman"/>
          <w:sz w:val="24"/>
          <w:szCs w:val="24"/>
          <w:lang w:val="en-US"/>
        </w:rPr>
        <w:t>Barbato</w:t>
      </w:r>
      <w:proofErr w:type="spellEnd"/>
      <w:r w:rsidRPr="00EA43B2">
        <w:rPr>
          <w:rFonts w:ascii="Times New Roman" w:hAnsi="Times New Roman"/>
          <w:sz w:val="24"/>
          <w:szCs w:val="24"/>
          <w:lang w:val="en-US"/>
        </w:rPr>
        <w:t xml:space="preserve">, F. (2005). Efficient Market Hypothesis: </w:t>
      </w:r>
      <w:proofErr w:type="spellStart"/>
      <w:r w:rsidRPr="00EA43B2">
        <w:rPr>
          <w:rFonts w:ascii="Times New Roman" w:hAnsi="Times New Roman"/>
          <w:sz w:val="24"/>
          <w:szCs w:val="24"/>
          <w:lang w:val="en-US"/>
        </w:rPr>
        <w:t>Limiti</w:t>
      </w:r>
      <w:proofErr w:type="spellEnd"/>
      <w:r w:rsidRPr="00EA43B2">
        <w:rPr>
          <w:rFonts w:ascii="Times New Roman" w:hAnsi="Times New Roman"/>
          <w:sz w:val="24"/>
          <w:szCs w:val="24"/>
          <w:lang w:val="en-US"/>
        </w:rPr>
        <w:t xml:space="preserve"> </w:t>
      </w:r>
      <w:proofErr w:type="spellStart"/>
      <w:r w:rsidRPr="00EA43B2">
        <w:rPr>
          <w:rFonts w:ascii="Times New Roman" w:hAnsi="Times New Roman"/>
          <w:sz w:val="24"/>
          <w:szCs w:val="24"/>
          <w:lang w:val="en-US"/>
        </w:rPr>
        <w:t>della</w:t>
      </w:r>
      <w:proofErr w:type="spellEnd"/>
      <w:r w:rsidRPr="00EA43B2">
        <w:rPr>
          <w:rFonts w:ascii="Times New Roman" w:hAnsi="Times New Roman"/>
          <w:sz w:val="24"/>
          <w:szCs w:val="24"/>
          <w:lang w:val="en-US"/>
        </w:rPr>
        <w:t xml:space="preserve"> Teoria Classica (Efficient Market Hypothesis: Limits of the Classical Theory). </w:t>
      </w:r>
      <w:r w:rsidRPr="00EA43B2">
        <w:rPr>
          <w:rFonts w:ascii="Times New Roman" w:hAnsi="Times New Roman"/>
          <w:i/>
          <w:iCs/>
          <w:sz w:val="24"/>
          <w:szCs w:val="24"/>
          <w:lang w:val="en-US"/>
        </w:rPr>
        <w:t>SSRN Electronic Journal</w:t>
      </w:r>
      <w:r w:rsidRPr="00EA43B2">
        <w:rPr>
          <w:rFonts w:ascii="Times New Roman" w:hAnsi="Times New Roman"/>
          <w:sz w:val="24"/>
          <w:szCs w:val="24"/>
          <w:lang w:val="en-US"/>
        </w:rPr>
        <w:t>, 1(1).</w:t>
      </w:r>
    </w:p>
    <w:p w14:paraId="09E0B226" w14:textId="77777777" w:rsidR="00EA43B2" w:rsidRPr="00EA43B2" w:rsidRDefault="00EA43B2" w:rsidP="00EA43B2">
      <w:pPr>
        <w:spacing w:line="360" w:lineRule="auto"/>
        <w:rPr>
          <w:rFonts w:ascii="Times New Roman" w:hAnsi="Times New Roman"/>
          <w:sz w:val="24"/>
          <w:szCs w:val="24"/>
          <w:lang w:val="en-US"/>
        </w:rPr>
      </w:pPr>
      <w:r w:rsidRPr="00EA43B2">
        <w:rPr>
          <w:rFonts w:ascii="Times New Roman" w:hAnsi="Times New Roman"/>
          <w:sz w:val="24"/>
          <w:szCs w:val="24"/>
          <w:lang w:val="en-US"/>
        </w:rPr>
        <w:t xml:space="preserve">C, </w:t>
      </w:r>
      <w:proofErr w:type="gramStart"/>
      <w:r w:rsidRPr="00EA43B2">
        <w:rPr>
          <w:rFonts w:ascii="Times New Roman" w:hAnsi="Times New Roman"/>
          <w:sz w:val="24"/>
          <w:szCs w:val="24"/>
          <w:lang w:val="en-US"/>
        </w:rPr>
        <w:t>J.</w:t>
      </w:r>
      <w:proofErr w:type="gramEnd"/>
      <w:r w:rsidRPr="00EA43B2">
        <w:rPr>
          <w:rFonts w:ascii="Times New Roman" w:hAnsi="Times New Roman"/>
          <w:sz w:val="24"/>
          <w:szCs w:val="24"/>
          <w:lang w:val="en-US"/>
        </w:rPr>
        <w:t xml:space="preserve"> and </w:t>
      </w:r>
      <w:proofErr w:type="spellStart"/>
      <w:r w:rsidRPr="00EA43B2">
        <w:rPr>
          <w:rFonts w:ascii="Times New Roman" w:hAnsi="Times New Roman"/>
          <w:sz w:val="24"/>
          <w:szCs w:val="24"/>
          <w:lang w:val="en-US"/>
        </w:rPr>
        <w:t>Wachowicz</w:t>
      </w:r>
      <w:proofErr w:type="spellEnd"/>
      <w:r w:rsidRPr="00EA43B2">
        <w:rPr>
          <w:rFonts w:ascii="Times New Roman" w:hAnsi="Times New Roman"/>
          <w:sz w:val="24"/>
          <w:szCs w:val="24"/>
          <w:lang w:val="en-US"/>
        </w:rPr>
        <w:t xml:space="preserve">, J.M. (2008). </w:t>
      </w:r>
      <w:r w:rsidRPr="00EA43B2">
        <w:rPr>
          <w:rFonts w:ascii="Times New Roman" w:hAnsi="Times New Roman"/>
          <w:i/>
          <w:iCs/>
          <w:sz w:val="24"/>
          <w:szCs w:val="24"/>
          <w:lang w:val="en-US"/>
        </w:rPr>
        <w:t>Fundamentals of financial management.</w:t>
      </w:r>
      <w:r w:rsidRPr="00EA43B2">
        <w:rPr>
          <w:rFonts w:ascii="Times New Roman" w:hAnsi="Times New Roman"/>
          <w:sz w:val="24"/>
          <w:szCs w:val="24"/>
          <w:lang w:val="en-US"/>
        </w:rPr>
        <w:t xml:space="preserve"> 13th ed. Harlow: Financial Times Prentice Hall.</w:t>
      </w:r>
    </w:p>
    <w:p w14:paraId="0C1F14FA" w14:textId="77777777" w:rsidR="00EA43B2" w:rsidRPr="00EA43B2" w:rsidRDefault="00EA43B2" w:rsidP="00EA43B2">
      <w:pPr>
        <w:spacing w:line="360" w:lineRule="auto"/>
        <w:rPr>
          <w:rFonts w:ascii="Times New Roman" w:hAnsi="Times New Roman"/>
          <w:sz w:val="24"/>
          <w:szCs w:val="24"/>
          <w:lang w:val="en-US"/>
        </w:rPr>
      </w:pPr>
      <w:r w:rsidRPr="00EA43B2">
        <w:rPr>
          <w:rFonts w:ascii="Times New Roman" w:hAnsi="Times New Roman"/>
          <w:sz w:val="24"/>
          <w:szCs w:val="24"/>
          <w:lang w:val="en-US"/>
        </w:rPr>
        <w:t xml:space="preserve">Google Finance (2022). </w:t>
      </w:r>
      <w:r w:rsidRPr="00EA43B2">
        <w:rPr>
          <w:rFonts w:ascii="Times New Roman" w:hAnsi="Times New Roman"/>
          <w:i/>
          <w:iCs/>
          <w:sz w:val="24"/>
          <w:szCs w:val="24"/>
          <w:lang w:val="en-US"/>
        </w:rPr>
        <w:t>Toyota Motor Corp (TYT) Stock Price &amp; News - Google Finance</w:t>
      </w:r>
      <w:r w:rsidRPr="00EA43B2">
        <w:rPr>
          <w:rFonts w:ascii="Times New Roman" w:hAnsi="Times New Roman"/>
          <w:sz w:val="24"/>
          <w:szCs w:val="24"/>
          <w:lang w:val="en-US"/>
        </w:rPr>
        <w:t xml:space="preserve">. [online] www.google.com. Available at: </w:t>
      </w:r>
      <w:hyperlink r:id="rId9" w:history="1">
        <w:r w:rsidRPr="00EA43B2">
          <w:rPr>
            <w:rFonts w:ascii="Times New Roman" w:hAnsi="Times New Roman" w:cs="Times New Roman"/>
            <w:sz w:val="24"/>
            <w:szCs w:val="24"/>
            <w:u w:val="single"/>
            <w:lang w:val="en-US"/>
          </w:rPr>
          <w:t>https://www.google.com/finance/quote/TYT:LON?sa=X&amp;ved=2ahUKEwjRm6iblL_3AhVLUcAKHaTlB88Q_AUoA3oECAEQDQ&amp;window=1Y</w:t>
        </w:r>
      </w:hyperlink>
      <w:r w:rsidRPr="00EA43B2">
        <w:rPr>
          <w:rFonts w:ascii="Times New Roman" w:hAnsi="Times New Roman"/>
          <w:sz w:val="24"/>
          <w:szCs w:val="24"/>
          <w:lang w:val="en-US"/>
        </w:rPr>
        <w:t xml:space="preserve"> [Accessed 1 May 2022].</w:t>
      </w:r>
    </w:p>
    <w:p w14:paraId="1F748500" w14:textId="77777777" w:rsidR="00EA43B2" w:rsidRPr="00EA43B2" w:rsidRDefault="00EA43B2" w:rsidP="00EA43B2">
      <w:pPr>
        <w:spacing w:line="360" w:lineRule="auto"/>
        <w:rPr>
          <w:rFonts w:ascii="Times New Roman" w:hAnsi="Times New Roman"/>
          <w:sz w:val="24"/>
          <w:szCs w:val="24"/>
          <w:lang w:val="en-US"/>
        </w:rPr>
      </w:pPr>
      <w:r w:rsidRPr="00EA43B2">
        <w:rPr>
          <w:rFonts w:ascii="Times New Roman" w:hAnsi="Times New Roman"/>
          <w:sz w:val="24"/>
          <w:szCs w:val="24"/>
          <w:lang w:val="en-US"/>
        </w:rPr>
        <w:t xml:space="preserve">Shapiro, A.C. (2014). </w:t>
      </w:r>
      <w:r w:rsidRPr="00EA43B2">
        <w:rPr>
          <w:rFonts w:ascii="Times New Roman" w:hAnsi="Times New Roman"/>
          <w:i/>
          <w:iCs/>
          <w:sz w:val="24"/>
          <w:szCs w:val="24"/>
          <w:lang w:val="en-US"/>
        </w:rPr>
        <w:t>Multinational financial management</w:t>
      </w:r>
      <w:r w:rsidRPr="00EA43B2">
        <w:rPr>
          <w:rFonts w:ascii="Times New Roman" w:hAnsi="Times New Roman"/>
          <w:sz w:val="24"/>
          <w:szCs w:val="24"/>
          <w:lang w:val="en-US"/>
        </w:rPr>
        <w:t>. Hoboken, New Jersey: Wiley.</w:t>
      </w:r>
    </w:p>
    <w:p w14:paraId="541F2418" w14:textId="77777777" w:rsidR="00EA43B2" w:rsidRPr="00EA43B2" w:rsidRDefault="00EA43B2" w:rsidP="00EA43B2">
      <w:pPr>
        <w:spacing w:line="360" w:lineRule="auto"/>
        <w:rPr>
          <w:rFonts w:ascii="Times New Roman" w:hAnsi="Times New Roman"/>
          <w:sz w:val="24"/>
          <w:szCs w:val="24"/>
          <w:lang w:val="en-US"/>
        </w:rPr>
      </w:pPr>
      <w:r w:rsidRPr="00EA43B2">
        <w:rPr>
          <w:rFonts w:ascii="Times New Roman" w:hAnsi="Times New Roman"/>
          <w:sz w:val="24"/>
          <w:szCs w:val="24"/>
          <w:lang w:val="en-US"/>
        </w:rPr>
        <w:t xml:space="preserve">Stock Analysis on Net (2022). </w:t>
      </w:r>
      <w:r w:rsidRPr="00EA43B2">
        <w:rPr>
          <w:rFonts w:ascii="Times New Roman" w:hAnsi="Times New Roman"/>
          <w:i/>
          <w:iCs/>
          <w:sz w:val="24"/>
          <w:szCs w:val="24"/>
          <w:lang w:val="en-US"/>
        </w:rPr>
        <w:t>Toyota Motor Corp. (NYSE:TM) | Present Value of FCFE</w:t>
      </w:r>
      <w:r w:rsidRPr="00EA43B2">
        <w:rPr>
          <w:rFonts w:ascii="Times New Roman" w:hAnsi="Times New Roman"/>
          <w:sz w:val="24"/>
          <w:szCs w:val="24"/>
          <w:lang w:val="en-US"/>
        </w:rPr>
        <w:t xml:space="preserve">. [online] Stock Analysis on Net. Available at: </w:t>
      </w:r>
      <w:hyperlink r:id="rId10" w:history="1">
        <w:r w:rsidRPr="00EA43B2">
          <w:rPr>
            <w:rFonts w:ascii="Times New Roman" w:hAnsi="Times New Roman" w:cs="Times New Roman"/>
            <w:sz w:val="24"/>
            <w:szCs w:val="24"/>
            <w:u w:val="single"/>
            <w:lang w:val="en-US"/>
          </w:rPr>
          <w:t>https://www.stock-analysis-on.net/NYSE/Company/Toyota-Motor-Corp/DCF/Present-Value-of-FCFE</w:t>
        </w:r>
      </w:hyperlink>
      <w:r w:rsidRPr="00EA43B2">
        <w:rPr>
          <w:rFonts w:ascii="Times New Roman" w:hAnsi="Times New Roman"/>
          <w:sz w:val="24"/>
          <w:szCs w:val="24"/>
          <w:lang w:val="en-US"/>
        </w:rPr>
        <w:t xml:space="preserve"> [Accessed 1 May 2022].</w:t>
      </w:r>
    </w:p>
    <w:p w14:paraId="49B8976B" w14:textId="77777777" w:rsidR="00EA43B2" w:rsidRPr="00EA43B2" w:rsidRDefault="00EA43B2" w:rsidP="00EA43B2">
      <w:pPr>
        <w:spacing w:line="360" w:lineRule="auto"/>
        <w:rPr>
          <w:rFonts w:ascii="Times New Roman" w:hAnsi="Times New Roman"/>
          <w:sz w:val="24"/>
          <w:szCs w:val="24"/>
          <w:lang w:val="en-US"/>
        </w:rPr>
      </w:pPr>
      <w:r w:rsidRPr="00EA43B2">
        <w:rPr>
          <w:rFonts w:ascii="Times New Roman" w:hAnsi="Times New Roman"/>
          <w:sz w:val="24"/>
          <w:szCs w:val="24"/>
          <w:lang w:val="en-US"/>
        </w:rPr>
        <w:t xml:space="preserve">Toyota Industries Corporation (2021). </w:t>
      </w:r>
      <w:r w:rsidRPr="00EA43B2">
        <w:rPr>
          <w:rFonts w:ascii="Times New Roman" w:hAnsi="Times New Roman"/>
          <w:i/>
          <w:iCs/>
          <w:sz w:val="24"/>
          <w:szCs w:val="24"/>
          <w:lang w:val="en-US"/>
        </w:rPr>
        <w:t>2021</w:t>
      </w:r>
      <w:r w:rsidRPr="00EA43B2">
        <w:rPr>
          <w:rFonts w:ascii="Times New Roman" w:hAnsi="Times New Roman"/>
          <w:sz w:val="24"/>
          <w:szCs w:val="24"/>
          <w:lang w:val="en-US"/>
        </w:rPr>
        <w:t xml:space="preserve">. [online] Available at: </w:t>
      </w:r>
      <w:hyperlink r:id="rId11" w:history="1">
        <w:r w:rsidRPr="00EA43B2">
          <w:rPr>
            <w:rFonts w:ascii="Times New Roman" w:hAnsi="Times New Roman" w:cs="Times New Roman"/>
            <w:sz w:val="24"/>
            <w:szCs w:val="24"/>
            <w:u w:val="single"/>
            <w:lang w:val="en-US"/>
          </w:rPr>
          <w:t>https://www.toyota-industries.com/investors/items/2021_annual_financial_report_E.pdf</w:t>
        </w:r>
      </w:hyperlink>
      <w:r w:rsidRPr="00EA43B2">
        <w:rPr>
          <w:rFonts w:ascii="Times New Roman" w:hAnsi="Times New Roman"/>
          <w:sz w:val="24"/>
          <w:szCs w:val="24"/>
          <w:lang w:val="en-US"/>
        </w:rPr>
        <w:t>.</w:t>
      </w:r>
    </w:p>
    <w:p w14:paraId="4995B086" w14:textId="77777777" w:rsidR="00EA43B2" w:rsidRPr="00EA43B2" w:rsidRDefault="00EA43B2" w:rsidP="00EA43B2">
      <w:pPr>
        <w:spacing w:line="360" w:lineRule="auto"/>
        <w:rPr>
          <w:rFonts w:ascii="Times New Roman" w:hAnsi="Times New Roman"/>
          <w:sz w:val="24"/>
          <w:szCs w:val="24"/>
          <w:lang w:val="en-US"/>
        </w:rPr>
      </w:pPr>
      <w:r w:rsidRPr="00EA43B2">
        <w:rPr>
          <w:rFonts w:ascii="Times New Roman" w:hAnsi="Times New Roman"/>
          <w:sz w:val="24"/>
          <w:szCs w:val="24"/>
          <w:lang w:val="en-US"/>
        </w:rPr>
        <w:t xml:space="preserve">TOYOTA MOTOR CORPORATION (2019). </w:t>
      </w:r>
      <w:r w:rsidRPr="00EA43B2">
        <w:rPr>
          <w:rFonts w:ascii="Times New Roman" w:hAnsi="Times New Roman"/>
          <w:i/>
          <w:iCs/>
          <w:sz w:val="24"/>
          <w:szCs w:val="24"/>
          <w:lang w:val="en-US"/>
        </w:rPr>
        <w:t>Toyota Motor Corporation Official Global Website</w:t>
      </w:r>
      <w:r w:rsidRPr="00EA43B2">
        <w:rPr>
          <w:rFonts w:ascii="Times New Roman" w:hAnsi="Times New Roman"/>
          <w:sz w:val="24"/>
          <w:szCs w:val="24"/>
          <w:lang w:val="en-US"/>
        </w:rPr>
        <w:t xml:space="preserve">. [online] Toyota Motor Corporation Official Global Website. Available at: </w:t>
      </w:r>
      <w:hyperlink r:id="rId12" w:history="1">
        <w:r w:rsidRPr="00EA43B2">
          <w:rPr>
            <w:rFonts w:ascii="Times New Roman" w:hAnsi="Times New Roman" w:cs="Times New Roman"/>
            <w:sz w:val="24"/>
            <w:szCs w:val="24"/>
            <w:u w:val="single"/>
            <w:lang w:val="en-US"/>
          </w:rPr>
          <w:t>https://global.toyota/en/</w:t>
        </w:r>
      </w:hyperlink>
      <w:r w:rsidRPr="00EA43B2">
        <w:rPr>
          <w:rFonts w:ascii="Times New Roman" w:hAnsi="Times New Roman"/>
          <w:sz w:val="24"/>
          <w:szCs w:val="24"/>
          <w:lang w:val="en-US"/>
        </w:rPr>
        <w:t>.</w:t>
      </w:r>
    </w:p>
    <w:p w14:paraId="04942F42" w14:textId="77777777" w:rsidR="00EA43B2" w:rsidRPr="006818D0" w:rsidRDefault="00EA43B2">
      <w:pPr>
        <w:rPr>
          <w:rFonts w:ascii="Times New Roman" w:hAnsi="Times New Roman" w:cs="Times New Roman"/>
          <w:sz w:val="36"/>
          <w:szCs w:val="36"/>
        </w:rPr>
      </w:pPr>
    </w:p>
    <w:sectPr w:rsidR="00EA43B2" w:rsidRPr="006818D0" w:rsidSect="0077556A">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85530" w14:textId="77777777" w:rsidR="009D7BF3" w:rsidRDefault="009D7BF3" w:rsidP="00CD46AA">
      <w:pPr>
        <w:spacing w:after="0" w:line="240" w:lineRule="auto"/>
      </w:pPr>
      <w:r>
        <w:separator/>
      </w:r>
    </w:p>
  </w:endnote>
  <w:endnote w:type="continuationSeparator" w:id="0">
    <w:p w14:paraId="3A266E90" w14:textId="77777777" w:rsidR="009D7BF3" w:rsidRDefault="009D7BF3" w:rsidP="00CD46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5704854"/>
      <w:docPartObj>
        <w:docPartGallery w:val="Page Numbers (Bottom of Page)"/>
        <w:docPartUnique/>
      </w:docPartObj>
    </w:sdtPr>
    <w:sdtEndPr>
      <w:rPr>
        <w:noProof/>
      </w:rPr>
    </w:sdtEndPr>
    <w:sdtContent>
      <w:p w14:paraId="5E17AF0E" w14:textId="175DEF5D" w:rsidR="00931348" w:rsidRDefault="009313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393812" w14:textId="77777777" w:rsidR="001760BE" w:rsidRDefault="00176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B97A5" w14:textId="77777777" w:rsidR="009D7BF3" w:rsidRDefault="009D7BF3" w:rsidP="00CD46AA">
      <w:pPr>
        <w:spacing w:after="0" w:line="240" w:lineRule="auto"/>
      </w:pPr>
      <w:r>
        <w:separator/>
      </w:r>
    </w:p>
  </w:footnote>
  <w:footnote w:type="continuationSeparator" w:id="0">
    <w:p w14:paraId="676ABF7B" w14:textId="77777777" w:rsidR="009D7BF3" w:rsidRDefault="009D7BF3" w:rsidP="00CD46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495"/>
    <w:rsid w:val="000705CF"/>
    <w:rsid w:val="000745FD"/>
    <w:rsid w:val="00095B65"/>
    <w:rsid w:val="001760BE"/>
    <w:rsid w:val="00177B7C"/>
    <w:rsid w:val="001E25D3"/>
    <w:rsid w:val="002055A4"/>
    <w:rsid w:val="00225670"/>
    <w:rsid w:val="00286AAB"/>
    <w:rsid w:val="00295934"/>
    <w:rsid w:val="00335F8E"/>
    <w:rsid w:val="00397FA8"/>
    <w:rsid w:val="004135AD"/>
    <w:rsid w:val="00415EE4"/>
    <w:rsid w:val="00482ABA"/>
    <w:rsid w:val="004913C8"/>
    <w:rsid w:val="004F056C"/>
    <w:rsid w:val="00604137"/>
    <w:rsid w:val="00605DD0"/>
    <w:rsid w:val="006818D0"/>
    <w:rsid w:val="0068598D"/>
    <w:rsid w:val="006A1495"/>
    <w:rsid w:val="006A5F3B"/>
    <w:rsid w:val="006B5EE0"/>
    <w:rsid w:val="006B7ECE"/>
    <w:rsid w:val="006D3165"/>
    <w:rsid w:val="00745001"/>
    <w:rsid w:val="0077556A"/>
    <w:rsid w:val="00797414"/>
    <w:rsid w:val="009042D5"/>
    <w:rsid w:val="009212F3"/>
    <w:rsid w:val="00931348"/>
    <w:rsid w:val="00932696"/>
    <w:rsid w:val="00943B71"/>
    <w:rsid w:val="009D7BF3"/>
    <w:rsid w:val="00A63B69"/>
    <w:rsid w:val="00AF50C1"/>
    <w:rsid w:val="00CD1D39"/>
    <w:rsid w:val="00CD46AA"/>
    <w:rsid w:val="00CE2A0A"/>
    <w:rsid w:val="00D0164F"/>
    <w:rsid w:val="00DC4C0C"/>
    <w:rsid w:val="00E410C5"/>
    <w:rsid w:val="00E65269"/>
    <w:rsid w:val="00EA43B2"/>
    <w:rsid w:val="00EB6A41"/>
    <w:rsid w:val="00EF3D32"/>
    <w:rsid w:val="00F118F1"/>
    <w:rsid w:val="00F65028"/>
    <w:rsid w:val="00F75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6BFB2"/>
  <w15:chartTrackingRefBased/>
  <w15:docId w15:val="{1F2181F8-B3FF-4F22-86CF-DB7658D7A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2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46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6AA"/>
  </w:style>
  <w:style w:type="paragraph" w:styleId="Footer">
    <w:name w:val="footer"/>
    <w:basedOn w:val="Normal"/>
    <w:link w:val="FooterChar"/>
    <w:uiPriority w:val="99"/>
    <w:unhideWhenUsed/>
    <w:rsid w:val="00CD46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6AA"/>
  </w:style>
  <w:style w:type="table" w:styleId="TableGrid">
    <w:name w:val="Table Grid"/>
    <w:basedOn w:val="TableNormal"/>
    <w:uiPriority w:val="39"/>
    <w:rsid w:val="00EA43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212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12F3"/>
    <w:pPr>
      <w:outlineLvl w:val="9"/>
    </w:pPr>
  </w:style>
  <w:style w:type="paragraph" w:styleId="TOC1">
    <w:name w:val="toc 1"/>
    <w:basedOn w:val="Normal"/>
    <w:next w:val="Normal"/>
    <w:autoRedefine/>
    <w:uiPriority w:val="39"/>
    <w:unhideWhenUsed/>
    <w:rsid w:val="009212F3"/>
    <w:pPr>
      <w:spacing w:after="100"/>
    </w:pPr>
  </w:style>
  <w:style w:type="character" w:styleId="Hyperlink">
    <w:name w:val="Hyperlink"/>
    <w:basedOn w:val="DefaultParagraphFont"/>
    <w:uiPriority w:val="99"/>
    <w:unhideWhenUsed/>
    <w:rsid w:val="009212F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global.toyota/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oyota-industries.com/investors/items/2021_annual_financial_report_E.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stock-analysis-on.net/NYSE/Company/Toyota-Motor-Corp/DCF/Present-Value-of-FCFE" TargetMode="External"/><Relationship Id="rId4" Type="http://schemas.openxmlformats.org/officeDocument/2006/relationships/footnotes" Target="footnotes.xml"/><Relationship Id="rId9" Type="http://schemas.openxmlformats.org/officeDocument/2006/relationships/hyperlink" Target="https://www.google.com/finance/quote/TYT:LON?sa=X&amp;ved=2ahUKEwjRm6iblL_3AhVLUcAKHaTlB88Q_AUoA3oECAEQDQ&amp;window=1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8</Pages>
  <Words>1774</Words>
  <Characters>10116</Characters>
  <Application>Microsoft Office Word</Application>
  <DocSecurity>0</DocSecurity>
  <Lines>84</Lines>
  <Paragraphs>23</Paragraphs>
  <ScaleCrop>false</ScaleCrop>
  <Company/>
  <LinksUpToDate>false</LinksUpToDate>
  <CharactersWithSpaces>11867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Zarankova</dc:creator>
  <cp:keywords/>
  <dc:description/>
  <cp:lastModifiedBy>Nadya Zarankova</cp:lastModifiedBy>
  <cp:revision>48</cp:revision>
  <dcterms:created xsi:type="dcterms:W3CDTF">2022-05-02T20:33:00Z</dcterms:created>
  <dcterms:modified xsi:type="dcterms:W3CDTF">2022-05-02T21:31:00Z</dcterms:modified>
</cp:coreProperties>
</file>