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3AB68" w14:textId="77777777" w:rsidR="00921512" w:rsidRPr="00CA46DD" w:rsidRDefault="00921512" w:rsidP="00921512">
      <w:pPr>
        <w:pStyle w:val="Normal1"/>
        <w:widowControl w:val="0"/>
        <w:spacing w:before="240" w:after="200" w:line="360" w:lineRule="auto"/>
        <w:ind w:left="726"/>
        <w:jc w:val="center"/>
        <w:rPr>
          <w:rFonts w:ascii="Times New Roman" w:hAnsi="Times New Roman" w:cs="Times New Roman"/>
          <w:b/>
          <w:sz w:val="32"/>
          <w:szCs w:val="24"/>
        </w:rPr>
      </w:pPr>
    </w:p>
    <w:p w14:paraId="181385C8" w14:textId="77777777" w:rsidR="00921512" w:rsidRPr="00CA46DD" w:rsidRDefault="00921512" w:rsidP="00921512">
      <w:pPr>
        <w:pStyle w:val="Normal1"/>
        <w:widowControl w:val="0"/>
        <w:spacing w:before="240" w:after="200" w:line="360" w:lineRule="auto"/>
        <w:ind w:left="726"/>
        <w:jc w:val="center"/>
        <w:rPr>
          <w:rFonts w:ascii="Times New Roman" w:hAnsi="Times New Roman" w:cs="Times New Roman"/>
          <w:b/>
          <w:sz w:val="32"/>
          <w:szCs w:val="24"/>
        </w:rPr>
      </w:pPr>
    </w:p>
    <w:p w14:paraId="40000AB2" w14:textId="77777777" w:rsidR="00921512" w:rsidRPr="00CA46DD" w:rsidRDefault="00921512" w:rsidP="00A870E9">
      <w:pPr>
        <w:pStyle w:val="Normal1"/>
        <w:widowControl w:val="0"/>
        <w:spacing w:before="240" w:after="200" w:line="360" w:lineRule="auto"/>
        <w:rPr>
          <w:rFonts w:ascii="Times New Roman" w:hAnsi="Times New Roman" w:cs="Times New Roman"/>
          <w:b/>
          <w:sz w:val="32"/>
          <w:szCs w:val="24"/>
        </w:rPr>
      </w:pPr>
    </w:p>
    <w:p w14:paraId="5CA71B9D" w14:textId="77777777" w:rsidR="00921512" w:rsidRPr="00CA46DD" w:rsidRDefault="00921512" w:rsidP="00921512">
      <w:pPr>
        <w:pStyle w:val="Normal1"/>
        <w:widowControl w:val="0"/>
        <w:spacing w:before="240" w:after="200" w:line="360" w:lineRule="auto"/>
        <w:ind w:left="726"/>
        <w:jc w:val="center"/>
        <w:rPr>
          <w:rFonts w:ascii="Times New Roman" w:hAnsi="Times New Roman" w:cs="Times New Roman"/>
          <w:b/>
          <w:sz w:val="32"/>
          <w:szCs w:val="24"/>
        </w:rPr>
      </w:pPr>
    </w:p>
    <w:p w14:paraId="11DB44C8" w14:textId="77777777" w:rsidR="00921512" w:rsidRPr="00CA46DD" w:rsidRDefault="00921512" w:rsidP="00921512">
      <w:pPr>
        <w:pStyle w:val="Normal1"/>
        <w:widowControl w:val="0"/>
        <w:spacing w:before="240" w:after="200" w:line="360" w:lineRule="auto"/>
        <w:ind w:left="726"/>
        <w:jc w:val="center"/>
        <w:rPr>
          <w:rFonts w:ascii="Times New Roman" w:hAnsi="Times New Roman" w:cs="Times New Roman"/>
          <w:b/>
          <w:sz w:val="32"/>
          <w:szCs w:val="24"/>
        </w:rPr>
      </w:pPr>
    </w:p>
    <w:p w14:paraId="23EA71F8" w14:textId="77777777" w:rsidR="00C84FC1" w:rsidRDefault="008407FC" w:rsidP="00921512">
      <w:pPr>
        <w:pStyle w:val="Normal1"/>
        <w:widowControl w:val="0"/>
        <w:spacing w:before="240" w:after="200" w:line="360" w:lineRule="auto"/>
        <w:ind w:left="726"/>
        <w:jc w:val="center"/>
        <w:rPr>
          <w:rFonts w:ascii="Times New Roman" w:hAnsi="Times New Roman" w:cs="Times New Roman"/>
          <w:b/>
          <w:sz w:val="32"/>
          <w:szCs w:val="24"/>
        </w:rPr>
      </w:pPr>
      <w:r w:rsidRPr="00CA46DD">
        <w:rPr>
          <w:rFonts w:ascii="Times New Roman" w:hAnsi="Times New Roman" w:cs="Times New Roman"/>
          <w:b/>
          <w:sz w:val="32"/>
          <w:szCs w:val="24"/>
        </w:rPr>
        <w:t>CONSULTANCY REPORT FOR HILTON DUBAI AL HABTOOR CITY’S MARKETING DEPARTMENT</w:t>
      </w:r>
      <w:r w:rsidR="0025597A">
        <w:rPr>
          <w:rFonts w:ascii="Times New Roman" w:hAnsi="Times New Roman" w:cs="Times New Roman"/>
          <w:b/>
          <w:sz w:val="32"/>
          <w:szCs w:val="24"/>
        </w:rPr>
        <w:t xml:space="preserve">, MARKETING PRESPECTIVE </w:t>
      </w:r>
      <w:r w:rsidRPr="00CA46DD">
        <w:rPr>
          <w:rFonts w:ascii="Times New Roman" w:hAnsi="Times New Roman" w:cs="Times New Roman"/>
          <w:b/>
          <w:sz w:val="32"/>
          <w:szCs w:val="24"/>
        </w:rPr>
        <w:t xml:space="preserve"> </w:t>
      </w:r>
    </w:p>
    <w:p w14:paraId="058230F7" w14:textId="17614E10" w:rsidR="007D7040" w:rsidRDefault="007D7040" w:rsidP="007D7040">
      <w:pPr>
        <w:pStyle w:val="Normal1"/>
        <w:widowControl w:val="0"/>
        <w:spacing w:before="240" w:after="200" w:line="360" w:lineRule="auto"/>
        <w:ind w:left="726"/>
        <w:jc w:val="center"/>
        <w:rPr>
          <w:rFonts w:ascii="Times New Roman" w:hAnsi="Times New Roman" w:cs="Times New Roman"/>
          <w:b/>
          <w:sz w:val="32"/>
          <w:szCs w:val="24"/>
        </w:rPr>
      </w:pPr>
      <w:r>
        <w:rPr>
          <w:rFonts w:ascii="Times New Roman" w:hAnsi="Times New Roman" w:cs="Times New Roman"/>
          <w:b/>
          <w:sz w:val="32"/>
          <w:szCs w:val="24"/>
        </w:rPr>
        <w:t>Student Name: Sezen Mustanova</w:t>
      </w:r>
    </w:p>
    <w:p w14:paraId="12C1AA7D" w14:textId="67902610" w:rsidR="007D7040" w:rsidRPr="00CA46DD" w:rsidRDefault="007D7040" w:rsidP="007D7040">
      <w:pPr>
        <w:pStyle w:val="Normal1"/>
        <w:widowControl w:val="0"/>
        <w:spacing w:before="240" w:after="200" w:line="360" w:lineRule="auto"/>
        <w:ind w:left="726"/>
        <w:jc w:val="center"/>
        <w:rPr>
          <w:rFonts w:ascii="Times New Roman" w:hAnsi="Times New Roman" w:cs="Times New Roman"/>
          <w:b/>
          <w:sz w:val="32"/>
          <w:szCs w:val="24"/>
        </w:rPr>
      </w:pPr>
      <w:r>
        <w:rPr>
          <w:rFonts w:ascii="Times New Roman" w:hAnsi="Times New Roman" w:cs="Times New Roman"/>
          <w:b/>
          <w:sz w:val="32"/>
          <w:szCs w:val="24"/>
        </w:rPr>
        <w:t>Student ID: 2210266</w:t>
      </w:r>
    </w:p>
    <w:p w14:paraId="7422EB3E" w14:textId="77777777" w:rsidR="00C84FC1" w:rsidRPr="00CA46DD" w:rsidRDefault="00C84FC1" w:rsidP="00921512">
      <w:pPr>
        <w:pStyle w:val="Normal1"/>
        <w:widowControl w:val="0"/>
        <w:spacing w:before="240" w:after="200" w:line="360" w:lineRule="auto"/>
        <w:ind w:left="726"/>
        <w:jc w:val="both"/>
        <w:rPr>
          <w:rFonts w:ascii="Times New Roman" w:hAnsi="Times New Roman" w:cs="Times New Roman"/>
          <w:b/>
          <w:sz w:val="24"/>
          <w:szCs w:val="24"/>
        </w:rPr>
      </w:pPr>
    </w:p>
    <w:p w14:paraId="7AA7938B" w14:textId="77777777" w:rsidR="00921512" w:rsidRPr="00CA46DD" w:rsidRDefault="00921512">
      <w:pPr>
        <w:rPr>
          <w:rFonts w:ascii="Times New Roman" w:hAnsi="Times New Roman" w:cs="Times New Roman"/>
          <w:b/>
          <w:sz w:val="24"/>
          <w:szCs w:val="24"/>
        </w:rPr>
      </w:pPr>
      <w:r w:rsidRPr="00CA46DD">
        <w:rPr>
          <w:rFonts w:ascii="Times New Roman" w:hAnsi="Times New Roman" w:cs="Times New Roman"/>
          <w:b/>
          <w:sz w:val="24"/>
          <w:szCs w:val="24"/>
        </w:rPr>
        <w:br w:type="page"/>
      </w:r>
    </w:p>
    <w:p w14:paraId="09D43C9A" w14:textId="77777777" w:rsidR="00C84FC1" w:rsidRPr="00CA46DD" w:rsidRDefault="00921512"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lastRenderedPageBreak/>
        <w:t>Executive Summary</w:t>
      </w:r>
    </w:p>
    <w:p w14:paraId="2E25923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This consultancy report is based on Hilton Dubai Al Habtoor City, which is one of the biggest five-star hotels located at the heart of Dubai's active hospitality industry. The luxurious hotel has a history of offering excellent service to clients; however, it has some major challenges that put its competitive advantage and operational performance at risk. Some of these major issues identified include low employee engagement, inconsistent quality of service, and a hard time with market positioning. These factors collectively influence guest satisfaction, and operational efficiency, and create substantial risk in revenue generation, hence making it a necessity to go deep into analysis and strategic intervention.</w:t>
      </w:r>
    </w:p>
    <w:p w14:paraId="726769F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 deeper analysis through the PESTEL and SWOT frameworks indicates that external factors are the primary determinants of hotel performance. The PESTEL analysis shows the economic fluctuations, consumer preference shifts, and the regulatory environment as the key external factors influencing the hospitality industry. For instance, the emergence of the new global pandemic forever altered travel habits, consequently causing lower occupancy rates, as well as added competition from vacation rentals and boutique hotels. Lastly, the financial crisis has also constrained the spending of consumers on travel and luxury, forcing hotels to shift their pricing and even value proposition strategies.</w:t>
      </w:r>
    </w:p>
    <w:p w14:paraId="04596A6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This SWOT analysis will determine the following internal weaknesses. Staff is often not very well trained, and motivational as well as engagement strengths are some of the areas where it is weakest. There is a direct relationship between employee satisfaction and service quality; a recent survey reported an alarming 20% decline in guest satisfaction scores over the past year. Furthermore, increased turnover rates have grown by 15% in the last year, which adversely impacts the reputation and operational consistency of the hotel. In such a competitive environment where word-of-mouth and online reviews have a great influence on consumer decisions, these declines can have long-lasting repercussions on brand loyalty and market share.</w:t>
      </w:r>
    </w:p>
    <w:p w14:paraId="7554798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The report has presented several strategic recommendations that can help in reviving the hotel's operations and improve its competitive position. The most important recommendation is to enhance training and development programs that focus on customer service excellence and employee motivation. Regular workshops, ongoing modules for training, and specifically </w:t>
      </w:r>
      <w:r w:rsidRPr="00CA46DD">
        <w:rPr>
          <w:rFonts w:ascii="Times New Roman" w:hAnsi="Times New Roman" w:cs="Times New Roman"/>
          <w:sz w:val="24"/>
          <w:szCs w:val="24"/>
        </w:rPr>
        <w:lastRenderedPageBreak/>
        <w:t>targeted feedback sessions will all contribute toward continuous improvement and building up skills in the staff for offering quality service. Facilitating professional development further assists in establishing a culture of excellence where employees are made to feel valued and empowered.</w:t>
      </w:r>
    </w:p>
    <w:p w14:paraId="44C787D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Furthermore, communication between the management and staff should also be effective. It is one of the significant importance issues for the prosperity of an organization. In creating open channels of dialogue that will empower staff, help to promote a cohesive culture of teamwork, and ease feelings of disconnection within the organization, opportunities for employees to communicate their concerns and ideas throughout the organization are made by using ideas such as quarterly town hall meetings and suggestion boxes.</w:t>
      </w:r>
    </w:p>
    <w:p w14:paraId="35B2FB6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Employee engagement initiative implementation is also important because it would help in creating better job satisfaction and reduced retention rates. Recognition or rewards of employee contributions could be through employee of the month awards, bonuses for providing excellent service, career development opportunities, and more to motivate the staff while also cultivating a good working environment and encouraging loyalty and commitment at work. Such initiatives hold much promise toward tremendous impact as research shows that business organizations with higher levels of employee engagement generate 21% more profitability.</w:t>
      </w:r>
    </w:p>
    <w:p w14:paraId="2E627B8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All these strategies will be effective only if a strong monitoring and evaluation framework is developed using KPIs for employee engagement, retention rates, and guest satisfaction. Regular assessments will allow timely adjustments to strategies, keeping the hotel responsive to both employee and customer needs.</w:t>
      </w:r>
    </w:p>
    <w:p w14:paraId="1329A1D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Lastly, the report will focus on market positioning and brand promotion. Spending money on focused marketing campaigns that are aimed at emphasizing the unique selling propositions of the hotel, such as luxurious amenities, excellent location, and exceptional services, will attract new guests to the hotel and increase the presence of the hotel in the competitive market. Brand awareness can be further increased using digital marketing, social media engagement, and partnerships with local attractions.</w:t>
      </w:r>
    </w:p>
    <w:p w14:paraId="3F33817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Such change, however, will only become a reality at Hilton Dubai Al Habtoor City by effective </w:t>
      </w:r>
      <w:r w:rsidRPr="00CA46DD">
        <w:rPr>
          <w:rFonts w:ascii="Times New Roman" w:hAnsi="Times New Roman" w:cs="Times New Roman"/>
          <w:sz w:val="24"/>
          <w:szCs w:val="24"/>
        </w:rPr>
        <w:lastRenderedPageBreak/>
        <w:t xml:space="preserve">strategies in change management. Active engagement of the staff through proper addressing of their concerns and adequate support will enable the hotel to minimize resistance and create a positive change environment. </w:t>
      </w:r>
    </w:p>
    <w:p w14:paraId="35FB68F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Moreover, this consultancy report provides a thorough insight into the issues plaguing Hilton Dubai Al Habtoor City, drawing from both data-driven analyses and a very thorough analysis of the existing issues. Such strategies proposed can help increase employee engagement, improve service, and give the hotel a footing in its market. The consultancy team thanks Hilton Dubai Al Habtoor City for this opportunity to cooperate in the project and welcomes support on the way towards increased success for the hotel in the future. Its implementations will not only take the business out of a problematic short-term situation but also set up a foundation that promises to ensure sustainable development as well as long-term profitability.</w:t>
      </w:r>
    </w:p>
    <w:p w14:paraId="08F662F6" w14:textId="77777777" w:rsidR="00BE1D37" w:rsidRPr="00CA46DD" w:rsidRDefault="00BE1D37">
      <w:pPr>
        <w:rPr>
          <w:rFonts w:ascii="Times New Roman" w:hAnsi="Times New Roman" w:cs="Times New Roman"/>
          <w:b/>
          <w:sz w:val="24"/>
          <w:szCs w:val="24"/>
        </w:rPr>
      </w:pPr>
      <w:r w:rsidRPr="00CA46DD">
        <w:rPr>
          <w:rFonts w:ascii="Times New Roman" w:hAnsi="Times New Roman" w:cs="Times New Roman"/>
          <w:b/>
          <w:sz w:val="24"/>
          <w:szCs w:val="24"/>
        </w:rPr>
        <w:br w:type="page"/>
      </w:r>
    </w:p>
    <w:sdt>
      <w:sdtPr>
        <w:rPr>
          <w:rFonts w:ascii="Arial" w:eastAsia="Arial" w:hAnsi="Arial" w:cs="Arial"/>
          <w:b w:val="0"/>
          <w:bCs w:val="0"/>
          <w:color w:val="auto"/>
          <w:sz w:val="32"/>
          <w:szCs w:val="22"/>
          <w:lang w:val="en-GB"/>
        </w:rPr>
        <w:id w:val="1099377010"/>
        <w:docPartObj>
          <w:docPartGallery w:val="Table of Contents"/>
          <w:docPartUnique/>
        </w:docPartObj>
      </w:sdtPr>
      <w:sdtEndPr>
        <w:rPr>
          <w:sz w:val="22"/>
        </w:rPr>
      </w:sdtEndPr>
      <w:sdtContent>
        <w:p w14:paraId="6F3F36AE" w14:textId="77777777" w:rsidR="00CA46DD" w:rsidRPr="00CA46DD" w:rsidRDefault="00CA46DD" w:rsidP="00CA46DD">
          <w:pPr>
            <w:pStyle w:val="TOCHeading"/>
            <w:spacing w:line="360" w:lineRule="auto"/>
            <w:jc w:val="center"/>
            <w:rPr>
              <w:rFonts w:ascii="Times New Roman" w:hAnsi="Times New Roman" w:cs="Times New Roman"/>
              <w:color w:val="auto"/>
              <w:szCs w:val="24"/>
            </w:rPr>
          </w:pPr>
          <w:r w:rsidRPr="00CA46DD">
            <w:rPr>
              <w:rFonts w:ascii="Times New Roman" w:hAnsi="Times New Roman" w:cs="Times New Roman"/>
              <w:color w:val="auto"/>
              <w:szCs w:val="24"/>
            </w:rPr>
            <w:t>Table of Contents</w:t>
          </w:r>
        </w:p>
        <w:p w14:paraId="67219DB4" w14:textId="77777777" w:rsidR="00CA46DD" w:rsidRPr="00CA46DD" w:rsidRDefault="00CA46DD" w:rsidP="00CA46DD">
          <w:pPr>
            <w:pStyle w:val="TOC1"/>
            <w:tabs>
              <w:tab w:val="right" w:leader="dot" w:pos="9350"/>
            </w:tabs>
            <w:spacing w:line="360" w:lineRule="auto"/>
            <w:jc w:val="both"/>
            <w:rPr>
              <w:rFonts w:ascii="Times New Roman" w:hAnsi="Times New Roman" w:cs="Times New Roman"/>
              <w:noProof/>
              <w:sz w:val="24"/>
              <w:szCs w:val="24"/>
            </w:rPr>
          </w:pPr>
          <w:r w:rsidRPr="00CA46DD">
            <w:rPr>
              <w:rFonts w:ascii="Times New Roman" w:hAnsi="Times New Roman" w:cs="Times New Roman"/>
              <w:sz w:val="24"/>
              <w:szCs w:val="24"/>
            </w:rPr>
            <w:fldChar w:fldCharType="begin"/>
          </w:r>
          <w:r w:rsidRPr="00CA46DD">
            <w:rPr>
              <w:rFonts w:ascii="Times New Roman" w:hAnsi="Times New Roman" w:cs="Times New Roman"/>
              <w:sz w:val="24"/>
              <w:szCs w:val="24"/>
            </w:rPr>
            <w:instrText xml:space="preserve"> TOC \o "1-3" \h \z \u </w:instrText>
          </w:r>
          <w:r w:rsidRPr="00CA46DD">
            <w:rPr>
              <w:rFonts w:ascii="Times New Roman" w:hAnsi="Times New Roman" w:cs="Times New Roman"/>
              <w:sz w:val="24"/>
              <w:szCs w:val="24"/>
            </w:rPr>
            <w:fldChar w:fldCharType="separate"/>
          </w:r>
          <w:hyperlink w:anchor="_Toc181637023" w:history="1">
            <w:r w:rsidRPr="00CA46DD">
              <w:rPr>
                <w:rStyle w:val="Hyperlink"/>
                <w:rFonts w:ascii="Times New Roman" w:hAnsi="Times New Roman" w:cs="Times New Roman"/>
                <w:noProof/>
                <w:color w:val="auto"/>
                <w:sz w:val="24"/>
                <w:szCs w:val="24"/>
              </w:rPr>
              <w:t>Introduction</w:t>
            </w:r>
            <w:r w:rsidRPr="00CA46DD">
              <w:rPr>
                <w:rFonts w:ascii="Times New Roman" w:hAnsi="Times New Roman" w:cs="Times New Roman"/>
                <w:noProof/>
                <w:webHidden/>
                <w:sz w:val="24"/>
                <w:szCs w:val="24"/>
              </w:rPr>
              <w:tab/>
            </w:r>
            <w:r w:rsidRPr="00CA46DD">
              <w:rPr>
                <w:rFonts w:ascii="Times New Roman" w:hAnsi="Times New Roman" w:cs="Times New Roman"/>
                <w:noProof/>
                <w:webHidden/>
                <w:sz w:val="24"/>
                <w:szCs w:val="24"/>
              </w:rPr>
              <w:fldChar w:fldCharType="begin"/>
            </w:r>
            <w:r w:rsidRPr="00CA46DD">
              <w:rPr>
                <w:rFonts w:ascii="Times New Roman" w:hAnsi="Times New Roman" w:cs="Times New Roman"/>
                <w:noProof/>
                <w:webHidden/>
                <w:sz w:val="24"/>
                <w:szCs w:val="24"/>
              </w:rPr>
              <w:instrText xml:space="preserve"> PAGEREF _Toc181637023 \h </w:instrText>
            </w:r>
            <w:r w:rsidRPr="00CA46DD">
              <w:rPr>
                <w:rFonts w:ascii="Times New Roman" w:hAnsi="Times New Roman" w:cs="Times New Roman"/>
                <w:noProof/>
                <w:webHidden/>
                <w:sz w:val="24"/>
                <w:szCs w:val="24"/>
              </w:rPr>
            </w:r>
            <w:r w:rsidRPr="00CA46DD">
              <w:rPr>
                <w:rFonts w:ascii="Times New Roman" w:hAnsi="Times New Roman" w:cs="Times New Roman"/>
                <w:noProof/>
                <w:webHidden/>
                <w:sz w:val="24"/>
                <w:szCs w:val="24"/>
              </w:rPr>
              <w:fldChar w:fldCharType="separate"/>
            </w:r>
            <w:r w:rsidRPr="00CA46DD">
              <w:rPr>
                <w:rFonts w:ascii="Times New Roman" w:hAnsi="Times New Roman" w:cs="Times New Roman"/>
                <w:noProof/>
                <w:webHidden/>
                <w:sz w:val="24"/>
                <w:szCs w:val="24"/>
              </w:rPr>
              <w:t>5</w:t>
            </w:r>
            <w:r w:rsidRPr="00CA46DD">
              <w:rPr>
                <w:rFonts w:ascii="Times New Roman" w:hAnsi="Times New Roman" w:cs="Times New Roman"/>
                <w:noProof/>
                <w:webHidden/>
                <w:sz w:val="24"/>
                <w:szCs w:val="24"/>
              </w:rPr>
              <w:fldChar w:fldCharType="end"/>
            </w:r>
          </w:hyperlink>
        </w:p>
        <w:p w14:paraId="0FAC0332" w14:textId="77777777" w:rsidR="00CA46DD" w:rsidRPr="00CA46DD" w:rsidRDefault="00000000" w:rsidP="00CA46DD">
          <w:pPr>
            <w:pStyle w:val="TOC1"/>
            <w:tabs>
              <w:tab w:val="right" w:leader="dot" w:pos="9350"/>
            </w:tabs>
            <w:spacing w:line="360" w:lineRule="auto"/>
            <w:jc w:val="both"/>
            <w:rPr>
              <w:rFonts w:ascii="Times New Roman" w:hAnsi="Times New Roman" w:cs="Times New Roman"/>
              <w:noProof/>
              <w:sz w:val="24"/>
              <w:szCs w:val="24"/>
            </w:rPr>
          </w:pPr>
          <w:hyperlink w:anchor="_Toc181637024" w:history="1">
            <w:r w:rsidR="00CA46DD" w:rsidRPr="00CA46DD">
              <w:rPr>
                <w:rStyle w:val="Hyperlink"/>
                <w:rFonts w:ascii="Times New Roman" w:hAnsi="Times New Roman" w:cs="Times New Roman"/>
                <w:noProof/>
                <w:color w:val="auto"/>
                <w:sz w:val="24"/>
                <w:szCs w:val="24"/>
              </w:rPr>
              <w:t>Analysis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_Toc181637024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6</w:t>
            </w:r>
            <w:r w:rsidR="00CA46DD" w:rsidRPr="00CA46DD">
              <w:rPr>
                <w:rFonts w:ascii="Times New Roman" w:hAnsi="Times New Roman" w:cs="Times New Roman"/>
                <w:noProof/>
                <w:webHidden/>
                <w:sz w:val="24"/>
                <w:szCs w:val="24"/>
              </w:rPr>
              <w:fldChar w:fldCharType="end"/>
            </w:r>
          </w:hyperlink>
        </w:p>
        <w:p w14:paraId="550351DB"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25" w:history="1">
            <w:r w:rsidR="00CA46DD" w:rsidRPr="00CA46DD">
              <w:rPr>
                <w:rStyle w:val="Hyperlink"/>
                <w:rFonts w:ascii="Times New Roman" w:hAnsi="Times New Roman" w:cs="Times New Roman"/>
                <w:noProof/>
                <w:color w:val="auto"/>
                <w:sz w:val="24"/>
                <w:szCs w:val="24"/>
              </w:rPr>
              <w:t>Identifying the Issues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_Toc181637025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6</w:t>
            </w:r>
            <w:r w:rsidR="00CA46DD" w:rsidRPr="00CA46DD">
              <w:rPr>
                <w:rFonts w:ascii="Times New Roman" w:hAnsi="Times New Roman" w:cs="Times New Roman"/>
                <w:noProof/>
                <w:webHidden/>
                <w:sz w:val="24"/>
                <w:szCs w:val="24"/>
              </w:rPr>
              <w:fldChar w:fldCharType="end"/>
            </w:r>
          </w:hyperlink>
        </w:p>
        <w:p w14:paraId="7B681D57"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26" w:history="1">
            <w:r w:rsidR="00CA46DD" w:rsidRPr="00CA46DD">
              <w:rPr>
                <w:rStyle w:val="Hyperlink"/>
                <w:rFonts w:ascii="Times New Roman" w:hAnsi="Times New Roman" w:cs="Times New Roman"/>
                <w:noProof/>
                <w:color w:val="auto"/>
                <w:sz w:val="24"/>
                <w:szCs w:val="24"/>
              </w:rPr>
              <w:t>Detailed Analysis of Identified Issues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_Toc181637026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8</w:t>
            </w:r>
            <w:r w:rsidR="00CA46DD" w:rsidRPr="00CA46DD">
              <w:rPr>
                <w:rFonts w:ascii="Times New Roman" w:hAnsi="Times New Roman" w:cs="Times New Roman"/>
                <w:noProof/>
                <w:webHidden/>
                <w:sz w:val="24"/>
                <w:szCs w:val="24"/>
              </w:rPr>
              <w:fldChar w:fldCharType="end"/>
            </w:r>
          </w:hyperlink>
        </w:p>
        <w:p w14:paraId="643A8A30"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27" w:history="1">
            <w:r w:rsidR="00CA46DD" w:rsidRPr="00CA46DD">
              <w:rPr>
                <w:rStyle w:val="Hyperlink"/>
                <w:rFonts w:ascii="Times New Roman" w:hAnsi="Times New Roman" w:cs="Times New Roman"/>
                <w:noProof/>
                <w:color w:val="auto"/>
                <w:sz w:val="24"/>
                <w:szCs w:val="24"/>
              </w:rPr>
              <w:t>PESTEL Analysis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_Toc181637027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10</w:t>
            </w:r>
            <w:r w:rsidR="00CA46DD" w:rsidRPr="00CA46DD">
              <w:rPr>
                <w:rFonts w:ascii="Times New Roman" w:hAnsi="Times New Roman" w:cs="Times New Roman"/>
                <w:noProof/>
                <w:webHidden/>
                <w:sz w:val="24"/>
                <w:szCs w:val="24"/>
              </w:rPr>
              <w:fldChar w:fldCharType="end"/>
            </w:r>
          </w:hyperlink>
        </w:p>
        <w:p w14:paraId="34D44FBF"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28" w:history="1">
            <w:r w:rsidR="00CA46DD" w:rsidRPr="00CA46DD">
              <w:rPr>
                <w:rStyle w:val="Hyperlink"/>
                <w:rFonts w:ascii="Times New Roman" w:hAnsi="Times New Roman" w:cs="Times New Roman"/>
                <w:noProof/>
                <w:color w:val="auto"/>
                <w:sz w:val="24"/>
                <w:szCs w:val="24"/>
              </w:rPr>
              <w:t>SWOT Analysis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_Toc181637028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13</w:t>
            </w:r>
            <w:r w:rsidR="00CA46DD" w:rsidRPr="00CA46DD">
              <w:rPr>
                <w:rFonts w:ascii="Times New Roman" w:hAnsi="Times New Roman" w:cs="Times New Roman"/>
                <w:noProof/>
                <w:webHidden/>
                <w:sz w:val="24"/>
                <w:szCs w:val="24"/>
              </w:rPr>
              <w:fldChar w:fldCharType="end"/>
            </w:r>
          </w:hyperlink>
        </w:p>
        <w:p w14:paraId="500412F9"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29" w:history="1">
            <w:r w:rsidR="00CA46DD" w:rsidRPr="00CA46DD">
              <w:rPr>
                <w:rStyle w:val="Hyperlink"/>
                <w:rFonts w:ascii="Times New Roman" w:hAnsi="Times New Roman" w:cs="Times New Roman"/>
                <w:noProof/>
                <w:color w:val="auto"/>
                <w:sz w:val="24"/>
                <w:szCs w:val="24"/>
              </w:rPr>
              <w:t>TOWS Analysis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_Toc181637029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15</w:t>
            </w:r>
            <w:r w:rsidR="00CA46DD" w:rsidRPr="00CA46DD">
              <w:rPr>
                <w:rFonts w:ascii="Times New Roman" w:hAnsi="Times New Roman" w:cs="Times New Roman"/>
                <w:noProof/>
                <w:webHidden/>
                <w:sz w:val="24"/>
                <w:szCs w:val="24"/>
              </w:rPr>
              <w:fldChar w:fldCharType="end"/>
            </w:r>
          </w:hyperlink>
        </w:p>
        <w:p w14:paraId="4758CA53" w14:textId="77777777" w:rsidR="00CA46DD" w:rsidRPr="00CA46DD" w:rsidRDefault="00000000" w:rsidP="00CA46DD">
          <w:pPr>
            <w:pStyle w:val="TOC1"/>
            <w:tabs>
              <w:tab w:val="right" w:leader="dot" w:pos="9350"/>
            </w:tabs>
            <w:spacing w:line="360" w:lineRule="auto"/>
            <w:jc w:val="both"/>
            <w:rPr>
              <w:rFonts w:ascii="Times New Roman" w:hAnsi="Times New Roman" w:cs="Times New Roman"/>
              <w:noProof/>
              <w:sz w:val="24"/>
              <w:szCs w:val="24"/>
            </w:rPr>
          </w:pPr>
          <w:hyperlink w:anchor="_Toc181637030" w:history="1">
            <w:r w:rsidR="00CA46DD" w:rsidRPr="00CA46DD">
              <w:rPr>
                <w:rStyle w:val="Hyperlink"/>
                <w:rFonts w:ascii="Times New Roman" w:hAnsi="Times New Roman" w:cs="Times New Roman"/>
                <w:noProof/>
                <w:color w:val="auto"/>
                <w:sz w:val="24"/>
                <w:szCs w:val="24"/>
              </w:rPr>
              <w:t>Recommendations and Change Management</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_Toc181637030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18</w:t>
            </w:r>
            <w:r w:rsidR="00CA46DD" w:rsidRPr="00CA46DD">
              <w:rPr>
                <w:rFonts w:ascii="Times New Roman" w:hAnsi="Times New Roman" w:cs="Times New Roman"/>
                <w:noProof/>
                <w:webHidden/>
                <w:sz w:val="24"/>
                <w:szCs w:val="24"/>
              </w:rPr>
              <w:fldChar w:fldCharType="end"/>
            </w:r>
          </w:hyperlink>
        </w:p>
        <w:p w14:paraId="3456B343"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31" w:history="1">
            <w:r w:rsidR="00CA46DD" w:rsidRPr="00CA46DD">
              <w:rPr>
                <w:rStyle w:val="Hyperlink"/>
                <w:rFonts w:ascii="Times New Roman" w:hAnsi="Times New Roman" w:cs="Times New Roman"/>
                <w:noProof/>
                <w:color w:val="auto"/>
                <w:sz w:val="24"/>
                <w:szCs w:val="24"/>
              </w:rPr>
              <w:t>Recommendations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_Toc181637031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18</w:t>
            </w:r>
            <w:r w:rsidR="00CA46DD" w:rsidRPr="00CA46DD">
              <w:rPr>
                <w:rFonts w:ascii="Times New Roman" w:hAnsi="Times New Roman" w:cs="Times New Roman"/>
                <w:noProof/>
                <w:webHidden/>
                <w:sz w:val="24"/>
                <w:szCs w:val="24"/>
              </w:rPr>
              <w:fldChar w:fldCharType="end"/>
            </w:r>
          </w:hyperlink>
        </w:p>
        <w:p w14:paraId="7D27D466"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32" w:history="1">
            <w:r w:rsidR="00CA46DD" w:rsidRPr="00CA46DD">
              <w:rPr>
                <w:rStyle w:val="Hyperlink"/>
                <w:rFonts w:ascii="Times New Roman" w:hAnsi="Times New Roman" w:cs="Times New Roman"/>
                <w:noProof/>
                <w:color w:val="auto"/>
                <w:sz w:val="24"/>
                <w:szCs w:val="24"/>
              </w:rPr>
              <w:t>Change Management Strategies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_Toc181637032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24</w:t>
            </w:r>
            <w:r w:rsidR="00CA46DD" w:rsidRPr="00CA46DD">
              <w:rPr>
                <w:rFonts w:ascii="Times New Roman" w:hAnsi="Times New Roman" w:cs="Times New Roman"/>
                <w:noProof/>
                <w:webHidden/>
                <w:sz w:val="24"/>
                <w:szCs w:val="24"/>
              </w:rPr>
              <w:fldChar w:fldCharType="end"/>
            </w:r>
          </w:hyperlink>
        </w:p>
        <w:p w14:paraId="7C0C3CB2"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33" w:history="1">
            <w:r w:rsidR="00CA46DD" w:rsidRPr="00CA46DD">
              <w:rPr>
                <w:rStyle w:val="Hyperlink"/>
                <w:rFonts w:ascii="Times New Roman" w:hAnsi="Times New Roman" w:cs="Times New Roman"/>
                <w:noProof/>
                <w:color w:val="auto"/>
                <w:sz w:val="24"/>
                <w:szCs w:val="24"/>
              </w:rPr>
              <w:t>Measuring Success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_Toc181637033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27</w:t>
            </w:r>
            <w:r w:rsidR="00CA46DD" w:rsidRPr="00CA46DD">
              <w:rPr>
                <w:rFonts w:ascii="Times New Roman" w:hAnsi="Times New Roman" w:cs="Times New Roman"/>
                <w:noProof/>
                <w:webHidden/>
                <w:sz w:val="24"/>
                <w:szCs w:val="24"/>
              </w:rPr>
              <w:fldChar w:fldCharType="end"/>
            </w:r>
          </w:hyperlink>
        </w:p>
        <w:p w14:paraId="7C816B60"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34" w:history="1">
            <w:r w:rsidR="00CA46DD" w:rsidRPr="00CA46DD">
              <w:rPr>
                <w:rStyle w:val="Hyperlink"/>
                <w:rFonts w:ascii="Times New Roman" w:hAnsi="Times New Roman" w:cs="Times New Roman"/>
                <w:noProof/>
                <w:color w:val="auto"/>
                <w:sz w:val="24"/>
                <w:szCs w:val="24"/>
              </w:rPr>
              <w:t>Potential Benefits</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_Toc181637034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28</w:t>
            </w:r>
            <w:r w:rsidR="00CA46DD" w:rsidRPr="00CA46DD">
              <w:rPr>
                <w:rFonts w:ascii="Times New Roman" w:hAnsi="Times New Roman" w:cs="Times New Roman"/>
                <w:noProof/>
                <w:webHidden/>
                <w:sz w:val="24"/>
                <w:szCs w:val="24"/>
              </w:rPr>
              <w:fldChar w:fldCharType="end"/>
            </w:r>
          </w:hyperlink>
        </w:p>
        <w:p w14:paraId="0C0145AD" w14:textId="77777777" w:rsidR="00CA46DD" w:rsidRPr="00CA46DD" w:rsidRDefault="00000000" w:rsidP="00CA46DD">
          <w:pPr>
            <w:pStyle w:val="TOC2"/>
            <w:tabs>
              <w:tab w:val="right" w:leader="dot" w:pos="9350"/>
            </w:tabs>
            <w:spacing w:line="360" w:lineRule="auto"/>
            <w:jc w:val="both"/>
            <w:rPr>
              <w:rFonts w:ascii="Times New Roman" w:hAnsi="Times New Roman" w:cs="Times New Roman"/>
              <w:noProof/>
              <w:sz w:val="24"/>
              <w:szCs w:val="24"/>
            </w:rPr>
          </w:pPr>
          <w:hyperlink w:anchor="_Toc181637035" w:history="1">
            <w:r w:rsidR="00CA46DD" w:rsidRPr="00CA46DD">
              <w:rPr>
                <w:rStyle w:val="Hyperlink"/>
                <w:rFonts w:ascii="Times New Roman" w:hAnsi="Times New Roman" w:cs="Times New Roman"/>
                <w:noProof/>
                <w:color w:val="auto"/>
                <w:sz w:val="24"/>
                <w:szCs w:val="24"/>
              </w:rPr>
              <w:t>Cost Overview</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_Toc181637035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29</w:t>
            </w:r>
            <w:r w:rsidR="00CA46DD" w:rsidRPr="00CA46DD">
              <w:rPr>
                <w:rFonts w:ascii="Times New Roman" w:hAnsi="Times New Roman" w:cs="Times New Roman"/>
                <w:noProof/>
                <w:webHidden/>
                <w:sz w:val="24"/>
                <w:szCs w:val="24"/>
              </w:rPr>
              <w:fldChar w:fldCharType="end"/>
            </w:r>
          </w:hyperlink>
        </w:p>
        <w:p w14:paraId="27DAC4CE" w14:textId="77777777" w:rsidR="00CA46DD" w:rsidRPr="00CA46DD" w:rsidRDefault="00000000" w:rsidP="00CA46DD">
          <w:pPr>
            <w:pStyle w:val="TOC1"/>
            <w:tabs>
              <w:tab w:val="right" w:leader="dot" w:pos="9350"/>
            </w:tabs>
            <w:spacing w:line="360" w:lineRule="auto"/>
            <w:jc w:val="both"/>
            <w:rPr>
              <w:rFonts w:ascii="Times New Roman" w:hAnsi="Times New Roman" w:cs="Times New Roman"/>
              <w:noProof/>
              <w:sz w:val="24"/>
              <w:szCs w:val="24"/>
            </w:rPr>
          </w:pPr>
          <w:hyperlink w:anchor="_Toc181637036" w:history="1">
            <w:r w:rsidR="00CA46DD" w:rsidRPr="00CA46DD">
              <w:rPr>
                <w:rStyle w:val="Hyperlink"/>
                <w:rFonts w:ascii="Times New Roman" w:hAnsi="Times New Roman" w:cs="Times New Roman"/>
                <w:noProof/>
                <w:color w:val="auto"/>
                <w:sz w:val="24"/>
                <w:szCs w:val="24"/>
              </w:rPr>
              <w:t>Action Plan</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_Toc181637036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30</w:t>
            </w:r>
            <w:r w:rsidR="00CA46DD" w:rsidRPr="00CA46DD">
              <w:rPr>
                <w:rFonts w:ascii="Times New Roman" w:hAnsi="Times New Roman" w:cs="Times New Roman"/>
                <w:noProof/>
                <w:webHidden/>
                <w:sz w:val="24"/>
                <w:szCs w:val="24"/>
              </w:rPr>
              <w:fldChar w:fldCharType="end"/>
            </w:r>
          </w:hyperlink>
        </w:p>
        <w:p w14:paraId="0EBCED34" w14:textId="77777777" w:rsidR="00CA46DD" w:rsidRPr="00CA46DD" w:rsidRDefault="00000000" w:rsidP="00CA46DD">
          <w:pPr>
            <w:pStyle w:val="TOC1"/>
            <w:tabs>
              <w:tab w:val="right" w:leader="dot" w:pos="9350"/>
            </w:tabs>
            <w:spacing w:line="360" w:lineRule="auto"/>
            <w:jc w:val="both"/>
            <w:rPr>
              <w:rFonts w:ascii="Times New Roman" w:hAnsi="Times New Roman" w:cs="Times New Roman"/>
              <w:noProof/>
              <w:sz w:val="24"/>
              <w:szCs w:val="24"/>
            </w:rPr>
          </w:pPr>
          <w:hyperlink w:anchor="_Toc181637037" w:history="1">
            <w:r w:rsidR="00CA46DD" w:rsidRPr="00CA46DD">
              <w:rPr>
                <w:rStyle w:val="Hyperlink"/>
                <w:rFonts w:ascii="Times New Roman" w:hAnsi="Times New Roman" w:cs="Times New Roman"/>
                <w:noProof/>
                <w:color w:val="auto"/>
                <w:sz w:val="24"/>
                <w:szCs w:val="24"/>
              </w:rPr>
              <w:t>Conclusion</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_Toc181637037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32</w:t>
            </w:r>
            <w:r w:rsidR="00CA46DD" w:rsidRPr="00CA46DD">
              <w:rPr>
                <w:rFonts w:ascii="Times New Roman" w:hAnsi="Times New Roman" w:cs="Times New Roman"/>
                <w:noProof/>
                <w:webHidden/>
                <w:sz w:val="24"/>
                <w:szCs w:val="24"/>
              </w:rPr>
              <w:fldChar w:fldCharType="end"/>
            </w:r>
          </w:hyperlink>
        </w:p>
        <w:p w14:paraId="00E4999E" w14:textId="77777777" w:rsidR="00CA46DD" w:rsidRPr="00CA46DD" w:rsidRDefault="00000000" w:rsidP="00CA46DD">
          <w:pPr>
            <w:pStyle w:val="TOC1"/>
            <w:tabs>
              <w:tab w:val="right" w:leader="dot" w:pos="9350"/>
            </w:tabs>
            <w:spacing w:line="360" w:lineRule="auto"/>
            <w:jc w:val="both"/>
            <w:rPr>
              <w:rFonts w:ascii="Times New Roman" w:hAnsi="Times New Roman" w:cs="Times New Roman"/>
              <w:noProof/>
              <w:sz w:val="24"/>
              <w:szCs w:val="24"/>
            </w:rPr>
          </w:pPr>
          <w:hyperlink w:anchor="_Toc181637038" w:history="1">
            <w:r w:rsidR="00CA46DD" w:rsidRPr="00CA46DD">
              <w:rPr>
                <w:rStyle w:val="Hyperlink"/>
                <w:rFonts w:ascii="Times New Roman" w:hAnsi="Times New Roman" w:cs="Times New Roman"/>
                <w:noProof/>
                <w:color w:val="auto"/>
                <w:sz w:val="24"/>
                <w:szCs w:val="24"/>
              </w:rPr>
              <w:t>Reference List</w:t>
            </w:r>
            <w:r w:rsidR="00CA46DD" w:rsidRPr="00CA46DD">
              <w:rPr>
                <w:rFonts w:ascii="Times New Roman" w:hAnsi="Times New Roman" w:cs="Times New Roman"/>
                <w:noProof/>
                <w:webHidden/>
                <w:sz w:val="24"/>
                <w:szCs w:val="24"/>
              </w:rPr>
              <w:tab/>
            </w:r>
            <w:r w:rsidR="00CA46DD" w:rsidRPr="00CA46DD">
              <w:rPr>
                <w:rFonts w:ascii="Times New Roman" w:hAnsi="Times New Roman" w:cs="Times New Roman"/>
                <w:noProof/>
                <w:webHidden/>
                <w:sz w:val="24"/>
                <w:szCs w:val="24"/>
              </w:rPr>
              <w:fldChar w:fldCharType="begin"/>
            </w:r>
            <w:r w:rsidR="00CA46DD" w:rsidRPr="00CA46DD">
              <w:rPr>
                <w:rFonts w:ascii="Times New Roman" w:hAnsi="Times New Roman" w:cs="Times New Roman"/>
                <w:noProof/>
                <w:webHidden/>
                <w:sz w:val="24"/>
                <w:szCs w:val="24"/>
              </w:rPr>
              <w:instrText xml:space="preserve"> PAGEREF _Toc181637038 \h </w:instrText>
            </w:r>
            <w:r w:rsidR="00CA46DD" w:rsidRPr="00CA46DD">
              <w:rPr>
                <w:rFonts w:ascii="Times New Roman" w:hAnsi="Times New Roman" w:cs="Times New Roman"/>
                <w:noProof/>
                <w:webHidden/>
                <w:sz w:val="24"/>
                <w:szCs w:val="24"/>
              </w:rPr>
            </w:r>
            <w:r w:rsidR="00CA46DD" w:rsidRPr="00CA46DD">
              <w:rPr>
                <w:rFonts w:ascii="Times New Roman" w:hAnsi="Times New Roman" w:cs="Times New Roman"/>
                <w:noProof/>
                <w:webHidden/>
                <w:sz w:val="24"/>
                <w:szCs w:val="24"/>
              </w:rPr>
              <w:fldChar w:fldCharType="separate"/>
            </w:r>
            <w:r w:rsidR="00CA46DD" w:rsidRPr="00CA46DD">
              <w:rPr>
                <w:rFonts w:ascii="Times New Roman" w:hAnsi="Times New Roman" w:cs="Times New Roman"/>
                <w:noProof/>
                <w:webHidden/>
                <w:sz w:val="24"/>
                <w:szCs w:val="24"/>
              </w:rPr>
              <w:t>35</w:t>
            </w:r>
            <w:r w:rsidR="00CA46DD" w:rsidRPr="00CA46DD">
              <w:rPr>
                <w:rFonts w:ascii="Times New Roman" w:hAnsi="Times New Roman" w:cs="Times New Roman"/>
                <w:noProof/>
                <w:webHidden/>
                <w:sz w:val="24"/>
                <w:szCs w:val="24"/>
              </w:rPr>
              <w:fldChar w:fldCharType="end"/>
            </w:r>
          </w:hyperlink>
        </w:p>
        <w:p w14:paraId="5CE5FEF0" w14:textId="77777777" w:rsidR="00CA46DD" w:rsidRPr="00CA46DD" w:rsidRDefault="00CA46DD" w:rsidP="00CA46DD">
          <w:pPr>
            <w:spacing w:line="360" w:lineRule="auto"/>
            <w:jc w:val="both"/>
          </w:pPr>
          <w:r w:rsidRPr="00CA46DD">
            <w:rPr>
              <w:rFonts w:ascii="Times New Roman" w:hAnsi="Times New Roman" w:cs="Times New Roman"/>
              <w:sz w:val="24"/>
              <w:szCs w:val="24"/>
            </w:rPr>
            <w:fldChar w:fldCharType="end"/>
          </w:r>
        </w:p>
      </w:sdtContent>
    </w:sdt>
    <w:p w14:paraId="7E723465" w14:textId="77777777" w:rsidR="00CA46DD" w:rsidRPr="00CA46DD" w:rsidRDefault="00CA46DD">
      <w:pPr>
        <w:rPr>
          <w:rFonts w:ascii="Times New Roman" w:hAnsi="Times New Roman"/>
          <w:b/>
          <w:sz w:val="28"/>
          <w:szCs w:val="40"/>
        </w:rPr>
      </w:pPr>
      <w:bookmarkStart w:id="0" w:name="_Toc181637023"/>
      <w:r w:rsidRPr="00CA46DD">
        <w:br w:type="page"/>
      </w:r>
    </w:p>
    <w:p w14:paraId="7E5111FB" w14:textId="77777777" w:rsidR="00C84FC1" w:rsidRPr="00CA46DD" w:rsidRDefault="00BE1D37" w:rsidP="00BE1D37">
      <w:pPr>
        <w:pStyle w:val="Heading1"/>
      </w:pPr>
      <w:r w:rsidRPr="00CA46DD">
        <w:lastRenderedPageBreak/>
        <w:t>Introduction</w:t>
      </w:r>
      <w:bookmarkEnd w:id="0"/>
    </w:p>
    <w:p w14:paraId="072BBDC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Hilton Dubai Al Habtoor City is a flagship property under Hilton Hotels, which has been open since 2016 (Botti, 2023). It has quickly emerged as the most luxurious hotel in Dubai situated along the Water Canal. It has more than 1,000 rooms and suites scattered over 44 floors, becoming one of the largest in Dubai and allowing easy accessibility to attractions like the Burj Khalifa and Dubai Mall. Known for its expansive dining options, world-class spa, fitness center, and one of the city's largest ballrooms, Hilton Dubai Al Habtoor City will be perfectly positioned to attract high-end leisure and corporate clients (Botti, 2023). But at the same time, it has also made the task of sustaining market share and driving loyalty among guests rather challenging to the hotel since the market in Dubai has started to get saturated with luxury hospitality (Subramaniam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2011).</w:t>
      </w:r>
    </w:p>
    <w:p w14:paraId="341D1F7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Horizon Hospitality Consultants are adept at guiding luxury hotels towards strengthening their market positions and resilience in operations as part of their job assigned with the task of analyzing and improving the marketing strategies of the hotel (Curtis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2021). The Horizons approach is a data-driven marketing strategy, based on the understanding of digital marketing trends, customer behavior analytics, and competitive positioning frameworks. As it is boutique, the consultancy offers a very agile, hands-on approach, which is sometimes valuable for small firms to develop highly customized solutions for each client (O'Mahoney, 2021). This approach will make smaller consultancies offer nuances and institutionally informed recommendations that are lacking in larger firms (Mavridopoulou and O'Mahoney, 2020).</w:t>
      </w:r>
    </w:p>
    <w:p w14:paraId="5C4BEDD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It accordingly aims to assess Hilton Dubai Al Habtoor City's current marketing approaches before providing recommendations that can support guests' engagement, digital reach, and competitive positioning. Analyzed via a set of recognized strategic toolkits, the framework applies to the development of detailed insights into internal and external factors that influence the success of hotels (Kipping and Clark, 2012). These frameworks become a structured approach through which a hotel's positioning within Dubai's hospitality landscape can be understood.</w:t>
      </w:r>
    </w:p>
    <w:p w14:paraId="67F04F5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Using the PESTEL framework, the hotel will consider the external factors operating across Political, Economic, Social, Technological, Environmental, and Legal domains. The analysis will </w:t>
      </w:r>
      <w:r w:rsidRPr="00CA46DD">
        <w:rPr>
          <w:rFonts w:ascii="Times New Roman" w:hAnsi="Times New Roman" w:cs="Times New Roman"/>
          <w:sz w:val="24"/>
          <w:szCs w:val="24"/>
        </w:rPr>
        <w:lastRenderedPageBreak/>
        <w:t>take a wide-ranging view of Dubai's regulatory and economic environment that helps in identifying strategic options available to the hotel. For example, tourism in Dubai creates economic opportunities; the growing concern for the environment and digitalization show how consumer expectations are changing and what the hotel needs to take into account (Fisman and Sullivan, 2014).</w:t>
      </w:r>
    </w:p>
    <w:p w14:paraId="092158B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Then, the SWOT analysis will identify Hilton Dubai Al Habtoor City's internal Strengths and Weaknesses and its external Opportunities and Threats. For example, the consultancy can consider issues of brand prestige, a premium location, and how to improve digital engagement. The same analysis will identify these critical areas that will make the hotel stand out from others in a very competitive Dubai market (Newton, 2019).</w:t>
      </w:r>
    </w:p>
    <w:p w14:paraId="5F55F5B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Based on this, a TOWS matrix will benefit from the SWOT understanding to turn strengths into appropriate strategies and overcome weaknesses by utilizing outside opportunities effectively (Pasaribu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2023). TOWS is highly effective in highly competitive industries such as hospitality due to its ability to help the organization focus on strategic activities that balance the demands of the market with internal competencies (Baron and Armstrong, 2007). The TOWS analysis with strategic recommendations will allow Hilton Dubai Al Habtoor City to move forward in the right direction to market positioning and customer engagement.</w:t>
      </w:r>
    </w:p>
    <w:p w14:paraId="7FC164D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By utilizing these models, Horizon Hospitality Consultants is hoping to provide a complete, fact-based strategy for Hilton Dubai Al Habtoor City that may enhance marketing effectiveness and improve its competitive advantage. The results will determine the future course of activities at the hotel: its strategy to comply with the current market trends to maintain long-term growth, especially through a sustainable development channel. Further, this ensures the positioning of the asset as the luxury flagship in Dubai (Kipping and Clark, 2012; Mavridopoulou and O'Mahoney, 2020). </w:t>
      </w:r>
    </w:p>
    <w:p w14:paraId="3947999A" w14:textId="77777777" w:rsidR="00C84FC1" w:rsidRPr="00CA46DD" w:rsidRDefault="00BE1D37" w:rsidP="00BE1D37">
      <w:pPr>
        <w:pStyle w:val="Heading1"/>
      </w:pPr>
      <w:bookmarkStart w:id="1" w:name="_Toc181637024"/>
      <w:r w:rsidRPr="00CA46DD">
        <w:t>Analysis</w:t>
      </w:r>
      <w:bookmarkEnd w:id="1"/>
    </w:p>
    <w:p w14:paraId="0ADC73A7" w14:textId="77777777" w:rsidR="00C84FC1" w:rsidRPr="00CA46DD" w:rsidRDefault="008407FC" w:rsidP="00BE1D37">
      <w:pPr>
        <w:pStyle w:val="Heading2"/>
      </w:pPr>
      <w:bookmarkStart w:id="2" w:name="_Toc181637025"/>
      <w:r w:rsidRPr="00CA46DD">
        <w:t>Identifying the Issues</w:t>
      </w:r>
      <w:bookmarkEnd w:id="2"/>
    </w:p>
    <w:p w14:paraId="464D84D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Hilton Dubai Al Habtoor City currently operates under several intense challenges undermining </w:t>
      </w:r>
      <w:r w:rsidRPr="00CA46DD">
        <w:rPr>
          <w:rFonts w:ascii="Times New Roman" w:hAnsi="Times New Roman" w:cs="Times New Roman"/>
          <w:sz w:val="24"/>
          <w:szCs w:val="24"/>
        </w:rPr>
        <w:lastRenderedPageBreak/>
        <w:t>its market position and functional effectiveness. The most immediate is the decline in guest activity. The hotel has witnessed a precipitous fall in direct bookings on the website, hence increasing dependence on OTAs like Booking.com and Expedia. This trend minimizes the profit margins as high commission rates that OTAs charge reduce the revenue, and it hurts guest loyalty. According to research, direct bookings are significant to revenue maximization and creation of brand loyalty (O'Mahoney, 2021).</w:t>
      </w:r>
    </w:p>
    <w:p w14:paraId="26ED13C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The other crucial issue is reputation management. While Hilton is known for its quality globally, this hotel has mixed reviews on TripAdvisor and Google Reviews (Belarmino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2022). Online reputation is further emphasized because research shows that 70% of travelers consider online reviews in their decision-making process. Negative feedback in the form of service quality or guest experience can harm the hotel's reputation and create a vicious cycle of declining reputation and booking.</w:t>
      </w:r>
    </w:p>
    <w:p w14:paraId="701C8891"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drawing>
          <wp:inline distT="114300" distB="114300" distL="114300" distR="114300" wp14:anchorId="655DBD76" wp14:editId="583A57EB">
            <wp:extent cx="594360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5943600" cy="3340100"/>
                    </a:xfrm>
                    <a:prstGeom prst="rect">
                      <a:avLst/>
                    </a:prstGeom>
                    <a:ln/>
                  </pic:spPr>
                </pic:pic>
              </a:graphicData>
            </a:graphic>
          </wp:inline>
        </w:drawing>
      </w:r>
    </w:p>
    <w:p w14:paraId="11B00343"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Figure: Hilton Dubai Al Habtoor City</w:t>
      </w:r>
    </w:p>
    <w:p w14:paraId="2879DA10"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Source: Hilton.com (2024)</w:t>
      </w:r>
    </w:p>
    <w:p w14:paraId="65AF5E8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Income volatility is another important challenge in this regard. Revenue sources for hotels have </w:t>
      </w:r>
      <w:r w:rsidRPr="00CA46DD">
        <w:rPr>
          <w:rFonts w:ascii="Times New Roman" w:hAnsi="Times New Roman" w:cs="Times New Roman"/>
          <w:sz w:val="24"/>
          <w:szCs w:val="24"/>
        </w:rPr>
        <w:lastRenderedPageBreak/>
        <w:t xml:space="preserve">been rather undependable with even exogenous factors including the recent economic uncertainty and lingering effects of COVID-19 (Cepni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2023). The hospitality industry in the UAE experienced a contraction of its revenues in the year 2020 by 35%. This fact reflects the vulnerability of the hospitality industry concerning the impact of the economy changing (Fisman and Sullivan, 2014). Such instability creates problems with budgeting and forecasting in the hotel since normal operations are disrupted.</w:t>
      </w:r>
    </w:p>
    <w:p w14:paraId="13CAE65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There is little online presence in the expanding online marketplace. Hilton Dubai Al Habtoor City does not use digital marketing tools and platforms to their full capacity (Botti, 2023). As a result, the exposure among target audiences is much lower than it could have been. Hotels that create digital marketing strategies tend to experience significant increases in their direct bookings (Kipping and Clark, 2012). Limited digital engagement further limits the hotel from getting more new customers into its business.</w:t>
      </w:r>
    </w:p>
    <w:p w14:paraId="69F299E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Finally, the shift in consumer preference affects the hotel's operational mode (Truong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The kind of experiences and tourism environments required by today's travelers are different from before. The hotel is at risk of losing more market share if it does not adapt to change for competitors that embrace changing guest expectations. A survey indicates that 70% of travelers prefer an eco-friendly place to stay (Baron and Armstrong, 2007).</w:t>
      </w:r>
    </w:p>
    <w:p w14:paraId="1B06082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Moreover, Hilton Dubai Al Habtoor City has major issues with guest engagement, reputation management, variability in income, a virtual absence online, and an emerging consumer mindset. Each of these requires a critical review for the identification of the roots of the problems and setting up appropriate action plans. </w:t>
      </w:r>
    </w:p>
    <w:p w14:paraId="5173C1F1" w14:textId="77777777" w:rsidR="00C84FC1" w:rsidRPr="00CA46DD" w:rsidRDefault="008407FC" w:rsidP="00BE1D37">
      <w:pPr>
        <w:pStyle w:val="Heading2"/>
      </w:pPr>
      <w:bookmarkStart w:id="3" w:name="_Toc181637026"/>
      <w:r w:rsidRPr="00CA46DD">
        <w:t>Detailed Analysis of Identified Issues</w:t>
      </w:r>
      <w:bookmarkEnd w:id="3"/>
    </w:p>
    <w:p w14:paraId="60E42B77"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Declining Guest Engagement</w:t>
      </w:r>
    </w:p>
    <w:p w14:paraId="2C646A2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Declining guest engagement can be attributed to the over-reliance of the hotel on OTAs, which diminishes brand loyalty (Raj, 2024). According to O'Mahoney (2021), direct bookings play a critical role in generating the most revenue since hotels receive more income from it. Reduced engagement means low customer relations, which do not enable the hotel to develop loyal </w:t>
      </w:r>
      <w:r w:rsidRPr="00CA46DD">
        <w:rPr>
          <w:rFonts w:ascii="Times New Roman" w:hAnsi="Times New Roman" w:cs="Times New Roman"/>
          <w:sz w:val="24"/>
          <w:szCs w:val="24"/>
        </w:rPr>
        <w:lastRenderedPageBreak/>
        <w:t>customers. For example, Hilton Dubai Al Habtoor City should, therefore, have plans like having promotions, and loyalty programs, among others that can attract customers to book directly from the hotel's website.</w:t>
      </w:r>
    </w:p>
    <w:p w14:paraId="2349C9B7"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Reputation Management</w:t>
      </w:r>
    </w:p>
    <w:p w14:paraId="60CC400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Hilton Dubai Al Habtoor City's reputation in social media and review websites greatly determines its success in accommodating guests. In fact, despite the strong brand name that Hilton boasts, some reviews have seen to it that this specific hotel does not attract a single client. Online review studies by Subramaniam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(2011), demonstrated that a significant percentage of travelers use online reviews to select accommodations. When the reviews are adverse to service quality or guest experiences, such service reliability will be affected adversely at the time of booking. Therefore, to offset this aspect, the hotel needs to continuously monitor online reviews and maintain contact with guests to clear their grievances and enhance the overall experience of the guests (Wan and Forey, 2024).</w:t>
      </w:r>
    </w:p>
    <w:p w14:paraId="16C04DFE"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Variability in Income</w:t>
      </w:r>
    </w:p>
    <w:p w14:paraId="6A7CC4C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fluctuations in income levels prevent the investment in upgrading and training done by the hotel. Economic crises and depressions have threatened the hospitality industry, including the one in the UAE (Baquero, 2022). For example, Fisman and Sullivan (2014), reported that the revenue fell drastically within the industry. In such times, hotels face challenges in keeping operations stable. It should diversify its revenue sources by organizing events or corporate functions to ensure there is a stable financial basis.</w:t>
      </w:r>
    </w:p>
    <w:p w14:paraId="4F957595"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Weak Online Presence</w:t>
      </w:r>
    </w:p>
    <w:p w14:paraId="33CCC1E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 a digital economy, it is very fundamental that the hotel needs a great online presence to attract its guests. Hilton Dubai Al Habtoor City has not utilized the power of digital marketing tools; this reduces its visibility. Kipping and Clark (2012), argue that hotels with investments in digital strategies may boost their direct bookings up to considerable proportions. As such, the hotel shall adopt a full-fledged digital marketing strategy, embracing social media, search engine optimization, and targeted advertising to reach a wider audience.</w:t>
      </w:r>
    </w:p>
    <w:p w14:paraId="5138710C"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lastRenderedPageBreak/>
        <w:t>Changing Consumer Preferences</w:t>
      </w:r>
    </w:p>
    <w:p w14:paraId="7D55ABE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changing consumer preferences challenge the operational model of the hotel. Luxury travelers these days want personalized experiences and green options (Milosh, 2023). A recent study by Baron and Armstrong (2007), also pointed out the growing trends among travelers as placing priority on sustainability in their selection for lodging. In turn, if this new set of preferences does not follow the changing trend within hotel service offerings, there is a likely risk in terms of loss in terms of market share in light of a competitive entity satisfying the demand generated from these consumer preferences. Therefore, for Hilton Dubai Al Habtoor City within luxury hospitality, innovations need to take place towards their respective service offerings to allow sustainability practices coupled with tailoring guest experience.</w:t>
      </w:r>
    </w:p>
    <w:p w14:paraId="5AB1A9B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Moreover, this represents a challenge of inter-related issues, including dwindling guest engagement, reputation management, fluctuating income, limited digital presence, and changing consumer preferences. Thus, the challenges that may be faced by this luxury hospitality hotel mean it would have to use certain specific strategies and broad knowledge about the dynamics of the market if it is to maintain success in a competitive market of luxury hospitality.</w:t>
      </w:r>
    </w:p>
    <w:p w14:paraId="6CC9C798" w14:textId="77777777" w:rsidR="00C84FC1" w:rsidRPr="00CA46DD" w:rsidRDefault="008407FC" w:rsidP="00BE1D37">
      <w:pPr>
        <w:pStyle w:val="Heading2"/>
      </w:pPr>
      <w:bookmarkStart w:id="4" w:name="_Toc181637027"/>
      <w:r w:rsidRPr="00CA46DD">
        <w:t>PESTEL Analysis</w:t>
      </w:r>
      <w:bookmarkEnd w:id="4"/>
    </w:p>
    <w:p w14:paraId="13FB0FC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PESTEL analyzes the outer macro-environmental factors impacting Hilton Dubai Al Habtoor City and the environment it exists in. The political nature of the country is relatively sound, so it is excellent for hospitality. Policies relating to the tourism and hospitality sector may impact hotel management, which could be both beneficial or detrimental to hotel appeal when attempting to attract global guests as a result of variations within such policies (Khan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w:t>
      </w:r>
    </w:p>
    <w:p w14:paraId="2199EF6F"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lastRenderedPageBreak/>
        <w:drawing>
          <wp:inline distT="114300" distB="114300" distL="114300" distR="114300" wp14:anchorId="514BBC78" wp14:editId="618A2939">
            <wp:extent cx="5943600" cy="59436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cstate="print"/>
                    <a:srcRect/>
                    <a:stretch>
                      <a:fillRect/>
                    </a:stretch>
                  </pic:blipFill>
                  <pic:spPr>
                    <a:xfrm>
                      <a:off x="0" y="0"/>
                      <a:ext cx="5943600" cy="5943600"/>
                    </a:xfrm>
                    <a:prstGeom prst="rect">
                      <a:avLst/>
                    </a:prstGeom>
                    <a:ln/>
                  </pic:spPr>
                </pic:pic>
              </a:graphicData>
            </a:graphic>
          </wp:inline>
        </w:drawing>
      </w:r>
    </w:p>
    <w:p w14:paraId="29834580"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Figure: PESTEL Analysis Framework </w:t>
      </w:r>
    </w:p>
    <w:p w14:paraId="2C0E009D"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Source: </w:t>
      </w:r>
      <w:r w:rsidR="00DD07B2" w:rsidRPr="00CA46DD">
        <w:rPr>
          <w:rFonts w:ascii="Times New Roman" w:hAnsi="Times New Roman" w:cs="Times New Roman"/>
          <w:b/>
          <w:sz w:val="24"/>
          <w:szCs w:val="24"/>
        </w:rPr>
        <w:t>Self</w:t>
      </w:r>
      <w:r w:rsidRPr="00CA46DD">
        <w:rPr>
          <w:rFonts w:ascii="Times New Roman" w:hAnsi="Times New Roman" w:cs="Times New Roman"/>
          <w:b/>
          <w:sz w:val="24"/>
          <w:szCs w:val="24"/>
        </w:rPr>
        <w:t>-Generated</w:t>
      </w:r>
    </w:p>
    <w:p w14:paraId="303A5AF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Other economic indicators include GDP growth, inflation rate, and employment. The economic downturn during the COVID-19 pandemic had a heavy impact on the hospitality industry of Dubai, which reflected lower tourism and occupancy rates (Kenny and Dutt, 2022). However, with the improving economy, there is expected to be a recovery in the demand for hotel </w:t>
      </w:r>
      <w:r w:rsidRPr="00CA46DD">
        <w:rPr>
          <w:rFonts w:ascii="Times New Roman" w:hAnsi="Times New Roman" w:cs="Times New Roman"/>
          <w:sz w:val="24"/>
          <w:szCs w:val="24"/>
        </w:rPr>
        <w:lastRenderedPageBreak/>
        <w:t>accommodation, and this can be seen as an opportunity for Hilton Dubai Al Habtoor City.</w:t>
      </w:r>
    </w:p>
    <w:p w14:paraId="49C02D4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Social factors are affecting the hospitality landscape since preferences changed with millennials and Gen Z (İlhan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2022). The current travelers are now demanding experiences rather than services, along with eco-friendly practices. With this scenario, Hilton Dubai Al Habtoor City needs to adapt to these demand changes and stay ahead of others.</w:t>
      </w:r>
    </w:p>
    <w:p w14:paraId="6C954F6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Technological changes are changing the dynamics of how guests interact with hotels (Yang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2021). Online booking systems and mobile applications call for investment in digital marketing and technology to elevate the guest experience and make hotel operations run more smoothly.</w:t>
      </w:r>
    </w:p>
    <w:p w14:paraId="37135FF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Environmental issues have continued to rise, and industry players are increasingly focusing on sustainability (Oláh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Guests expect hotels to adopt environmentally friendly methods of operation, such as reduction of waste and energy use, which may positively enhance the hotel's brand.</w:t>
      </w:r>
    </w:p>
    <w:p w14:paraId="7D550F7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Legal compliance is also very significant because local laws and regulations need to be adhered to, such as labor laws and health and safety standards, for the proper functioning of the hotel. Legal issues can tarnish its reputation and cause financial loss (Suramin, 2021). This PESTEL analysis has brought out many external factors affecting Hilton Dubai Al Habtoor City, which have helped in understanding challenges and opportunities in the hotel industry.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84FC1" w:rsidRPr="00CA46DD" w14:paraId="7C15330E"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405EA4"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Factor</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7B9BD0"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Impact on Hotel</w:t>
            </w:r>
          </w:p>
        </w:tc>
      </w:tr>
      <w:tr w:rsidR="00C84FC1" w:rsidRPr="00CA46DD" w14:paraId="15C8CF41"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549EA4"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Political</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56CB7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 steady political climate in the UAE supports tourism growth. Nevertheless, visa regulations can affect guest inflow.</w:t>
            </w:r>
          </w:p>
        </w:tc>
      </w:tr>
      <w:tr w:rsidR="00C84FC1" w:rsidRPr="00CA46DD" w14:paraId="1F8DC8F1"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C3B279"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Economic</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A2BF3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Financial recovery post-COVID is slow, impacting disposable income and travel </w:t>
            </w:r>
            <w:r w:rsidRPr="00CA46DD">
              <w:rPr>
                <w:rFonts w:ascii="Times New Roman" w:hAnsi="Times New Roman" w:cs="Times New Roman"/>
                <w:sz w:val="24"/>
                <w:szCs w:val="24"/>
              </w:rPr>
              <w:lastRenderedPageBreak/>
              <w:t>budgets.</w:t>
            </w:r>
          </w:p>
        </w:tc>
      </w:tr>
      <w:tr w:rsidR="00C84FC1" w:rsidRPr="00CA46DD" w14:paraId="414FF056"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628EFC"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lastRenderedPageBreak/>
              <w:t>Social</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140D5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Increased preference for experiential travel and health. Demographic shifts also impact travel behavior.</w:t>
            </w:r>
          </w:p>
        </w:tc>
      </w:tr>
      <w:tr w:rsidR="00C84FC1" w:rsidRPr="00CA46DD" w14:paraId="4933B812"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C3DC26"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Technological</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E16D8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Rapid technological improvements require continuous investment in digital marketing and customer engagement tools.</w:t>
            </w:r>
          </w:p>
        </w:tc>
      </w:tr>
      <w:tr w:rsidR="00C84FC1" w:rsidRPr="00CA46DD" w14:paraId="4DD8CC97"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29772F"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Environmental</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CE2E7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Growing focus on sustainability impacts guest expectations and operational practices.</w:t>
            </w:r>
          </w:p>
        </w:tc>
      </w:tr>
      <w:tr w:rsidR="00C84FC1" w:rsidRPr="00CA46DD" w14:paraId="2096B853"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2D9C64"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Legal</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D5728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Adherence to local laws and international standards is necessary, affecting operational flexibility.</w:t>
            </w:r>
          </w:p>
        </w:tc>
      </w:tr>
    </w:tbl>
    <w:p w14:paraId="512A0C7C" w14:textId="77777777" w:rsidR="00C84FC1" w:rsidRPr="00CA46DD" w:rsidRDefault="00C84FC1" w:rsidP="00921512">
      <w:pPr>
        <w:pStyle w:val="Normal1"/>
        <w:widowControl w:val="0"/>
        <w:spacing w:before="240" w:after="200" w:line="360" w:lineRule="auto"/>
        <w:jc w:val="both"/>
        <w:rPr>
          <w:rFonts w:ascii="Times New Roman" w:hAnsi="Times New Roman" w:cs="Times New Roman"/>
          <w:b/>
          <w:sz w:val="24"/>
          <w:szCs w:val="24"/>
        </w:rPr>
      </w:pPr>
    </w:p>
    <w:p w14:paraId="552DE410" w14:textId="77777777" w:rsidR="00C84FC1" w:rsidRPr="00CA46DD" w:rsidRDefault="008407FC" w:rsidP="00BE1D37">
      <w:pPr>
        <w:pStyle w:val="Heading2"/>
      </w:pPr>
      <w:bookmarkStart w:id="5" w:name="_Toc181637028"/>
      <w:r w:rsidRPr="00CA46DD">
        <w:t>SWOT Analysis</w:t>
      </w:r>
      <w:bookmarkEnd w:id="5"/>
    </w:p>
    <w:p w14:paraId="5C930CA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 SWOT analysis for Hilton Dubai Al Habtoor City gives a general overview of what could be done well and what should be improved within the organization, providing an overview of its internal strengths and weaknesses as well as external opportunities and threats.</w:t>
      </w:r>
    </w:p>
    <w:p w14:paraId="105A6B5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Its location is also prime since the hotel is situated in the luxurious hub of Dubai and near such major attractions as the Burj Khalifa and the Dubai Mall (Botti, 2023). Being under the globally renowned Hilton brand is also a guarantee for greater credibility and wider reach into the market. Facilities of the hotel also vary and range from ample room spaces to fine dining and other </w:t>
      </w:r>
      <w:r w:rsidRPr="00CA46DD">
        <w:rPr>
          <w:rFonts w:ascii="Times New Roman" w:hAnsi="Times New Roman" w:cs="Times New Roman"/>
          <w:sz w:val="24"/>
          <w:szCs w:val="24"/>
        </w:rPr>
        <w:lastRenderedPageBreak/>
        <w:t>premium facilities which attract business as well as leisure travelers.</w:t>
      </w:r>
    </w:p>
    <w:p w14:paraId="77D5CE2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However, it has weaknesses like an over-reliance on online travel agencies for bookings, which consume profit margins. It has risks associated with negative reviews and reputation management risks.</w:t>
      </w:r>
    </w:p>
    <w:p w14:paraId="6052F30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Opportunities lie in the recovery of the sector of tourism in terms of occupancy due to the lift on the international travel bans while the ecotourism issue represents an opportunity to enhance sustainability practice, diversifying more customers (Botti, 2023).</w:t>
      </w:r>
    </w:p>
    <w:p w14:paraId="69414DC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Other threats include strong competition from other luxury hotels in Dubai and an economic slowdown, which will cause fluctuations in demand. Several external factors, such as regulatory changes and geopolitical instability in the region, can also influence operations.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84FC1" w:rsidRPr="00CA46DD" w14:paraId="262BD176"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25C2F"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Strengths</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A73F15"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Weaknesses</w:t>
            </w:r>
          </w:p>
        </w:tc>
      </w:tr>
      <w:tr w:rsidR="00C84FC1" w:rsidRPr="00CA46DD" w14:paraId="3A334A11"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0F649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Strong brand recognition and loyalty</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940FE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High reliance on OTAs for bookings</w:t>
            </w:r>
          </w:p>
        </w:tc>
      </w:tr>
      <w:tr w:rsidR="00C84FC1" w:rsidRPr="00CA46DD" w14:paraId="39A7E34F"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AD41A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Prime location near major attractions</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BC3E1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Mixed online reviews and reputation issues</w:t>
            </w:r>
          </w:p>
        </w:tc>
      </w:tr>
      <w:tr w:rsidR="00C84FC1" w:rsidRPr="00CA46DD" w14:paraId="576E59CF"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C8227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Comprehensive facilities and amenities</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DE339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Limited digital marketing and engagement strategies</w:t>
            </w:r>
          </w:p>
        </w:tc>
      </w:tr>
      <w:tr w:rsidR="00C84FC1" w:rsidRPr="00CA46DD" w14:paraId="60ECC287"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78434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Experienced staff and management</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8BB0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Seasonal fluctuations affecting income stability</w:t>
            </w:r>
          </w:p>
        </w:tc>
      </w:tr>
      <w:tr w:rsidR="00C84FC1" w:rsidRPr="00CA46DD" w14:paraId="37BE886C" w14:textId="77777777">
        <w:tc>
          <w:tcPr>
            <w:tcW w:w="4680" w:type="dxa"/>
            <w:shd w:val="clear" w:color="auto" w:fill="auto"/>
            <w:tcMar>
              <w:top w:w="100" w:type="dxa"/>
              <w:left w:w="100" w:type="dxa"/>
              <w:bottom w:w="100" w:type="dxa"/>
              <w:right w:w="100" w:type="dxa"/>
            </w:tcMar>
          </w:tcPr>
          <w:p w14:paraId="75EFA8F4" w14:textId="77777777" w:rsidR="00C84FC1" w:rsidRPr="00CA46DD" w:rsidRDefault="008407FC" w:rsidP="00921512">
            <w:pPr>
              <w:pStyle w:val="Normal1"/>
              <w:widowControl w:val="0"/>
              <w:pBdr>
                <w:top w:val="nil"/>
                <w:left w:val="nil"/>
                <w:bottom w:val="nil"/>
                <w:right w:val="nil"/>
                <w:between w:val="nil"/>
              </w:pBdr>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 xml:space="preserve">Opportunities </w:t>
            </w:r>
          </w:p>
        </w:tc>
        <w:tc>
          <w:tcPr>
            <w:tcW w:w="4680" w:type="dxa"/>
            <w:shd w:val="clear" w:color="auto" w:fill="auto"/>
            <w:tcMar>
              <w:top w:w="100" w:type="dxa"/>
              <w:left w:w="100" w:type="dxa"/>
              <w:bottom w:w="100" w:type="dxa"/>
              <w:right w:w="100" w:type="dxa"/>
            </w:tcMar>
          </w:tcPr>
          <w:p w14:paraId="063198C6" w14:textId="77777777" w:rsidR="00C84FC1" w:rsidRPr="00CA46DD" w:rsidRDefault="008407FC" w:rsidP="00921512">
            <w:pPr>
              <w:pStyle w:val="Normal1"/>
              <w:widowControl w:val="0"/>
              <w:pBdr>
                <w:top w:val="nil"/>
                <w:left w:val="nil"/>
                <w:bottom w:val="nil"/>
                <w:right w:val="nil"/>
                <w:between w:val="nil"/>
              </w:pBdr>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Threats</w:t>
            </w:r>
          </w:p>
        </w:tc>
      </w:tr>
      <w:tr w:rsidR="00C84FC1" w:rsidRPr="00CA46DD" w14:paraId="6A48C813" w14:textId="77777777">
        <w:tc>
          <w:tcPr>
            <w:tcW w:w="4680" w:type="dxa"/>
            <w:shd w:val="clear" w:color="auto" w:fill="auto"/>
            <w:tcMar>
              <w:top w:w="100" w:type="dxa"/>
              <w:left w:w="100" w:type="dxa"/>
              <w:bottom w:w="100" w:type="dxa"/>
              <w:right w:w="100" w:type="dxa"/>
            </w:tcMar>
          </w:tcPr>
          <w:p w14:paraId="23845C5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Growing luxury tourism sector in Dubai</w:t>
            </w:r>
          </w:p>
        </w:tc>
        <w:tc>
          <w:tcPr>
            <w:tcW w:w="4680" w:type="dxa"/>
            <w:shd w:val="clear" w:color="auto" w:fill="auto"/>
            <w:tcMar>
              <w:top w:w="100" w:type="dxa"/>
              <w:left w:w="100" w:type="dxa"/>
              <w:bottom w:w="100" w:type="dxa"/>
              <w:right w:w="100" w:type="dxa"/>
            </w:tcMar>
          </w:tcPr>
          <w:p w14:paraId="27D67B6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Intense competition from new and existing hotels</w:t>
            </w:r>
          </w:p>
        </w:tc>
      </w:tr>
      <w:tr w:rsidR="00C84FC1" w:rsidRPr="00CA46DD" w14:paraId="59463282" w14:textId="77777777">
        <w:tc>
          <w:tcPr>
            <w:tcW w:w="4680" w:type="dxa"/>
            <w:shd w:val="clear" w:color="auto" w:fill="auto"/>
            <w:tcMar>
              <w:top w:w="100" w:type="dxa"/>
              <w:left w:w="100" w:type="dxa"/>
              <w:bottom w:w="100" w:type="dxa"/>
              <w:right w:w="100" w:type="dxa"/>
            </w:tcMar>
          </w:tcPr>
          <w:p w14:paraId="053080C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Increasing demand for personalized and sustainable experiences</w:t>
            </w:r>
          </w:p>
        </w:tc>
        <w:tc>
          <w:tcPr>
            <w:tcW w:w="4680" w:type="dxa"/>
            <w:shd w:val="clear" w:color="auto" w:fill="auto"/>
            <w:tcMar>
              <w:top w:w="100" w:type="dxa"/>
              <w:left w:w="100" w:type="dxa"/>
              <w:bottom w:w="100" w:type="dxa"/>
              <w:right w:w="100" w:type="dxa"/>
            </w:tcMar>
          </w:tcPr>
          <w:p w14:paraId="30CA3B0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Economic downturns impacting travel budgets</w:t>
            </w:r>
          </w:p>
        </w:tc>
      </w:tr>
      <w:tr w:rsidR="00C84FC1" w:rsidRPr="00CA46DD" w14:paraId="43D44373" w14:textId="77777777">
        <w:tc>
          <w:tcPr>
            <w:tcW w:w="4680" w:type="dxa"/>
            <w:shd w:val="clear" w:color="auto" w:fill="auto"/>
            <w:tcMar>
              <w:top w:w="100" w:type="dxa"/>
              <w:left w:w="100" w:type="dxa"/>
              <w:bottom w:w="100" w:type="dxa"/>
              <w:right w:w="100" w:type="dxa"/>
            </w:tcMar>
          </w:tcPr>
          <w:p w14:paraId="750C985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Advances in technology for enhanced guest engagement</w:t>
            </w:r>
          </w:p>
        </w:tc>
        <w:tc>
          <w:tcPr>
            <w:tcW w:w="4680" w:type="dxa"/>
            <w:shd w:val="clear" w:color="auto" w:fill="auto"/>
            <w:tcMar>
              <w:top w:w="100" w:type="dxa"/>
              <w:left w:w="100" w:type="dxa"/>
              <w:bottom w:w="100" w:type="dxa"/>
              <w:right w:w="100" w:type="dxa"/>
            </w:tcMar>
          </w:tcPr>
          <w:p w14:paraId="7F3C354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Uncertainty due to global events affecting travel</w:t>
            </w:r>
          </w:p>
        </w:tc>
      </w:tr>
    </w:tbl>
    <w:p w14:paraId="412C7336"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p w14:paraId="614CAFB0" w14:textId="77777777" w:rsidR="00C84FC1" w:rsidRPr="00CA46DD" w:rsidRDefault="008407FC" w:rsidP="00BE1D37">
      <w:pPr>
        <w:pStyle w:val="Heading2"/>
      </w:pPr>
      <w:bookmarkStart w:id="6" w:name="_Toc181637029"/>
      <w:r w:rsidRPr="00CA46DD">
        <w:t>TOWS Analysis</w:t>
      </w:r>
      <w:bookmarkEnd w:id="6"/>
    </w:p>
    <w:p w14:paraId="55FCE14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 TOWS analysis, based on this SWOT analysis, determines strategic steps to strengthen Hilton Dubai Al Habtoor City's competitive advantage.</w:t>
      </w:r>
    </w:p>
    <w:p w14:paraId="615C5C87"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lastRenderedPageBreak/>
        <w:drawing>
          <wp:inline distT="114300" distB="114300" distL="114300" distR="114300" wp14:anchorId="0C5C638D" wp14:editId="4F63C4A8">
            <wp:extent cx="5943600" cy="59436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943600" cy="5943600"/>
                    </a:xfrm>
                    <a:prstGeom prst="rect">
                      <a:avLst/>
                    </a:prstGeom>
                    <a:ln/>
                  </pic:spPr>
                </pic:pic>
              </a:graphicData>
            </a:graphic>
          </wp:inline>
        </w:drawing>
      </w:r>
    </w:p>
    <w:p w14:paraId="2F56962A"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Figure: TWOS Analysis Framework </w:t>
      </w:r>
    </w:p>
    <w:p w14:paraId="27CB8B0C"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Source: </w:t>
      </w:r>
      <w:r w:rsidR="00DD07B2" w:rsidRPr="00CA46DD">
        <w:rPr>
          <w:rFonts w:ascii="Times New Roman" w:hAnsi="Times New Roman" w:cs="Times New Roman"/>
          <w:b/>
          <w:sz w:val="24"/>
          <w:szCs w:val="24"/>
        </w:rPr>
        <w:t>Self</w:t>
      </w:r>
      <w:r w:rsidRPr="00CA46DD">
        <w:rPr>
          <w:rFonts w:ascii="Times New Roman" w:hAnsi="Times New Roman" w:cs="Times New Roman"/>
          <w:b/>
          <w:sz w:val="24"/>
          <w:szCs w:val="24"/>
        </w:rPr>
        <w:t xml:space="preserve">-Generated </w:t>
      </w:r>
    </w:p>
    <w:p w14:paraId="46A2114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SO Strategies</w:t>
      </w:r>
      <w:r w:rsidRPr="00CA46DD">
        <w:rPr>
          <w:rFonts w:ascii="Times New Roman" w:hAnsi="Times New Roman" w:cs="Times New Roman"/>
          <w:sz w:val="24"/>
          <w:szCs w:val="24"/>
        </w:rPr>
        <w:t>: Given its prime location and the reputation of the Hilton brand, the company can use focused marketing strategies to target unique experiences and premium amenities (Roberts, 2023). The partnership with local attractions and businesses can also create unique packages for leisure and business travelers when tourism starts rebounding.</w:t>
      </w:r>
    </w:p>
    <w:p w14:paraId="527D499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lastRenderedPageBreak/>
        <w:t>ST Strategies</w:t>
      </w:r>
      <w:r w:rsidRPr="00CA46DD">
        <w:rPr>
          <w:rFonts w:ascii="Times New Roman" w:hAnsi="Times New Roman" w:cs="Times New Roman"/>
          <w:sz w:val="24"/>
          <w:szCs w:val="24"/>
        </w:rPr>
        <w:t>: The hotel will resort to strategies differing from competitive pressures, such as offering luxury and superior service. Invest in high-class customer service training, making guest experiences better for loyalty building and reducing the impact of competitor promotions.</w:t>
      </w:r>
    </w:p>
    <w:p w14:paraId="2B7D620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WO Strategies</w:t>
      </w:r>
      <w:r w:rsidRPr="00CA46DD">
        <w:rPr>
          <w:rFonts w:ascii="Times New Roman" w:hAnsi="Times New Roman" w:cs="Times New Roman"/>
          <w:sz w:val="24"/>
          <w:szCs w:val="24"/>
        </w:rPr>
        <w:t xml:space="preserve">: The hotel can reduce its dependence on OTAs by improving the direct booking platform, offering rewards for direct bookings, and building loyalty programs to retain customers (Nyathela-Sunday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2024). In addition, through investment in green initiatives, it can attract more green travelers, thus managing its reputation and meeting market needs.</w:t>
      </w:r>
    </w:p>
    <w:p w14:paraId="042577A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WT Strategies</w:t>
      </w:r>
      <w:r w:rsidRPr="00CA46DD">
        <w:rPr>
          <w:rFonts w:ascii="Times New Roman" w:hAnsi="Times New Roman" w:cs="Times New Roman"/>
          <w:sz w:val="24"/>
          <w:szCs w:val="24"/>
        </w:rPr>
        <w:t xml:space="preserve">: The hotel should implement quality control measures and actively manage guest feedback to improve service delivery during potential economic downturns and reputational challenges (Japutra and Situmorang, 2021). It would also be prudent for the hotel to conduct market analyses regularly to anticipate regulatory landscapes and competition changes to react quickly. </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84FC1" w:rsidRPr="00CA46DD" w14:paraId="63D17123"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6C6A2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t>TOWS Strategies</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2541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t>Action Items</w:t>
            </w:r>
          </w:p>
        </w:tc>
      </w:tr>
      <w:tr w:rsidR="00C84FC1" w:rsidRPr="00CA46DD" w14:paraId="096F5033"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EE4A0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t>Strengths-Opportunities (SO)</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9B6B4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Improve digital marketing to target luxury travelers</w:t>
            </w:r>
          </w:p>
        </w:tc>
      </w:tr>
      <w:tr w:rsidR="00C84FC1" w:rsidRPr="00CA46DD" w14:paraId="420902FF"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645A12"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E0181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Design personalized guest experiences leveraging data analytics</w:t>
            </w:r>
          </w:p>
        </w:tc>
      </w:tr>
      <w:tr w:rsidR="00C84FC1" w:rsidRPr="00CA46DD" w14:paraId="44125D68"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4C5E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t>Strengths-Threats (ST)</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E923E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Employ a strong brand reputation to counter competition</w:t>
            </w:r>
          </w:p>
        </w:tc>
      </w:tr>
      <w:tr w:rsidR="00C84FC1" w:rsidRPr="00CA46DD" w14:paraId="4A175EDC"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96437D"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A7CAA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Finance in sustainability initiatives to meet changing consumer preferences</w:t>
            </w:r>
          </w:p>
        </w:tc>
      </w:tr>
      <w:tr w:rsidR="00C84FC1" w:rsidRPr="00CA46DD" w14:paraId="7A0109A2"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EFC1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lastRenderedPageBreak/>
              <w:t>Weaknesses-Opportunities (WO)</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3A7E0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Enhance online reputation management through active engagement</w:t>
            </w:r>
          </w:p>
        </w:tc>
      </w:tr>
      <w:tr w:rsidR="00C84FC1" w:rsidRPr="00CA46DD" w14:paraId="383570D9"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DB962C"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1CD57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Form partnerships with local businesses for unique guest experiences</w:t>
            </w:r>
          </w:p>
        </w:tc>
      </w:tr>
      <w:tr w:rsidR="00C84FC1" w:rsidRPr="00CA46DD" w14:paraId="6229DD12"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37070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sz w:val="24"/>
                <w:szCs w:val="24"/>
              </w:rPr>
              <w:t>Weaknesses-Threats (WT)</w:t>
            </w: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157B5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Execute staff training programs to enhance service quality</w:t>
            </w:r>
          </w:p>
        </w:tc>
      </w:tr>
      <w:tr w:rsidR="00C84FC1" w:rsidRPr="00CA46DD" w14:paraId="1C4431DC" w14:textId="77777777">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12F046"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tc>
        <w:tc>
          <w:tcPr>
            <w:tcW w:w="46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8AD7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Diversify marketing plans to reduce dependency on OTAs</w:t>
            </w:r>
          </w:p>
        </w:tc>
      </w:tr>
    </w:tbl>
    <w:p w14:paraId="7F398728"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p w14:paraId="5D02F93F" w14:textId="77777777" w:rsidR="00C84FC1" w:rsidRPr="00CA46DD" w:rsidRDefault="008407FC" w:rsidP="00BE1D37">
      <w:pPr>
        <w:pStyle w:val="Heading1"/>
      </w:pPr>
      <w:bookmarkStart w:id="7" w:name="_Toc181637030"/>
      <w:r w:rsidRPr="00CA46DD">
        <w:t>Recommenda</w:t>
      </w:r>
      <w:r w:rsidR="00BE1D37" w:rsidRPr="00CA46DD">
        <w:t>tions and Change Management</w:t>
      </w:r>
      <w:bookmarkEnd w:id="7"/>
    </w:p>
    <w:p w14:paraId="5620DF7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After conducting intense research on Hilton Dubai Al Habtoor City, there are a few major performance issues regarding the hotel. This chapter will elaborate on recommendations for improving these problems, as well as effective change management techniques. Recommendations would be made on grounds of operational efficiency improvement, greater guest satisfaction, and capturing market opportunities along with management of probable risks. </w:t>
      </w:r>
    </w:p>
    <w:p w14:paraId="462ADD68" w14:textId="77777777" w:rsidR="00C84FC1" w:rsidRPr="00CA46DD" w:rsidRDefault="008407FC" w:rsidP="00BE1D37">
      <w:pPr>
        <w:pStyle w:val="Heading2"/>
      </w:pPr>
      <w:bookmarkStart w:id="8" w:name="_Toc181637031"/>
      <w:r w:rsidRPr="00CA46DD">
        <w:t>Recommendations</w:t>
      </w:r>
      <w:bookmarkEnd w:id="8"/>
    </w:p>
    <w:p w14:paraId="757CC98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Enhance Direct Booking Channels</w:t>
      </w:r>
    </w:p>
    <w:p w14:paraId="4F4D203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Hilton Dubai Al Habtoor City has to come up with measures to end its dependence on OTAs. It must be able to develop direct booking channels, which include a seamless digital platform such as an easily accessible website and mobile application. The company can then offer free services </w:t>
      </w:r>
      <w:r w:rsidRPr="00CA46DD">
        <w:rPr>
          <w:rFonts w:ascii="Times New Roman" w:hAnsi="Times New Roman" w:cs="Times New Roman"/>
          <w:sz w:val="24"/>
          <w:szCs w:val="24"/>
        </w:rPr>
        <w:lastRenderedPageBreak/>
        <w:t>or points from the loyalty programs, among other offers, as a reward to guests to book directly through the system. This would mean the hotel gets a higher share of its earnings and a better relationship directly with the guest.</w:t>
      </w:r>
    </w:p>
    <w:p w14:paraId="5CD9600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As regards implementing the recommendation above, there is an investment in technology in the sense that this recommendation will necessitate a significant technological investment- between $50,000 and $100,000 depending on how complex a platform will be (Saarikko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Close collaboration from the marketing side with the IT department will be essential for the strategy to be successfully implemented. The platform must be functional but also attend to current market trends. Equipping the staff with the knowledge needed in the promotion of the new booking system entails training sessions for the staff involved in the implementation process.</w:t>
      </w:r>
    </w:p>
    <w:p w14:paraId="1A44DC89"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Implementing the CRM Systems</w:t>
      </w:r>
    </w:p>
    <w:p w14:paraId="5ECD22E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 Customer Relationship Management system would be beneficial to the hotel, as it will help them collect and analyze guest data, which is necessary to personalize services (González-Serrano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A CRM system will enable the tracking of guest preferences and behavior, hence allowing the marketing strategies and service delivery tailored to them. This way, the hotel will know the guests better and their satisfaction and loyalty will improve.</w:t>
      </w:r>
    </w:p>
    <w:p w14:paraId="7EC0B50E"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lastRenderedPageBreak/>
        <w:drawing>
          <wp:inline distT="114300" distB="114300" distL="114300" distR="114300" wp14:anchorId="417C2FDB" wp14:editId="5444C1B2">
            <wp:extent cx="5943600" cy="594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5943600" cy="5943600"/>
                    </a:xfrm>
                    <a:prstGeom prst="rect">
                      <a:avLst/>
                    </a:prstGeom>
                    <a:ln/>
                  </pic:spPr>
                </pic:pic>
              </a:graphicData>
            </a:graphic>
          </wp:inline>
        </w:drawing>
      </w:r>
    </w:p>
    <w:p w14:paraId="41EEE2AE"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Figure: CRM Systems </w:t>
      </w:r>
    </w:p>
    <w:p w14:paraId="047B0C26"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Source: </w:t>
      </w:r>
      <w:r w:rsidR="00DD07B2" w:rsidRPr="00CA46DD">
        <w:rPr>
          <w:rFonts w:ascii="Times New Roman" w:hAnsi="Times New Roman" w:cs="Times New Roman"/>
          <w:b/>
          <w:sz w:val="24"/>
          <w:szCs w:val="24"/>
        </w:rPr>
        <w:t>Self</w:t>
      </w:r>
      <w:r w:rsidRPr="00CA46DD">
        <w:rPr>
          <w:rFonts w:ascii="Times New Roman" w:hAnsi="Times New Roman" w:cs="Times New Roman"/>
          <w:b/>
          <w:sz w:val="24"/>
          <w:szCs w:val="24"/>
        </w:rPr>
        <w:t xml:space="preserve">-Generated </w:t>
      </w:r>
    </w:p>
    <w:p w14:paraId="7F8DC69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This investment will bring the cost of implementing the system to around $30,000 and maintain the costs at around $5,000 per year. Implementing this will need investment in training the staff appropriately so that they can leverage the system for proper business use and can use those insights in daily work to enhance their efforts. Improvements should be sought within a feedback </w:t>
      </w:r>
      <w:r w:rsidRPr="00CA46DD">
        <w:rPr>
          <w:rFonts w:ascii="Times New Roman" w:hAnsi="Times New Roman" w:cs="Times New Roman"/>
          <w:sz w:val="24"/>
          <w:szCs w:val="24"/>
        </w:rPr>
        <w:lastRenderedPageBreak/>
        <w:t>loop with employees so that they can always give suggestions about what aspects need improvement, considering they are the end-users when it comes to using a CRM.</w:t>
      </w:r>
    </w:p>
    <w:p w14:paraId="7D08CFA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Establish Sustainability Measures</w:t>
      </w:r>
    </w:p>
    <w:p w14:paraId="5612D4B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hotel should create an all-rounded sustainability program to attract environmentally conscious travelers. One of these initiatives could range from reducing waste, resource-efficient use, and supply of local products. For instance, the hotel will benefit from the enhancement of appeal to eco-friendly consumers besides saving costs, especially on resources, by managing resources more efficiently (Park and Kang, 2022).</w:t>
      </w:r>
    </w:p>
    <w:p w14:paraId="2B77605A"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lastRenderedPageBreak/>
        <w:drawing>
          <wp:inline distT="114300" distB="114300" distL="114300" distR="114300" wp14:anchorId="6CC79B09" wp14:editId="40938C26">
            <wp:extent cx="5943600" cy="59436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cstate="print"/>
                    <a:srcRect/>
                    <a:stretch>
                      <a:fillRect/>
                    </a:stretch>
                  </pic:blipFill>
                  <pic:spPr>
                    <a:xfrm>
                      <a:off x="0" y="0"/>
                      <a:ext cx="5943600" cy="5943600"/>
                    </a:xfrm>
                    <a:prstGeom prst="rect">
                      <a:avLst/>
                    </a:prstGeom>
                    <a:ln/>
                  </pic:spPr>
                </pic:pic>
              </a:graphicData>
            </a:graphic>
          </wp:inline>
        </w:drawing>
      </w:r>
    </w:p>
    <w:p w14:paraId="1DB81771"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Figure: Promoting Sustainable Culture</w:t>
      </w:r>
    </w:p>
    <w:p w14:paraId="3A680D1D"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Source: </w:t>
      </w:r>
      <w:r w:rsidR="00DD07B2" w:rsidRPr="00CA46DD">
        <w:rPr>
          <w:rFonts w:ascii="Times New Roman" w:hAnsi="Times New Roman" w:cs="Times New Roman"/>
          <w:b/>
          <w:sz w:val="24"/>
          <w:szCs w:val="24"/>
        </w:rPr>
        <w:t>Self</w:t>
      </w:r>
      <w:r w:rsidRPr="00CA46DD">
        <w:rPr>
          <w:rFonts w:ascii="Times New Roman" w:hAnsi="Times New Roman" w:cs="Times New Roman"/>
          <w:b/>
          <w:sz w:val="24"/>
          <w:szCs w:val="24"/>
        </w:rPr>
        <w:t xml:space="preserve">-Generated </w:t>
      </w:r>
    </w:p>
    <w:p w14:paraId="44CBDAD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This would call for a one-time cost of approximately $20,000; however, to monitor and improve performance on an annual basis would be another $5000 every year.  Workshops in sustainability sensibilities would establish a culture and work ethic toward environmental issues by staff members. Increased participation by staff in enhancing guest experience could also further </w:t>
      </w:r>
      <w:r w:rsidRPr="00CA46DD">
        <w:rPr>
          <w:rFonts w:ascii="Times New Roman" w:hAnsi="Times New Roman" w:cs="Times New Roman"/>
          <w:sz w:val="24"/>
          <w:szCs w:val="24"/>
        </w:rPr>
        <w:lastRenderedPageBreak/>
        <w:t>contribute to increasing morale among them.</w:t>
      </w:r>
    </w:p>
    <w:p w14:paraId="5B965020"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Improving Guest Experience Through Staff Training</w:t>
      </w:r>
    </w:p>
    <w:p w14:paraId="308CD16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An excellent training program on customer service excellence and cultural sensitivity is imperative to enhance the overall guest experience (Hsiao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2023). Such a program should include effective communication skills, problem-solving strategies, and knowledge of diverse cultural backgrounds that enhance guest interactions.</w:t>
      </w:r>
    </w:p>
    <w:p w14:paraId="254A97A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This training will cost around $15,000 to develop and implement, with the costs comprised of materials and facilitation fees. The hotel needs to approach training in phases so that the staff would not feel overwhelmed by the large amount of information while, at the same time, allowing the staff to gain experience in giving feedback to the organization. Regular assessments of the performance of the staff will be done following the training to reinforce the learning and to pinpoint further needs for training.</w:t>
      </w:r>
    </w:p>
    <w:p w14:paraId="39A92B8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Revamping Market Positioning and Branding Strategy</w:t>
      </w:r>
    </w:p>
    <w:p w14:paraId="29F79A8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branding strategy in Hilton Dubai Al Habtoor City should be done differently so that people may appreciate its distinguishing features and move in line with the modern market wave. Social media and a digital marketing campaign are powerful vehicles that can bring much popularity to the hotel.</w:t>
      </w:r>
    </w:p>
    <w:p w14:paraId="1AF1227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 new branding strategy will cost approximately $25,000. There should be a dedicated team handling the process to ensure all departments embrace the new branding (Clark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Regency and strategy meetings inform the entire team of how things are going and provide a general overview of everything in motion.</w:t>
      </w:r>
    </w:p>
    <w:p w14:paraId="2FC4D447"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Establish Continuous Systems of Checking and Giving Feedback</w:t>
      </w:r>
    </w:p>
    <w:p w14:paraId="2D106A7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Lastly, a systematic mechanism for feedback will be essential for continuous improvement (Sjödin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2021). The hotel could collect information on satisfaction levels from the guests and staff and establish areas of improvement. This may be done through electronic questionnaires, suggestion boxes, and review meetings.</w:t>
      </w:r>
    </w:p>
    <w:p w14:paraId="69D1BD7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These feedback systems have an estimated initial cost of $5,000 in terms of software and analysis tools. Creating an open culture where the management allows the staff to be more engaged with the guest feedback will enhance the service delivery and provide a collaborative environment for continuous improvement.</w:t>
      </w:r>
    </w:p>
    <w:p w14:paraId="2E5F1ED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Moreover, all of this requires proper planning and investment. Still, the potential benefits of higher revenues and increased guest satisfaction, coupled with stronger brand loyalty, outweigh the costs. If Hilton Dubai Al Habtoor City puts these strategies at the top of its list, it will position itself for sustained success in the highly competitive hospitality market. </w:t>
      </w:r>
    </w:p>
    <w:p w14:paraId="122F851D" w14:textId="77777777" w:rsidR="00C84FC1" w:rsidRPr="00CA46DD" w:rsidRDefault="008407FC" w:rsidP="00BE1D37">
      <w:pPr>
        <w:pStyle w:val="Heading2"/>
      </w:pPr>
      <w:bookmarkStart w:id="9" w:name="_Toc181637032"/>
      <w:r w:rsidRPr="00CA46DD">
        <w:t>Change Management Strategies</w:t>
      </w:r>
      <w:bookmarkEnd w:id="9"/>
    </w:p>
    <w:p w14:paraId="44125CF0"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Effective Communication</w:t>
      </w:r>
    </w:p>
    <w:p w14:paraId="0F842DE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The root of managing change at Hilton Dubai Al Habtoor City is effective communication. The reasons behind the change, the expected outcomes, and the benefits of the same to the employees and the guests must be communicated (Guzzo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2021). Multiple channels of communication should be planned such as team meetings, emails, newsletters, and intranet updates for effective communication. This plan ensures that staff members at all levels are informed and engaged in discussions regarding changes. This can help reduce uncertainty and ensure trust among employees as there is transparency throughout the process.</w:t>
      </w:r>
    </w:p>
    <w:p w14:paraId="5CE1615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Management must promote a two-way process of communication among the workers so they may raise their grievances, questions, or comments regarding the change (Smit, 2024). It will go beyond boosting the morale of the staff but will give a sense of ownership for the change implemented. The coaches and managers have to be trained in active listening so they may better communicate with their team regarding the change in progress.</w:t>
      </w:r>
    </w:p>
    <w:p w14:paraId="4D601475" w14:textId="77777777" w:rsidR="00C84FC1" w:rsidRPr="00CA46DD" w:rsidRDefault="008407FC" w:rsidP="00921512">
      <w:pPr>
        <w:pStyle w:val="Normal1"/>
        <w:widowControl w:val="0"/>
        <w:spacing w:before="240" w:after="200" w:line="360" w:lineRule="auto"/>
        <w:jc w:val="both"/>
        <w:rPr>
          <w:rFonts w:ascii="Times New Roman" w:hAnsi="Times New Roman" w:cs="Times New Roman"/>
          <w:b/>
          <w:i/>
          <w:sz w:val="24"/>
          <w:szCs w:val="24"/>
        </w:rPr>
      </w:pPr>
      <w:r w:rsidRPr="00CA46DD">
        <w:rPr>
          <w:rFonts w:ascii="Times New Roman" w:hAnsi="Times New Roman" w:cs="Times New Roman"/>
          <w:b/>
          <w:i/>
          <w:sz w:val="24"/>
          <w:szCs w:val="24"/>
        </w:rPr>
        <w:t>Engaging Employees in the Change Process</w:t>
      </w:r>
    </w:p>
    <w:p w14:paraId="79FD9BC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Involving the employees in a pre-change phase is necessary because it promotes acceptance and commitment. Staff members at Hilton Dubai Al Habtoor City must be consulted, especially where changes affect them directly (Fournier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xml:space="preserve">, 2021). This can be done in workshops, brainstorming, or focus groups where workers are encouraged to give insights and suggestions </w:t>
      </w:r>
      <w:r w:rsidRPr="00CA46DD">
        <w:rPr>
          <w:rFonts w:ascii="Times New Roman" w:hAnsi="Times New Roman" w:cs="Times New Roman"/>
          <w:sz w:val="24"/>
          <w:szCs w:val="24"/>
        </w:rPr>
        <w:lastRenderedPageBreak/>
        <w:t>that can benefit the process of new initiatives.</w:t>
      </w:r>
    </w:p>
    <w:p w14:paraId="114E01E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This will make the employee feel a part of the process and tap into the knowledge and expertise of each person will lead to an appropriate solution and will buy into the changes. Similarly, by rewarding and applauding the employees involved with the change process, other employees are motivated, thus, helping to develop a positive culture around the changes.</w:t>
      </w:r>
    </w:p>
    <w:p w14:paraId="78AACD7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Training and Development</w:t>
      </w:r>
    </w:p>
    <w:p w14:paraId="4B98EE9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There cannot be change without training and development. Hilton Dubai Al Habtoor City must develop and facilitate staff-specific training programs so that the employees are properly prepared for the new systems, processes, or culture. These training programs shall focus on particular skills or knowledge areas related to the change, including customer service excellence, the use of new technology, and sustainability practices.</w:t>
      </w:r>
    </w:p>
    <w:p w14:paraId="45064F6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Alongside formal training, online modules and job aids will also facilitate additional support and resources for employees (Woods, 2020). In doing so, employees are most likely to gain confidence and competence regarding their new roles and responsibilities. Mechanisms for the regular assessment and feedback for continuous monitoring of the effectiveness of the training and further requirements should be put in place.</w:t>
      </w:r>
    </w:p>
    <w:p w14:paraId="1E210AD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Building a Supportive Culture</w:t>
      </w:r>
    </w:p>
    <w:p w14:paraId="74AAC86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An organizational culture that supports the changes to be implemented is very essential for effective change management. Hilton Dubai Al Habtoor City should encourage an organizational culture where adaptability, innovation, and collaboration are encouraged. Leadership should model these behaviors and instill the value of flexibility and resilience in the employees.</w:t>
      </w:r>
    </w:p>
    <w:p w14:paraId="56D7FF5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For a culture to be created to help build such an atmosphere, team-building activities, recognition programs, and open forums can be introduced in the hotel (Pradeep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2023). Small wins, when celebrated and efforts during change are recognized, help employees increase motivation and morale. Encouraging a growth mindset will enable them to understand changes as personal and professional development opportunities rather than as threats.</w:t>
      </w:r>
    </w:p>
    <w:p w14:paraId="376CD06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b/>
          <w:i/>
          <w:sz w:val="24"/>
          <w:szCs w:val="24"/>
        </w:rPr>
        <w:t>Monitoring and Evaluation</w:t>
      </w:r>
    </w:p>
    <w:p w14:paraId="6484DB8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 xml:space="preserve">A monitoring and evaluation framework will be an essential development for determining the effects and which change initiative areas need improvements (Neves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,2020). Hilton Dubai Al Habtoor City should have developed key performance indicators concerning the change initiatives' objectives. This means that frequent check-ins, as well as assessments, will provide for effectiveness on the change implemented if timely corrections are to be made accordingly.</w:t>
      </w:r>
    </w:p>
    <w:p w14:paraId="57E6ECD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Continuous collection of feedback both from employees and guests is necessary to measure the change level and any problems arising from the changes. Such feedback will be invaluable for tweaking strategies and ensuring that such adaptation by the hotel pays off effectively in the evolving environment. </w:t>
      </w:r>
    </w:p>
    <w:p w14:paraId="5119A8CF"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noProof/>
          <w:sz w:val="24"/>
          <w:szCs w:val="24"/>
          <w:lang w:val="en-US"/>
        </w:rPr>
        <w:lastRenderedPageBreak/>
        <w:drawing>
          <wp:inline distT="114300" distB="114300" distL="114300" distR="114300" wp14:anchorId="77746C96" wp14:editId="4876AE14">
            <wp:extent cx="5943600" cy="59436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5943600" cy="5943600"/>
                    </a:xfrm>
                    <a:prstGeom prst="rect">
                      <a:avLst/>
                    </a:prstGeom>
                    <a:ln/>
                  </pic:spPr>
                </pic:pic>
              </a:graphicData>
            </a:graphic>
          </wp:inline>
        </w:drawing>
      </w:r>
    </w:p>
    <w:p w14:paraId="606DF4D3"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Figure: Change Management Strategies in Hotels</w:t>
      </w:r>
    </w:p>
    <w:p w14:paraId="75562481" w14:textId="77777777" w:rsidR="00C84FC1" w:rsidRPr="00CA46DD" w:rsidRDefault="008407FC" w:rsidP="00921512">
      <w:pPr>
        <w:pStyle w:val="Normal1"/>
        <w:widowControl w:val="0"/>
        <w:spacing w:before="240" w:after="200" w:line="360" w:lineRule="auto"/>
        <w:jc w:val="center"/>
        <w:rPr>
          <w:rFonts w:ascii="Times New Roman" w:hAnsi="Times New Roman" w:cs="Times New Roman"/>
          <w:b/>
          <w:sz w:val="24"/>
          <w:szCs w:val="24"/>
        </w:rPr>
      </w:pPr>
      <w:r w:rsidRPr="00CA46DD">
        <w:rPr>
          <w:rFonts w:ascii="Times New Roman" w:hAnsi="Times New Roman" w:cs="Times New Roman"/>
          <w:b/>
          <w:sz w:val="24"/>
          <w:szCs w:val="24"/>
        </w:rPr>
        <w:t xml:space="preserve">Source: </w:t>
      </w:r>
      <w:r w:rsidR="00DD07B2" w:rsidRPr="00CA46DD">
        <w:rPr>
          <w:rFonts w:ascii="Times New Roman" w:hAnsi="Times New Roman" w:cs="Times New Roman"/>
          <w:b/>
          <w:sz w:val="24"/>
          <w:szCs w:val="24"/>
        </w:rPr>
        <w:t>Self</w:t>
      </w:r>
      <w:r w:rsidRPr="00CA46DD">
        <w:rPr>
          <w:rFonts w:ascii="Times New Roman" w:hAnsi="Times New Roman" w:cs="Times New Roman"/>
          <w:b/>
          <w:sz w:val="24"/>
          <w:szCs w:val="24"/>
        </w:rPr>
        <w:t xml:space="preserve">-Generated </w:t>
      </w:r>
    </w:p>
    <w:p w14:paraId="04C3719D" w14:textId="77777777" w:rsidR="00C84FC1" w:rsidRPr="00CA46DD" w:rsidRDefault="008407FC" w:rsidP="00BE1D37">
      <w:pPr>
        <w:pStyle w:val="Heading2"/>
      </w:pPr>
      <w:bookmarkStart w:id="10" w:name="_Toc181637033"/>
      <w:r w:rsidRPr="00CA46DD">
        <w:t>Measuring Success</w:t>
      </w:r>
      <w:bookmarkEnd w:id="10"/>
    </w:p>
    <w:p w14:paraId="58EA342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To measure the effective changes implemented at Hilton Dubai Al Habtoor City, a multi-faceted approach must be used involving both qualitative and quantitative measures. KPIs will have to be set for the specific objectives of the change initiatives. For instance, guest satisfaction scores, </w:t>
      </w:r>
      <w:r w:rsidRPr="00CA46DD">
        <w:rPr>
          <w:rFonts w:ascii="Times New Roman" w:hAnsi="Times New Roman" w:cs="Times New Roman"/>
          <w:sz w:val="24"/>
          <w:szCs w:val="24"/>
        </w:rPr>
        <w:lastRenderedPageBreak/>
        <w:t>employee engagement levels, and occupancy rates may all be useful in the assessment of the performance of the hotel after implementation (Reeves, 2020).</w:t>
      </w:r>
    </w:p>
    <w:p w14:paraId="2BE09FA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Regular staff and guest surveys should be conducted to know how the experience has been. The negative and positive sides should be highlighted so that there are areas for improvement and areas where things have worked out. This will be an essential element in employee performance evaluations because it will indicate whether or not the training programs work and how people are adjusting to the new processes.</w:t>
      </w:r>
    </w:p>
    <w:p w14:paraId="6358B1F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The economic impact of the changes should be measured through the analysis of financial performance metrics, such as revenue per available room and average daily rate (Napierała </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2020). These financial indicators over time will show whether the changes result in increased profitability.</w:t>
      </w:r>
    </w:p>
    <w:p w14:paraId="5CAF24D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Last, there should be a process of review established that should continue indefinitely; adjustments to be made, based on feedback and data on performance. This can be possible through an elaborate measurement strategy where change management for Hilton Dubai Al Habtoor City would be perfectly synchronized with the strategic objectives to deliver clear results. </w:t>
      </w:r>
    </w:p>
    <w:p w14:paraId="46255872" w14:textId="77777777" w:rsidR="00C84FC1" w:rsidRPr="00CA46DD" w:rsidRDefault="008407FC" w:rsidP="00BE1D37">
      <w:pPr>
        <w:pStyle w:val="Heading2"/>
      </w:pPr>
      <w:bookmarkStart w:id="11" w:name="_Toc181637034"/>
      <w:r w:rsidRPr="00CA46DD">
        <w:t>Potential Benefits</w:t>
      </w:r>
      <w:bookmarkEnd w:id="11"/>
    </w:p>
    <w:p w14:paraId="21BEEF6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If applied, the suggested changes would bring numerous possible benefits contributing significantly to better operational efficiency as well as guest satisfaction in Hilton Dubai Al Habtoor City. First and foremost, efficient communication with employees and bringing them on board may ensure greater employee engagement, which results in a more committed and more productive workforce. Valued and heard by their managers, employees provide service on a higher quality level; thus, increasing the guests' overall satisfaction level.</w:t>
      </w:r>
    </w:p>
    <w:p w14:paraId="34F3CC3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Training programs can result in higher service quality, often increasing guest satisfaction scores and positive reviews that are useful in boosting the reputation of a hotel and attracting a larger clientele, thus increasing the occupancy rate and revenue.</w:t>
      </w:r>
    </w:p>
    <w:p w14:paraId="07ED31F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This helps to have a culture of continuous improvement and innovation that creates a flexible </w:t>
      </w:r>
      <w:r w:rsidRPr="00CA46DD">
        <w:rPr>
          <w:rFonts w:ascii="Times New Roman" w:hAnsi="Times New Roman" w:cs="Times New Roman"/>
          <w:sz w:val="24"/>
          <w:szCs w:val="24"/>
        </w:rPr>
        <w:lastRenderedPageBreak/>
        <w:t>environment where the hotel may be able to quickly respond to market changes and preferences. It can allow it to better position itself within a competitive landscape to remain at the top, as Dubai hotels have been seen to hold.</w:t>
      </w:r>
    </w:p>
    <w:p w14:paraId="31A3ADF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Financially, increases in guest satisfaction and overall efficiency in operations are therefore expected to translate into additional revenues at a higher revenue-generating level (Hayes w</w:t>
      </w:r>
      <w:r w:rsidR="004C2B7E" w:rsidRPr="00CA46DD">
        <w:rPr>
          <w:rFonts w:ascii="Times New Roman" w:hAnsi="Times New Roman" w:cs="Times New Roman"/>
          <w:i/>
          <w:sz w:val="24"/>
          <w:szCs w:val="24"/>
        </w:rPr>
        <w:t>et al.</w:t>
      </w:r>
      <w:r w:rsidRPr="00CA46DD">
        <w:rPr>
          <w:rFonts w:ascii="Times New Roman" w:hAnsi="Times New Roman" w:cs="Times New Roman"/>
          <w:sz w:val="24"/>
          <w:szCs w:val="24"/>
        </w:rPr>
        <w:t xml:space="preserve">, 2021). Meaning that the investment in those changes will be worthwhile after the changes have been implemented fully. In general, through such implementation, Hilton Dubai Al Habtoor City will be positioned for sustainable growth and long-lasting success. </w:t>
      </w:r>
    </w:p>
    <w:p w14:paraId="6F55F4FB" w14:textId="77777777" w:rsidR="00C84FC1" w:rsidRPr="00CA46DD" w:rsidRDefault="008407FC" w:rsidP="00BE1D37">
      <w:pPr>
        <w:pStyle w:val="Heading2"/>
      </w:pPr>
      <w:bookmarkStart w:id="12" w:name="_Toc181637035"/>
      <w:r w:rsidRPr="00CA46DD">
        <w:t>Cost Overview</w:t>
      </w:r>
      <w:bookmarkEnd w:id="12"/>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C84FC1" w:rsidRPr="00CA46DD" w14:paraId="4CA64E4E"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A444FB"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Cost Category</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F73E80"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Description</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25B53B"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Estimated Cost (USD)</w:t>
            </w:r>
          </w:p>
        </w:tc>
      </w:tr>
      <w:tr w:rsidR="00C84FC1" w:rsidRPr="00CA46DD" w14:paraId="3A5DF2BB"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16F72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Training Programs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15685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Development and implementation of staff training sessions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FC5A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$15,000 - $25,000</w:t>
            </w:r>
          </w:p>
        </w:tc>
      </w:tr>
      <w:tr w:rsidR="00C84FC1" w:rsidRPr="00CA46DD" w14:paraId="194AD37E"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35B4B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Communication Materials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62C6F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Production of internal newsletters, updates, and engagement materials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76EC1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$5,000 - $10,000</w:t>
            </w:r>
          </w:p>
        </w:tc>
      </w:tr>
      <w:tr w:rsidR="00C84FC1" w:rsidRPr="00CA46DD" w14:paraId="01690543"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A04CA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Employee Engagement Initiatives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A9B89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Team-building activities and employee recognition programs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1BB12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$10,000 - $15,000</w:t>
            </w:r>
          </w:p>
        </w:tc>
      </w:tr>
      <w:tr w:rsidR="00C84FC1" w:rsidRPr="00CA46DD" w14:paraId="4FCF08F7"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FB7CC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Consultancy Fees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DF8C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Fees for external consultants assisting with change </w:t>
            </w:r>
            <w:r w:rsidRPr="00CA46DD">
              <w:rPr>
                <w:rFonts w:ascii="Times New Roman" w:hAnsi="Times New Roman" w:cs="Times New Roman"/>
                <w:sz w:val="24"/>
                <w:szCs w:val="24"/>
              </w:rPr>
              <w:lastRenderedPageBreak/>
              <w:t>management</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6D57D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$20,000 - $40,000</w:t>
            </w:r>
          </w:p>
        </w:tc>
      </w:tr>
      <w:tr w:rsidR="00C84FC1" w:rsidRPr="00CA46DD" w14:paraId="39A72F87"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97BCB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Technology Upgrades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3012F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Costs for any new systems or software required for improved operations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54A76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$30,000 - $50,000</w:t>
            </w:r>
          </w:p>
        </w:tc>
      </w:tr>
      <w:tr w:rsidR="00C84FC1" w:rsidRPr="00CA46DD" w14:paraId="3221BB75"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D7135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Marketing Campaigns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0E3E3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Promotions to highlight improved services and attract new customers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5614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$10,000 - $20,000</w:t>
            </w:r>
          </w:p>
        </w:tc>
      </w:tr>
      <w:tr w:rsidR="00C84FC1" w:rsidRPr="00CA46DD" w14:paraId="5D552A4B"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21491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Monitoring and Evaluation Tools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E485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Implementation of tools and systems for tracking performance metrics</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2B1F1B"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$5,000 - $8,000</w:t>
            </w:r>
          </w:p>
        </w:tc>
      </w:tr>
      <w:tr w:rsidR="00C84FC1" w:rsidRPr="00CA46DD" w14:paraId="1FC7CA57" w14:textId="77777777">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4772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Total Estimated Cost</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9B1EC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Overall investment required for change implementation</w:t>
            </w:r>
          </w:p>
        </w:tc>
        <w:tc>
          <w:tcPr>
            <w:tcW w:w="3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F99B4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$95,000 - $168,000</w:t>
            </w:r>
          </w:p>
        </w:tc>
      </w:tr>
    </w:tbl>
    <w:p w14:paraId="4EAA3EA0" w14:textId="77777777" w:rsidR="00C84FC1" w:rsidRPr="00CA46DD" w:rsidRDefault="00C84FC1" w:rsidP="00921512">
      <w:pPr>
        <w:pStyle w:val="Normal1"/>
        <w:widowControl w:val="0"/>
        <w:spacing w:before="240" w:after="200" w:line="360" w:lineRule="auto"/>
        <w:jc w:val="both"/>
        <w:rPr>
          <w:rFonts w:ascii="Times New Roman" w:hAnsi="Times New Roman" w:cs="Times New Roman"/>
          <w:b/>
          <w:sz w:val="24"/>
          <w:szCs w:val="24"/>
        </w:rPr>
      </w:pPr>
    </w:p>
    <w:p w14:paraId="743163DA" w14:textId="77777777" w:rsidR="00C84FC1" w:rsidRPr="00CA46DD" w:rsidRDefault="00BE1D37" w:rsidP="00BE1D37">
      <w:pPr>
        <w:pStyle w:val="Heading1"/>
      </w:pPr>
      <w:bookmarkStart w:id="13" w:name="_Toc181637036"/>
      <w:r w:rsidRPr="00CA46DD">
        <w:t>Action Plan</w:t>
      </w:r>
      <w:bookmarkEnd w:id="13"/>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C84FC1" w:rsidRPr="00CA46DD" w14:paraId="6552C2BA"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D09955"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Action</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972486"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Responsible Party</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10FEF"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Timeline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AD02D8" w14:textId="77777777" w:rsidR="00C84FC1" w:rsidRPr="00CA46DD" w:rsidRDefault="008407FC" w:rsidP="00921512">
            <w:pPr>
              <w:pStyle w:val="Normal1"/>
              <w:widowControl w:val="0"/>
              <w:spacing w:before="240" w:after="200" w:line="360" w:lineRule="auto"/>
              <w:jc w:val="both"/>
              <w:rPr>
                <w:rFonts w:ascii="Times New Roman" w:hAnsi="Times New Roman" w:cs="Times New Roman"/>
                <w:b/>
                <w:sz w:val="24"/>
                <w:szCs w:val="24"/>
              </w:rPr>
            </w:pPr>
            <w:r w:rsidRPr="00CA46DD">
              <w:rPr>
                <w:rFonts w:ascii="Times New Roman" w:hAnsi="Times New Roman" w:cs="Times New Roman"/>
                <w:b/>
                <w:sz w:val="24"/>
                <w:szCs w:val="24"/>
              </w:rPr>
              <w:t>Expected Outcome</w:t>
            </w:r>
          </w:p>
        </w:tc>
      </w:tr>
      <w:tr w:rsidR="00C84FC1" w:rsidRPr="00CA46DD" w14:paraId="34A684CD"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05447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Conduct a staff needs assessment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218E5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HR Department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5E36A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1</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64AF5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Identify training needs and areas for improvement</w:t>
            </w:r>
          </w:p>
        </w:tc>
      </w:tr>
      <w:tr w:rsidR="00C84FC1" w:rsidRPr="00CA46DD" w14:paraId="7A9B7745"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41862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Develop training programs</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C4BCF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Training Coordinator</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933DE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2</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BABAC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Enhance employee skills and service quality</w:t>
            </w:r>
          </w:p>
        </w:tc>
      </w:tr>
      <w:tr w:rsidR="00C84FC1" w:rsidRPr="00CA46DD" w14:paraId="6694D0C9"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3B874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Launch internal communication initiative</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C0A5C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Marketing Department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A3881F"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2</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A9F12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Improve staff engagement and communication flow</w:t>
            </w:r>
          </w:p>
        </w:tc>
      </w:tr>
      <w:tr w:rsidR="00C84FC1" w:rsidRPr="00CA46DD" w14:paraId="1E1E0223"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1A9FA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Implement employee engagement initiatives</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B0A4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HR and Management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762C8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96C55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Increase staff morale and retention</w:t>
            </w:r>
          </w:p>
        </w:tc>
      </w:tr>
      <w:tr w:rsidR="00C84FC1" w:rsidRPr="00CA46DD" w14:paraId="452899CB"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44B68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Hire external consultants for change management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1B53A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Management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64014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3</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12AE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Provide expert guidance and support</w:t>
            </w:r>
          </w:p>
        </w:tc>
      </w:tr>
      <w:tr w:rsidR="00C84FC1" w:rsidRPr="00CA46DD" w14:paraId="346BAF3C"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0D68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Upgrade necessary technology</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53452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IT Department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90948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Months 3-4</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9FC59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Improve operational efficiency and customer experience</w:t>
            </w:r>
          </w:p>
        </w:tc>
      </w:tr>
      <w:tr w:rsidR="00C84FC1" w:rsidRPr="00CA46DD" w14:paraId="6606FE3E"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2E5CE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Execute a marketing campaign</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AFB88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Marketing Department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47EBD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4</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3053AD"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Attract new customers and boost occupancy rates</w:t>
            </w:r>
          </w:p>
        </w:tc>
      </w:tr>
      <w:tr w:rsidR="00C84FC1" w:rsidRPr="00CA46DD" w14:paraId="263B0344"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548E08"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Establish monitoring and evaluation </w:t>
            </w:r>
            <w:r w:rsidRPr="00CA46DD">
              <w:rPr>
                <w:rFonts w:ascii="Times New Roman" w:hAnsi="Times New Roman" w:cs="Times New Roman"/>
                <w:sz w:val="24"/>
                <w:szCs w:val="24"/>
              </w:rPr>
              <w:lastRenderedPageBreak/>
              <w:t>metrics</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D985E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Management and IT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29CD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4</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7817E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Assess the effectiveness of </w:t>
            </w:r>
            <w:r w:rsidRPr="00CA46DD">
              <w:rPr>
                <w:rFonts w:ascii="Times New Roman" w:hAnsi="Times New Roman" w:cs="Times New Roman"/>
                <w:sz w:val="24"/>
                <w:szCs w:val="24"/>
              </w:rPr>
              <w:lastRenderedPageBreak/>
              <w:t>implemented changes</w:t>
            </w:r>
          </w:p>
        </w:tc>
      </w:tr>
      <w:tr w:rsidR="00C84FC1" w:rsidRPr="00CA46DD" w14:paraId="178D85C1"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F920A5"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Review progress and gather feedback</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6624B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Management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9B8B5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5</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3CB8E2"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Ensure continuous improvement and adaptation</w:t>
            </w:r>
          </w:p>
        </w:tc>
      </w:tr>
      <w:tr w:rsidR="00C84FC1" w:rsidRPr="00CA46DD" w14:paraId="3199A7D8" w14:textId="77777777">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50F3D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Adjust strategies based on feedback</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A63CF7"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Management</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7DB7BC"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Month 6</w:t>
            </w:r>
          </w:p>
        </w:tc>
        <w:tc>
          <w:tcPr>
            <w:tcW w:w="23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FE5F44"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Enhance overall effectiveness and service delivery</w:t>
            </w:r>
          </w:p>
        </w:tc>
      </w:tr>
    </w:tbl>
    <w:p w14:paraId="6EC8D1C6"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action plan for Hilton Dubai Al Habtoor City mentions the steps of operation needed for implementing the proposed change. In month 1, HR would conduct a needs assessment to determine training requirements. The Training Coordinator in month 2 would work out a plan for conducting a training program that enhances employee skills (Rivaldo and Nabella, 2023). At the same time, an initiative taken by the Marketing Department about internal communication would promote the engagement of the staff.</w:t>
      </w:r>
    </w:p>
    <w:p w14:paraId="29247DA3"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Employee engagement will be improved; the initiatives that will have been undertaken in the third month regarding morale building will also kick in (Rajashekar and Jain, 2024). The hiring of external consultants will also commence for the provision of coaching in change management. By months 3 and 4, the technology upgrading of the IT department will continue to boost efficiency in their operations. Month 4 will also mark the introduction of a marketing campaign for recruiting new customers. Finally, it will set monitoring metrics. Progress review by Month 5 and adjustment on received feedback by Month 6 guarantees constant improvement for good delivery service. </w:t>
      </w:r>
    </w:p>
    <w:p w14:paraId="77F48E7C" w14:textId="77777777" w:rsidR="00C84FC1" w:rsidRPr="00CA46DD" w:rsidRDefault="008407FC" w:rsidP="00BE1D37">
      <w:pPr>
        <w:pStyle w:val="Heading1"/>
      </w:pPr>
      <w:bookmarkStart w:id="14" w:name="_Toc181637037"/>
      <w:r w:rsidRPr="00CA46DD">
        <w:t>Conclusion</w:t>
      </w:r>
      <w:bookmarkEnd w:id="14"/>
    </w:p>
    <w:p w14:paraId="7C0B14B1"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This consultancy report on Hilton Dubai Al Habtoor City has provided an overview of the general challenges faced by the hotel at the moment and further focused on aspects related to </w:t>
      </w:r>
      <w:r w:rsidRPr="00CA46DD">
        <w:rPr>
          <w:rFonts w:ascii="Times New Roman" w:hAnsi="Times New Roman" w:cs="Times New Roman"/>
          <w:sz w:val="24"/>
          <w:szCs w:val="24"/>
        </w:rPr>
        <w:lastRenderedPageBreak/>
        <w:t>employee engagement, service quality, and market positioning. The critical analysis of frameworks such as PESTEL, SWOT, and TOWS will help in the formulation of the critical external and internal factors that can influence the operational performance of the hotel.</w:t>
      </w:r>
    </w:p>
    <w:p w14:paraId="5025CF0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Therefore, the PESTEL analysis has unveiled certain very crucial external influences of change in hospitality sectors globally; in particular, economic ups and downs, changes in tastes, and technological revolutions are found to be strong stimuli of change. SWOT analysis also reveals similar lines. Strengths related to the prime location and good reputation of the brand become unveiled. Weak points have been established, such as weak engagement of employees toward improvement of services.</w:t>
      </w:r>
    </w:p>
    <w:p w14:paraId="558300D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All those issues identified by the report will be addressed through these recommendations. Strengthening the training programs, effective internal communication, and engaging employee activities to improve the morale of employees and their services are important strategies. In addition, the report would look at the need to have sound monitoring and evaluation processes in place to measure the success of these initiatives hence creating sustenance for Hilton Dubai Al Habtoor City to be versatile with constantly changing market conditions and ensuring that the competitive advantage is sustained.</w:t>
      </w:r>
    </w:p>
    <w:p w14:paraId="1DC47A79"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The report shows that the process of implementing the recommended change management strategies will be relatively easy. In the case of the hotel, actively engaging staff in the change process and handling resistance to change will ensure a more cohesive and motivated workforce. An action plan is a very detailed road map on how to implement the strategies, with timelines and specific assignments to whom the responsibilities will be assigned so that the accountabilities and the trackings can be done accordingly.</w:t>
      </w:r>
    </w:p>
    <w:p w14:paraId="159B2E2E"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In summary, this report calls for proactive action about the issues of Hilton Dubai Al Habtoor City. After the recommended practices, this hotel will be sure to enhance its operational performance, and satisfy customers, thus enhancing financial performance.</w:t>
      </w:r>
    </w:p>
    <w:p w14:paraId="7D47535A"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Moreover, the consultancy team appreciates Hilton Dubai Al Habtoor City for the opportunity to collaborate with the company on this project. It was a great pleasure to collaborate with this hotel's team; they hope much good could come out of these proposals. They all look forward to </w:t>
      </w:r>
      <w:r w:rsidRPr="00CA46DD">
        <w:rPr>
          <w:rFonts w:ascii="Times New Roman" w:hAnsi="Times New Roman" w:cs="Times New Roman"/>
          <w:sz w:val="24"/>
          <w:szCs w:val="24"/>
        </w:rPr>
        <w:lastRenderedPageBreak/>
        <w:t xml:space="preserve">collaborating once again on other potential undertakings that may eventually contribute towards the continued success of such a noble institution. I appreciate your trust and cooperation during this work. </w:t>
      </w:r>
    </w:p>
    <w:p w14:paraId="3455B030" w14:textId="77777777" w:rsidR="00C84FC1" w:rsidRPr="00CA46DD" w:rsidRDefault="008407FC"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br w:type="page"/>
      </w:r>
    </w:p>
    <w:p w14:paraId="5654EB17" w14:textId="77777777" w:rsidR="00C84FC1" w:rsidRPr="00CA46DD" w:rsidRDefault="008407FC" w:rsidP="00BE1D37">
      <w:pPr>
        <w:pStyle w:val="Heading1"/>
      </w:pPr>
      <w:bookmarkStart w:id="15" w:name="_Toc181637038"/>
      <w:r w:rsidRPr="00CA46DD">
        <w:lastRenderedPageBreak/>
        <w:t>Reference List</w:t>
      </w:r>
      <w:bookmarkEnd w:id="15"/>
      <w:r w:rsidRPr="00CA46DD">
        <w:t xml:space="preserve"> </w:t>
      </w:r>
    </w:p>
    <w:p w14:paraId="12CBC067"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Baquero, A., 2022. Job insecurity and intention to quit: the role of psychological distress and resistance to change in the UAE hotel industry. International Journal of Environmental Research and Public Health, 19(20), p.13629. https://doi.org/10.3390/ijerph192013629 </w:t>
      </w:r>
    </w:p>
    <w:p w14:paraId="2DA0EA3D"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Baron, A. and Armstrong, M., 2007. Human capital management: achieving added value through people. Kogan Page Publishers. https://books.google.co.in/books?hl=en&amp;lr=&amp;id=69KIBWR-qEgC&amp;oi=fnd&amp;pg=PR9&amp;dq=Baron,+A.+and+Armstrong,+M.+(2007)+Human+Capital+Management.+London:+Kogan+Page.&amp;ots=-uP7oaxYgU&amp;sig=jLOcTItVmmrnynqISsjgSNCGfE8&amp;redir_esc=y#v=onepage&amp;q=Baron%2C%20A.%20and%20Armstrong%2C%20M.%20(2007)%20Human%20Capital%20Management.%20London%3A%20Kogan%20Page.&amp;f=false </w:t>
      </w:r>
    </w:p>
    <w:p w14:paraId="1146F031"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Belarmino, A., Koh, Y. and Shin, H.H., 2022. Blurred lines: Comparing room rates, star-ratings, and user-generated contents for full-service and select-service hotels. Service Business, 16(3), pp.721-742. https://doi.org/10.1007/s11628-021-00477-2 </w:t>
      </w:r>
    </w:p>
    <w:p w14:paraId="69794CF5"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Botti, G., 2023. Architecture for Leisure: Living the “Generic City”. In Designing Emerging Markets: A Quantitative History of Architectural Globalisation (pp. 443-509). Singapore: Springer Nature Singapore. https://doi.org/10.1007/978-981-99-1552-1_10 </w:t>
      </w:r>
    </w:p>
    <w:p w14:paraId="6D8A45F1"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Cepni, O., Dogru, T. and Ozdemir, O., 2023. The contagion effect of COVID-19-induced uncertainty on US tourism sector: Evidence from time-varying granger causality test. Tourism Economics, 29(4), pp.906-928. https://doi.org/10.1177/13548166221077633 </w:t>
      </w:r>
    </w:p>
    <w:p w14:paraId="6CAA20D0"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Clark, P., Chapleo, C. and Suomi, K., 2020. Branding higher education: an exploration of the role of internal branding on middle management in a university rebrand. Tertiary Education and Management, 26(2), pp.131-149. https://doi.org/10.1007/s11233-019-09054-9 </w:t>
      </w:r>
    </w:p>
    <w:p w14:paraId="55B9CBEA"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Curtis, P., Hanias, M., Kourtis, E. and Kourtis, M., 2021. Financial Performance Assessment οf Strategy for Building Resilience and Readiness in the Hotel Sector of Greece. International Journal of Finance, Insurance and Risk Management, 11(2), pp.3-27. https://www.researchgate.net/profile/Panayiotis-</w:t>
      </w:r>
      <w:r w:rsidRPr="00CA46DD">
        <w:rPr>
          <w:rFonts w:ascii="Times New Roman" w:hAnsi="Times New Roman" w:cs="Times New Roman"/>
          <w:sz w:val="24"/>
          <w:szCs w:val="24"/>
        </w:rPr>
        <w:lastRenderedPageBreak/>
        <w:t xml:space="preserve">Curtis/publication/352371916_Financial_Performance_Assessment_of_Strategy_for_Building_Resilience_and_Readiness_in_the_Hotel_Sector_of_Greece_Financial_Performance_Assessment_for_Resilience_and_Readiness_Strategy_in_the_Hotel_Sec/links/60c6d79e92851ca6f8e9bde5/Financial-Performance-Assessment-of-Strategy-for-Building-Resilience-and-Readiness-in-the-Hotel-Sector-of-Greece-Financial-Performance-Assessment-for-Resilience-and-Readiness-Strategy-in-the-Hotel-Sec.pdf </w:t>
      </w:r>
    </w:p>
    <w:p w14:paraId="53D0AFB1" w14:textId="77777777" w:rsidR="00BE1D37" w:rsidRPr="007D7040" w:rsidRDefault="00BE1D37" w:rsidP="00921512">
      <w:pPr>
        <w:pStyle w:val="Normal1"/>
        <w:widowControl w:val="0"/>
        <w:spacing w:before="240" w:after="200" w:line="360" w:lineRule="auto"/>
        <w:jc w:val="both"/>
        <w:rPr>
          <w:rFonts w:ascii="Times New Roman" w:hAnsi="Times New Roman" w:cs="Times New Roman"/>
          <w:sz w:val="24"/>
          <w:szCs w:val="24"/>
          <w:lang w:val="fr-FR"/>
        </w:rPr>
      </w:pPr>
      <w:r w:rsidRPr="00CA46DD">
        <w:rPr>
          <w:rFonts w:ascii="Times New Roman" w:hAnsi="Times New Roman" w:cs="Times New Roman"/>
          <w:sz w:val="24"/>
          <w:szCs w:val="24"/>
        </w:rPr>
        <w:t xml:space="preserve">Fisman, R. and Sullivan, T., 2014. The Org: How the office really works. </w:t>
      </w:r>
      <w:r w:rsidRPr="007D7040">
        <w:rPr>
          <w:rFonts w:ascii="Times New Roman" w:hAnsi="Times New Roman" w:cs="Times New Roman"/>
          <w:sz w:val="24"/>
          <w:szCs w:val="24"/>
          <w:lang w:val="fr-FR"/>
        </w:rPr>
        <w:t xml:space="preserve">Hachette UK. https://books.google.co.in/books?hl=en&amp;lr=&amp;id=a9ZSAgAAQBAJ&amp;oi=fnd&amp;pg=PT7&amp;dq=Fisman,+R.+%26+Sullivan,+T.+(2014)+The+Org:+How+the+Office+Really+Works,+Murray,+London&amp;ots=ZPHgx7opei&amp;sig=G9hIltPBN3JOjN6Lg_vSklhkubs&amp;redir_esc=y#v=onepage&amp;q&amp;f=false </w:t>
      </w:r>
    </w:p>
    <w:p w14:paraId="07F0F16C"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Fournier, P.L., Chênevert, D. and Jobin, M.H., 2021. The antecedents of physicians’ behavioral support for lean in healthcare: The mediating role of commitment to organizational change. International Journal of Production Economics, 232, p.107961. https://doi.org/10.1016/j.ijpe.2020.107961 </w:t>
      </w:r>
    </w:p>
    <w:p w14:paraId="416A60BA"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González-Serrano, L., Talón-Ballestero, P., Muñoz-Romero, S., Soguero-Ruiz, C. and Rojo-Álvarez, J.L., 2020. A big data approach to customer relationship management strategy in hospitality using multiple correspondence domain description. Applied Sciences, 11(1), p.256. https://doi.org/10.3390/app11010256 </w:t>
      </w:r>
    </w:p>
    <w:p w14:paraId="290D84A8"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Guzzo, R.F., Wang, X., Madera, J.M. and Abbott, J., 2021. Organizational trust in times of COVID-19: Hospitality employees’ affective responses to managers’ communication. International Journal of Hospitality Management, 93, p.102778. https://doi.org/10.1016/j.ijhm.2020.102778 </w:t>
      </w:r>
    </w:p>
    <w:p w14:paraId="06A6E6A5"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Hayes, D.K., Hayes, J.D. and Hayes, P.A., 2021. Revenue management for the hospitality industry. John Wiley &amp; Sons. https://books.google.co.in/books?hl=en&amp;lr=&amp;id=AXxGEAAAQBAJ&amp;oi=fnd&amp;pg=PR9&amp;dq=Financially,+increases+in+guest+satisfaction+and+overall+efficiency+in+operations+are+therefore+expected+to+translate+into+additional+revenues+at+a+higher+revenue-</w:t>
      </w:r>
      <w:r w:rsidRPr="00CA46DD">
        <w:rPr>
          <w:rFonts w:ascii="Times New Roman" w:hAnsi="Times New Roman" w:cs="Times New Roman"/>
          <w:sz w:val="24"/>
          <w:szCs w:val="24"/>
        </w:rPr>
        <w:lastRenderedPageBreak/>
        <w:t xml:space="preserve">generating+level&amp;ots=ccg_qyPxAF&amp;sig=fzgp-YM3NofvaL5PtYUAe77V5kY&amp;redir_esc=y#v=onepage&amp;q&amp;f=false </w:t>
      </w:r>
    </w:p>
    <w:p w14:paraId="4BEAF19A"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Hilton.com (2024) Hilton Dubai Jumeirah UAE beach hotel. Available at: https://www.hilton.com/en/hotels/dxbjbhi-hilton-dubai-jumeirah/.  </w:t>
      </w:r>
    </w:p>
    <w:p w14:paraId="0F437A7D"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Hsiao, A., Ma, E., Manfreda, A., Baker, M. and Xu, J., 2023. A social exchange perspective on boosting customer loyalty through culturally competent servers. Journal of Hospitality Marketing &amp; Management, 32(4), pp.555-577. https://doi.org/10.1080/19368623.2023.2184439 </w:t>
      </w:r>
    </w:p>
    <w:p w14:paraId="2ABEC336"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İlhan, Ö.A., Balyalı, T.Ö. and Aktaş, S.G., 2022. Demographic change and operationalization of the landscape in tourism planning: Landscape perceptions of the Generation Z. Tourism Management Perspectives, 43, p.100988. https://doi.org/10.1016/j.tmp.2022.100988 </w:t>
      </w:r>
    </w:p>
    <w:p w14:paraId="7353B220"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Japutra, A. and Situmorang, R., 2021. The repercussions and challenges of COVID-19 in the hotel industry: Potential strategies from a case study of Indonesia. International Journal of Hospitality Management, 95, p.102890. https://doi.org/10.1016/j.ijhm.2021.102890 </w:t>
      </w:r>
    </w:p>
    <w:p w14:paraId="6CE568B6"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Kenny, J. and Dutt, C.S., 2022. The long-term impacts of hotel’s strategic responses to COVID-19: The case of Dubai. Tourism and Hospitality Research, 22(1), pp.71-85. https://doi.org/10.1177/14673584211034525 </w:t>
      </w:r>
    </w:p>
    <w:p w14:paraId="37EF0E52"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Khan, N., Hassan, A.U., Fahad, S. and Naushad, M., 2020. Factors affecting tourism industry and its impacts on global economy of the world. Available at SSRN 3559353. https://dx.doi.org/10.2139/ssrn.3559353 </w:t>
      </w:r>
    </w:p>
    <w:p w14:paraId="6905318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Kipping, M. and Clark, T. eds., 2012. The Oxford handbook of management consulting. OUP Oxford. https://books.google.co.in/books?hl=en&amp;lr=&amp;id=8HAWEAAAQBAJ&amp;oi=fnd&amp;pg=PP1&amp;dq=Kipping,+%26+Clark,+T.+(2012).+The+Oxford+handbook+of++management+consulting.+Oxford+University+Press&amp;ots=9NZ4XeDJkw&amp;sig=LApK_4TKG4kx7kYSTUj__cn5kRA&amp;redir_esc=y#v=onepage&amp;q=Kipping%2C%20%26%20Clark%2C%20T.%20(2012).%20The%20Oxford%20handbook%20of%20%20management%20consulting.%20Oxford%20University%20Press&amp;f=false </w:t>
      </w:r>
    </w:p>
    <w:p w14:paraId="074A3522"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Mavridopoulou, I. and O’Mahoney, J., 2020. Elitism in strategy consulting: How institutional prestige influences recruitment. Management Consulting Journal, 3(1), pp.12-22. DOI: 10.2478/mcj-2020-0003</w:t>
      </w:r>
    </w:p>
    <w:p w14:paraId="44E4FD18"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Milosh, P., 2023. Evolving Preferences: Understanding Contemporary Luxury Hotel Guests. https://urn.fi/URN:NBN:fi:amk-2023121838295 </w:t>
      </w:r>
    </w:p>
    <w:p w14:paraId="1FCE4DD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Napierała, T., Leśniewska-Napierała, K. and Burski, R., 2020. Impact of geographic distribution of COVID-19 cases on hotels’ performances: Case of Polish cities. Sustainability, 12(11), p.4697. https://doi.org/10.3390/su12114697 </w:t>
      </w:r>
    </w:p>
    <w:p w14:paraId="488D464A"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Neves, F.T., de Castro Neto, M. and Aparicio, M., 2020. The impacts of open data initiatives on smart cities: A framework for evaluation and monitoring. Cities, 106, p.102860. https://doi.org/10.1016/j.cities.2020.102860 </w:t>
      </w:r>
    </w:p>
    <w:p w14:paraId="6ECE5128"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Newton, R., 2019. The Management Consultant: Mastering the art of consultancy. Pearson UK. https://books.google.co.in/books?hl=en&amp;lr=&amp;id=RTaoDwAAQBAJ&amp;oi=fnd&amp;pg=PT3&amp;dq=Newton,+R+(2010).+The+management+consultant+:+mastering+the+art+of+consultancy.+Financial+Times.&amp;ots=BJKdqz6Ikd&amp;sig=8G0lXSvOu5qLXEGSpU6sbCPpV04&amp;redir_esc=y#v=onepage&amp;q&amp;f=false </w:t>
      </w:r>
    </w:p>
    <w:p w14:paraId="7C0C684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Nyathela-Sunday, T., Banoobhai-Anwar, I. and Draper, D., 2024. The Battle of Hotel Accommodation Booking Technologies: Challenges of OTA’s Versus Direct Bookings Systems—A Manager’s Perspective. In Tourism and Hospitality for Sustainable Development: Volume One: Technological Innovations and Development Realities (pp. 145-162). Cham: Springer Nature Switzerland. https://doi.org/10.1007/978-3-031-63069-9_9 </w:t>
      </w:r>
    </w:p>
    <w:p w14:paraId="0309A2FF"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O’Mahoney, J., 2021. How small consultancies grow: Challenging problem-based theorising. Management Consulting Journal, 4(1), pp.5-20. DOI: 10.2478/mcj-2021-0002  </w:t>
      </w:r>
    </w:p>
    <w:p w14:paraId="23BEC876"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Oláh, J., Aburumman, N., Popp, J., Khan, M.A., Haddad, H. and Kitukutha, N., 2020. Impact of Industry 4.0 on environmental sustainability. Sustainability, 12(11), p.4674. https://doi.org/10.3390/su12114674 </w:t>
      </w:r>
    </w:p>
    <w:p w14:paraId="691D16B5"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Park, J.E. and Kang, E., 2022. The Mediating Role of Eco-Friendly Artwork for Urban Hotels to </w:t>
      </w:r>
      <w:r w:rsidRPr="00CA46DD">
        <w:rPr>
          <w:rFonts w:ascii="Times New Roman" w:hAnsi="Times New Roman" w:cs="Times New Roman"/>
          <w:sz w:val="24"/>
          <w:szCs w:val="24"/>
        </w:rPr>
        <w:lastRenderedPageBreak/>
        <w:t xml:space="preserve">Attract Environmental Educated Consumers. Sustainability, 14(7), p.3784. https://doi.org/10.3390/su14073784 </w:t>
      </w:r>
    </w:p>
    <w:p w14:paraId="1BFD054F"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Pasaribu, R.D., Shalsabila, D. and Djatmiko, T., 2023. Revamping business strategy using Business Model Canvas (BMC), SWOT analysis, and TOWS matrix. Heritage and Sustainable Development, 5(1), pp.1-18. https://doi.org/10.37868/hsd.v5i1.125 </w:t>
      </w:r>
    </w:p>
    <w:p w14:paraId="54C15C3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Pradeep, M.D., Adithya, K.M. and Aithal, P.S., 2023. Indigenous Distinctive Innovations to Achieve its Vision, Priority and Thrust–A Case Study of Srinivas University. International Journal of Case Studies in Business, IT and Education (IJCSBE), 7(1), pp.36-61. https://doi.org/10.47992/IJCSBE.2581.6942.0245 </w:t>
      </w:r>
    </w:p>
    <w:p w14:paraId="18FBDD36"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Raj, I.A.E.A., 2024. Tourism towards Sustainability and Innovation, Post COVID-19: A Literature Review. International Journal of Advanced Scientific Multidisciplinary Research, 1(2), pp.50-77. https://globalarchives.in/index.php/ijasmr/article/view/15 </w:t>
      </w:r>
    </w:p>
    <w:p w14:paraId="116226AE"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Rajashekar, S. and Jain, A., 2024. A thematic analysis on “employee engagement in it companies from the perspective of holistic well-being initiatives”. Employee Responsibilities and Rights Journal, 36(2), pp.165-187. https://doi.org/10.1007/s10672-023-09440-x </w:t>
      </w:r>
    </w:p>
    <w:p w14:paraId="7D728E50"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Reeves, E., 2020. The impact of selected front-end hotel managerial competencies on employee engagement: An exploratory study (Doctoral dissertation, Stellenbosch: Stellenbosch University). http://hdl.handle.net/10019.1/109352 </w:t>
      </w:r>
    </w:p>
    <w:p w14:paraId="2ECAA09A"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Rivaldo, Y. and Nabella, S.D., 2023. Employee performance: Education, training, experience and work discipline. Calitatea, 24(193), pp.182-188. DOI: 10.47750/QAS/24.193.20 </w:t>
      </w:r>
    </w:p>
    <w:p w14:paraId="2E80126E"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Roberts, S.S., 2023. International Investments in Luxury Real Estate: An Evaluation of International Real Estate Investors and Developers Entering a Cross-Continental Market (Doctoral dissertation, Massachusetts Institute of Technology). https://hdl.handle.net/1721.1/150279 </w:t>
      </w:r>
    </w:p>
    <w:p w14:paraId="024FE1AD"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Saarikko, T., Westergren, U.H. and Blomquist, T., 2020. Digital transformation: Five recommendations for the digitally conscious firm. Business horizons, 63(6), pp.825-839. https://doi.org/10.1016/j.bushor.2020.07.005 </w:t>
      </w:r>
    </w:p>
    <w:p w14:paraId="4D9169E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lastRenderedPageBreak/>
        <w:t xml:space="preserve">Sjödin, D., Parida, V., Palmié, M. and Wincent, J., 2021. How AI capabilities enable business model innovation: Scaling AI through co-evolutionary processes and feedback loops. Journal of Business Research, 134, pp.574-587. https://doi.org/10.1016/j.jbusres.2021.05.009 </w:t>
      </w:r>
    </w:p>
    <w:p w14:paraId="5E98F519"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Smit, L.M., 2024. Two-way symmetrical communication management to foster relationships with clients in the South African motor insurance sector during the claim stage (Doctoral dissertation, North-West University (South Africa)). https://orcid.org/0000-0002-5127-2837 </w:t>
      </w:r>
    </w:p>
    <w:p w14:paraId="2CFFAEAD"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Subramaniam, N., Collier, P., Phang, M. and Burke, G., 2011. The effects of perceived business uncertainty, external consultants and risk management on organisational outcomes. Journal of Accounting &amp; Organizational Change, 7(2), pp.132-157. doi/10.1108/18325911111139671/full/html </w:t>
      </w:r>
    </w:p>
    <w:p w14:paraId="67DD0095"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Suramin, S., 2021. Indonesian anti-corruption law enforcement: current problems and challenges. Journal of Law and Legal Reform, 2(2), pp.225-242. https://doi.org/10.15294/jllr.v2i2.46612 </w:t>
      </w:r>
    </w:p>
    <w:p w14:paraId="246C36E3"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Truong, N., Dang-Pham, D., McClelland, R. and Nkhoma, M., 2020. Exploring the impact of innovativeness of hospitality service operation on customer satisfaction. Operations and Supply Chain Management: An International Journal, 13(3), pp.307-319. http://doi.org/10.31387/oscm0420272 </w:t>
      </w:r>
    </w:p>
    <w:p w14:paraId="66826560"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Wan, Y.N. and Forey, G., 2024. Hospitality discourse on social media: Evaluating online complaints and service recovery for luxury hotels. Journal of Language Teaching and Research, 15(2), pp.364-373. https://doi.org/10.17507/jltr.1502.05 </w:t>
      </w:r>
    </w:p>
    <w:p w14:paraId="3377F595"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Woods, K., 2020, July. The development and design of an interactive digital training resource for personal tutors. In Frontiers in Education (Vol. 5, p. 100). Frontiers Media SA. https://doi.org/10.3389/feduc.2020.00100 </w:t>
      </w:r>
    </w:p>
    <w:p w14:paraId="1C152993" w14:textId="77777777" w:rsidR="00BE1D37" w:rsidRPr="00CA46DD" w:rsidRDefault="00BE1D37" w:rsidP="00921512">
      <w:pPr>
        <w:pStyle w:val="Normal1"/>
        <w:widowControl w:val="0"/>
        <w:spacing w:before="240" w:after="200" w:line="360" w:lineRule="auto"/>
        <w:jc w:val="both"/>
        <w:rPr>
          <w:rFonts w:ascii="Times New Roman" w:hAnsi="Times New Roman" w:cs="Times New Roman"/>
          <w:sz w:val="24"/>
          <w:szCs w:val="24"/>
        </w:rPr>
      </w:pPr>
      <w:r w:rsidRPr="00CA46DD">
        <w:rPr>
          <w:rFonts w:ascii="Times New Roman" w:hAnsi="Times New Roman" w:cs="Times New Roman"/>
          <w:sz w:val="24"/>
          <w:szCs w:val="24"/>
        </w:rPr>
        <w:t xml:space="preserve">Yang, H., Song, H., Cheung, C. and Guan, J., 2021. How to enhance hotel guests’ acceptance and experience of smart hotel technology: An examination of visiting intentions. International journal of hospitality management, 97, p.103000. https://doi.org/10.1016/j.ijhm.2021.103000 </w:t>
      </w:r>
    </w:p>
    <w:p w14:paraId="72E8BB13" w14:textId="77777777" w:rsidR="00C84FC1" w:rsidRPr="00CA46DD" w:rsidRDefault="00C84FC1" w:rsidP="00921512">
      <w:pPr>
        <w:pStyle w:val="Normal1"/>
        <w:widowControl w:val="0"/>
        <w:spacing w:before="240" w:after="200" w:line="360" w:lineRule="auto"/>
        <w:jc w:val="both"/>
        <w:rPr>
          <w:rFonts w:ascii="Times New Roman" w:hAnsi="Times New Roman" w:cs="Times New Roman"/>
          <w:sz w:val="24"/>
          <w:szCs w:val="24"/>
        </w:rPr>
      </w:pPr>
    </w:p>
    <w:sectPr w:rsidR="00C84FC1" w:rsidRPr="00CA46DD" w:rsidSect="00311CB6">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427772" w14:textId="77777777" w:rsidR="00801108" w:rsidRDefault="00801108" w:rsidP="00311CB6">
      <w:pPr>
        <w:spacing w:line="240" w:lineRule="auto"/>
      </w:pPr>
      <w:r>
        <w:separator/>
      </w:r>
    </w:p>
  </w:endnote>
  <w:endnote w:type="continuationSeparator" w:id="0">
    <w:p w14:paraId="5651B9B2" w14:textId="77777777" w:rsidR="00801108" w:rsidRDefault="00801108" w:rsidP="00311C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099377001"/>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14:paraId="6A4B5BB5" w14:textId="77777777" w:rsidR="00311CB6" w:rsidRPr="00311CB6" w:rsidRDefault="00311CB6">
            <w:pPr>
              <w:pStyle w:val="Footer"/>
              <w:jc w:val="right"/>
              <w:rPr>
                <w:rFonts w:ascii="Times New Roman" w:hAnsi="Times New Roman" w:cs="Times New Roman"/>
              </w:rPr>
            </w:pPr>
            <w:r w:rsidRPr="00311CB6">
              <w:rPr>
                <w:rFonts w:ascii="Times New Roman" w:hAnsi="Times New Roman" w:cs="Times New Roman"/>
              </w:rPr>
              <w:t xml:space="preserve">Page </w:t>
            </w:r>
            <w:r w:rsidRPr="00311CB6">
              <w:rPr>
                <w:rFonts w:ascii="Times New Roman" w:hAnsi="Times New Roman" w:cs="Times New Roman"/>
              </w:rPr>
              <w:fldChar w:fldCharType="begin"/>
            </w:r>
            <w:r w:rsidRPr="00311CB6">
              <w:rPr>
                <w:rFonts w:ascii="Times New Roman" w:hAnsi="Times New Roman" w:cs="Times New Roman"/>
              </w:rPr>
              <w:instrText xml:space="preserve"> PAGE </w:instrText>
            </w:r>
            <w:r w:rsidRPr="00311CB6">
              <w:rPr>
                <w:rFonts w:ascii="Times New Roman" w:hAnsi="Times New Roman" w:cs="Times New Roman"/>
              </w:rPr>
              <w:fldChar w:fldCharType="separate"/>
            </w:r>
            <w:r w:rsidR="0025597A">
              <w:rPr>
                <w:rFonts w:ascii="Times New Roman" w:hAnsi="Times New Roman" w:cs="Times New Roman"/>
                <w:noProof/>
              </w:rPr>
              <w:t>6</w:t>
            </w:r>
            <w:r w:rsidRPr="00311CB6">
              <w:rPr>
                <w:rFonts w:ascii="Times New Roman" w:hAnsi="Times New Roman" w:cs="Times New Roman"/>
              </w:rPr>
              <w:fldChar w:fldCharType="end"/>
            </w:r>
            <w:r w:rsidRPr="00311CB6">
              <w:rPr>
                <w:rFonts w:ascii="Times New Roman" w:hAnsi="Times New Roman" w:cs="Times New Roman"/>
              </w:rPr>
              <w:t xml:space="preserve"> of </w:t>
            </w:r>
            <w:r w:rsidRPr="00311CB6">
              <w:rPr>
                <w:rFonts w:ascii="Times New Roman" w:hAnsi="Times New Roman" w:cs="Times New Roman"/>
              </w:rPr>
              <w:fldChar w:fldCharType="begin"/>
            </w:r>
            <w:r w:rsidRPr="00311CB6">
              <w:rPr>
                <w:rFonts w:ascii="Times New Roman" w:hAnsi="Times New Roman" w:cs="Times New Roman"/>
              </w:rPr>
              <w:instrText xml:space="preserve"> NUMPAGES  </w:instrText>
            </w:r>
            <w:r w:rsidRPr="00311CB6">
              <w:rPr>
                <w:rFonts w:ascii="Times New Roman" w:hAnsi="Times New Roman" w:cs="Times New Roman"/>
              </w:rPr>
              <w:fldChar w:fldCharType="separate"/>
            </w:r>
            <w:r w:rsidR="0025597A">
              <w:rPr>
                <w:rFonts w:ascii="Times New Roman" w:hAnsi="Times New Roman" w:cs="Times New Roman"/>
                <w:noProof/>
              </w:rPr>
              <w:t>41</w:t>
            </w:r>
            <w:r w:rsidRPr="00311CB6">
              <w:rPr>
                <w:rFonts w:ascii="Times New Roman" w:hAnsi="Times New Roman" w:cs="Times New Roman"/>
              </w:rPr>
              <w:fldChar w:fldCharType="end"/>
            </w:r>
          </w:p>
        </w:sdtContent>
      </w:sdt>
    </w:sdtContent>
  </w:sdt>
  <w:p w14:paraId="680A23DD" w14:textId="77777777" w:rsidR="00311CB6" w:rsidRDefault="00311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C9474" w14:textId="77777777" w:rsidR="00801108" w:rsidRDefault="00801108" w:rsidP="00311CB6">
      <w:pPr>
        <w:spacing w:line="240" w:lineRule="auto"/>
      </w:pPr>
      <w:r>
        <w:separator/>
      </w:r>
    </w:p>
  </w:footnote>
  <w:footnote w:type="continuationSeparator" w:id="0">
    <w:p w14:paraId="22E847A9" w14:textId="77777777" w:rsidR="00801108" w:rsidRDefault="00801108" w:rsidP="00311CB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84FC1"/>
    <w:rsid w:val="0025597A"/>
    <w:rsid w:val="00311CB6"/>
    <w:rsid w:val="004C2B7E"/>
    <w:rsid w:val="007D7040"/>
    <w:rsid w:val="007E5F73"/>
    <w:rsid w:val="00801108"/>
    <w:rsid w:val="008407FC"/>
    <w:rsid w:val="00921512"/>
    <w:rsid w:val="00A870E9"/>
    <w:rsid w:val="00BE1D37"/>
    <w:rsid w:val="00C84FC1"/>
    <w:rsid w:val="00CA46DD"/>
    <w:rsid w:val="00CE1A10"/>
    <w:rsid w:val="00DD07B2"/>
    <w:rsid w:val="00DD3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CB51C"/>
  <w15:docId w15:val="{086E9B06-C990-4E01-B345-E5059F88D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E1D3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BE1D37"/>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C84FC1"/>
    <w:pPr>
      <w:keepNext/>
      <w:keepLines/>
      <w:spacing w:before="320" w:after="80"/>
      <w:outlineLvl w:val="2"/>
    </w:pPr>
    <w:rPr>
      <w:color w:val="434343"/>
      <w:sz w:val="28"/>
      <w:szCs w:val="28"/>
    </w:rPr>
  </w:style>
  <w:style w:type="paragraph" w:styleId="Heading4">
    <w:name w:val="heading 4"/>
    <w:basedOn w:val="Normal1"/>
    <w:next w:val="Normal1"/>
    <w:rsid w:val="00C84FC1"/>
    <w:pPr>
      <w:keepNext/>
      <w:keepLines/>
      <w:spacing w:before="280" w:after="80"/>
      <w:outlineLvl w:val="3"/>
    </w:pPr>
    <w:rPr>
      <w:color w:val="666666"/>
      <w:sz w:val="24"/>
      <w:szCs w:val="24"/>
    </w:rPr>
  </w:style>
  <w:style w:type="paragraph" w:styleId="Heading5">
    <w:name w:val="heading 5"/>
    <w:basedOn w:val="Normal1"/>
    <w:next w:val="Normal1"/>
    <w:rsid w:val="00C84FC1"/>
    <w:pPr>
      <w:keepNext/>
      <w:keepLines/>
      <w:spacing w:before="240" w:after="80"/>
      <w:outlineLvl w:val="4"/>
    </w:pPr>
    <w:rPr>
      <w:color w:val="666666"/>
    </w:rPr>
  </w:style>
  <w:style w:type="paragraph" w:styleId="Heading6">
    <w:name w:val="heading 6"/>
    <w:basedOn w:val="Normal1"/>
    <w:next w:val="Normal1"/>
    <w:rsid w:val="00C84FC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4FC1"/>
  </w:style>
  <w:style w:type="paragraph" w:styleId="Title">
    <w:name w:val="Title"/>
    <w:basedOn w:val="Normal1"/>
    <w:next w:val="Normal1"/>
    <w:rsid w:val="00C84FC1"/>
    <w:pPr>
      <w:keepNext/>
      <w:keepLines/>
      <w:spacing w:after="60"/>
    </w:pPr>
    <w:rPr>
      <w:sz w:val="52"/>
      <w:szCs w:val="52"/>
    </w:rPr>
  </w:style>
  <w:style w:type="paragraph" w:styleId="Subtitle">
    <w:name w:val="Subtitle"/>
    <w:basedOn w:val="Normal1"/>
    <w:next w:val="Normal1"/>
    <w:rsid w:val="00C84FC1"/>
    <w:pPr>
      <w:keepNext/>
      <w:keepLines/>
      <w:spacing w:after="320"/>
    </w:pPr>
    <w:rPr>
      <w:color w:val="666666"/>
      <w:sz w:val="30"/>
      <w:szCs w:val="30"/>
    </w:rPr>
  </w:style>
  <w:style w:type="table" w:customStyle="1" w:styleId="a">
    <w:basedOn w:val="TableNormal"/>
    <w:rsid w:val="00C84FC1"/>
    <w:tblPr>
      <w:tblStyleRowBandSize w:val="1"/>
      <w:tblStyleColBandSize w:val="1"/>
      <w:tblCellMar>
        <w:top w:w="100" w:type="dxa"/>
        <w:left w:w="100" w:type="dxa"/>
        <w:bottom w:w="100" w:type="dxa"/>
        <w:right w:w="100" w:type="dxa"/>
      </w:tblCellMar>
    </w:tblPr>
  </w:style>
  <w:style w:type="table" w:customStyle="1" w:styleId="a0">
    <w:basedOn w:val="TableNormal"/>
    <w:rsid w:val="00C84FC1"/>
    <w:tblPr>
      <w:tblStyleRowBandSize w:val="1"/>
      <w:tblStyleColBandSize w:val="1"/>
      <w:tblCellMar>
        <w:top w:w="100" w:type="dxa"/>
        <w:left w:w="100" w:type="dxa"/>
        <w:bottom w:w="100" w:type="dxa"/>
        <w:right w:w="100" w:type="dxa"/>
      </w:tblCellMar>
    </w:tblPr>
  </w:style>
  <w:style w:type="table" w:customStyle="1" w:styleId="a1">
    <w:basedOn w:val="TableNormal"/>
    <w:rsid w:val="00C84FC1"/>
    <w:tblPr>
      <w:tblStyleRowBandSize w:val="1"/>
      <w:tblStyleColBandSize w:val="1"/>
      <w:tblCellMar>
        <w:top w:w="100" w:type="dxa"/>
        <w:left w:w="100" w:type="dxa"/>
        <w:bottom w:w="100" w:type="dxa"/>
        <w:right w:w="100" w:type="dxa"/>
      </w:tblCellMar>
    </w:tblPr>
  </w:style>
  <w:style w:type="table" w:customStyle="1" w:styleId="a2">
    <w:basedOn w:val="TableNormal"/>
    <w:rsid w:val="00C84FC1"/>
    <w:tblPr>
      <w:tblStyleRowBandSize w:val="1"/>
      <w:tblStyleColBandSize w:val="1"/>
      <w:tblCellMar>
        <w:top w:w="100" w:type="dxa"/>
        <w:left w:w="100" w:type="dxa"/>
        <w:bottom w:w="100" w:type="dxa"/>
        <w:right w:w="100" w:type="dxa"/>
      </w:tblCellMar>
    </w:tblPr>
  </w:style>
  <w:style w:type="table" w:customStyle="1" w:styleId="a3">
    <w:basedOn w:val="TableNormal"/>
    <w:rsid w:val="00C84FC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311CB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11CB6"/>
  </w:style>
  <w:style w:type="paragraph" w:styleId="Footer">
    <w:name w:val="footer"/>
    <w:basedOn w:val="Normal"/>
    <w:link w:val="FooterChar"/>
    <w:uiPriority w:val="99"/>
    <w:unhideWhenUsed/>
    <w:rsid w:val="00311CB6"/>
    <w:pPr>
      <w:tabs>
        <w:tab w:val="center" w:pos="4680"/>
        <w:tab w:val="right" w:pos="9360"/>
      </w:tabs>
      <w:spacing w:line="240" w:lineRule="auto"/>
    </w:pPr>
  </w:style>
  <w:style w:type="character" w:customStyle="1" w:styleId="FooterChar">
    <w:name w:val="Footer Char"/>
    <w:basedOn w:val="DefaultParagraphFont"/>
    <w:link w:val="Footer"/>
    <w:uiPriority w:val="99"/>
    <w:rsid w:val="00311CB6"/>
  </w:style>
  <w:style w:type="paragraph" w:styleId="BalloonText">
    <w:name w:val="Balloon Text"/>
    <w:basedOn w:val="Normal"/>
    <w:link w:val="BalloonTextChar"/>
    <w:uiPriority w:val="99"/>
    <w:semiHidden/>
    <w:unhideWhenUsed/>
    <w:rsid w:val="00BE1D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37"/>
    <w:rPr>
      <w:rFonts w:ascii="Tahoma" w:hAnsi="Tahoma" w:cs="Tahoma"/>
      <w:sz w:val="16"/>
      <w:szCs w:val="16"/>
    </w:rPr>
  </w:style>
  <w:style w:type="paragraph" w:styleId="TOCHeading">
    <w:name w:val="TOC Heading"/>
    <w:basedOn w:val="Heading1"/>
    <w:next w:val="Normal"/>
    <w:uiPriority w:val="39"/>
    <w:semiHidden/>
    <w:unhideWhenUsed/>
    <w:qFormat/>
    <w:rsid w:val="00CA46DD"/>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CA46DD"/>
    <w:pPr>
      <w:spacing w:after="100"/>
    </w:pPr>
  </w:style>
  <w:style w:type="paragraph" w:styleId="TOC2">
    <w:name w:val="toc 2"/>
    <w:basedOn w:val="Normal"/>
    <w:next w:val="Normal"/>
    <w:autoRedefine/>
    <w:uiPriority w:val="39"/>
    <w:unhideWhenUsed/>
    <w:rsid w:val="00CA46DD"/>
    <w:pPr>
      <w:spacing w:after="100"/>
      <w:ind w:left="220"/>
    </w:pPr>
  </w:style>
  <w:style w:type="character" w:styleId="Hyperlink">
    <w:name w:val="Hyperlink"/>
    <w:basedOn w:val="DefaultParagraphFont"/>
    <w:uiPriority w:val="99"/>
    <w:unhideWhenUsed/>
    <w:rsid w:val="00CA46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F0025A-52B4-41FD-8104-119928A46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8734</Words>
  <Characters>49790</Characters>
  <Application>Microsoft Office Word</Application>
  <DocSecurity>0</DocSecurity>
  <Lines>414</Lines>
  <Paragraphs>116</Paragraphs>
  <ScaleCrop>false</ScaleCrop>
  <Company>Grizli777</Company>
  <LinksUpToDate>false</LinksUpToDate>
  <CharactersWithSpaces>58408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Sezen Mustanova</cp:lastModifiedBy>
  <cp:revision>13</cp:revision>
  <dcterms:created xsi:type="dcterms:W3CDTF">2024-11-04T12:54:00Z</dcterms:created>
  <dcterms:modified xsi:type="dcterms:W3CDTF">2024-11-11T14:53:00Z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2024-11-11T14:53:18Z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4204045d-a1cd-4156-9bd9-eda748e1a0c3</vt:lpwstr>
  </property>
  <property fmtid="{D5CDD505-2E9C-101B-9397-08002B2CF9AE}" pid="8" name="MSIP_Label_ba2ef5eb-f4dc-4350-b858-3238ea3234a5_ContentBits">
    <vt:lpwstr>0</vt:lpwstr>
  </property>
</Properties>
</file>