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E98CFC3" w:rsidP="1957092F" w:rsidRDefault="3E98CFC3" w14:paraId="699F4B25" w14:textId="60B47A56">
      <w:pPr>
        <w:pStyle w:val="Normal"/>
        <w:spacing w:line="360" w:lineRule="auto"/>
        <w:jc w:val="both"/>
        <w:rPr>
          <w:rFonts w:ascii="Arial" w:hAnsi="Arial" w:eastAsia="Arial" w:cs="Arial"/>
          <w:b w:val="1"/>
          <w:bCs w:val="1"/>
          <w:i w:val="0"/>
          <w:iCs w:val="0"/>
          <w:color w:val="7030A0"/>
          <w:sz w:val="24"/>
          <w:szCs w:val="24"/>
          <w:u w:val="none"/>
        </w:rPr>
      </w:pPr>
      <w:r w:rsidRPr="1957092F" w:rsidR="7DD3931B">
        <w:rPr>
          <w:rFonts w:ascii="Arial" w:hAnsi="Arial" w:eastAsia="Arial" w:cs="Arial"/>
          <w:b w:val="1"/>
          <w:bCs w:val="1"/>
          <w:i w:val="0"/>
          <w:iCs w:val="0"/>
          <w:color w:val="auto"/>
          <w:sz w:val="24"/>
          <w:szCs w:val="24"/>
          <w:u w:val="none"/>
        </w:rPr>
        <w:t>Assignment Portfolio:</w:t>
      </w:r>
      <w:r w:rsidRPr="1957092F" w:rsidR="0FBDB402">
        <w:rPr>
          <w:rFonts w:ascii="Arial" w:hAnsi="Arial" w:eastAsia="Arial" w:cs="Arial"/>
          <w:b w:val="1"/>
          <w:bCs w:val="1"/>
          <w:i w:val="0"/>
          <w:iCs w:val="0"/>
          <w:color w:val="auto"/>
          <w:sz w:val="24"/>
          <w:szCs w:val="24"/>
          <w:u w:val="none"/>
        </w:rPr>
        <w:t xml:space="preserve"> </w:t>
      </w:r>
      <w:r w:rsidRPr="1957092F" w:rsidR="0FBDB402">
        <w:rPr>
          <w:rFonts w:ascii="Arial" w:hAnsi="Arial" w:eastAsia="Arial" w:cs="Arial"/>
          <w:b w:val="1"/>
          <w:bCs w:val="1"/>
          <w:i w:val="0"/>
          <w:iCs w:val="0"/>
          <w:color w:val="7030A0"/>
          <w:sz w:val="24"/>
          <w:szCs w:val="24"/>
          <w:u w:val="none"/>
        </w:rPr>
        <w:t>‘</w:t>
      </w:r>
      <w:r w:rsidRPr="1957092F" w:rsidR="65332402">
        <w:rPr>
          <w:rFonts w:ascii="Arial" w:hAnsi="Arial" w:eastAsia="Arial" w:cs="Arial"/>
          <w:b w:val="1"/>
          <w:bCs w:val="1"/>
          <w:i w:val="0"/>
          <w:iCs w:val="0"/>
          <w:color w:val="7030A0"/>
          <w:sz w:val="24"/>
          <w:szCs w:val="24"/>
          <w:u w:val="none"/>
        </w:rPr>
        <w:t>An</w:t>
      </w:r>
      <w:r w:rsidRPr="1957092F" w:rsidR="60083736">
        <w:rPr>
          <w:rFonts w:ascii="Arial" w:hAnsi="Arial" w:eastAsia="Arial" w:cs="Arial"/>
          <w:b w:val="1"/>
          <w:bCs w:val="1"/>
          <w:i w:val="0"/>
          <w:iCs w:val="0"/>
          <w:color w:val="7030A0"/>
          <w:sz w:val="24"/>
          <w:szCs w:val="24"/>
          <w:u w:val="none"/>
        </w:rPr>
        <w:t xml:space="preserve"> Exploration into Effective Strategies for Engaging Parents in Early Years Education’</w:t>
      </w:r>
    </w:p>
    <w:p w:rsidR="3E98CFC3" w:rsidP="1957092F" w:rsidRDefault="3E98CFC3" w14:paraId="5F93F251" w14:textId="74EB36CC">
      <w:pPr>
        <w:pStyle w:val="Normal"/>
        <w:spacing w:line="360" w:lineRule="auto"/>
        <w:jc w:val="both"/>
        <w:rPr>
          <w:rFonts w:ascii="Arial" w:hAnsi="Arial" w:eastAsia="Arial" w:cs="Arial"/>
          <w:b w:val="1"/>
          <w:bCs w:val="1"/>
          <w:sz w:val="24"/>
          <w:szCs w:val="24"/>
          <w:u w:val="none"/>
        </w:rPr>
      </w:pPr>
      <w:r w:rsidRPr="1957092F" w:rsidR="5CF56550">
        <w:rPr>
          <w:rFonts w:ascii="Arial" w:hAnsi="Arial" w:eastAsia="Arial" w:cs="Arial"/>
          <w:b w:val="1"/>
          <w:bCs w:val="1"/>
          <w:sz w:val="24"/>
          <w:szCs w:val="24"/>
          <w:u w:val="none"/>
        </w:rPr>
        <w:t>Abstract:</w:t>
      </w:r>
    </w:p>
    <w:p w:rsidR="3E98CFC3" w:rsidP="4498CB9C" w:rsidRDefault="3E98CFC3" w14:paraId="62C6162F" w14:textId="7E71F329">
      <w:pPr>
        <w:pStyle w:val="Normal"/>
        <w:spacing w:line="360" w:lineRule="auto"/>
        <w:jc w:val="both"/>
      </w:pPr>
      <w:r w:rsidRPr="1957092F" w:rsidR="22E1FE26">
        <w:rPr>
          <w:rFonts w:ascii="Arial" w:hAnsi="Arial" w:eastAsia="Arial" w:cs="Arial"/>
          <w:b w:val="0"/>
          <w:bCs w:val="0"/>
          <w:sz w:val="24"/>
          <w:szCs w:val="24"/>
          <w:u w:val="none"/>
        </w:rPr>
        <w:t>This research project explores effective strategies for engaging parents in Early Years Education, driven by the need to improve educational outcomes through proactive parental involvement. The study focuses on teachers and parents from diverse early years settings in South Wales, employing a purposive sample of 20-30 teachers and 30-50 parents. Data collection is conducted through semi-structured interviews and close-ended questionnaires to gather detailed insights into participants’ experiences, perceptions, and attitudes.</w:t>
      </w:r>
    </w:p>
    <w:p w:rsidR="3E98CFC3" w:rsidP="4498CB9C" w:rsidRDefault="3E98CFC3" w14:paraId="7B562325" w14:textId="22F8A34A">
      <w:pPr>
        <w:pStyle w:val="Normal"/>
        <w:spacing w:line="360" w:lineRule="auto"/>
        <w:jc w:val="both"/>
      </w:pPr>
      <w:r w:rsidRPr="1957092F" w:rsidR="22E1FE26">
        <w:rPr>
          <w:rFonts w:ascii="Arial" w:hAnsi="Arial" w:eastAsia="Arial" w:cs="Arial"/>
          <w:b w:val="0"/>
          <w:bCs w:val="0"/>
          <w:sz w:val="24"/>
          <w:szCs w:val="24"/>
          <w:u w:val="none"/>
        </w:rPr>
        <w:t xml:space="preserve">The literature review underscores the importance of professional development for teachers (Durand &amp; </w:t>
      </w:r>
      <w:r w:rsidRPr="1957092F" w:rsidR="22E1FE26">
        <w:rPr>
          <w:rFonts w:ascii="Arial" w:hAnsi="Arial" w:eastAsia="Arial" w:cs="Arial"/>
          <w:b w:val="0"/>
          <w:bCs w:val="0"/>
          <w:sz w:val="24"/>
          <w:szCs w:val="24"/>
          <w:u w:val="none"/>
        </w:rPr>
        <w:t>Secakusuma</w:t>
      </w:r>
      <w:r w:rsidRPr="1957092F" w:rsidR="22E1FE26">
        <w:rPr>
          <w:rFonts w:ascii="Arial" w:hAnsi="Arial" w:eastAsia="Arial" w:cs="Arial"/>
          <w:b w:val="0"/>
          <w:bCs w:val="0"/>
          <w:sz w:val="24"/>
          <w:szCs w:val="24"/>
          <w:u w:val="none"/>
        </w:rPr>
        <w:t xml:space="preserve">, 2019), supportive environments for parental confidence (Harpaz &amp; </w:t>
      </w:r>
      <w:r w:rsidRPr="1957092F" w:rsidR="22E1FE26">
        <w:rPr>
          <w:rFonts w:ascii="Arial" w:hAnsi="Arial" w:eastAsia="Arial" w:cs="Arial"/>
          <w:b w:val="0"/>
          <w:bCs w:val="0"/>
          <w:sz w:val="24"/>
          <w:szCs w:val="24"/>
          <w:u w:val="none"/>
        </w:rPr>
        <w:t>Grinshtain</w:t>
      </w:r>
      <w:r w:rsidRPr="1957092F" w:rsidR="22E1FE26">
        <w:rPr>
          <w:rFonts w:ascii="Arial" w:hAnsi="Arial" w:eastAsia="Arial" w:cs="Arial"/>
          <w:b w:val="0"/>
          <w:bCs w:val="0"/>
          <w:sz w:val="24"/>
          <w:szCs w:val="24"/>
          <w:u w:val="none"/>
        </w:rPr>
        <w:t xml:space="preserve">, 2020), and addressing stigma in teacher-parent interactions (Wilson &amp; McGuire, 2021). Key studies </w:t>
      </w:r>
      <w:r w:rsidRPr="1957092F" w:rsidR="22E1FE26">
        <w:rPr>
          <w:rFonts w:ascii="Arial" w:hAnsi="Arial" w:eastAsia="Arial" w:cs="Arial"/>
          <w:b w:val="0"/>
          <w:bCs w:val="0"/>
          <w:sz w:val="24"/>
          <w:szCs w:val="24"/>
          <w:u w:val="none"/>
        </w:rPr>
        <w:t>indicate</w:t>
      </w:r>
      <w:r w:rsidRPr="1957092F" w:rsidR="22E1FE26">
        <w:rPr>
          <w:rFonts w:ascii="Arial" w:hAnsi="Arial" w:eastAsia="Arial" w:cs="Arial"/>
          <w:b w:val="0"/>
          <w:bCs w:val="0"/>
          <w:sz w:val="24"/>
          <w:szCs w:val="24"/>
          <w:u w:val="none"/>
        </w:rPr>
        <w:t xml:space="preserve"> that tailored engagement strategies are necessary to meet the unique needs of families (Hornby &amp; Blackwell, 2018; Posey-Maddox &amp; Haley-Lock, 2020). Ethical considerations are central to the research, with informed consent, confidentiality, and minimizing harm to participants being prioritized. Triangulation is </w:t>
      </w:r>
      <w:r w:rsidRPr="1957092F" w:rsidR="22E1FE26">
        <w:rPr>
          <w:rFonts w:ascii="Arial" w:hAnsi="Arial" w:eastAsia="Arial" w:cs="Arial"/>
          <w:b w:val="0"/>
          <w:bCs w:val="0"/>
          <w:sz w:val="24"/>
          <w:szCs w:val="24"/>
          <w:u w:val="none"/>
        </w:rPr>
        <w:t>utilised</w:t>
      </w:r>
      <w:r w:rsidRPr="1957092F" w:rsidR="22E1FE26">
        <w:rPr>
          <w:rFonts w:ascii="Arial" w:hAnsi="Arial" w:eastAsia="Arial" w:cs="Arial"/>
          <w:b w:val="0"/>
          <w:bCs w:val="0"/>
          <w:sz w:val="24"/>
          <w:szCs w:val="24"/>
          <w:u w:val="none"/>
        </w:rPr>
        <w:t xml:space="preserve"> to enhance the credibility and validity of findings, ensuring robust data analysis.</w:t>
      </w:r>
    </w:p>
    <w:p w:rsidR="3E98CFC3" w:rsidP="4498CB9C" w:rsidRDefault="3E98CFC3" w14:paraId="2A76FC7A" w14:textId="778326CD">
      <w:pPr>
        <w:pStyle w:val="Normal"/>
        <w:spacing w:line="360" w:lineRule="auto"/>
        <w:jc w:val="both"/>
      </w:pPr>
      <w:r w:rsidRPr="1957092F" w:rsidR="22E1FE26">
        <w:rPr>
          <w:rFonts w:ascii="Arial" w:hAnsi="Arial" w:eastAsia="Arial" w:cs="Arial"/>
          <w:b w:val="0"/>
          <w:bCs w:val="0"/>
          <w:sz w:val="24"/>
          <w:szCs w:val="24"/>
          <w:u w:val="none"/>
        </w:rPr>
        <w:t xml:space="preserve">By addressing the dynamics of teacher-parent interactions, </w:t>
      </w:r>
      <w:r w:rsidRPr="1957092F" w:rsidR="22E1FE26">
        <w:rPr>
          <w:rFonts w:ascii="Arial" w:hAnsi="Arial" w:eastAsia="Arial" w:cs="Arial"/>
          <w:b w:val="0"/>
          <w:bCs w:val="0"/>
          <w:sz w:val="24"/>
          <w:szCs w:val="24"/>
          <w:u w:val="none"/>
        </w:rPr>
        <w:t>identifying</w:t>
      </w:r>
      <w:r w:rsidRPr="1957092F" w:rsidR="22E1FE26">
        <w:rPr>
          <w:rFonts w:ascii="Arial" w:hAnsi="Arial" w:eastAsia="Arial" w:cs="Arial"/>
          <w:b w:val="0"/>
          <w:bCs w:val="0"/>
          <w:sz w:val="24"/>
          <w:szCs w:val="24"/>
          <w:u w:val="none"/>
        </w:rPr>
        <w:t xml:space="preserve"> successful engagement strategies, and evaluating practical solutions, this study aims to provide valuable insights and practical strategies to foster inclusive and supportive educational environments. The findings will inform current practices and guide future research in refining and testing parental engagement strategies across various educational settings. </w:t>
      </w:r>
      <w:r w:rsidRPr="1957092F" w:rsidR="430C9959">
        <w:rPr>
          <w:rFonts w:ascii="Arial" w:hAnsi="Arial" w:eastAsia="Arial" w:cs="Arial"/>
          <w:b w:val="0"/>
          <w:bCs w:val="0"/>
          <w:sz w:val="24"/>
          <w:szCs w:val="24"/>
          <w:u w:val="none"/>
        </w:rPr>
        <w:t>The</w:t>
      </w:r>
      <w:r w:rsidRPr="1957092F" w:rsidR="22E1FE26">
        <w:rPr>
          <w:rFonts w:ascii="Arial" w:hAnsi="Arial" w:eastAsia="Arial" w:cs="Arial"/>
          <w:b w:val="0"/>
          <w:bCs w:val="0"/>
          <w:sz w:val="24"/>
          <w:szCs w:val="24"/>
          <w:u w:val="none"/>
        </w:rPr>
        <w:t xml:space="preserve"> research aspires to improve educational outcomes through proactive and inclusive parental involvement, contributing to the development of more effective and adaptable parental engagement strategies in Early Years Education.</w:t>
      </w:r>
    </w:p>
    <w:p w:rsidR="3E98CFC3" w:rsidP="1957092F" w:rsidRDefault="3E98CFC3" w14:paraId="5C8482D7" w14:textId="44110836">
      <w:pPr>
        <w:spacing w:line="360" w:lineRule="auto"/>
      </w:pPr>
      <w:r>
        <w:br w:type="page"/>
      </w:r>
    </w:p>
    <w:p w:rsidR="3E98CFC3" w:rsidP="1957092F" w:rsidRDefault="3E98CFC3" w14:paraId="5A0931AF" w14:textId="22F7DA0C">
      <w:pPr>
        <w:pStyle w:val="Normal"/>
        <w:spacing w:line="360" w:lineRule="auto"/>
        <w:jc w:val="both"/>
        <w:rPr>
          <w:rFonts w:ascii="Arial" w:hAnsi="Arial" w:eastAsia="Arial" w:cs="Arial"/>
          <w:b w:val="1"/>
          <w:bCs w:val="1"/>
          <w:sz w:val="24"/>
          <w:szCs w:val="24"/>
          <w:u w:val="none"/>
        </w:rPr>
      </w:pPr>
      <w:r w:rsidRPr="1957092F" w:rsidR="52C1C940">
        <w:rPr>
          <w:rFonts w:ascii="Arial" w:hAnsi="Arial" w:eastAsia="Arial" w:cs="Arial"/>
          <w:b w:val="1"/>
          <w:bCs w:val="1"/>
          <w:sz w:val="24"/>
          <w:szCs w:val="24"/>
          <w:u w:val="none"/>
        </w:rPr>
        <w:t>L</w:t>
      </w:r>
      <w:r w:rsidRPr="1957092F" w:rsidR="69ACCECC">
        <w:rPr>
          <w:rFonts w:ascii="Arial" w:hAnsi="Arial" w:eastAsia="Arial" w:cs="Arial"/>
          <w:b w:val="1"/>
          <w:bCs w:val="1"/>
          <w:sz w:val="24"/>
          <w:szCs w:val="24"/>
          <w:u w:val="none"/>
        </w:rPr>
        <w:t>iterature</w:t>
      </w:r>
      <w:r w:rsidRPr="1957092F" w:rsidR="69ACCECC">
        <w:rPr>
          <w:rFonts w:ascii="Arial" w:hAnsi="Arial" w:eastAsia="Arial" w:cs="Arial"/>
          <w:b w:val="1"/>
          <w:bCs w:val="1"/>
          <w:sz w:val="24"/>
          <w:szCs w:val="24"/>
          <w:u w:val="none"/>
        </w:rPr>
        <w:t xml:space="preserve"> Review</w:t>
      </w:r>
      <w:r w:rsidRPr="1957092F" w:rsidR="5E8F202F">
        <w:rPr>
          <w:rFonts w:ascii="Arial" w:hAnsi="Arial" w:eastAsia="Arial" w:cs="Arial"/>
          <w:b w:val="1"/>
          <w:bCs w:val="1"/>
          <w:sz w:val="24"/>
          <w:szCs w:val="24"/>
          <w:u w:val="none"/>
        </w:rPr>
        <w:t>:</w:t>
      </w:r>
    </w:p>
    <w:p w:rsidR="3E98CFC3" w:rsidP="4498CB9C" w:rsidRDefault="3E98CFC3" w14:paraId="03223A84" w14:textId="2F4D5532">
      <w:pPr>
        <w:pStyle w:val="Normal"/>
        <w:spacing w:line="360" w:lineRule="auto"/>
        <w:jc w:val="both"/>
        <w:rPr>
          <w:rFonts w:ascii="Arial" w:hAnsi="Arial" w:eastAsia="Arial" w:cs="Arial"/>
          <w:sz w:val="24"/>
          <w:szCs w:val="24"/>
        </w:rPr>
      </w:pPr>
      <w:r w:rsidRPr="1957092F" w:rsidR="255A0BA0">
        <w:rPr>
          <w:rFonts w:ascii="Arial" w:hAnsi="Arial" w:eastAsia="Arial" w:cs="Arial"/>
          <w:b w:val="1"/>
          <w:bCs w:val="1"/>
          <w:sz w:val="24"/>
          <w:szCs w:val="24"/>
        </w:rPr>
        <w:t>Introduction</w:t>
      </w:r>
    </w:p>
    <w:p w:rsidR="3E98CFC3" w:rsidP="4498CB9C" w:rsidRDefault="3E98CFC3" w14:paraId="01E8BA50" w14:textId="047B5D8A">
      <w:pPr>
        <w:pStyle w:val="Normal"/>
        <w:spacing w:line="360" w:lineRule="auto"/>
        <w:jc w:val="both"/>
      </w:pPr>
      <w:r w:rsidRPr="1957092F" w:rsidR="255A0BA0">
        <w:rPr>
          <w:rFonts w:ascii="Arial" w:hAnsi="Arial" w:eastAsia="Arial" w:cs="Arial"/>
          <w:sz w:val="24"/>
          <w:szCs w:val="24"/>
        </w:rPr>
        <w:t xml:space="preserve">Parental involvement is essential for the successful educational and social development of young children, especially in diverse and economically challenged areas. This literature review investigates the dynamics of teacher-parent interactions to </w:t>
      </w:r>
      <w:r w:rsidRPr="1957092F" w:rsidR="255A0BA0">
        <w:rPr>
          <w:rFonts w:ascii="Arial" w:hAnsi="Arial" w:eastAsia="Arial" w:cs="Arial"/>
          <w:sz w:val="24"/>
          <w:szCs w:val="24"/>
        </w:rPr>
        <w:t>identify</w:t>
      </w:r>
      <w:r w:rsidRPr="1957092F" w:rsidR="255A0BA0">
        <w:rPr>
          <w:rFonts w:ascii="Arial" w:hAnsi="Arial" w:eastAsia="Arial" w:cs="Arial"/>
          <w:sz w:val="24"/>
          <w:szCs w:val="24"/>
        </w:rPr>
        <w:t xml:space="preserve"> effective engagement strategies, analyse the barriers to engagement, and evaluate practical approaches to overcoming these challenges. By systematically exploring these areas, the review aims to </w:t>
      </w:r>
      <w:r w:rsidRPr="1957092F" w:rsidR="255A0BA0">
        <w:rPr>
          <w:rFonts w:ascii="Arial" w:hAnsi="Arial" w:eastAsia="Arial" w:cs="Arial"/>
          <w:sz w:val="24"/>
          <w:szCs w:val="24"/>
        </w:rPr>
        <w:t>establish</w:t>
      </w:r>
      <w:r w:rsidRPr="1957092F" w:rsidR="255A0BA0">
        <w:rPr>
          <w:rFonts w:ascii="Arial" w:hAnsi="Arial" w:eastAsia="Arial" w:cs="Arial"/>
          <w:sz w:val="24"/>
          <w:szCs w:val="24"/>
        </w:rPr>
        <w:t xml:space="preserve"> </w:t>
      </w:r>
      <w:r w:rsidRPr="1957092F" w:rsidR="55BC2A63">
        <w:rPr>
          <w:rFonts w:ascii="Arial" w:hAnsi="Arial" w:eastAsia="Arial" w:cs="Arial"/>
          <w:sz w:val="24"/>
          <w:szCs w:val="24"/>
        </w:rPr>
        <w:t>a solid foundation</w:t>
      </w:r>
      <w:r w:rsidRPr="1957092F" w:rsidR="255A0BA0">
        <w:rPr>
          <w:rFonts w:ascii="Arial" w:hAnsi="Arial" w:eastAsia="Arial" w:cs="Arial"/>
          <w:sz w:val="24"/>
          <w:szCs w:val="24"/>
        </w:rPr>
        <w:t xml:space="preserve"> for research, aimed at refining and testing these strategies across various educational environments. This work </w:t>
      </w:r>
      <w:r w:rsidRPr="1957092F" w:rsidR="255A0BA0">
        <w:rPr>
          <w:rFonts w:ascii="Arial" w:hAnsi="Arial" w:eastAsia="Arial" w:cs="Arial"/>
          <w:sz w:val="24"/>
          <w:szCs w:val="24"/>
        </w:rPr>
        <w:t>seeks</w:t>
      </w:r>
      <w:r w:rsidRPr="1957092F" w:rsidR="255A0BA0">
        <w:rPr>
          <w:rFonts w:ascii="Arial" w:hAnsi="Arial" w:eastAsia="Arial" w:cs="Arial"/>
          <w:sz w:val="24"/>
          <w:szCs w:val="24"/>
        </w:rPr>
        <w:t xml:space="preserve"> to support both current applications and future studies, ensuring that parental involvement strategies are effective and adaptable.</w:t>
      </w:r>
    </w:p>
    <w:p w:rsidR="3E98CFC3" w:rsidP="4498CB9C" w:rsidRDefault="3E98CFC3" w14:paraId="3FB99B3D" w14:textId="0E38D25D">
      <w:pPr>
        <w:pStyle w:val="Normal"/>
        <w:spacing w:line="360" w:lineRule="auto"/>
        <w:jc w:val="both"/>
        <w:rPr>
          <w:rFonts w:ascii="Arial" w:hAnsi="Arial" w:eastAsia="Arial" w:cs="Arial"/>
          <w:b w:val="1"/>
          <w:bCs w:val="1"/>
          <w:sz w:val="24"/>
          <w:szCs w:val="24"/>
        </w:rPr>
      </w:pPr>
      <w:r w:rsidRPr="4498CB9C" w:rsidR="3E98CFC3">
        <w:rPr>
          <w:rFonts w:ascii="Arial" w:hAnsi="Arial" w:eastAsia="Arial" w:cs="Arial"/>
          <w:b w:val="1"/>
          <w:bCs w:val="1"/>
          <w:sz w:val="24"/>
          <w:szCs w:val="24"/>
        </w:rPr>
        <w:t xml:space="preserve">Dynamics of Teacher-Parent Interactions </w:t>
      </w:r>
    </w:p>
    <w:p w:rsidR="3E98CFC3" w:rsidP="4498CB9C" w:rsidRDefault="3E98CFC3" w14:paraId="0E9A1DC8" w14:textId="7BD99301">
      <w:pPr>
        <w:pStyle w:val="Normal"/>
        <w:spacing w:line="360" w:lineRule="auto"/>
        <w:jc w:val="both"/>
      </w:pPr>
      <w:r w:rsidRPr="4498CB9C" w:rsidR="3E98CFC3">
        <w:rPr>
          <w:rFonts w:ascii="Arial" w:hAnsi="Arial" w:eastAsia="Arial" w:cs="Arial"/>
          <w:sz w:val="24"/>
          <w:szCs w:val="24"/>
        </w:rPr>
        <w:t xml:space="preserve">Understanding the dynamics between teachers and parents is essential for </w:t>
      </w:r>
      <w:r w:rsidRPr="4498CB9C" w:rsidR="3E98CFC3">
        <w:rPr>
          <w:rFonts w:ascii="Arial" w:hAnsi="Arial" w:eastAsia="Arial" w:cs="Arial"/>
          <w:sz w:val="24"/>
          <w:szCs w:val="24"/>
        </w:rPr>
        <w:t>identifying</w:t>
      </w:r>
      <w:r w:rsidRPr="4498CB9C" w:rsidR="3E98CFC3">
        <w:rPr>
          <w:rFonts w:ascii="Arial" w:hAnsi="Arial" w:eastAsia="Arial" w:cs="Arial"/>
          <w:sz w:val="24"/>
          <w:szCs w:val="24"/>
        </w:rPr>
        <w:t xml:space="preserve"> effective strategies for parental engagement. Durand and </w:t>
      </w:r>
      <w:r w:rsidRPr="4498CB9C" w:rsidR="3E98CFC3">
        <w:rPr>
          <w:rFonts w:ascii="Arial" w:hAnsi="Arial" w:eastAsia="Arial" w:cs="Arial"/>
          <w:sz w:val="24"/>
          <w:szCs w:val="24"/>
        </w:rPr>
        <w:t>Secakusuma</w:t>
      </w:r>
      <w:r w:rsidRPr="4498CB9C" w:rsidR="3E98CFC3">
        <w:rPr>
          <w:rFonts w:ascii="Arial" w:hAnsi="Arial" w:eastAsia="Arial" w:cs="Arial"/>
          <w:sz w:val="24"/>
          <w:szCs w:val="24"/>
        </w:rPr>
        <w:t xml:space="preserve"> (2019) highlight the crucial role of class teachers as connectors between schools and families, advocating for a shift from traditional teaching roles to facilitators of community and family empowerment. They emphasise the importance of professional development programs that equip teachers with skills to navigate complex family dynamics and community expectations effectively. </w:t>
      </w:r>
    </w:p>
    <w:p w:rsidR="3E98CFC3" w:rsidP="4498CB9C" w:rsidRDefault="3E98CFC3" w14:paraId="48F1B696" w14:textId="524E323F">
      <w:pPr>
        <w:pStyle w:val="Normal"/>
        <w:spacing w:line="360" w:lineRule="auto"/>
        <w:jc w:val="both"/>
      </w:pPr>
      <w:r w:rsidRPr="4498CB9C" w:rsidR="3E98CFC3">
        <w:rPr>
          <w:rFonts w:ascii="Arial" w:hAnsi="Arial" w:eastAsia="Arial" w:cs="Arial"/>
          <w:sz w:val="24"/>
          <w:szCs w:val="24"/>
        </w:rPr>
        <w:t xml:space="preserve">Building on this, Harpaz and </w:t>
      </w:r>
      <w:r w:rsidRPr="4498CB9C" w:rsidR="3E98CFC3">
        <w:rPr>
          <w:rFonts w:ascii="Arial" w:hAnsi="Arial" w:eastAsia="Arial" w:cs="Arial"/>
          <w:sz w:val="24"/>
          <w:szCs w:val="24"/>
        </w:rPr>
        <w:t>Grinshtain</w:t>
      </w:r>
      <w:r w:rsidRPr="4498CB9C" w:rsidR="3E98CFC3">
        <w:rPr>
          <w:rFonts w:ascii="Arial" w:hAnsi="Arial" w:eastAsia="Arial" w:cs="Arial"/>
          <w:sz w:val="24"/>
          <w:szCs w:val="24"/>
        </w:rPr>
        <w:t xml:space="preserve"> (2020) explore the positive impacts of effective parent-teacher interactions on parental engagement and children’s outcomes. They find that parental willingness to </w:t>
      </w:r>
      <w:r w:rsidRPr="4498CB9C" w:rsidR="3E98CFC3">
        <w:rPr>
          <w:rFonts w:ascii="Arial" w:hAnsi="Arial" w:eastAsia="Arial" w:cs="Arial"/>
          <w:sz w:val="24"/>
          <w:szCs w:val="24"/>
        </w:rPr>
        <w:t>participate</w:t>
      </w:r>
      <w:r w:rsidRPr="4498CB9C" w:rsidR="3E98CFC3">
        <w:rPr>
          <w:rFonts w:ascii="Arial" w:hAnsi="Arial" w:eastAsia="Arial" w:cs="Arial"/>
          <w:sz w:val="24"/>
          <w:szCs w:val="24"/>
        </w:rPr>
        <w:t xml:space="preserve"> in education correlates strongly with their relationships with teachers and personal efficacy, which are influenced by socio-economic factors. This emphasises the need for supportive environments that enhance parental confidence and engagement. </w:t>
      </w:r>
    </w:p>
    <w:p w:rsidR="3E98CFC3" w:rsidP="4498CB9C" w:rsidRDefault="3E98CFC3" w14:paraId="393E3308" w14:textId="11EC1E96">
      <w:pPr>
        <w:pStyle w:val="Normal"/>
        <w:spacing w:line="360" w:lineRule="auto"/>
        <w:jc w:val="both"/>
        <w:rPr>
          <w:rFonts w:ascii="Arial" w:hAnsi="Arial" w:eastAsia="Arial" w:cs="Arial"/>
          <w:sz w:val="24"/>
          <w:szCs w:val="24"/>
        </w:rPr>
      </w:pPr>
      <w:r w:rsidRPr="4498CB9C" w:rsidR="3E98CFC3">
        <w:rPr>
          <w:rFonts w:ascii="Arial" w:hAnsi="Arial" w:eastAsia="Arial" w:cs="Arial"/>
          <w:sz w:val="24"/>
          <w:szCs w:val="24"/>
        </w:rPr>
        <w:t xml:space="preserve">Additionally, Wilson and McGuire (2021) examine how stigma affects parent-teacher interactions, particularly among working-class mothers. Utilising Goffman’s Stigma Theory, they show how negative </w:t>
      </w:r>
      <w:r w:rsidRPr="4498CB9C" w:rsidR="3E98CFC3">
        <w:rPr>
          <w:rFonts w:ascii="Arial" w:hAnsi="Arial" w:eastAsia="Arial" w:cs="Arial"/>
          <w:sz w:val="24"/>
          <w:szCs w:val="24"/>
        </w:rPr>
        <w:t>perceptions</w:t>
      </w:r>
      <w:r w:rsidRPr="4498CB9C" w:rsidR="3E98CFC3">
        <w:rPr>
          <w:rFonts w:ascii="Arial" w:hAnsi="Arial" w:eastAsia="Arial" w:cs="Arial"/>
          <w:sz w:val="24"/>
          <w:szCs w:val="24"/>
        </w:rPr>
        <w:t xml:space="preserve"> from educational staff can hinder parental involvement, highlighting the critical need for interventions in teacher training to address and mitigate these stigma </w:t>
      </w:r>
      <w:r w:rsidRPr="4498CB9C" w:rsidR="3E98CFC3">
        <w:rPr>
          <w:rFonts w:ascii="Arial" w:hAnsi="Arial" w:eastAsia="Arial" w:cs="Arial"/>
          <w:sz w:val="24"/>
          <w:szCs w:val="24"/>
        </w:rPr>
        <w:t>perceptions</w:t>
      </w:r>
      <w:r w:rsidRPr="4498CB9C" w:rsidR="3E98CFC3">
        <w:rPr>
          <w:rFonts w:ascii="Arial" w:hAnsi="Arial" w:eastAsia="Arial" w:cs="Arial"/>
          <w:sz w:val="24"/>
          <w:szCs w:val="24"/>
        </w:rPr>
        <w:t>.</w:t>
      </w:r>
    </w:p>
    <w:p w:rsidR="3E98CFC3" w:rsidP="4498CB9C" w:rsidRDefault="3E98CFC3" w14:paraId="50DB7E35" w14:textId="30444141">
      <w:pPr>
        <w:pStyle w:val="Normal"/>
        <w:spacing w:line="360" w:lineRule="auto"/>
        <w:jc w:val="both"/>
      </w:pPr>
      <w:r w:rsidRPr="4498CB9C" w:rsidR="3E98CFC3">
        <w:rPr>
          <w:rFonts w:ascii="Arial" w:hAnsi="Arial" w:eastAsia="Arial" w:cs="Arial"/>
          <w:sz w:val="24"/>
          <w:szCs w:val="24"/>
        </w:rPr>
        <w:t>Collectively, these studies emphasise the necessity for training programs that enable teachers to manage complex social dynamics and foster an inclusive educational environment, enhancing parental engagement in early years education.</w:t>
      </w:r>
    </w:p>
    <w:p w:rsidRPr="00D21C31" w:rsidR="00E926E7" w:rsidP="090963AF" w:rsidRDefault="00E926E7" w14:paraId="03DD94FF" w14:textId="3322C1FC">
      <w:pPr>
        <w:pStyle w:val="Normal"/>
        <w:spacing w:line="360" w:lineRule="auto"/>
        <w:jc w:val="both"/>
        <w:rPr>
          <w:rFonts w:ascii="Arial" w:hAnsi="Arial" w:eastAsia="Arial" w:cs="Arial"/>
          <w:b w:val="1"/>
          <w:bCs w:val="1"/>
          <w:sz w:val="24"/>
          <w:szCs w:val="24"/>
        </w:rPr>
      </w:pPr>
      <w:r w:rsidRPr="090963AF" w:rsidR="14747BAB">
        <w:rPr>
          <w:rFonts w:ascii="Arial" w:hAnsi="Arial" w:eastAsia="Arial" w:cs="Arial"/>
          <w:b w:val="1"/>
          <w:bCs w:val="1"/>
          <w:sz w:val="24"/>
          <w:szCs w:val="24"/>
        </w:rPr>
        <w:t>Barriers to Effective Parental Engagement</w:t>
      </w:r>
    </w:p>
    <w:p w:rsidRPr="00D21C31" w:rsidR="00E926E7" w:rsidP="090963AF" w:rsidRDefault="00E926E7" w14:paraId="68BB44DA" w14:textId="471B5563">
      <w:pPr>
        <w:pStyle w:val="Normal"/>
        <w:spacing w:line="360" w:lineRule="auto"/>
        <w:jc w:val="both"/>
        <w:rPr>
          <w:rFonts w:ascii="Arial" w:hAnsi="Arial" w:eastAsia="Arial" w:cs="Arial"/>
          <w:sz w:val="24"/>
          <w:szCs w:val="24"/>
        </w:rPr>
      </w:pPr>
      <w:r w:rsidRPr="090963AF" w:rsidR="14747BAB">
        <w:rPr>
          <w:rFonts w:ascii="Arial" w:hAnsi="Arial" w:eastAsia="Arial" w:cs="Arial"/>
          <w:sz w:val="24"/>
          <w:szCs w:val="24"/>
        </w:rPr>
        <w:t>Identifying</w:t>
      </w:r>
      <w:r w:rsidRPr="090963AF" w:rsidR="14747BAB">
        <w:rPr>
          <w:rFonts w:ascii="Arial" w:hAnsi="Arial" w:eastAsia="Arial" w:cs="Arial"/>
          <w:sz w:val="24"/>
          <w:szCs w:val="24"/>
        </w:rPr>
        <w:t xml:space="preserve"> and addressing barriers to effective parental engagement is crucial for fostering successful collaborations between parents and teachers. Hornby and Blackwell (2018) discuss the evolving dynamics of parental involvement, pointing out the need for schools to adapt their engagement strategies in response to both traditional and emerging societal barriers. They note challenges such as parents' negative educational experiences and logistical issues like work commitments, which are compounded by broader socio-economic changes.</w:t>
      </w:r>
    </w:p>
    <w:p w:rsidRPr="00D21C31" w:rsidR="00E926E7" w:rsidP="090963AF" w:rsidRDefault="00E926E7" w14:paraId="1742C931" w14:textId="483E3564">
      <w:pPr>
        <w:pStyle w:val="Normal"/>
        <w:spacing w:line="360" w:lineRule="auto"/>
        <w:jc w:val="both"/>
        <w:rPr>
          <w:rFonts w:ascii="Arial" w:hAnsi="Arial" w:eastAsia="Arial" w:cs="Arial"/>
          <w:sz w:val="24"/>
          <w:szCs w:val="24"/>
        </w:rPr>
      </w:pPr>
      <w:r w:rsidRPr="090963AF" w:rsidR="14747BAB">
        <w:rPr>
          <w:rFonts w:ascii="Arial" w:hAnsi="Arial" w:eastAsia="Arial" w:cs="Arial"/>
          <w:sz w:val="24"/>
          <w:szCs w:val="24"/>
        </w:rPr>
        <w:t>Moreover, the study reveals that schools are increasingly taking on roles traditionally filled by community services, such as extending school hours and utili</w:t>
      </w:r>
      <w:r w:rsidRPr="090963AF" w:rsidR="0E7B5566">
        <w:rPr>
          <w:rFonts w:ascii="Arial" w:hAnsi="Arial" w:eastAsia="Arial" w:cs="Arial"/>
          <w:sz w:val="24"/>
          <w:szCs w:val="24"/>
        </w:rPr>
        <w:t>s</w:t>
      </w:r>
      <w:r w:rsidRPr="090963AF" w:rsidR="14747BAB">
        <w:rPr>
          <w:rFonts w:ascii="Arial" w:hAnsi="Arial" w:eastAsia="Arial" w:cs="Arial"/>
          <w:sz w:val="24"/>
          <w:szCs w:val="24"/>
        </w:rPr>
        <w:t>ing digital communication tools, to overcome these barriers and foster parental involvement.</w:t>
      </w:r>
    </w:p>
    <w:p w:rsidRPr="00D21C31" w:rsidR="00E926E7" w:rsidP="090963AF" w:rsidRDefault="00E926E7" w14:paraId="290769C6" w14:textId="68E807EC">
      <w:pPr>
        <w:pStyle w:val="Normal"/>
        <w:spacing w:line="360" w:lineRule="auto"/>
        <w:jc w:val="both"/>
        <w:rPr>
          <w:rFonts w:ascii="Arial" w:hAnsi="Arial" w:eastAsia="Arial" w:cs="Arial"/>
          <w:sz w:val="24"/>
          <w:szCs w:val="24"/>
        </w:rPr>
      </w:pPr>
      <w:r w:rsidRPr="090963AF" w:rsidR="14747BAB">
        <w:rPr>
          <w:rFonts w:ascii="Arial" w:hAnsi="Arial" w:eastAsia="Arial" w:cs="Arial"/>
          <w:sz w:val="24"/>
          <w:szCs w:val="24"/>
        </w:rPr>
        <w:t xml:space="preserve">Posey-Maddox and Haley-Lock (2020) delve into the interconnected themes of work, family, and school, illustrating the discrepancies between school expectations and the realities of parental lives. They argue that engagement strategies need customization to fit individual family circumstances, promoting a more </w:t>
      </w:r>
      <w:r w:rsidRPr="090963AF" w:rsidR="14747BAB">
        <w:rPr>
          <w:rFonts w:ascii="Arial" w:hAnsi="Arial" w:eastAsia="Arial" w:cs="Arial"/>
          <w:sz w:val="24"/>
          <w:szCs w:val="24"/>
        </w:rPr>
        <w:t>equitable</w:t>
      </w:r>
      <w:r w:rsidRPr="090963AF" w:rsidR="14747BAB">
        <w:rPr>
          <w:rFonts w:ascii="Arial" w:hAnsi="Arial" w:eastAsia="Arial" w:cs="Arial"/>
          <w:sz w:val="24"/>
          <w:szCs w:val="24"/>
        </w:rPr>
        <w:t xml:space="preserve"> and inclusive approach that accommodates the complexities of parental lives.</w:t>
      </w:r>
    </w:p>
    <w:p w:rsidRPr="00D21C31" w:rsidR="00E926E7" w:rsidP="090963AF" w:rsidRDefault="00E926E7" w14:paraId="2388C544" w14:textId="7D4CD4F2">
      <w:pPr>
        <w:pStyle w:val="Normal"/>
        <w:spacing w:line="360" w:lineRule="auto"/>
        <w:jc w:val="both"/>
        <w:rPr>
          <w:rFonts w:ascii="Arial" w:hAnsi="Arial" w:eastAsia="Arial" w:cs="Arial"/>
          <w:b w:val="1"/>
          <w:bCs w:val="1"/>
          <w:sz w:val="24"/>
          <w:szCs w:val="24"/>
        </w:rPr>
      </w:pPr>
      <w:r w:rsidRPr="090963AF" w:rsidR="351797F5">
        <w:rPr>
          <w:rFonts w:ascii="Arial" w:hAnsi="Arial" w:eastAsia="Arial" w:cs="Arial"/>
          <w:b w:val="1"/>
          <w:bCs w:val="1"/>
          <w:sz w:val="24"/>
          <w:szCs w:val="24"/>
        </w:rPr>
        <w:t>Effective Strategies for Enhanced Parental Engagement</w:t>
      </w:r>
    </w:p>
    <w:p w:rsidRPr="00D21C31" w:rsidR="00E926E7" w:rsidP="090963AF" w:rsidRDefault="00E926E7" w14:paraId="54FBAC26" w14:textId="1BAD06D3">
      <w:pPr>
        <w:pStyle w:val="Normal"/>
        <w:spacing w:line="360" w:lineRule="auto"/>
        <w:jc w:val="both"/>
        <w:rPr>
          <w:rFonts w:ascii="Arial" w:hAnsi="Arial" w:eastAsia="Arial" w:cs="Arial"/>
          <w:sz w:val="24"/>
          <w:szCs w:val="24"/>
        </w:rPr>
      </w:pPr>
      <w:r w:rsidRPr="090963AF" w:rsidR="351797F5">
        <w:rPr>
          <w:rFonts w:ascii="Arial" w:hAnsi="Arial" w:eastAsia="Arial" w:cs="Arial"/>
          <w:sz w:val="24"/>
          <w:szCs w:val="24"/>
        </w:rPr>
        <w:t>Understanding the complex dynamics between parents and teachers and overcoming identified barriers are crucial for developing impactful parental engagement strategies. Goodall’s (2018) yearlong project supported 34 schools and staff by providing a toolkit and opportunities for school-to-school collaborative learning, aimed at enhancing learning within the home environment. This initiative shifted traditional involvement to more profound engagement strategies. However, while the toolkit significantly improved practices, it also highlighted the need for consistent professional development and implementation across schools to fully realize its benefits.</w:t>
      </w:r>
    </w:p>
    <w:p w:rsidRPr="00D21C31" w:rsidR="00E926E7" w:rsidP="090963AF" w:rsidRDefault="00E926E7" w14:paraId="5E565C10" w14:textId="3618FDF5">
      <w:pPr>
        <w:pStyle w:val="Normal"/>
        <w:spacing w:line="360" w:lineRule="auto"/>
        <w:jc w:val="both"/>
        <w:rPr>
          <w:rFonts w:ascii="Arial" w:hAnsi="Arial" w:eastAsia="Arial" w:cs="Arial"/>
          <w:sz w:val="24"/>
          <w:szCs w:val="24"/>
        </w:rPr>
      </w:pPr>
      <w:r w:rsidRPr="1957092F" w:rsidR="6221CCA5">
        <w:rPr>
          <w:rFonts w:ascii="Arial" w:hAnsi="Arial" w:eastAsia="Arial" w:cs="Arial"/>
          <w:sz w:val="24"/>
          <w:szCs w:val="24"/>
        </w:rPr>
        <w:t>Jeynes</w:t>
      </w:r>
      <w:r w:rsidRPr="1957092F" w:rsidR="6221CCA5">
        <w:rPr>
          <w:rFonts w:ascii="Arial" w:hAnsi="Arial" w:eastAsia="Arial" w:cs="Arial"/>
          <w:sz w:val="24"/>
          <w:szCs w:val="24"/>
        </w:rPr>
        <w:t xml:space="preserve"> (2018) introduces the Dual Navigation Approach (DNA), designed to balance home-based and school-based strategies, based on insights from six meta-analyses.</w:t>
      </w:r>
      <w:r w:rsidRPr="1957092F" w:rsidR="77C1CA52">
        <w:rPr>
          <w:rFonts w:ascii="Arial" w:hAnsi="Arial" w:eastAsia="Arial" w:cs="Arial"/>
          <w:sz w:val="24"/>
          <w:szCs w:val="24"/>
        </w:rPr>
        <w:t xml:space="preserve"> This model highlights the importance of coordinating </w:t>
      </w:r>
      <w:r w:rsidRPr="1957092F" w:rsidR="5627E1AE">
        <w:rPr>
          <w:rFonts w:ascii="Arial" w:hAnsi="Arial" w:eastAsia="Arial" w:cs="Arial"/>
          <w:sz w:val="24"/>
          <w:szCs w:val="24"/>
        </w:rPr>
        <w:t>several types</w:t>
      </w:r>
      <w:r w:rsidRPr="1957092F" w:rsidR="77C1CA52">
        <w:rPr>
          <w:rFonts w:ascii="Arial" w:hAnsi="Arial" w:eastAsia="Arial" w:cs="Arial"/>
          <w:sz w:val="24"/>
          <w:szCs w:val="24"/>
        </w:rPr>
        <w:t xml:space="preserve"> of involvement</w:t>
      </w:r>
      <w:r w:rsidRPr="1957092F" w:rsidR="6221CCA5">
        <w:rPr>
          <w:rFonts w:ascii="Arial" w:hAnsi="Arial" w:eastAsia="Arial" w:cs="Arial"/>
          <w:sz w:val="24"/>
          <w:szCs w:val="24"/>
        </w:rPr>
        <w:t xml:space="preserve"> to optimi</w:t>
      </w:r>
      <w:r w:rsidRPr="1957092F" w:rsidR="45D41C9E">
        <w:rPr>
          <w:rFonts w:ascii="Arial" w:hAnsi="Arial" w:eastAsia="Arial" w:cs="Arial"/>
          <w:sz w:val="24"/>
          <w:szCs w:val="24"/>
        </w:rPr>
        <w:t>s</w:t>
      </w:r>
      <w:r w:rsidRPr="1957092F" w:rsidR="6221CCA5">
        <w:rPr>
          <w:rFonts w:ascii="Arial" w:hAnsi="Arial" w:eastAsia="Arial" w:cs="Arial"/>
          <w:sz w:val="24"/>
          <w:szCs w:val="24"/>
        </w:rPr>
        <w:t>e effectiveness. It offers a structured framework to enhance teacher-parent interactions and tackle barriers to effective engagement, ensuring that both home and school environments actively contribute to the educational process.</w:t>
      </w:r>
    </w:p>
    <w:p w:rsidRPr="00D21C31" w:rsidR="00E926E7" w:rsidP="090963AF" w:rsidRDefault="00E926E7" w14:paraId="2C376288" w14:textId="062B55C0">
      <w:pPr>
        <w:pStyle w:val="Normal"/>
        <w:spacing w:line="360" w:lineRule="auto"/>
        <w:jc w:val="both"/>
        <w:rPr>
          <w:rFonts w:ascii="Arial" w:hAnsi="Arial" w:eastAsia="Arial" w:cs="Arial"/>
          <w:sz w:val="24"/>
          <w:szCs w:val="24"/>
        </w:rPr>
      </w:pPr>
      <w:r w:rsidRPr="090963AF" w:rsidR="351797F5">
        <w:rPr>
          <w:rFonts w:ascii="Arial" w:hAnsi="Arial" w:eastAsia="Arial" w:cs="Arial"/>
          <w:sz w:val="24"/>
          <w:szCs w:val="24"/>
        </w:rPr>
        <w:t xml:space="preserve">Integrating </w:t>
      </w:r>
      <w:r w:rsidRPr="090963AF" w:rsidR="351797F5">
        <w:rPr>
          <w:rFonts w:ascii="Arial" w:hAnsi="Arial" w:eastAsia="Arial" w:cs="Arial"/>
          <w:sz w:val="24"/>
          <w:szCs w:val="24"/>
        </w:rPr>
        <w:t>Jeynes</w:t>
      </w:r>
      <w:r w:rsidRPr="090963AF" w:rsidR="351797F5">
        <w:rPr>
          <w:rFonts w:ascii="Arial" w:hAnsi="Arial" w:eastAsia="Arial" w:cs="Arial"/>
          <w:sz w:val="24"/>
          <w:szCs w:val="24"/>
        </w:rPr>
        <w:t xml:space="preserve">' theoretical framework with Goodall’s practical tools suggests that effective parental engagement strategies should merge solid theoretical insights with actionable resources. Adopting </w:t>
      </w:r>
      <w:r w:rsidRPr="090963AF" w:rsidR="351797F5">
        <w:rPr>
          <w:rFonts w:ascii="Arial" w:hAnsi="Arial" w:eastAsia="Arial" w:cs="Arial"/>
          <w:sz w:val="24"/>
          <w:szCs w:val="24"/>
        </w:rPr>
        <w:t>Jeynes</w:t>
      </w:r>
      <w:r w:rsidRPr="090963AF" w:rsidR="351797F5">
        <w:rPr>
          <w:rFonts w:ascii="Arial" w:hAnsi="Arial" w:eastAsia="Arial" w:cs="Arial"/>
          <w:sz w:val="24"/>
          <w:szCs w:val="24"/>
        </w:rPr>
        <w:t>’ model can enhance understanding of parental involvement concepts, while Goodall’s toolkit provides the means for practical application, ensuring strategic and operational coherence in schools.</w:t>
      </w:r>
    </w:p>
    <w:p w:rsidRPr="00D21C31" w:rsidR="00E926E7" w:rsidP="090963AF" w:rsidRDefault="00E926E7" w14:paraId="3451D5ED" w14:textId="47C8DAC9">
      <w:pPr>
        <w:pStyle w:val="Normal"/>
        <w:spacing w:line="360" w:lineRule="auto"/>
        <w:jc w:val="both"/>
        <w:rPr>
          <w:rFonts w:ascii="Arial" w:hAnsi="Arial" w:eastAsia="Arial" w:cs="Arial"/>
          <w:b w:val="1"/>
          <w:bCs w:val="1"/>
          <w:sz w:val="24"/>
          <w:szCs w:val="24"/>
        </w:rPr>
      </w:pPr>
      <w:r w:rsidRPr="090963AF" w:rsidR="792A825C">
        <w:rPr>
          <w:rFonts w:ascii="Arial" w:hAnsi="Arial" w:eastAsia="Arial" w:cs="Arial"/>
          <w:b w:val="1"/>
          <w:bCs w:val="1"/>
          <w:sz w:val="24"/>
          <w:szCs w:val="24"/>
        </w:rPr>
        <w:t>Conclusion</w:t>
      </w:r>
    </w:p>
    <w:p w:rsidRPr="00D21C31" w:rsidR="00E926E7" w:rsidP="090963AF" w:rsidRDefault="00E926E7" w14:paraId="755CD814" w14:textId="55AA9D40">
      <w:pPr>
        <w:pStyle w:val="Normal"/>
        <w:spacing w:line="360" w:lineRule="auto"/>
        <w:jc w:val="both"/>
        <w:rPr>
          <w:rFonts w:ascii="Arial" w:hAnsi="Arial" w:eastAsia="Arial" w:cs="Arial"/>
          <w:b w:val="0"/>
          <w:bCs w:val="0"/>
          <w:sz w:val="24"/>
          <w:szCs w:val="24"/>
        </w:rPr>
      </w:pPr>
      <w:r w:rsidRPr="090963AF" w:rsidR="34DDB534">
        <w:rPr>
          <w:rFonts w:ascii="Arial" w:hAnsi="Arial" w:eastAsia="Arial" w:cs="Arial"/>
          <w:b w:val="0"/>
          <w:bCs w:val="0"/>
          <w:sz w:val="24"/>
          <w:szCs w:val="24"/>
        </w:rPr>
        <w:t xml:space="preserve">This review highlights the critical role of parental engagement in Early Years Education. Key studies, such as those by Durand and </w:t>
      </w:r>
      <w:r w:rsidRPr="090963AF" w:rsidR="34DDB534">
        <w:rPr>
          <w:rFonts w:ascii="Arial" w:hAnsi="Arial" w:eastAsia="Arial" w:cs="Arial"/>
          <w:b w:val="0"/>
          <w:bCs w:val="0"/>
          <w:sz w:val="24"/>
          <w:szCs w:val="24"/>
        </w:rPr>
        <w:t>Secakusuma</w:t>
      </w:r>
      <w:r w:rsidRPr="090963AF" w:rsidR="34DDB534">
        <w:rPr>
          <w:rFonts w:ascii="Arial" w:hAnsi="Arial" w:eastAsia="Arial" w:cs="Arial"/>
          <w:b w:val="0"/>
          <w:bCs w:val="0"/>
          <w:sz w:val="24"/>
          <w:szCs w:val="24"/>
        </w:rPr>
        <w:t xml:space="preserve"> (2019) and Harpaz and </w:t>
      </w:r>
      <w:r w:rsidRPr="090963AF" w:rsidR="34DDB534">
        <w:rPr>
          <w:rFonts w:ascii="Arial" w:hAnsi="Arial" w:eastAsia="Arial" w:cs="Arial"/>
          <w:b w:val="0"/>
          <w:bCs w:val="0"/>
          <w:sz w:val="24"/>
          <w:szCs w:val="24"/>
        </w:rPr>
        <w:t>Grinshtain</w:t>
      </w:r>
      <w:r w:rsidRPr="090963AF" w:rsidR="34DDB534">
        <w:rPr>
          <w:rFonts w:ascii="Arial" w:hAnsi="Arial" w:eastAsia="Arial" w:cs="Arial"/>
          <w:b w:val="0"/>
          <w:bCs w:val="0"/>
          <w:sz w:val="24"/>
          <w:szCs w:val="24"/>
        </w:rPr>
        <w:t xml:space="preserve"> (2020), </w:t>
      </w:r>
      <w:r w:rsidRPr="090963AF" w:rsidR="704E0AF1">
        <w:rPr>
          <w:rFonts w:ascii="Arial" w:hAnsi="Arial" w:eastAsia="Arial" w:cs="Arial"/>
          <w:b w:val="0"/>
          <w:bCs w:val="0"/>
          <w:sz w:val="24"/>
          <w:szCs w:val="24"/>
        </w:rPr>
        <w:t xml:space="preserve">emphasise </w:t>
      </w:r>
      <w:r w:rsidRPr="090963AF" w:rsidR="34DDB534">
        <w:rPr>
          <w:rFonts w:ascii="Arial" w:hAnsi="Arial" w:eastAsia="Arial" w:cs="Arial"/>
          <w:b w:val="0"/>
          <w:bCs w:val="0"/>
          <w:sz w:val="24"/>
          <w:szCs w:val="24"/>
        </w:rPr>
        <w:t>the importance of nurturing positive teacher-parent interactions and addressing barriers related to socio-economic factors and stigma.</w:t>
      </w:r>
    </w:p>
    <w:p w:rsidRPr="00D21C31" w:rsidR="00E926E7" w:rsidP="090963AF" w:rsidRDefault="00E926E7" w14:paraId="67E13FC0" w14:textId="24C1149A">
      <w:pPr>
        <w:pStyle w:val="Normal"/>
        <w:spacing w:line="360" w:lineRule="auto"/>
        <w:jc w:val="both"/>
        <w:rPr>
          <w:rFonts w:ascii="Arial" w:hAnsi="Arial" w:eastAsia="Arial" w:cs="Arial"/>
          <w:b w:val="0"/>
          <w:bCs w:val="0"/>
          <w:sz w:val="24"/>
          <w:szCs w:val="24"/>
        </w:rPr>
      </w:pPr>
      <w:r w:rsidRPr="090963AF" w:rsidR="34DDB534">
        <w:rPr>
          <w:rFonts w:ascii="Arial" w:hAnsi="Arial" w:eastAsia="Arial" w:cs="Arial"/>
          <w:b w:val="0"/>
          <w:bCs w:val="0"/>
          <w:sz w:val="24"/>
          <w:szCs w:val="24"/>
        </w:rPr>
        <w:t xml:space="preserve">The </w:t>
      </w:r>
      <w:r w:rsidRPr="090963AF" w:rsidR="23CB67EE">
        <w:rPr>
          <w:rFonts w:ascii="Arial" w:hAnsi="Arial" w:eastAsia="Arial" w:cs="Arial"/>
          <w:b w:val="0"/>
          <w:bCs w:val="0"/>
          <w:sz w:val="24"/>
          <w:szCs w:val="24"/>
        </w:rPr>
        <w:t xml:space="preserve">review literature </w:t>
      </w:r>
      <w:r w:rsidRPr="090963AF" w:rsidR="34DDB534">
        <w:rPr>
          <w:rFonts w:ascii="Arial" w:hAnsi="Arial" w:eastAsia="Arial" w:cs="Arial"/>
          <w:b w:val="0"/>
          <w:bCs w:val="0"/>
          <w:sz w:val="24"/>
          <w:szCs w:val="24"/>
        </w:rPr>
        <w:t>suggests that effective engagement strategies need to be tailored to the unique needs of families</w:t>
      </w:r>
      <w:r w:rsidRPr="090963AF" w:rsidR="62C75C3D">
        <w:rPr>
          <w:rFonts w:ascii="Arial" w:hAnsi="Arial" w:eastAsia="Arial" w:cs="Arial"/>
          <w:b w:val="0"/>
          <w:bCs w:val="0"/>
          <w:sz w:val="24"/>
          <w:szCs w:val="24"/>
        </w:rPr>
        <w:t xml:space="preserve"> (</w:t>
      </w:r>
      <w:r w:rsidRPr="090963AF" w:rsidR="34DDB534">
        <w:rPr>
          <w:rFonts w:ascii="Arial" w:hAnsi="Arial" w:eastAsia="Arial" w:cs="Arial"/>
          <w:b w:val="0"/>
          <w:bCs w:val="0"/>
          <w:sz w:val="24"/>
          <w:szCs w:val="24"/>
        </w:rPr>
        <w:t>Hornby and Blackwell</w:t>
      </w:r>
      <w:r w:rsidRPr="090963AF" w:rsidR="41216CD7">
        <w:rPr>
          <w:rFonts w:ascii="Arial" w:hAnsi="Arial" w:eastAsia="Arial" w:cs="Arial"/>
          <w:b w:val="0"/>
          <w:bCs w:val="0"/>
          <w:sz w:val="24"/>
          <w:szCs w:val="24"/>
        </w:rPr>
        <w:t xml:space="preserve">, </w:t>
      </w:r>
      <w:r w:rsidRPr="090963AF" w:rsidR="34DDB534">
        <w:rPr>
          <w:rFonts w:ascii="Arial" w:hAnsi="Arial" w:eastAsia="Arial" w:cs="Arial"/>
          <w:b w:val="0"/>
          <w:bCs w:val="0"/>
          <w:sz w:val="24"/>
          <w:szCs w:val="24"/>
        </w:rPr>
        <w:t>2018</w:t>
      </w:r>
      <w:r w:rsidRPr="090963AF" w:rsidR="106167FB">
        <w:rPr>
          <w:rFonts w:ascii="Arial" w:hAnsi="Arial" w:eastAsia="Arial" w:cs="Arial"/>
          <w:b w:val="0"/>
          <w:bCs w:val="0"/>
          <w:sz w:val="24"/>
          <w:szCs w:val="24"/>
        </w:rPr>
        <w:t xml:space="preserve"> and Posey-Maddox and Haley Lock, 2020</w:t>
      </w:r>
      <w:r w:rsidRPr="090963AF" w:rsidR="34DDB534">
        <w:rPr>
          <w:rFonts w:ascii="Arial" w:hAnsi="Arial" w:eastAsia="Arial" w:cs="Arial"/>
          <w:b w:val="0"/>
          <w:bCs w:val="0"/>
          <w:sz w:val="24"/>
          <w:szCs w:val="24"/>
        </w:rPr>
        <w:t>). Integrating practical tools, like those from Goodall (2018), with theoretical frameworks, such as</w:t>
      </w:r>
      <w:r w:rsidRPr="090963AF" w:rsidR="34DDB534">
        <w:rPr>
          <w:rFonts w:ascii="Arial" w:hAnsi="Arial" w:eastAsia="Arial" w:cs="Arial"/>
          <w:b w:val="0"/>
          <w:bCs w:val="0"/>
          <w:sz w:val="24"/>
          <w:szCs w:val="24"/>
        </w:rPr>
        <w:t xml:space="preserve"> </w:t>
      </w:r>
      <w:r w:rsidRPr="090963AF" w:rsidR="34DDB534">
        <w:rPr>
          <w:rFonts w:ascii="Arial" w:hAnsi="Arial" w:eastAsia="Arial" w:cs="Arial"/>
          <w:b w:val="0"/>
          <w:bCs w:val="0"/>
          <w:sz w:val="24"/>
          <w:szCs w:val="24"/>
        </w:rPr>
        <w:t>Jeynes</w:t>
      </w:r>
      <w:r w:rsidRPr="090963AF" w:rsidR="34DDB534">
        <w:rPr>
          <w:rFonts w:ascii="Arial" w:hAnsi="Arial" w:eastAsia="Arial" w:cs="Arial"/>
          <w:b w:val="0"/>
          <w:bCs w:val="0"/>
          <w:sz w:val="24"/>
          <w:szCs w:val="24"/>
        </w:rPr>
        <w:t>' (2018) Dual Navigation Approach, shows promise for enhancing parental involvement.</w:t>
      </w:r>
    </w:p>
    <w:p w:rsidRPr="00D21C31" w:rsidR="00E926E7" w:rsidP="090963AF" w:rsidRDefault="00E926E7" w14:paraId="6A48D3F3" w14:textId="51FF5C8A">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1957092F" w:rsidR="2BF537C0">
        <w:rPr>
          <w:rFonts w:ascii="Arial" w:hAnsi="Arial" w:eastAsia="Arial" w:cs="Arial"/>
          <w:b w:val="0"/>
          <w:bCs w:val="0"/>
          <w:sz w:val="24"/>
          <w:szCs w:val="24"/>
        </w:rPr>
        <w:t xml:space="preserve">The next steps involve testing these strategies in various </w:t>
      </w:r>
      <w:r w:rsidRPr="1957092F" w:rsidR="3B16A016">
        <w:rPr>
          <w:rFonts w:ascii="Arial" w:hAnsi="Arial" w:eastAsia="Arial" w:cs="Arial"/>
          <w:b w:val="0"/>
          <w:bCs w:val="0"/>
          <w:sz w:val="24"/>
          <w:szCs w:val="24"/>
        </w:rPr>
        <w:t xml:space="preserve">early years </w:t>
      </w:r>
      <w:r w:rsidRPr="1957092F" w:rsidR="2BF537C0">
        <w:rPr>
          <w:rFonts w:ascii="Arial" w:hAnsi="Arial" w:eastAsia="Arial" w:cs="Arial"/>
          <w:b w:val="0"/>
          <w:bCs w:val="0"/>
          <w:sz w:val="24"/>
          <w:szCs w:val="24"/>
        </w:rPr>
        <w:t xml:space="preserve">settings to refine and </w:t>
      </w:r>
      <w:r w:rsidRPr="1957092F" w:rsidR="17D47DD4">
        <w:rPr>
          <w:rFonts w:ascii="Arial" w:hAnsi="Arial" w:eastAsia="Arial" w:cs="Arial"/>
          <w:b w:val="0"/>
          <w:bCs w:val="0"/>
          <w:sz w:val="24"/>
          <w:szCs w:val="24"/>
        </w:rPr>
        <w:t xml:space="preserve">test </w:t>
      </w:r>
      <w:r w:rsidRPr="1957092F" w:rsidR="2BF537C0">
        <w:rPr>
          <w:rFonts w:ascii="Arial" w:hAnsi="Arial" w:eastAsia="Arial" w:cs="Arial"/>
          <w:b w:val="0"/>
          <w:bCs w:val="0"/>
          <w:sz w:val="24"/>
          <w:szCs w:val="24"/>
        </w:rPr>
        <w:t xml:space="preserve">their effectiveness, directly aligning with </w:t>
      </w:r>
      <w:r w:rsidRPr="1957092F" w:rsidR="328289F8">
        <w:rPr>
          <w:rFonts w:ascii="Arial" w:hAnsi="Arial" w:eastAsia="Arial" w:cs="Arial"/>
          <w:b w:val="0"/>
          <w:bCs w:val="0"/>
          <w:sz w:val="24"/>
          <w:szCs w:val="24"/>
        </w:rPr>
        <w:t>the reviews</w:t>
      </w:r>
      <w:r w:rsidRPr="1957092F" w:rsidR="2BF537C0">
        <w:rPr>
          <w:rFonts w:ascii="Arial" w:hAnsi="Arial" w:eastAsia="Arial" w:cs="Arial"/>
          <w:b w:val="0"/>
          <w:bCs w:val="0"/>
          <w:sz w:val="24"/>
          <w:szCs w:val="24"/>
        </w:rPr>
        <w:t xml:space="preserve"> research focus on improving teacher-parent engagement. This aims to </w:t>
      </w:r>
      <w:r w:rsidRPr="1957092F" w:rsidR="404D7355">
        <w:rPr>
          <w:rFonts w:ascii="Arial" w:hAnsi="Arial" w:eastAsia="Arial" w:cs="Arial"/>
          <w:b w:val="0"/>
          <w:bCs w:val="0"/>
          <w:sz w:val="24"/>
          <w:szCs w:val="24"/>
        </w:rPr>
        <w:t xml:space="preserve">enhance </w:t>
      </w:r>
      <w:r w:rsidRPr="1957092F" w:rsidR="2BF537C0">
        <w:rPr>
          <w:rFonts w:ascii="Arial" w:hAnsi="Arial" w:eastAsia="Arial" w:cs="Arial"/>
          <w:b w:val="0"/>
          <w:bCs w:val="0"/>
          <w:sz w:val="24"/>
          <w:szCs w:val="24"/>
        </w:rPr>
        <w:t>educational outcomes and ensure that parental involvement is proactive and inclusive.</w:t>
      </w:r>
    </w:p>
    <w:p w:rsidR="1957092F" w:rsidRDefault="1957092F" w14:paraId="2D749178" w14:textId="006180C6">
      <w:r>
        <w:br w:type="page"/>
      </w:r>
    </w:p>
    <w:p w:rsidR="74F3D7CD" w:rsidP="1957092F" w:rsidRDefault="74F3D7CD" w14:paraId="2B295E21" w14:textId="7C54999B">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Research Methods</w:t>
      </w:r>
      <w:r w:rsidRPr="1957092F" w:rsidR="20684101">
        <w:rPr>
          <w:rFonts w:ascii="Arial" w:hAnsi="Arial" w:eastAsia="Arial" w:cs="Arial"/>
          <w:b w:val="1"/>
          <w:bCs w:val="1"/>
          <w:sz w:val="24"/>
          <w:szCs w:val="24"/>
        </w:rPr>
        <w:t>:</w:t>
      </w:r>
    </w:p>
    <w:p w:rsidR="74F3D7CD" w:rsidP="1957092F" w:rsidRDefault="74F3D7CD" w14:paraId="502490D2" w14:textId="1AD93542">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 xml:space="preserve">Methodological </w:t>
      </w:r>
      <w:r w:rsidRPr="1957092F" w:rsidR="459440CE">
        <w:rPr>
          <w:rFonts w:ascii="Arial" w:hAnsi="Arial" w:eastAsia="Arial" w:cs="Arial"/>
          <w:b w:val="1"/>
          <w:bCs w:val="1"/>
          <w:sz w:val="24"/>
          <w:szCs w:val="24"/>
        </w:rPr>
        <w:t>C</w:t>
      </w:r>
      <w:r w:rsidRPr="1957092F" w:rsidR="74F3D7CD">
        <w:rPr>
          <w:rFonts w:ascii="Arial" w:hAnsi="Arial" w:eastAsia="Arial" w:cs="Arial"/>
          <w:b w:val="1"/>
          <w:bCs w:val="1"/>
          <w:sz w:val="24"/>
          <w:szCs w:val="24"/>
        </w:rPr>
        <w:t>onsiderations</w:t>
      </w:r>
    </w:p>
    <w:p w:rsidR="74F3D7CD" w:rsidP="1957092F" w:rsidRDefault="74F3D7CD" w14:paraId="4DA21379" w14:textId="56B3DFC9">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This section of the research portfolio will outline and evaluate the chosen research methods and ethical considerations for the proposed research topic. “How to engage parents as a teacher within Early Years Education.”</w:t>
      </w:r>
    </w:p>
    <w:p w:rsidR="74F3D7CD" w:rsidP="1957092F" w:rsidRDefault="74F3D7CD" w14:paraId="24D8AF89" w14:textId="27660549">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Chosen Sample</w:t>
      </w:r>
    </w:p>
    <w:p w:rsidR="74F3D7CD" w:rsidP="1957092F" w:rsidRDefault="74F3D7CD" w14:paraId="09AF2A32" w14:textId="4DF2CDF8">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The research sample will consist of teachers and parents from multiple early years settings in South Wales. Teachers and parents are directly involved in the educational and social development of young children, making them key informants for understanding what effective engagement strategies could look like (Durand and </w:t>
      </w:r>
      <w:r w:rsidRPr="1957092F" w:rsidR="74F3D7CD">
        <w:rPr>
          <w:rFonts w:ascii="Arial" w:hAnsi="Arial" w:eastAsia="Arial" w:cs="Arial"/>
          <w:b w:val="0"/>
          <w:bCs w:val="0"/>
          <w:sz w:val="24"/>
          <w:szCs w:val="24"/>
        </w:rPr>
        <w:t>Secaksuma</w:t>
      </w:r>
      <w:r w:rsidRPr="1957092F" w:rsidR="74F3D7CD">
        <w:rPr>
          <w:rFonts w:ascii="Arial" w:hAnsi="Arial" w:eastAsia="Arial" w:cs="Arial"/>
          <w:b w:val="0"/>
          <w:bCs w:val="0"/>
          <w:sz w:val="24"/>
          <w:szCs w:val="24"/>
        </w:rPr>
        <w:t xml:space="preserve">, 2019; Harpaz and </w:t>
      </w:r>
      <w:r w:rsidRPr="1957092F" w:rsidR="74F3D7CD">
        <w:rPr>
          <w:rFonts w:ascii="Arial" w:hAnsi="Arial" w:eastAsia="Arial" w:cs="Arial"/>
          <w:b w:val="0"/>
          <w:bCs w:val="0"/>
          <w:sz w:val="24"/>
          <w:szCs w:val="24"/>
        </w:rPr>
        <w:t>Grishtain</w:t>
      </w:r>
      <w:r w:rsidRPr="1957092F" w:rsidR="74F3D7CD">
        <w:rPr>
          <w:rFonts w:ascii="Arial" w:hAnsi="Arial" w:eastAsia="Arial" w:cs="Arial"/>
          <w:b w:val="0"/>
          <w:bCs w:val="0"/>
          <w:sz w:val="24"/>
          <w:szCs w:val="24"/>
        </w:rPr>
        <w:t>, 2020) Additionally, South Wales provides a diverse socio-economic landscape, which is a key factor for understanding the various barriers and facilitators to parental engagement (Wilson and McGuire, 2021).</w:t>
      </w:r>
    </w:p>
    <w:p w:rsidR="74F3D7CD" w:rsidP="1957092F" w:rsidRDefault="74F3D7CD" w14:paraId="3C80DB71" w14:textId="6F4B55CE">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Children will not be engaged during the </w:t>
      </w:r>
      <w:r w:rsidRPr="1957092F" w:rsidR="74F3D7CD">
        <w:rPr>
          <w:rFonts w:ascii="Arial" w:hAnsi="Arial" w:eastAsia="Arial" w:cs="Arial"/>
          <w:b w:val="0"/>
          <w:bCs w:val="0"/>
          <w:sz w:val="24"/>
          <w:szCs w:val="24"/>
        </w:rPr>
        <w:t>initial</w:t>
      </w:r>
      <w:r w:rsidRPr="1957092F" w:rsidR="74F3D7CD">
        <w:rPr>
          <w:rFonts w:ascii="Arial" w:hAnsi="Arial" w:eastAsia="Arial" w:cs="Arial"/>
          <w:b w:val="0"/>
          <w:bCs w:val="0"/>
          <w:sz w:val="24"/>
          <w:szCs w:val="24"/>
        </w:rPr>
        <w:t xml:space="preserve"> research process as the topic is linked directly to parents and teachers and their relationship in supporting children.</w:t>
      </w:r>
    </w:p>
    <w:p w:rsidR="74F3D7CD" w:rsidP="1957092F" w:rsidRDefault="74F3D7CD" w14:paraId="23E056B1" w14:textId="736D15BF">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The proposed research will aim to utilise a non-probability purposive sample size of 20-30 teachers and 30 – 50 parents across three different early years settings in South Wales. These ranges would ensure a depth and breadth of perspectives and </w:t>
      </w:r>
      <w:r w:rsidRPr="1957092F" w:rsidR="0C3EA297">
        <w:rPr>
          <w:rFonts w:ascii="Arial" w:hAnsi="Arial" w:eastAsia="Arial" w:cs="Arial"/>
          <w:b w:val="0"/>
          <w:bCs w:val="0"/>
          <w:sz w:val="24"/>
          <w:szCs w:val="24"/>
        </w:rPr>
        <w:t>data and</w:t>
      </w:r>
      <w:r w:rsidRPr="1957092F" w:rsidR="74F3D7CD">
        <w:rPr>
          <w:rFonts w:ascii="Arial" w:hAnsi="Arial" w:eastAsia="Arial" w:cs="Arial"/>
          <w:b w:val="0"/>
          <w:bCs w:val="0"/>
          <w:sz w:val="24"/>
          <w:szCs w:val="24"/>
        </w:rPr>
        <w:t xml:space="preserve"> </w:t>
      </w:r>
      <w:r w:rsidRPr="1957092F" w:rsidR="74F3D7CD">
        <w:rPr>
          <w:rFonts w:ascii="Arial" w:hAnsi="Arial" w:eastAsia="Arial" w:cs="Arial"/>
          <w:b w:val="0"/>
          <w:bCs w:val="0"/>
          <w:sz w:val="24"/>
          <w:szCs w:val="24"/>
        </w:rPr>
        <w:t>remains</w:t>
      </w:r>
      <w:r w:rsidRPr="1957092F" w:rsidR="74F3D7CD">
        <w:rPr>
          <w:rFonts w:ascii="Arial" w:hAnsi="Arial" w:eastAsia="Arial" w:cs="Arial"/>
          <w:b w:val="0"/>
          <w:bCs w:val="0"/>
          <w:sz w:val="24"/>
          <w:szCs w:val="24"/>
        </w:rPr>
        <w:t xml:space="preserve"> manageable for conducting detailed semi-structured interviews without the logistical and financial burdens of a larger sample. (</w:t>
      </w:r>
      <w:r w:rsidRPr="1957092F" w:rsidR="74F3D7CD">
        <w:rPr>
          <w:rFonts w:ascii="Arial" w:hAnsi="Arial" w:eastAsia="Arial" w:cs="Arial"/>
          <w:b w:val="0"/>
          <w:bCs w:val="0"/>
          <w:sz w:val="24"/>
          <w:szCs w:val="24"/>
        </w:rPr>
        <w:t>Cohen and Manion</w:t>
      </w:r>
      <w:r w:rsidRPr="1957092F" w:rsidR="74F3D7CD">
        <w:rPr>
          <w:rFonts w:ascii="Arial" w:hAnsi="Arial" w:eastAsia="Arial" w:cs="Arial"/>
          <w:b w:val="0"/>
          <w:bCs w:val="0"/>
          <w:sz w:val="24"/>
          <w:szCs w:val="24"/>
        </w:rPr>
        <w:t>, 2018). Furthermore, a non-probability sample would allow for the selection of participants who are both knowledgeable and relevant to the research question.</w:t>
      </w:r>
    </w:p>
    <w:p w:rsidR="74F3D7CD" w:rsidP="1957092F" w:rsidRDefault="74F3D7CD" w14:paraId="5F854E0A" w14:textId="48EA0562">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Chosen Methods for Data Collection</w:t>
      </w:r>
    </w:p>
    <w:p w:rsidR="74F3D7CD" w:rsidP="1957092F" w:rsidRDefault="74F3D7CD" w14:paraId="46F5FF9E" w14:textId="78CAFC2D">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 xml:space="preserve">Qualitative, Quantitative vs Mixed Methods </w:t>
      </w:r>
    </w:p>
    <w:p w:rsidR="74F3D7CD" w:rsidP="1957092F" w:rsidRDefault="74F3D7CD" w14:paraId="40D6F9DB" w14:textId="0F6F4DB2">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The research project will primarily employ qualitative methods within an action research framework (Cohen and Manion, 2018), as this method would be most effective for exploring participants’ experiences, </w:t>
      </w:r>
      <w:r w:rsidRPr="1957092F" w:rsidR="74F3D7CD">
        <w:rPr>
          <w:rFonts w:ascii="Arial" w:hAnsi="Arial" w:eastAsia="Arial" w:cs="Arial"/>
          <w:b w:val="0"/>
          <w:bCs w:val="0"/>
          <w:sz w:val="24"/>
          <w:szCs w:val="24"/>
        </w:rPr>
        <w:t>perceptions</w:t>
      </w:r>
      <w:r w:rsidRPr="1957092F" w:rsidR="74F3D7CD">
        <w:rPr>
          <w:rFonts w:ascii="Arial" w:hAnsi="Arial" w:eastAsia="Arial" w:cs="Arial"/>
          <w:b w:val="0"/>
          <w:bCs w:val="0"/>
          <w:sz w:val="24"/>
          <w:szCs w:val="24"/>
        </w:rPr>
        <w:t xml:space="preserve"> and attitudes in depths (Creswell, 2014). This method aligns with the need to the capture detailed data about the dynamics of teacher parent interactions and the barriers to engagement (Posey-Maddox &amp; Haley-Lock, 2020). As well as exploring feelings, and interactions that occur in early years setting, which are crucial for understanding the nuances of parental engagement (Cohen and Manion, 2018).</w:t>
      </w:r>
    </w:p>
    <w:p w:rsidR="74F3D7CD" w:rsidP="1957092F" w:rsidRDefault="74F3D7CD" w14:paraId="1D0AAF48" w14:textId="261B0585">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Quantitative methods were considered but </w:t>
      </w:r>
      <w:r w:rsidRPr="1957092F" w:rsidR="619057F2">
        <w:rPr>
          <w:rFonts w:ascii="Arial" w:hAnsi="Arial" w:eastAsia="Arial" w:cs="Arial"/>
          <w:b w:val="0"/>
          <w:bCs w:val="0"/>
          <w:sz w:val="24"/>
          <w:szCs w:val="24"/>
        </w:rPr>
        <w:t>not</w:t>
      </w:r>
      <w:r w:rsidRPr="1957092F" w:rsidR="74F3D7CD">
        <w:rPr>
          <w:rFonts w:ascii="Arial" w:hAnsi="Arial" w:eastAsia="Arial" w:cs="Arial"/>
          <w:b w:val="0"/>
          <w:bCs w:val="0"/>
          <w:sz w:val="24"/>
          <w:szCs w:val="24"/>
        </w:rPr>
        <w:t xml:space="preserve"> chosen. While these methods could provide numerical data on engagement levels, they lack the depth </w:t>
      </w:r>
      <w:r w:rsidRPr="1957092F" w:rsidR="74F3D7CD">
        <w:rPr>
          <w:rFonts w:ascii="Arial" w:hAnsi="Arial" w:eastAsia="Arial" w:cs="Arial"/>
          <w:b w:val="0"/>
          <w:bCs w:val="0"/>
          <w:sz w:val="24"/>
          <w:szCs w:val="24"/>
        </w:rPr>
        <w:t>required</w:t>
      </w:r>
      <w:r w:rsidRPr="1957092F" w:rsidR="74F3D7CD">
        <w:rPr>
          <w:rFonts w:ascii="Arial" w:hAnsi="Arial" w:eastAsia="Arial" w:cs="Arial"/>
          <w:b w:val="0"/>
          <w:bCs w:val="0"/>
          <w:sz w:val="24"/>
          <w:szCs w:val="24"/>
        </w:rPr>
        <w:t xml:space="preserve"> to understand the underlying reasons, thoughts, and contextual factors influencing engagement. The exploratory nature of the research question emphasises understanding the "how" and "why" behind the impact of parental engagement with early years education</w:t>
      </w:r>
      <w:r w:rsidRPr="1957092F" w:rsidR="20225D4B">
        <w:rPr>
          <w:rFonts w:ascii="Arial" w:hAnsi="Arial" w:eastAsia="Arial" w:cs="Arial"/>
          <w:b w:val="0"/>
          <w:bCs w:val="0"/>
          <w:sz w:val="24"/>
          <w:szCs w:val="24"/>
        </w:rPr>
        <w:t>.</w:t>
      </w:r>
    </w:p>
    <w:p w:rsidR="74F3D7CD" w:rsidP="1957092F" w:rsidRDefault="74F3D7CD" w14:paraId="3988A9E3" w14:textId="782B521C">
      <w:pPr>
        <w:pStyle w:val="Normal"/>
        <w:bidi w:val="0"/>
        <w:spacing w:before="0" w:beforeAutospacing="off" w:after="160" w:afterAutospacing="off" w:line="360" w:lineRule="auto"/>
        <w:ind w:left="0" w:right="0"/>
        <w:jc w:val="both"/>
      </w:pPr>
      <w:r w:rsidRPr="1957092F" w:rsidR="74F3D7CD">
        <w:rPr>
          <w:rFonts w:ascii="Arial" w:hAnsi="Arial" w:eastAsia="Arial" w:cs="Arial"/>
          <w:b w:val="1"/>
          <w:bCs w:val="1"/>
          <w:sz w:val="24"/>
          <w:szCs w:val="24"/>
        </w:rPr>
        <w:t>Data Collection Techniques</w:t>
      </w:r>
      <w:r w:rsidRPr="1957092F" w:rsidR="74F3D7CD">
        <w:rPr>
          <w:rFonts w:ascii="Arial" w:hAnsi="Arial" w:eastAsia="Arial" w:cs="Arial"/>
          <w:b w:val="0"/>
          <w:bCs w:val="0"/>
          <w:sz w:val="24"/>
          <w:szCs w:val="24"/>
        </w:rPr>
        <w:t xml:space="preserve"> </w:t>
      </w:r>
    </w:p>
    <w:p w:rsidR="74F3D7CD" w:rsidP="1957092F" w:rsidRDefault="74F3D7CD" w14:paraId="711A4CD9" w14:textId="4FC7FA0E">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research will adopt Semi-structured interviews and close-ended questionnaires with potential of expanding into case studies should resources and time allow it.</w:t>
      </w:r>
    </w:p>
    <w:p w:rsidR="74F3D7CD" w:rsidP="1957092F" w:rsidRDefault="74F3D7CD" w14:paraId="65B7FA10" w14:textId="30DEECE4">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Interviews</w:t>
      </w:r>
      <w:r w:rsidRPr="1957092F" w:rsidR="2D1890D2">
        <w:rPr>
          <w:rFonts w:ascii="Arial" w:hAnsi="Arial" w:eastAsia="Arial" w:cs="Arial"/>
          <w:b w:val="1"/>
          <w:bCs w:val="1"/>
          <w:sz w:val="24"/>
          <w:szCs w:val="24"/>
        </w:rPr>
        <w:t>:</w:t>
      </w:r>
      <w:r w:rsidRPr="1957092F" w:rsidR="74F3D7CD">
        <w:rPr>
          <w:rFonts w:ascii="Arial" w:hAnsi="Arial" w:eastAsia="Arial" w:cs="Arial"/>
          <w:b w:val="1"/>
          <w:bCs w:val="1"/>
          <w:sz w:val="24"/>
          <w:szCs w:val="24"/>
        </w:rPr>
        <w:t xml:space="preserve"> </w:t>
      </w:r>
      <w:r w:rsidRPr="1957092F" w:rsidR="68731012">
        <w:rPr>
          <w:rFonts w:ascii="Arial" w:hAnsi="Arial" w:eastAsia="Arial" w:cs="Arial"/>
          <w:b w:val="1"/>
          <w:bCs w:val="1"/>
          <w:sz w:val="24"/>
          <w:szCs w:val="24"/>
        </w:rPr>
        <w:t>S</w:t>
      </w:r>
      <w:r w:rsidRPr="1957092F" w:rsidR="74F3D7CD">
        <w:rPr>
          <w:rFonts w:ascii="Arial" w:hAnsi="Arial" w:eastAsia="Arial" w:cs="Arial"/>
          <w:b w:val="1"/>
          <w:bCs w:val="1"/>
          <w:sz w:val="24"/>
          <w:szCs w:val="24"/>
        </w:rPr>
        <w:t xml:space="preserve">uitability for </w:t>
      </w:r>
      <w:r w:rsidRPr="1957092F" w:rsidR="273329E2">
        <w:rPr>
          <w:rFonts w:ascii="Arial" w:hAnsi="Arial" w:eastAsia="Arial" w:cs="Arial"/>
          <w:b w:val="1"/>
          <w:bCs w:val="1"/>
          <w:sz w:val="24"/>
          <w:szCs w:val="24"/>
        </w:rPr>
        <w:t>Q</w:t>
      </w:r>
      <w:r w:rsidRPr="1957092F" w:rsidR="74F3D7CD">
        <w:rPr>
          <w:rFonts w:ascii="Arial" w:hAnsi="Arial" w:eastAsia="Arial" w:cs="Arial"/>
          <w:b w:val="1"/>
          <w:bCs w:val="1"/>
          <w:sz w:val="24"/>
          <w:szCs w:val="24"/>
        </w:rPr>
        <w:t xml:space="preserve">ualitative </w:t>
      </w:r>
      <w:r w:rsidRPr="1957092F" w:rsidR="621148B0">
        <w:rPr>
          <w:rFonts w:ascii="Arial" w:hAnsi="Arial" w:eastAsia="Arial" w:cs="Arial"/>
          <w:b w:val="1"/>
          <w:bCs w:val="1"/>
          <w:sz w:val="24"/>
          <w:szCs w:val="24"/>
        </w:rPr>
        <w:t>D</w:t>
      </w:r>
      <w:r w:rsidRPr="1957092F" w:rsidR="74F3D7CD">
        <w:rPr>
          <w:rFonts w:ascii="Arial" w:hAnsi="Arial" w:eastAsia="Arial" w:cs="Arial"/>
          <w:b w:val="1"/>
          <w:bCs w:val="1"/>
          <w:sz w:val="24"/>
          <w:szCs w:val="24"/>
        </w:rPr>
        <w:t>epth</w:t>
      </w:r>
    </w:p>
    <w:p w:rsidR="74F3D7CD" w:rsidP="1957092F" w:rsidRDefault="74F3D7CD" w14:paraId="12E5E2E2" w14:textId="75D8B3F3">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1957092F" w:rsidR="74F3D7CD">
        <w:rPr>
          <w:rFonts w:ascii="Arial" w:hAnsi="Arial" w:eastAsia="Arial" w:cs="Arial"/>
          <w:b w:val="0"/>
          <w:bCs w:val="0"/>
          <w:sz w:val="24"/>
          <w:szCs w:val="24"/>
        </w:rPr>
        <w:t xml:space="preserve">As the literature review highlighted, the importance </w:t>
      </w:r>
      <w:r w:rsidRPr="1957092F" w:rsidR="10B0AECE">
        <w:rPr>
          <w:rFonts w:ascii="Arial" w:hAnsi="Arial" w:eastAsia="Arial" w:cs="Arial"/>
          <w:b w:val="0"/>
          <w:bCs w:val="0"/>
          <w:sz w:val="24"/>
          <w:szCs w:val="24"/>
        </w:rPr>
        <w:t>of</w:t>
      </w:r>
      <w:r w:rsidRPr="1957092F" w:rsidR="74F3D7CD">
        <w:rPr>
          <w:rFonts w:ascii="Arial" w:hAnsi="Arial" w:eastAsia="Arial" w:cs="Arial"/>
          <w:b w:val="0"/>
          <w:bCs w:val="0"/>
          <w:sz w:val="24"/>
          <w:szCs w:val="24"/>
        </w:rPr>
        <w:t xml:space="preserve"> understanding family dynamics through direct interaction and the value of parental engagement through relationships places the interview as a prime method for the research project (Durand &amp; </w:t>
      </w:r>
      <w:r w:rsidRPr="1957092F" w:rsidR="74F3D7CD">
        <w:rPr>
          <w:rFonts w:ascii="Arial" w:hAnsi="Arial" w:eastAsia="Arial" w:cs="Arial"/>
          <w:b w:val="0"/>
          <w:bCs w:val="0"/>
          <w:sz w:val="24"/>
          <w:szCs w:val="24"/>
        </w:rPr>
        <w:t>S</w:t>
      </w:r>
      <w:r w:rsidRPr="1957092F" w:rsidR="74F3D7CD">
        <w:rPr>
          <w:rFonts w:ascii="Arial" w:hAnsi="Arial" w:eastAsia="Arial" w:cs="Arial"/>
          <w:b w:val="0"/>
          <w:bCs w:val="0"/>
          <w:sz w:val="24"/>
          <w:szCs w:val="24"/>
        </w:rPr>
        <w:t>ecakusuma</w:t>
      </w:r>
      <w:r w:rsidRPr="1957092F" w:rsidR="74F3D7CD">
        <w:rPr>
          <w:rFonts w:ascii="Arial" w:hAnsi="Arial" w:eastAsia="Arial" w:cs="Arial"/>
          <w:b w:val="0"/>
          <w:bCs w:val="0"/>
          <w:sz w:val="24"/>
          <w:szCs w:val="24"/>
        </w:rPr>
        <w:t>,</w:t>
      </w:r>
      <w:r w:rsidRPr="1957092F" w:rsidR="74F3D7CD">
        <w:rPr>
          <w:rFonts w:ascii="Arial" w:hAnsi="Arial" w:eastAsia="Arial" w:cs="Arial"/>
          <w:b w:val="0"/>
          <w:bCs w:val="0"/>
          <w:sz w:val="24"/>
          <w:szCs w:val="24"/>
        </w:rPr>
        <w:t xml:space="preserve"> 2019; Harpaz &amp; </w:t>
      </w:r>
      <w:r w:rsidRPr="1957092F" w:rsidR="74F3D7CD">
        <w:rPr>
          <w:rFonts w:ascii="Arial" w:hAnsi="Arial" w:eastAsia="Arial" w:cs="Arial"/>
          <w:b w:val="0"/>
          <w:bCs w:val="0"/>
          <w:sz w:val="24"/>
          <w:szCs w:val="24"/>
        </w:rPr>
        <w:t>G</w:t>
      </w:r>
      <w:r w:rsidRPr="1957092F" w:rsidR="74F3D7CD">
        <w:rPr>
          <w:rFonts w:ascii="Arial" w:hAnsi="Arial" w:eastAsia="Arial" w:cs="Arial"/>
          <w:b w:val="0"/>
          <w:bCs w:val="0"/>
          <w:sz w:val="24"/>
          <w:szCs w:val="24"/>
        </w:rPr>
        <w:t>rinshtain</w:t>
      </w:r>
      <w:r w:rsidRPr="1957092F" w:rsidR="74F3D7CD">
        <w:rPr>
          <w:rFonts w:ascii="Arial" w:hAnsi="Arial" w:eastAsia="Arial" w:cs="Arial"/>
          <w:b w:val="0"/>
          <w:bCs w:val="0"/>
          <w:sz w:val="24"/>
          <w:szCs w:val="24"/>
        </w:rPr>
        <w:t>,</w:t>
      </w:r>
      <w:r w:rsidRPr="1957092F" w:rsidR="74F3D7CD">
        <w:rPr>
          <w:rFonts w:ascii="Arial" w:hAnsi="Arial" w:eastAsia="Arial" w:cs="Arial"/>
          <w:b w:val="0"/>
          <w:bCs w:val="0"/>
          <w:sz w:val="24"/>
          <w:szCs w:val="24"/>
        </w:rPr>
        <w:t xml:space="preserve"> 2020).</w:t>
      </w:r>
    </w:p>
    <w:p w:rsidR="32AE57B5" w:rsidP="1957092F" w:rsidRDefault="32AE57B5" w14:paraId="4437D565" w14:textId="53165A7F">
      <w:pPr>
        <w:pStyle w:val="Normal"/>
        <w:bidi w:val="0"/>
        <w:spacing w:before="0" w:beforeAutospacing="off" w:after="160" w:afterAutospacing="off" w:line="360" w:lineRule="auto"/>
        <w:ind w:left="0" w:right="0"/>
        <w:jc w:val="both"/>
      </w:pPr>
      <w:r w:rsidRPr="1957092F" w:rsidR="32AE57B5">
        <w:rPr>
          <w:rFonts w:ascii="Arial" w:hAnsi="Arial" w:eastAsia="Arial" w:cs="Arial"/>
          <w:b w:val="0"/>
          <w:bCs w:val="0"/>
          <w:sz w:val="24"/>
          <w:szCs w:val="24"/>
        </w:rPr>
        <w:t>S</w:t>
      </w:r>
      <w:r w:rsidRPr="1957092F" w:rsidR="74F3D7CD">
        <w:rPr>
          <w:rFonts w:ascii="Arial" w:hAnsi="Arial" w:eastAsia="Arial" w:cs="Arial"/>
          <w:b w:val="0"/>
          <w:bCs w:val="0"/>
          <w:sz w:val="24"/>
          <w:szCs w:val="24"/>
        </w:rPr>
        <w:t>emi-structured interviews will allow a flexible format, which would give the interviewer prepared questions as well as affording the interviewer to probe deeper based on the responses received. This type of interview allows for more depth and detail in the data collected for the research project. Making it ideal for exploratory research where understanding the depth of parents’ and teachers’ feelings and thoughts is crucial.</w:t>
      </w:r>
    </w:p>
    <w:p w:rsidR="74F3D7CD" w:rsidP="1957092F" w:rsidRDefault="74F3D7CD" w14:paraId="778FB91B" w14:textId="597C9FBD">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According to Cresswell (2014), They allow for exploring complex dynamics and detailed narratives that can reveal underlying motivations and feelings.</w:t>
      </w:r>
    </w:p>
    <w:p w:rsidR="74F3D7CD" w:rsidP="1957092F" w:rsidRDefault="74F3D7CD" w14:paraId="5FFA2F90" w14:textId="2C077764">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1957092F" w:rsidR="74F3D7CD">
        <w:rPr>
          <w:rFonts w:ascii="Arial" w:hAnsi="Arial" w:eastAsia="Arial" w:cs="Arial"/>
          <w:b w:val="0"/>
          <w:bCs w:val="0"/>
          <w:sz w:val="24"/>
          <w:szCs w:val="24"/>
        </w:rPr>
        <w:t xml:space="preserve">Interviews provide valuable qualitative data but have several limitations. They </w:t>
      </w:r>
      <w:r w:rsidRPr="1957092F" w:rsidR="74F3D7CD">
        <w:rPr>
          <w:rFonts w:ascii="Arial" w:hAnsi="Arial" w:eastAsia="Arial" w:cs="Arial"/>
          <w:b w:val="0"/>
          <w:bCs w:val="0"/>
          <w:sz w:val="24"/>
          <w:szCs w:val="24"/>
        </w:rPr>
        <w:t>require</w:t>
      </w:r>
      <w:r w:rsidRPr="1957092F" w:rsidR="74F3D7CD">
        <w:rPr>
          <w:rFonts w:ascii="Arial" w:hAnsi="Arial" w:eastAsia="Arial" w:cs="Arial"/>
          <w:b w:val="0"/>
          <w:bCs w:val="0"/>
          <w:sz w:val="24"/>
          <w:szCs w:val="24"/>
        </w:rPr>
        <w:t xml:space="preserve"> a lot of time and resources for conducting, recording, and analysing, making them costly in terms of both time and effort (</w:t>
      </w:r>
      <w:r w:rsidRPr="1957092F" w:rsidR="74F3D7CD">
        <w:rPr>
          <w:rFonts w:ascii="Arial" w:hAnsi="Arial" w:eastAsia="Arial" w:cs="Arial"/>
          <w:b w:val="0"/>
          <w:bCs w:val="0"/>
          <w:sz w:val="24"/>
          <w:szCs w:val="24"/>
        </w:rPr>
        <w:t>Cohen and Manion</w:t>
      </w:r>
      <w:r w:rsidRPr="1957092F" w:rsidR="74F3D7CD">
        <w:rPr>
          <w:rFonts w:ascii="Arial" w:hAnsi="Arial" w:eastAsia="Arial" w:cs="Arial"/>
          <w:b w:val="0"/>
          <w:bCs w:val="0"/>
          <w:sz w:val="24"/>
          <w:szCs w:val="24"/>
        </w:rPr>
        <w:t>, 2018</w:t>
      </w:r>
      <w:r w:rsidRPr="1957092F" w:rsidR="26CD7BF4">
        <w:rPr>
          <w:rFonts w:ascii="Arial" w:hAnsi="Arial" w:eastAsia="Arial" w:cs="Arial"/>
          <w:b w:val="0"/>
          <w:bCs w:val="0"/>
          <w:sz w:val="24"/>
          <w:szCs w:val="24"/>
        </w:rPr>
        <w:t xml:space="preserve">; </w:t>
      </w:r>
      <w:r w:rsidRPr="1957092F" w:rsidR="26CD7BF4">
        <w:rPr>
          <w:rFonts w:ascii="Arial" w:hAnsi="Arial" w:eastAsia="Arial" w:cs="Arial"/>
          <w:b w:val="0"/>
          <w:bCs w:val="0"/>
          <w:sz w:val="24"/>
          <w:szCs w:val="24"/>
        </w:rPr>
        <w:t>Bail</w:t>
      </w:r>
      <w:r w:rsidRPr="1957092F" w:rsidR="5E57C771">
        <w:rPr>
          <w:rFonts w:ascii="Arial" w:hAnsi="Arial" w:eastAsia="Arial" w:cs="Arial"/>
          <w:b w:val="0"/>
          <w:bCs w:val="0"/>
          <w:sz w:val="24"/>
          <w:szCs w:val="24"/>
        </w:rPr>
        <w:t>e</w:t>
      </w:r>
      <w:r w:rsidRPr="1957092F" w:rsidR="26CD7BF4">
        <w:rPr>
          <w:rFonts w:ascii="Arial" w:hAnsi="Arial" w:eastAsia="Arial" w:cs="Arial"/>
          <w:b w:val="0"/>
          <w:bCs w:val="0"/>
          <w:sz w:val="24"/>
          <w:szCs w:val="24"/>
        </w:rPr>
        <w:t>y,1994</w:t>
      </w:r>
      <w:r w:rsidRPr="1957092F" w:rsidR="74F3D7CD">
        <w:rPr>
          <w:rFonts w:ascii="Arial" w:hAnsi="Arial" w:eastAsia="Arial" w:cs="Arial"/>
          <w:b w:val="0"/>
          <w:bCs w:val="0"/>
          <w:sz w:val="24"/>
          <w:szCs w:val="24"/>
        </w:rPr>
        <w:t>). Interviews can also introduce bias; the interviewer's presence might influence participants to answer in ways they think are expected. Moreover, the data from interviews can be overwhelming and complex, requiring significant effort to sort, analyse, and present effectively (Winwood, 2019).</w:t>
      </w:r>
    </w:p>
    <w:p w:rsidR="74F3D7CD" w:rsidP="1957092F" w:rsidRDefault="74F3D7CD" w14:paraId="2148C9F2" w14:textId="60D0AA53">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Questionnaire</w:t>
      </w:r>
      <w:r w:rsidRPr="1957092F" w:rsidR="64FD3639">
        <w:rPr>
          <w:rFonts w:ascii="Arial" w:hAnsi="Arial" w:eastAsia="Arial" w:cs="Arial"/>
          <w:b w:val="1"/>
          <w:bCs w:val="1"/>
          <w:sz w:val="24"/>
          <w:szCs w:val="24"/>
        </w:rPr>
        <w:t>:</w:t>
      </w:r>
      <w:r w:rsidRPr="1957092F" w:rsidR="74F3D7CD">
        <w:rPr>
          <w:rFonts w:ascii="Arial" w:hAnsi="Arial" w:eastAsia="Arial" w:cs="Arial"/>
          <w:b w:val="1"/>
          <w:bCs w:val="1"/>
          <w:sz w:val="24"/>
          <w:szCs w:val="24"/>
        </w:rPr>
        <w:t xml:space="preserve"> </w:t>
      </w:r>
      <w:r w:rsidRPr="1957092F" w:rsidR="73056D2B">
        <w:rPr>
          <w:rFonts w:ascii="Arial" w:hAnsi="Arial" w:eastAsia="Arial" w:cs="Arial"/>
          <w:b w:val="1"/>
          <w:bCs w:val="1"/>
          <w:sz w:val="24"/>
          <w:szCs w:val="24"/>
        </w:rPr>
        <w:t>S</w:t>
      </w:r>
      <w:r w:rsidRPr="1957092F" w:rsidR="74F3D7CD">
        <w:rPr>
          <w:rFonts w:ascii="Arial" w:hAnsi="Arial" w:eastAsia="Arial" w:cs="Arial"/>
          <w:b w:val="1"/>
          <w:bCs w:val="1"/>
          <w:sz w:val="24"/>
          <w:szCs w:val="24"/>
        </w:rPr>
        <w:t xml:space="preserve">uitability for </w:t>
      </w:r>
      <w:r w:rsidRPr="1957092F" w:rsidR="7726ECE4">
        <w:rPr>
          <w:rFonts w:ascii="Arial" w:hAnsi="Arial" w:eastAsia="Arial" w:cs="Arial"/>
          <w:b w:val="1"/>
          <w:bCs w:val="1"/>
          <w:sz w:val="24"/>
          <w:szCs w:val="24"/>
        </w:rPr>
        <w:t>E</w:t>
      </w:r>
      <w:r w:rsidRPr="1957092F" w:rsidR="74F3D7CD">
        <w:rPr>
          <w:rFonts w:ascii="Arial" w:hAnsi="Arial" w:eastAsia="Arial" w:cs="Arial"/>
          <w:b w:val="1"/>
          <w:bCs w:val="1"/>
          <w:sz w:val="24"/>
          <w:szCs w:val="24"/>
        </w:rPr>
        <w:t xml:space="preserve">fficiency and </w:t>
      </w:r>
      <w:r w:rsidRPr="1957092F" w:rsidR="7453439A">
        <w:rPr>
          <w:rFonts w:ascii="Arial" w:hAnsi="Arial" w:eastAsia="Arial" w:cs="Arial"/>
          <w:b w:val="1"/>
          <w:bCs w:val="1"/>
          <w:sz w:val="24"/>
          <w:szCs w:val="24"/>
        </w:rPr>
        <w:t>B</w:t>
      </w:r>
      <w:r w:rsidRPr="1957092F" w:rsidR="74F3D7CD">
        <w:rPr>
          <w:rFonts w:ascii="Arial" w:hAnsi="Arial" w:eastAsia="Arial" w:cs="Arial"/>
          <w:b w:val="1"/>
          <w:bCs w:val="1"/>
          <w:sz w:val="24"/>
          <w:szCs w:val="24"/>
        </w:rPr>
        <w:t>readth</w:t>
      </w:r>
    </w:p>
    <w:p w:rsidR="74F3D7CD" w:rsidP="1957092F" w:rsidRDefault="74F3D7CD" w14:paraId="52738C5B" w14:textId="42EAF410">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Questionnaires are useful for gathering initial data that can inform interview processes. They allow for effective data collection from larger samples promptly and economically, offering broad overviews of trends and or patterns across the sample groups (Bryman, 2016). They are a versatile method for collecting both quantitative and qualitative data.</w:t>
      </w:r>
    </w:p>
    <w:p w:rsidR="74F3D7CD" w:rsidP="1957092F" w:rsidRDefault="74F3D7CD" w14:paraId="14484E2D" w14:textId="5A639301">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Within the context of the research project, questionnaires will </w:t>
      </w:r>
      <w:r w:rsidRPr="1957092F" w:rsidR="74F3D7CD">
        <w:rPr>
          <w:rFonts w:ascii="Arial" w:hAnsi="Arial" w:eastAsia="Arial" w:cs="Arial"/>
          <w:b w:val="0"/>
          <w:bCs w:val="0"/>
          <w:sz w:val="24"/>
          <w:szCs w:val="24"/>
        </w:rPr>
        <w:t>provide</w:t>
      </w:r>
      <w:r w:rsidRPr="1957092F" w:rsidR="74F3D7CD">
        <w:rPr>
          <w:rFonts w:ascii="Arial" w:hAnsi="Arial" w:eastAsia="Arial" w:cs="Arial"/>
          <w:b w:val="0"/>
          <w:bCs w:val="0"/>
          <w:sz w:val="24"/>
          <w:szCs w:val="24"/>
        </w:rPr>
        <w:t xml:space="preserve"> a structured way to collect demographic and preliminary data as well as contextual information to quantify and highlight aspects of parental engagement.</w:t>
      </w:r>
    </w:p>
    <w:p w:rsidR="74F3D7CD" w:rsidP="1957092F" w:rsidRDefault="74F3D7CD" w14:paraId="18C2FBE4" w14:textId="6EDBC94C">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Their structured format, especially with closed-ended questions, may limit the depth of responses, </w:t>
      </w:r>
      <w:r w:rsidRPr="1957092F" w:rsidR="74F3D7CD">
        <w:rPr>
          <w:rFonts w:ascii="Arial" w:hAnsi="Arial" w:eastAsia="Arial" w:cs="Arial"/>
          <w:b w:val="0"/>
          <w:bCs w:val="0"/>
          <w:sz w:val="24"/>
          <w:szCs w:val="24"/>
        </w:rPr>
        <w:t>failing to capture</w:t>
      </w:r>
      <w:r w:rsidRPr="1957092F" w:rsidR="74F3D7CD">
        <w:rPr>
          <w:rFonts w:ascii="Arial" w:hAnsi="Arial" w:eastAsia="Arial" w:cs="Arial"/>
          <w:b w:val="0"/>
          <w:bCs w:val="0"/>
          <w:sz w:val="24"/>
          <w:szCs w:val="24"/>
        </w:rPr>
        <w:t xml:space="preserve"> all aspects of respondents' feelings or insights (Cohen and Manion, 2018). As such the research project will utilise a combination of mixed structured questioning methods and will pilot and refine the questionnaire before finalising (Bartram, 2019).</w:t>
      </w:r>
    </w:p>
    <w:p w:rsidR="1F0D76FB" w:rsidP="1957092F" w:rsidRDefault="1F0D76FB" w14:paraId="178C9AD0" w14:textId="5691443E">
      <w:pPr>
        <w:pStyle w:val="Normal"/>
        <w:bidi w:val="0"/>
        <w:spacing w:before="0" w:beforeAutospacing="off" w:after="160" w:afterAutospacing="off" w:line="360" w:lineRule="auto"/>
        <w:ind w:left="0" w:right="0"/>
        <w:jc w:val="both"/>
      </w:pPr>
      <w:r w:rsidRPr="1957092F" w:rsidR="1F0D76FB">
        <w:rPr>
          <w:rFonts w:ascii="Arial" w:hAnsi="Arial" w:eastAsia="Arial" w:cs="Arial"/>
          <w:b w:val="0"/>
          <w:bCs w:val="0"/>
          <w:sz w:val="24"/>
          <w:szCs w:val="24"/>
        </w:rPr>
        <w:t>For</w:t>
      </w:r>
      <w:r w:rsidRPr="1957092F" w:rsidR="74F3D7CD">
        <w:rPr>
          <w:rFonts w:ascii="Arial" w:hAnsi="Arial" w:eastAsia="Arial" w:cs="Arial"/>
          <w:b w:val="0"/>
          <w:bCs w:val="0"/>
          <w:sz w:val="24"/>
          <w:szCs w:val="24"/>
        </w:rPr>
        <w:t xml:space="preserve"> the research project, the questionnaires will consist of closed-ended question and Likert scale question, whilst expanding on the data during the interview stage (Fowler, 2014).</w:t>
      </w:r>
    </w:p>
    <w:p w:rsidR="74F3D7CD" w:rsidP="1957092F" w:rsidRDefault="74F3D7CD" w14:paraId="7FF435A9" w14:textId="71C353AC">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Limitations</w:t>
      </w:r>
    </w:p>
    <w:p w:rsidR="74F3D7CD" w:rsidP="1957092F" w:rsidRDefault="74F3D7CD" w14:paraId="3EFCF968" w14:textId="40B95C71">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Subjectivity</w:t>
      </w:r>
    </w:p>
    <w:p w:rsidR="74F3D7CD" w:rsidP="1957092F" w:rsidRDefault="74F3D7CD" w14:paraId="6BFAA6A0" w14:textId="28B0C405">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Qualitative research can be subjective. The researcher's own beliefs and ideas might influence what they observe and how they interpret the data, potentially introducing bias. To address this, triangulation is employed as a strategy to enhance the credibility and validity of the findings.</w:t>
      </w:r>
    </w:p>
    <w:p w:rsidR="74F3D7CD" w:rsidP="1957092F" w:rsidRDefault="74F3D7CD" w14:paraId="65CC6173" w14:textId="76E5747F">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Triangulation</w:t>
      </w:r>
    </w:p>
    <w:p w:rsidR="74F3D7CD" w:rsidP="1957092F" w:rsidRDefault="74F3D7CD" w14:paraId="41C5FB64" w14:textId="54EDA8A2">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Triangulation involves using multiple data sources or methods to confirm the reliability of the findings. This approach is crucial in qualitative research to ensure that the interpretations are not just reflections of the researcher’s preconceptions. According to </w:t>
      </w:r>
      <w:r w:rsidRPr="1957092F" w:rsidR="74F3D7CD">
        <w:rPr>
          <w:rFonts w:ascii="Arial" w:hAnsi="Arial" w:eastAsia="Arial" w:cs="Arial"/>
          <w:b w:val="0"/>
          <w:bCs w:val="0"/>
          <w:sz w:val="24"/>
          <w:szCs w:val="24"/>
        </w:rPr>
        <w:t>Heale</w:t>
      </w:r>
      <w:r w:rsidRPr="1957092F" w:rsidR="74F3D7CD">
        <w:rPr>
          <w:rFonts w:ascii="Arial" w:hAnsi="Arial" w:eastAsia="Arial" w:cs="Arial"/>
          <w:b w:val="0"/>
          <w:bCs w:val="0"/>
          <w:sz w:val="24"/>
          <w:szCs w:val="24"/>
        </w:rPr>
        <w:t xml:space="preserve"> and Forbes (2017), employing various data collection techniques such as interviews, questionnaires, and potentially case studies help cross-verify findings. </w:t>
      </w:r>
    </w:p>
    <w:p w:rsidR="74F3D7CD" w:rsidP="1957092F" w:rsidRDefault="74F3D7CD" w14:paraId="221D2D65" w14:textId="1894AB76">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This methodological strategy helps ground the research findings more solidly in verified data, enhancing their validity and credibility. Additionally, Denzin (2017) emphasises that triangulation can involve </w:t>
      </w:r>
      <w:r w:rsidRPr="1957092F" w:rsidR="02245819">
        <w:rPr>
          <w:rFonts w:ascii="Arial" w:hAnsi="Arial" w:eastAsia="Arial" w:cs="Arial"/>
          <w:b w:val="0"/>
          <w:bCs w:val="0"/>
          <w:sz w:val="24"/>
          <w:szCs w:val="24"/>
        </w:rPr>
        <w:t>diverse types</w:t>
      </w:r>
      <w:r w:rsidRPr="1957092F" w:rsidR="74F3D7CD">
        <w:rPr>
          <w:rFonts w:ascii="Arial" w:hAnsi="Arial" w:eastAsia="Arial" w:cs="Arial"/>
          <w:b w:val="0"/>
          <w:bCs w:val="0"/>
          <w:sz w:val="24"/>
          <w:szCs w:val="24"/>
        </w:rPr>
        <w:t xml:space="preserve"> of methods, such as combining qualitative and quantitative approaches, to provide a more comprehensive analysis. Patton (2015) supports this, noting that using different methods or sources allows researchers to approach the data from multiple perspectives, thus providing a robust defence against the bias that could be introduced by using a single method.</w:t>
      </w:r>
    </w:p>
    <w:p w:rsidR="74F3D7CD" w:rsidP="1957092F" w:rsidRDefault="74F3D7CD" w14:paraId="313BEC68" w14:textId="4151CD82">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By applying triangulation, the research project can mitigate the natural subjectivity of qualitative analysis, ensuring that conclusions drawn are well-supported and reflective of the data collected rather than biases.</w:t>
      </w:r>
    </w:p>
    <w:p w:rsidR="74F3D7CD" w:rsidP="1957092F" w:rsidRDefault="74F3D7CD" w14:paraId="71C31E60" w14:textId="0408E21B">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 xml:space="preserve">Time and </w:t>
      </w:r>
      <w:r w:rsidRPr="1957092F" w:rsidR="0E0575B1">
        <w:rPr>
          <w:rFonts w:ascii="Arial" w:hAnsi="Arial" w:eastAsia="Arial" w:cs="Arial"/>
          <w:b w:val="1"/>
          <w:bCs w:val="1"/>
          <w:sz w:val="24"/>
          <w:szCs w:val="24"/>
        </w:rPr>
        <w:t>R</w:t>
      </w:r>
      <w:r w:rsidRPr="1957092F" w:rsidR="74F3D7CD">
        <w:rPr>
          <w:rFonts w:ascii="Arial" w:hAnsi="Arial" w:eastAsia="Arial" w:cs="Arial"/>
          <w:b w:val="1"/>
          <w:bCs w:val="1"/>
          <w:sz w:val="24"/>
          <w:szCs w:val="24"/>
        </w:rPr>
        <w:t>esources</w:t>
      </w:r>
    </w:p>
    <w:p w:rsidR="74F3D7CD" w:rsidP="1957092F" w:rsidRDefault="74F3D7CD" w14:paraId="3B6FDB99" w14:textId="4D6E28AB">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Qualitative methods like interviews and questionnaires take a lot of time and effort. They involve in-depth planning, data collection and detailed analysis, which can require a lot of resources.</w:t>
      </w:r>
    </w:p>
    <w:p w:rsidR="74F3D7CD" w:rsidP="1957092F" w:rsidRDefault="74F3D7CD" w14:paraId="6D754B46" w14:textId="66B10D28">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Allocating resources thoughtfully, ensuring sufficient time is dedicated to each phase of the research project, especially data analysis, scheduling sessions and organising data systematically to manage time efficiently will allow for the research project to avoid time and resource limitations.</w:t>
      </w:r>
    </w:p>
    <w:p w:rsidR="74F3D7CD" w:rsidP="1957092F" w:rsidRDefault="74F3D7CD" w14:paraId="5A0EFB56" w14:textId="7C8B8813">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 xml:space="preserve">Hawthorne </w:t>
      </w:r>
      <w:r w:rsidRPr="1957092F" w:rsidR="4E2DE430">
        <w:rPr>
          <w:rFonts w:ascii="Arial" w:hAnsi="Arial" w:eastAsia="Arial" w:cs="Arial"/>
          <w:b w:val="1"/>
          <w:bCs w:val="1"/>
          <w:sz w:val="24"/>
          <w:szCs w:val="24"/>
        </w:rPr>
        <w:t>E</w:t>
      </w:r>
      <w:r w:rsidRPr="1957092F" w:rsidR="74F3D7CD">
        <w:rPr>
          <w:rFonts w:ascii="Arial" w:hAnsi="Arial" w:eastAsia="Arial" w:cs="Arial"/>
          <w:b w:val="1"/>
          <w:bCs w:val="1"/>
          <w:sz w:val="24"/>
          <w:szCs w:val="24"/>
        </w:rPr>
        <w:t>ffect</w:t>
      </w:r>
    </w:p>
    <w:p w:rsidR="74F3D7CD" w:rsidP="1957092F" w:rsidRDefault="74F3D7CD" w14:paraId="16B51BD7" w14:textId="61F441F6">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According to </w:t>
      </w:r>
      <w:r w:rsidRPr="1957092F" w:rsidR="74F3D7CD">
        <w:rPr>
          <w:rFonts w:ascii="Arial" w:hAnsi="Arial" w:eastAsia="Arial" w:cs="Arial"/>
          <w:b w:val="0"/>
          <w:bCs w:val="0"/>
          <w:sz w:val="24"/>
          <w:szCs w:val="24"/>
        </w:rPr>
        <w:t>McCambridge</w:t>
      </w:r>
      <w:r w:rsidRPr="1957092F" w:rsidR="74F3D7CD">
        <w:rPr>
          <w:rFonts w:ascii="Arial" w:hAnsi="Arial" w:eastAsia="Arial" w:cs="Arial"/>
          <w:b w:val="0"/>
          <w:bCs w:val="0"/>
          <w:sz w:val="24"/>
          <w:szCs w:val="24"/>
        </w:rPr>
        <w:t xml:space="preserve"> (2014) the Hawthorne effect applies when participants within a research setting know that they are being studied through interviews or questionnaires, they are open to altering their behaviour or responses such as presenting themselves in a more favourable light or in was they may think the researcher wants.</w:t>
      </w:r>
    </w:p>
    <w:p w:rsidR="74F3D7CD" w:rsidP="1957092F" w:rsidRDefault="74F3D7CD" w14:paraId="70EB97AD" w14:textId="30B510AA">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This change in behaviour can </w:t>
      </w:r>
      <w:r w:rsidRPr="1957092F" w:rsidR="74F3D7CD">
        <w:rPr>
          <w:rFonts w:ascii="Arial" w:hAnsi="Arial" w:eastAsia="Arial" w:cs="Arial"/>
          <w:b w:val="0"/>
          <w:bCs w:val="0"/>
          <w:sz w:val="24"/>
          <w:szCs w:val="24"/>
        </w:rPr>
        <w:t>impact</w:t>
      </w:r>
      <w:r w:rsidRPr="1957092F" w:rsidR="74F3D7CD">
        <w:rPr>
          <w:rFonts w:ascii="Arial" w:hAnsi="Arial" w:eastAsia="Arial" w:cs="Arial"/>
          <w:b w:val="0"/>
          <w:bCs w:val="0"/>
          <w:sz w:val="24"/>
          <w:szCs w:val="24"/>
        </w:rPr>
        <w:t xml:space="preserve"> the validity of the research projects data, such as answering questions </w:t>
      </w:r>
      <w:r w:rsidRPr="1957092F" w:rsidR="26565DFF">
        <w:rPr>
          <w:rFonts w:ascii="Arial" w:hAnsi="Arial" w:eastAsia="Arial" w:cs="Arial"/>
          <w:b w:val="0"/>
          <w:bCs w:val="0"/>
          <w:sz w:val="24"/>
          <w:szCs w:val="24"/>
        </w:rPr>
        <w:t>based on</w:t>
      </w:r>
      <w:r w:rsidRPr="1957092F" w:rsidR="74F3D7CD">
        <w:rPr>
          <w:rFonts w:ascii="Arial" w:hAnsi="Arial" w:eastAsia="Arial" w:cs="Arial"/>
          <w:b w:val="0"/>
          <w:bCs w:val="0"/>
          <w:sz w:val="24"/>
          <w:szCs w:val="24"/>
        </w:rPr>
        <w:t xml:space="preserve"> what they believe to be the expectation rather than to share how they truly feel.</w:t>
      </w:r>
    </w:p>
    <w:p w:rsidR="0553F5C4" w:rsidP="1957092F" w:rsidRDefault="0553F5C4" w14:paraId="61777BF2" w14:textId="0AED09EF">
      <w:pPr>
        <w:pStyle w:val="Normal"/>
        <w:bidi w:val="0"/>
        <w:spacing w:before="0" w:beforeAutospacing="off" w:after="160" w:afterAutospacing="off" w:line="360" w:lineRule="auto"/>
        <w:ind w:left="0" w:right="0"/>
        <w:jc w:val="both"/>
      </w:pPr>
      <w:r w:rsidRPr="1957092F" w:rsidR="0553F5C4">
        <w:rPr>
          <w:rFonts w:ascii="Arial" w:hAnsi="Arial" w:eastAsia="Arial" w:cs="Arial"/>
          <w:b w:val="0"/>
          <w:bCs w:val="0"/>
          <w:sz w:val="24"/>
          <w:szCs w:val="24"/>
        </w:rPr>
        <w:t>The</w:t>
      </w:r>
      <w:r w:rsidRPr="1957092F" w:rsidR="74F3D7CD">
        <w:rPr>
          <w:rFonts w:ascii="Arial" w:hAnsi="Arial" w:eastAsia="Arial" w:cs="Arial"/>
          <w:b w:val="0"/>
          <w:bCs w:val="0"/>
          <w:sz w:val="24"/>
          <w:szCs w:val="24"/>
        </w:rPr>
        <w:t xml:space="preserve"> research project would need to take into consideration the data collected may not be a true representation of what the data may show and as such would need to be aware of the Hawthorne effect when drawing conclusions.</w:t>
      </w:r>
    </w:p>
    <w:p w:rsidR="74F3D7CD" w:rsidP="1957092F" w:rsidRDefault="74F3D7CD" w14:paraId="0C433F36" w14:textId="3835AC34">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Halo Effect</w:t>
      </w:r>
    </w:p>
    <w:p w:rsidR="74F3D7CD" w:rsidP="1957092F" w:rsidRDefault="74F3D7CD" w14:paraId="6A61F06E" w14:textId="71C813C1">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Another cognitive bias the research project must consider is the Halo effect. The halo effect occurs when one noticeable trait of a participant, such as being very articulate, influences a researcher's overall impression of them. This bias was identified by Edward L. Thorndike and further explored by Solomon Asch, showing how early positive traits can lead researchers to view other unrelated aspects of a person more favourably, regardless of their actual attributes (Neugaard, 2024).</w:t>
      </w:r>
    </w:p>
    <w:p w:rsidR="74F3D7CD" w:rsidP="1957092F" w:rsidRDefault="74F3D7CD" w14:paraId="2166BD3C" w14:textId="5579830E">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This can </w:t>
      </w:r>
      <w:r w:rsidRPr="1957092F" w:rsidR="74F3D7CD">
        <w:rPr>
          <w:rFonts w:ascii="Arial" w:hAnsi="Arial" w:eastAsia="Arial" w:cs="Arial"/>
          <w:b w:val="0"/>
          <w:bCs w:val="0"/>
          <w:sz w:val="24"/>
          <w:szCs w:val="24"/>
        </w:rPr>
        <w:t>impact</w:t>
      </w:r>
      <w:r w:rsidRPr="1957092F" w:rsidR="74F3D7CD">
        <w:rPr>
          <w:rFonts w:ascii="Arial" w:hAnsi="Arial" w:eastAsia="Arial" w:cs="Arial"/>
          <w:b w:val="0"/>
          <w:bCs w:val="0"/>
          <w:sz w:val="24"/>
          <w:szCs w:val="24"/>
        </w:rPr>
        <w:t xml:space="preserve"> the accuracy of research data, particularly in studies on how teachers engage with parents in early years settings. For example, a teacher's confidence in an interview might make them appear more effective than they </w:t>
      </w:r>
      <w:r w:rsidRPr="1957092F" w:rsidR="4E67830A">
        <w:rPr>
          <w:rFonts w:ascii="Arial" w:hAnsi="Arial" w:eastAsia="Arial" w:cs="Arial"/>
          <w:b w:val="0"/>
          <w:bCs w:val="0"/>
          <w:sz w:val="24"/>
          <w:szCs w:val="24"/>
        </w:rPr>
        <w:t>are</w:t>
      </w:r>
      <w:r w:rsidRPr="1957092F" w:rsidR="74F3D7CD">
        <w:rPr>
          <w:rFonts w:ascii="Arial" w:hAnsi="Arial" w:eastAsia="Arial" w:cs="Arial"/>
          <w:b w:val="0"/>
          <w:bCs w:val="0"/>
          <w:sz w:val="24"/>
          <w:szCs w:val="24"/>
        </w:rPr>
        <w:t>.</w:t>
      </w:r>
    </w:p>
    <w:p w:rsidR="74F3D7CD" w:rsidP="1957092F" w:rsidRDefault="74F3D7CD" w14:paraId="7BE91C21" w14:textId="4E603CD4">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To reduce this bias, the research could use a combination of methods like structured questionnaires and multiple interviews to ensure a more objective evaluation of each participant's capabilities and behaviours. This helps prevent skewed conclusions based on first impressions (Cohen and Manion, 2018).</w:t>
      </w:r>
    </w:p>
    <w:p w:rsidR="74F3D7CD" w:rsidP="1957092F" w:rsidRDefault="74F3D7CD" w14:paraId="449D07BD" w14:textId="60C66C05">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 xml:space="preserve">Why </w:t>
      </w:r>
      <w:r w:rsidRPr="1957092F" w:rsidR="03797FC1">
        <w:rPr>
          <w:rFonts w:ascii="Arial" w:hAnsi="Arial" w:eastAsia="Arial" w:cs="Arial"/>
          <w:b w:val="1"/>
          <w:bCs w:val="1"/>
          <w:sz w:val="24"/>
          <w:szCs w:val="24"/>
        </w:rPr>
        <w:t>O</w:t>
      </w:r>
      <w:r w:rsidRPr="1957092F" w:rsidR="74F3D7CD">
        <w:rPr>
          <w:rFonts w:ascii="Arial" w:hAnsi="Arial" w:eastAsia="Arial" w:cs="Arial"/>
          <w:b w:val="1"/>
          <w:bCs w:val="1"/>
          <w:sz w:val="24"/>
          <w:szCs w:val="24"/>
        </w:rPr>
        <w:t xml:space="preserve">ther </w:t>
      </w:r>
      <w:r w:rsidRPr="1957092F" w:rsidR="07B2D444">
        <w:rPr>
          <w:rFonts w:ascii="Arial" w:hAnsi="Arial" w:eastAsia="Arial" w:cs="Arial"/>
          <w:b w:val="1"/>
          <w:bCs w:val="1"/>
          <w:sz w:val="24"/>
          <w:szCs w:val="24"/>
        </w:rPr>
        <w:t>S</w:t>
      </w:r>
      <w:r w:rsidRPr="1957092F" w:rsidR="74F3D7CD">
        <w:rPr>
          <w:rFonts w:ascii="Arial" w:hAnsi="Arial" w:eastAsia="Arial" w:cs="Arial"/>
          <w:b w:val="1"/>
          <w:bCs w:val="1"/>
          <w:sz w:val="24"/>
          <w:szCs w:val="24"/>
        </w:rPr>
        <w:t xml:space="preserve">ata </w:t>
      </w:r>
      <w:r w:rsidRPr="1957092F" w:rsidR="62FE330F">
        <w:rPr>
          <w:rFonts w:ascii="Arial" w:hAnsi="Arial" w:eastAsia="Arial" w:cs="Arial"/>
          <w:b w:val="1"/>
          <w:bCs w:val="1"/>
          <w:sz w:val="24"/>
          <w:szCs w:val="24"/>
        </w:rPr>
        <w:t>C</w:t>
      </w:r>
      <w:r w:rsidRPr="1957092F" w:rsidR="74F3D7CD">
        <w:rPr>
          <w:rFonts w:ascii="Arial" w:hAnsi="Arial" w:eastAsia="Arial" w:cs="Arial"/>
          <w:b w:val="1"/>
          <w:bCs w:val="1"/>
          <w:sz w:val="24"/>
          <w:szCs w:val="24"/>
        </w:rPr>
        <w:t xml:space="preserve">ollection </w:t>
      </w:r>
      <w:r w:rsidRPr="1957092F" w:rsidR="5B86E78F">
        <w:rPr>
          <w:rFonts w:ascii="Arial" w:hAnsi="Arial" w:eastAsia="Arial" w:cs="Arial"/>
          <w:b w:val="1"/>
          <w:bCs w:val="1"/>
          <w:sz w:val="24"/>
          <w:szCs w:val="24"/>
        </w:rPr>
        <w:t>M</w:t>
      </w:r>
      <w:r w:rsidRPr="1957092F" w:rsidR="74F3D7CD">
        <w:rPr>
          <w:rFonts w:ascii="Arial" w:hAnsi="Arial" w:eastAsia="Arial" w:cs="Arial"/>
          <w:b w:val="1"/>
          <w:bCs w:val="1"/>
          <w:sz w:val="24"/>
          <w:szCs w:val="24"/>
        </w:rPr>
        <w:t xml:space="preserve">ethods </w:t>
      </w:r>
      <w:r w:rsidRPr="1957092F" w:rsidR="46E04CD1">
        <w:rPr>
          <w:rFonts w:ascii="Arial" w:hAnsi="Arial" w:eastAsia="Arial" w:cs="Arial"/>
          <w:b w:val="1"/>
          <w:bCs w:val="1"/>
          <w:sz w:val="24"/>
          <w:szCs w:val="24"/>
        </w:rPr>
        <w:t>W</w:t>
      </w:r>
      <w:r w:rsidRPr="1957092F" w:rsidR="74F3D7CD">
        <w:rPr>
          <w:rFonts w:ascii="Arial" w:hAnsi="Arial" w:eastAsia="Arial" w:cs="Arial"/>
          <w:b w:val="1"/>
          <w:bCs w:val="1"/>
          <w:sz w:val="24"/>
          <w:szCs w:val="24"/>
        </w:rPr>
        <w:t xml:space="preserve">ere </w:t>
      </w:r>
      <w:r w:rsidRPr="1957092F" w:rsidR="395BEFDC">
        <w:rPr>
          <w:rFonts w:ascii="Arial" w:hAnsi="Arial" w:eastAsia="Arial" w:cs="Arial"/>
          <w:b w:val="1"/>
          <w:bCs w:val="1"/>
          <w:sz w:val="24"/>
          <w:szCs w:val="24"/>
        </w:rPr>
        <w:t>N</w:t>
      </w:r>
      <w:r w:rsidRPr="1957092F" w:rsidR="74F3D7CD">
        <w:rPr>
          <w:rFonts w:ascii="Arial" w:hAnsi="Arial" w:eastAsia="Arial" w:cs="Arial"/>
          <w:b w:val="1"/>
          <w:bCs w:val="1"/>
          <w:sz w:val="24"/>
          <w:szCs w:val="24"/>
        </w:rPr>
        <w:t xml:space="preserve">ot </w:t>
      </w:r>
      <w:r w:rsidRPr="1957092F" w:rsidR="4C08A748">
        <w:rPr>
          <w:rFonts w:ascii="Arial" w:hAnsi="Arial" w:eastAsia="Arial" w:cs="Arial"/>
          <w:b w:val="1"/>
          <w:bCs w:val="1"/>
          <w:sz w:val="24"/>
          <w:szCs w:val="24"/>
        </w:rPr>
        <w:t>C</w:t>
      </w:r>
      <w:r w:rsidRPr="1957092F" w:rsidR="74F3D7CD">
        <w:rPr>
          <w:rFonts w:ascii="Arial" w:hAnsi="Arial" w:eastAsia="Arial" w:cs="Arial"/>
          <w:b w:val="1"/>
          <w:bCs w:val="1"/>
          <w:sz w:val="24"/>
          <w:szCs w:val="24"/>
        </w:rPr>
        <w:t>hosen</w:t>
      </w:r>
    </w:p>
    <w:p w:rsidR="74F3D7CD" w:rsidP="1957092F" w:rsidRDefault="74F3D7CD" w14:paraId="4266C3AE" w14:textId="69069099">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In the context of this research project on how teachers can engage parents within early years settings, the chosen data collection methods of semi-structured interviews and close-ended questionnaires were specifically selected for their relevance and effectiveness. Other potential data collection methods, such as the use of larger scale samples, direct observations, or open-ended surveys, were considered but not chosen due to several considerations.</w:t>
      </w:r>
    </w:p>
    <w:p w:rsidR="74F3D7CD" w:rsidP="1957092F" w:rsidRDefault="74F3D7CD" w14:paraId="274D1AED" w14:textId="08C7ED0D">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Direct Observation methods can provide unfiltered data on behaviours and interactions. However, they were </w:t>
      </w:r>
      <w:r w:rsidRPr="1957092F" w:rsidR="74F3D7CD">
        <w:rPr>
          <w:rFonts w:ascii="Arial" w:hAnsi="Arial" w:eastAsia="Arial" w:cs="Arial"/>
          <w:b w:val="0"/>
          <w:bCs w:val="0"/>
          <w:sz w:val="24"/>
          <w:szCs w:val="24"/>
        </w:rPr>
        <w:t>deemed</w:t>
      </w:r>
      <w:r w:rsidRPr="1957092F" w:rsidR="74F3D7CD">
        <w:rPr>
          <w:rFonts w:ascii="Arial" w:hAnsi="Arial" w:eastAsia="Arial" w:cs="Arial"/>
          <w:b w:val="0"/>
          <w:bCs w:val="0"/>
          <w:sz w:val="24"/>
          <w:szCs w:val="24"/>
        </w:rPr>
        <w:t xml:space="preserve"> less suitable due to the intrusive nature of observations which could alter the behaviour of teachers and parents. This is connected to the Hawthorne effect, where people alter their behaviour due to the awareness of being </w:t>
      </w:r>
      <w:r w:rsidRPr="1957092F" w:rsidR="74F3D7CD">
        <w:rPr>
          <w:rFonts w:ascii="Arial" w:hAnsi="Arial" w:eastAsia="Arial" w:cs="Arial"/>
          <w:b w:val="0"/>
          <w:bCs w:val="0"/>
          <w:sz w:val="24"/>
          <w:szCs w:val="24"/>
        </w:rPr>
        <w:t>observed</w:t>
      </w:r>
      <w:r w:rsidRPr="1957092F" w:rsidR="74F3D7CD">
        <w:rPr>
          <w:rFonts w:ascii="Arial" w:hAnsi="Arial" w:eastAsia="Arial" w:cs="Arial"/>
          <w:b w:val="0"/>
          <w:bCs w:val="0"/>
          <w:sz w:val="24"/>
          <w:szCs w:val="24"/>
        </w:rPr>
        <w:t xml:space="preserve"> (Cohen and Manion, 2018; </w:t>
      </w:r>
      <w:r w:rsidRPr="1957092F" w:rsidR="74F3D7CD">
        <w:rPr>
          <w:rFonts w:ascii="Arial" w:hAnsi="Arial" w:eastAsia="Arial" w:cs="Arial"/>
          <w:b w:val="0"/>
          <w:bCs w:val="0"/>
          <w:sz w:val="24"/>
          <w:szCs w:val="24"/>
        </w:rPr>
        <w:t>Rozahegyi</w:t>
      </w:r>
      <w:r w:rsidRPr="1957092F" w:rsidR="78A81104">
        <w:rPr>
          <w:rFonts w:ascii="Arial" w:hAnsi="Arial" w:eastAsia="Arial" w:cs="Arial"/>
          <w:b w:val="0"/>
          <w:bCs w:val="0"/>
          <w:sz w:val="24"/>
          <w:szCs w:val="24"/>
        </w:rPr>
        <w:t xml:space="preserve">, </w:t>
      </w:r>
      <w:r w:rsidRPr="1957092F" w:rsidR="73ABE814">
        <w:rPr>
          <w:rFonts w:ascii="Arial" w:hAnsi="Arial" w:eastAsia="Arial" w:cs="Arial"/>
          <w:b w:val="0"/>
          <w:bCs w:val="0"/>
          <w:sz w:val="24"/>
          <w:szCs w:val="24"/>
        </w:rPr>
        <w:t>2019)</w:t>
      </w:r>
      <w:r w:rsidRPr="1957092F" w:rsidR="74F3D7CD">
        <w:rPr>
          <w:rFonts w:ascii="Arial" w:hAnsi="Arial" w:eastAsia="Arial" w:cs="Arial"/>
          <w:b w:val="0"/>
          <w:bCs w:val="0"/>
          <w:sz w:val="24"/>
          <w:szCs w:val="24"/>
        </w:rPr>
        <w:t>.</w:t>
      </w:r>
    </w:p>
    <w:p w:rsidR="74F3D7CD" w:rsidP="1957092F" w:rsidRDefault="74F3D7CD" w14:paraId="7A195E1A" w14:textId="0D874329">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Extensive Open-Ended Surveys can generate vast amounts of qualitative data that are complex and time-consuming to analyse and interpret. However, due to time and resource constraints, this method might not provide the focused insights required within the constraints of the research project (Cohen and Manion, 2018).</w:t>
      </w:r>
    </w:p>
    <w:p w:rsidR="74F3D7CD" w:rsidP="1957092F" w:rsidRDefault="74F3D7CD" w14:paraId="2A70B458" w14:textId="153C0072">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1957092F" w:rsidR="74F3D7CD">
        <w:rPr>
          <w:rFonts w:ascii="Arial" w:hAnsi="Arial" w:eastAsia="Arial" w:cs="Arial"/>
          <w:b w:val="0"/>
          <w:bCs w:val="0"/>
          <w:sz w:val="24"/>
          <w:szCs w:val="24"/>
        </w:rPr>
        <w:t xml:space="preserve">Statistical large-scale surveys can efficiently gather broad numerical </w:t>
      </w:r>
      <w:r w:rsidRPr="1957092F" w:rsidR="32202DC0">
        <w:rPr>
          <w:rFonts w:ascii="Arial" w:hAnsi="Arial" w:eastAsia="Arial" w:cs="Arial"/>
          <w:b w:val="0"/>
          <w:bCs w:val="0"/>
          <w:sz w:val="24"/>
          <w:szCs w:val="24"/>
        </w:rPr>
        <w:t>data;</w:t>
      </w:r>
      <w:r w:rsidRPr="1957092F" w:rsidR="74F3D7CD">
        <w:rPr>
          <w:rFonts w:ascii="Arial" w:hAnsi="Arial" w:eastAsia="Arial" w:cs="Arial"/>
          <w:b w:val="0"/>
          <w:bCs w:val="0"/>
          <w:sz w:val="24"/>
          <w:szCs w:val="24"/>
        </w:rPr>
        <w:t xml:space="preserve"> however, they do not capture the depth of </w:t>
      </w:r>
      <w:r w:rsidRPr="1957092F" w:rsidR="3C50C90F">
        <w:rPr>
          <w:rFonts w:ascii="Arial" w:hAnsi="Arial" w:eastAsia="Arial" w:cs="Arial"/>
          <w:b w:val="0"/>
          <w:bCs w:val="0"/>
          <w:sz w:val="24"/>
          <w:szCs w:val="24"/>
        </w:rPr>
        <w:t>individual experiences</w:t>
      </w:r>
      <w:r w:rsidRPr="1957092F" w:rsidR="74F3D7CD">
        <w:rPr>
          <w:rFonts w:ascii="Arial" w:hAnsi="Arial" w:eastAsia="Arial" w:cs="Arial"/>
          <w:b w:val="0"/>
          <w:bCs w:val="0"/>
          <w:sz w:val="24"/>
          <w:szCs w:val="24"/>
        </w:rPr>
        <w:t xml:space="preserve"> and detailed insights needed to fully understand the nuances of teacher-parent interactions (Cohen and Manion, 2018).</w:t>
      </w:r>
    </w:p>
    <w:p w:rsidR="74F3D7CD" w:rsidP="1957092F" w:rsidRDefault="74F3D7CD" w14:paraId="38644EA9" w14:textId="00C36A7A">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selected methods of semi-structured interviews and close-ended questionnaires allow a balance between obtaining detailed qualitative insights and efficiently gathering quantifiable data that can inform broader trends</w:t>
      </w:r>
      <w:r w:rsidRPr="1957092F" w:rsidR="4096C32E">
        <w:rPr>
          <w:rFonts w:ascii="Arial" w:hAnsi="Arial" w:eastAsia="Arial" w:cs="Arial"/>
          <w:b w:val="0"/>
          <w:bCs w:val="0"/>
          <w:sz w:val="24"/>
          <w:szCs w:val="24"/>
        </w:rPr>
        <w:t>.</w:t>
      </w:r>
    </w:p>
    <w:p w:rsidR="1957092F" w:rsidRDefault="1957092F" w14:paraId="3FB77D3A" w14:textId="3E9FB8E0">
      <w:r>
        <w:br w:type="page"/>
      </w:r>
    </w:p>
    <w:p w:rsidR="74F3D7CD" w:rsidP="1957092F" w:rsidRDefault="74F3D7CD" w14:paraId="1C9794A3" w14:textId="6243AE2E">
      <w:pPr>
        <w:pStyle w:val="Normal"/>
        <w:bidi w:val="0"/>
        <w:rPr>
          <w:rFonts w:ascii="Arial" w:hAnsi="Arial" w:eastAsia="Arial" w:cs="Arial"/>
          <w:b w:val="1"/>
          <w:bCs w:val="1"/>
          <w:sz w:val="24"/>
          <w:szCs w:val="24"/>
        </w:rPr>
      </w:pPr>
      <w:r w:rsidRPr="1957092F" w:rsidR="74F3D7CD">
        <w:rPr>
          <w:rFonts w:ascii="Arial" w:hAnsi="Arial" w:eastAsia="Arial" w:cs="Arial"/>
          <w:b w:val="1"/>
          <w:bCs w:val="1"/>
          <w:sz w:val="24"/>
          <w:szCs w:val="24"/>
        </w:rPr>
        <w:t>Ethical Considerations</w:t>
      </w:r>
    </w:p>
    <w:p w:rsidR="74F3D7CD" w:rsidP="1957092F" w:rsidRDefault="74F3D7CD" w14:paraId="0C86720A" w14:textId="54C2FA75">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1957092F" w:rsidR="74F3D7CD">
        <w:rPr>
          <w:rFonts w:ascii="Arial" w:hAnsi="Arial" w:eastAsia="Arial" w:cs="Arial"/>
          <w:b w:val="0"/>
          <w:bCs w:val="0"/>
          <w:sz w:val="24"/>
          <w:szCs w:val="24"/>
        </w:rPr>
        <w:t xml:space="preserve">This section focusses on the importance of ethical considerations to protect all those involved in the research project. Ethical guidelines emphasise the necessity of prioritising the dignity, well-being, and rights of all participants, particularly children and their families, who may </w:t>
      </w:r>
      <w:r w:rsidRPr="1957092F" w:rsidR="74F3D7CD">
        <w:rPr>
          <w:rFonts w:ascii="Arial" w:hAnsi="Arial" w:eastAsia="Arial" w:cs="Arial"/>
          <w:b w:val="0"/>
          <w:bCs w:val="0"/>
          <w:sz w:val="24"/>
          <w:szCs w:val="24"/>
        </w:rPr>
        <w:t>require</w:t>
      </w:r>
      <w:r w:rsidRPr="1957092F" w:rsidR="74F3D7CD">
        <w:rPr>
          <w:rFonts w:ascii="Arial" w:hAnsi="Arial" w:eastAsia="Arial" w:cs="Arial"/>
          <w:b w:val="0"/>
          <w:bCs w:val="0"/>
          <w:sz w:val="24"/>
          <w:szCs w:val="24"/>
        </w:rPr>
        <w:t xml:space="preserve"> </w:t>
      </w:r>
      <w:r w:rsidRPr="1957092F" w:rsidR="74F3D7CD">
        <w:rPr>
          <w:rFonts w:ascii="Arial" w:hAnsi="Arial" w:eastAsia="Arial" w:cs="Arial"/>
          <w:b w:val="0"/>
          <w:bCs w:val="0"/>
          <w:sz w:val="24"/>
          <w:szCs w:val="24"/>
        </w:rPr>
        <w:t>additional</w:t>
      </w:r>
      <w:r w:rsidRPr="1957092F" w:rsidR="74F3D7CD">
        <w:rPr>
          <w:rFonts w:ascii="Arial" w:hAnsi="Arial" w:eastAsia="Arial" w:cs="Arial"/>
          <w:b w:val="0"/>
          <w:bCs w:val="0"/>
          <w:sz w:val="24"/>
          <w:szCs w:val="24"/>
        </w:rPr>
        <w:t xml:space="preserve"> care due to their vulnerability. Ensuring informed consent, confidentiality, and minimizing harm are crucial components. Ethical practices are essential for building trust and upholding the integrity and validity of the study, which </w:t>
      </w:r>
      <w:r w:rsidRPr="1957092F" w:rsidR="2CF4E0EA">
        <w:rPr>
          <w:rFonts w:ascii="Arial" w:hAnsi="Arial" w:eastAsia="Arial" w:cs="Arial"/>
          <w:b w:val="0"/>
          <w:bCs w:val="0"/>
          <w:sz w:val="24"/>
          <w:szCs w:val="24"/>
        </w:rPr>
        <w:t>benefits</w:t>
      </w:r>
      <w:r w:rsidRPr="1957092F" w:rsidR="74F3D7CD">
        <w:rPr>
          <w:rFonts w:ascii="Arial" w:hAnsi="Arial" w:eastAsia="Arial" w:cs="Arial"/>
          <w:b w:val="0"/>
          <w:bCs w:val="0"/>
          <w:sz w:val="24"/>
          <w:szCs w:val="24"/>
        </w:rPr>
        <w:t xml:space="preserve"> educational practices and policies (Cohen &amp; Manion, 2018; Palaiologou, 2012)</w:t>
      </w:r>
      <w:r w:rsidRPr="1957092F" w:rsidR="29F4D49F">
        <w:rPr>
          <w:rFonts w:ascii="Arial" w:hAnsi="Arial" w:eastAsia="Arial" w:cs="Arial"/>
          <w:b w:val="0"/>
          <w:bCs w:val="0"/>
          <w:sz w:val="24"/>
          <w:szCs w:val="24"/>
        </w:rPr>
        <w:t>.</w:t>
      </w:r>
    </w:p>
    <w:p w:rsidR="74F3D7CD" w:rsidP="1957092F" w:rsidRDefault="74F3D7CD" w14:paraId="73354EC9" w14:textId="3CC34F81">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Informed Consent</w:t>
      </w:r>
    </w:p>
    <w:p w:rsidR="74F3D7CD" w:rsidP="1957092F" w:rsidRDefault="74F3D7CD" w14:paraId="35DD87C9" w14:textId="6C8B4E92">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Obtaining Consent</w:t>
      </w:r>
    </w:p>
    <w:p w:rsidR="74F3D7CD" w:rsidP="1957092F" w:rsidRDefault="74F3D7CD" w14:paraId="0A9173D3" w14:textId="7F5B670B">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According to Cohen and Manion (2018) and Alan Bryman (2016), in educational and social research, it is essential to provide participants with comprehensive information about the study, including its purpose, procedures, potential risks, and benefits.</w:t>
      </w:r>
    </w:p>
    <w:p w:rsidR="74F3D7CD" w:rsidP="1957092F" w:rsidRDefault="74F3D7CD" w14:paraId="151E2AE7" w14:textId="372E98CE">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Participants of the research project will be provided with an information sheet explaining the proposed studies purpose, procedures, potential </w:t>
      </w:r>
      <w:r w:rsidRPr="1957092F" w:rsidR="432CAFD6">
        <w:rPr>
          <w:rFonts w:ascii="Arial" w:hAnsi="Arial" w:eastAsia="Arial" w:cs="Arial"/>
          <w:b w:val="0"/>
          <w:bCs w:val="0"/>
          <w:sz w:val="24"/>
          <w:szCs w:val="24"/>
        </w:rPr>
        <w:t>risks,</w:t>
      </w:r>
      <w:r w:rsidRPr="1957092F" w:rsidR="74F3D7CD">
        <w:rPr>
          <w:rFonts w:ascii="Arial" w:hAnsi="Arial" w:eastAsia="Arial" w:cs="Arial"/>
          <w:b w:val="0"/>
          <w:bCs w:val="0"/>
          <w:sz w:val="24"/>
          <w:szCs w:val="24"/>
        </w:rPr>
        <w:t xml:space="preserve"> and benefits. This is to ensure that potential participants are sufficiently aware of the research so that they can make an informed decision about their potential participation. Maintaining the voluntary nature if their participation (BERA, 2024).</w:t>
      </w:r>
    </w:p>
    <w:p w:rsidR="74F3D7CD" w:rsidP="1957092F" w:rsidRDefault="74F3D7CD" w14:paraId="29E06D55" w14:textId="16CD4D38">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research project must also, ensure that participants are competent to give consent, meaning that individuals should be capable of understanding the information provided to them and can make an informed decision based on that information (BPS, 2021). The research project will entail the provision of comprehensive yet understandable information sheets that will be provided to potential participants, whilst the researcher would check to see that participation is voluntary and the participant is able and competent in their decision to take part in the research. This is particularly significant when dealing with vulnerable groups or children, where consent might also need to be obtained from a legal guardian or caregiver (Cohen and Manion, 2018).</w:t>
      </w:r>
    </w:p>
    <w:p w:rsidR="74F3D7CD" w:rsidP="1957092F" w:rsidRDefault="74F3D7CD" w14:paraId="61D91A6B" w14:textId="2AA66BEB">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 </w:t>
      </w:r>
    </w:p>
    <w:p w:rsidR="19796D39" w:rsidP="1957092F" w:rsidRDefault="19796D39" w14:paraId="5C0C4286" w14:textId="72D9A554">
      <w:pPr>
        <w:pStyle w:val="Normal"/>
        <w:bidi w:val="0"/>
        <w:spacing w:before="0" w:beforeAutospacing="off" w:after="160" w:afterAutospacing="off" w:line="360" w:lineRule="auto"/>
        <w:ind w:left="0" w:right="0"/>
        <w:jc w:val="both"/>
      </w:pPr>
      <w:r w:rsidRPr="1957092F" w:rsidR="19796D39">
        <w:rPr>
          <w:rFonts w:ascii="Arial" w:hAnsi="Arial" w:eastAsia="Arial" w:cs="Arial"/>
          <w:b w:val="0"/>
          <w:bCs w:val="0"/>
          <w:sz w:val="24"/>
          <w:szCs w:val="24"/>
        </w:rPr>
        <w:t>Finally,</w:t>
      </w:r>
      <w:r w:rsidRPr="1957092F" w:rsidR="74F3D7CD">
        <w:rPr>
          <w:rFonts w:ascii="Arial" w:hAnsi="Arial" w:eastAsia="Arial" w:cs="Arial"/>
          <w:b w:val="0"/>
          <w:bCs w:val="0"/>
          <w:sz w:val="24"/>
          <w:szCs w:val="24"/>
        </w:rPr>
        <w:t xml:space="preserve"> another consideration of the research project would be to ensure that all consent must be free of coercion, whist all participants being informed that they are free to withdraw from the study at any time without any negative repercussions. This freedom ensures the ethical integrity of the research and respects the autonomy of the participants (Cohen and Manion, 2018).</w:t>
      </w:r>
    </w:p>
    <w:p w:rsidR="74F3D7CD" w:rsidP="1957092F" w:rsidRDefault="74F3D7CD" w14:paraId="5B335344" w14:textId="770F9292">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Cohen and Manion (2018) and The British Psychological Society (BPS) (2021), emphasise the need for researchers to ensure that participants understand </w:t>
      </w:r>
      <w:r w:rsidRPr="1957092F" w:rsidR="1C53957A">
        <w:rPr>
          <w:rFonts w:ascii="Arial" w:hAnsi="Arial" w:eastAsia="Arial" w:cs="Arial"/>
          <w:b w:val="0"/>
          <w:bCs w:val="0"/>
          <w:sz w:val="24"/>
          <w:szCs w:val="24"/>
        </w:rPr>
        <w:t>all</w:t>
      </w:r>
      <w:r w:rsidRPr="1957092F" w:rsidR="74F3D7CD">
        <w:rPr>
          <w:rFonts w:ascii="Arial" w:hAnsi="Arial" w:eastAsia="Arial" w:cs="Arial"/>
          <w:b w:val="0"/>
          <w:bCs w:val="0"/>
          <w:sz w:val="24"/>
          <w:szCs w:val="24"/>
        </w:rPr>
        <w:t xml:space="preserve"> information given to them for proper consent.</w:t>
      </w:r>
    </w:p>
    <w:p w:rsidR="74F3D7CD" w:rsidP="1957092F" w:rsidRDefault="74F3D7CD" w14:paraId="3759B1E9" w14:textId="6D6E6C31">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1957092F" w:rsidR="74F3D7CD">
        <w:rPr>
          <w:rFonts w:ascii="Arial" w:hAnsi="Arial" w:eastAsia="Arial" w:cs="Arial"/>
          <w:b w:val="0"/>
          <w:bCs w:val="0"/>
          <w:sz w:val="24"/>
          <w:szCs w:val="24"/>
        </w:rPr>
        <w:t>While the current research project does not involve children, it is crucial to ensure that if children are included in future studies, they are provided with age-appropriate information about the research. Children should be made aware of what they are consenting to, and their level of understanding should be considered (Cohen &amp; Manion, 2018). In cases where children cannot provide consent, institutional, legal, and parental guidelines must be followed (Green, 2012)</w:t>
      </w:r>
      <w:r w:rsidRPr="1957092F" w:rsidR="2DA96AF9">
        <w:rPr>
          <w:rFonts w:ascii="Arial" w:hAnsi="Arial" w:eastAsia="Arial" w:cs="Arial"/>
          <w:b w:val="0"/>
          <w:bCs w:val="0"/>
          <w:sz w:val="24"/>
          <w:szCs w:val="24"/>
        </w:rPr>
        <w:t>.</w:t>
      </w:r>
    </w:p>
    <w:p w:rsidR="74F3D7CD" w:rsidP="1957092F" w:rsidRDefault="74F3D7CD" w14:paraId="3C32A1F0" w14:textId="3BDD86E2">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These principles aim to protect the autonomy and well-being of child participants in research, ensuring that their participation is both informed and voluntary,</w:t>
      </w:r>
    </w:p>
    <w:p w:rsidR="74F3D7CD" w:rsidP="1957092F" w:rsidRDefault="74F3D7CD" w14:paraId="0352E512" w14:textId="229D1E41">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Confidentiality and Anonymity</w:t>
      </w:r>
    </w:p>
    <w:p w:rsidR="74F3D7CD" w:rsidP="1957092F" w:rsidRDefault="74F3D7CD" w14:paraId="691983E2" w14:textId="77127069">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research project will aim to protect the information of participants to adhere to GDPR 2018 and Data Protection Act 2018 by utilising several strategies.</w:t>
      </w:r>
    </w:p>
    <w:p w:rsidR="74F3D7CD" w:rsidP="1957092F" w:rsidRDefault="74F3D7CD" w14:paraId="0817F542" w14:textId="0D3826B5">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Using pseudonyms and codes, will the research ensure confidentiality rather than using participants real names. This will help protect the identities of participants, especially when dealing with sensitive information (BERA 2024; Gray, 2012).</w:t>
      </w:r>
    </w:p>
    <w:p w:rsidR="74F3D7CD" w:rsidP="1957092F" w:rsidRDefault="74F3D7CD" w14:paraId="16915366" w14:textId="4327722F">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Through secure data storage, data will be securely stored with restricted and limited access to the research team only. This includes using password-protected files and ensuring any identifiable data are kept separated from other data to minimise and prevent unauthorised access or misuse.</w:t>
      </w:r>
    </w:p>
    <w:p w:rsidR="74F3D7CD" w:rsidP="1957092F" w:rsidRDefault="74F3D7CD" w14:paraId="286E44D7" w14:textId="054DE414">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These practices are essential for </w:t>
      </w:r>
      <w:r w:rsidRPr="1957092F" w:rsidR="74F3D7CD">
        <w:rPr>
          <w:rFonts w:ascii="Arial" w:hAnsi="Arial" w:eastAsia="Arial" w:cs="Arial"/>
          <w:b w:val="0"/>
          <w:bCs w:val="0"/>
          <w:sz w:val="24"/>
          <w:szCs w:val="24"/>
        </w:rPr>
        <w:t>maintaining</w:t>
      </w:r>
      <w:r w:rsidRPr="1957092F" w:rsidR="74F3D7CD">
        <w:rPr>
          <w:rFonts w:ascii="Arial" w:hAnsi="Arial" w:eastAsia="Arial" w:cs="Arial"/>
          <w:b w:val="0"/>
          <w:bCs w:val="0"/>
          <w:sz w:val="24"/>
          <w:szCs w:val="24"/>
        </w:rPr>
        <w:t xml:space="preserve"> the integrity of the research and ensuring that participants' identities and personal information are protected throughout the research (Cohen and Manion, 2018).</w:t>
      </w:r>
    </w:p>
    <w:p w:rsidR="74F3D7CD" w:rsidP="1957092F" w:rsidRDefault="74F3D7CD" w14:paraId="69657842" w14:textId="24C9A978">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Minimising Ris</w:t>
      </w:r>
      <w:r w:rsidRPr="1957092F" w:rsidR="1909AE8E">
        <w:rPr>
          <w:rFonts w:ascii="Arial" w:hAnsi="Arial" w:eastAsia="Arial" w:cs="Arial"/>
          <w:b w:val="1"/>
          <w:bCs w:val="1"/>
          <w:sz w:val="24"/>
          <w:szCs w:val="24"/>
        </w:rPr>
        <w:t>k</w:t>
      </w:r>
    </w:p>
    <w:p w:rsidR="74F3D7CD" w:rsidP="1957092F" w:rsidRDefault="74F3D7CD" w14:paraId="1E892795" w14:textId="39ED4A5D">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Participants</w:t>
      </w:r>
      <w:r w:rsidRPr="1957092F" w:rsidR="18BAE717">
        <w:rPr>
          <w:rFonts w:ascii="Arial" w:hAnsi="Arial" w:eastAsia="Arial" w:cs="Arial"/>
          <w:b w:val="1"/>
          <w:bCs w:val="1"/>
          <w:sz w:val="24"/>
          <w:szCs w:val="24"/>
        </w:rPr>
        <w:t xml:space="preserve">: </w:t>
      </w:r>
      <w:r w:rsidRPr="1957092F" w:rsidR="74F3D7CD">
        <w:rPr>
          <w:rFonts w:ascii="Arial" w:hAnsi="Arial" w:eastAsia="Arial" w:cs="Arial"/>
          <w:b w:val="1"/>
          <w:bCs w:val="1"/>
          <w:sz w:val="24"/>
          <w:szCs w:val="24"/>
        </w:rPr>
        <w:t>Identifying</w:t>
      </w:r>
      <w:r w:rsidRPr="1957092F" w:rsidR="74F3D7CD">
        <w:rPr>
          <w:rFonts w:ascii="Arial" w:hAnsi="Arial" w:eastAsia="Arial" w:cs="Arial"/>
          <w:b w:val="1"/>
          <w:bCs w:val="1"/>
          <w:sz w:val="24"/>
          <w:szCs w:val="24"/>
        </w:rPr>
        <w:t xml:space="preserve"> and </w:t>
      </w:r>
      <w:r w:rsidRPr="1957092F" w:rsidR="31CAF42A">
        <w:rPr>
          <w:rFonts w:ascii="Arial" w:hAnsi="Arial" w:eastAsia="Arial" w:cs="Arial"/>
          <w:b w:val="1"/>
          <w:bCs w:val="1"/>
          <w:sz w:val="24"/>
          <w:szCs w:val="24"/>
        </w:rPr>
        <w:t>S</w:t>
      </w:r>
      <w:r w:rsidRPr="1957092F" w:rsidR="74F3D7CD">
        <w:rPr>
          <w:rFonts w:ascii="Arial" w:hAnsi="Arial" w:eastAsia="Arial" w:cs="Arial"/>
          <w:b w:val="1"/>
          <w:bCs w:val="1"/>
          <w:sz w:val="24"/>
          <w:szCs w:val="24"/>
        </w:rPr>
        <w:t xml:space="preserve">upporting </w:t>
      </w:r>
      <w:r w:rsidRPr="1957092F" w:rsidR="18A2DEA6">
        <w:rPr>
          <w:rFonts w:ascii="Arial" w:hAnsi="Arial" w:eastAsia="Arial" w:cs="Arial"/>
          <w:b w:val="1"/>
          <w:bCs w:val="1"/>
          <w:sz w:val="24"/>
          <w:szCs w:val="24"/>
        </w:rPr>
        <w:t>E</w:t>
      </w:r>
      <w:r w:rsidRPr="1957092F" w:rsidR="74F3D7CD">
        <w:rPr>
          <w:rFonts w:ascii="Arial" w:hAnsi="Arial" w:eastAsia="Arial" w:cs="Arial"/>
          <w:b w:val="1"/>
          <w:bCs w:val="1"/>
          <w:sz w:val="24"/>
          <w:szCs w:val="24"/>
        </w:rPr>
        <w:t xml:space="preserve">motional </w:t>
      </w:r>
      <w:r w:rsidRPr="1957092F" w:rsidR="602C9339">
        <w:rPr>
          <w:rFonts w:ascii="Arial" w:hAnsi="Arial" w:eastAsia="Arial" w:cs="Arial"/>
          <w:b w:val="1"/>
          <w:bCs w:val="1"/>
          <w:sz w:val="24"/>
          <w:szCs w:val="24"/>
        </w:rPr>
        <w:t>D</w:t>
      </w:r>
      <w:r w:rsidRPr="1957092F" w:rsidR="74F3D7CD">
        <w:rPr>
          <w:rFonts w:ascii="Arial" w:hAnsi="Arial" w:eastAsia="Arial" w:cs="Arial"/>
          <w:b w:val="1"/>
          <w:bCs w:val="1"/>
          <w:sz w:val="24"/>
          <w:szCs w:val="24"/>
        </w:rPr>
        <w:t>istress</w:t>
      </w:r>
    </w:p>
    <w:p w:rsidR="74F3D7CD" w:rsidP="1957092F" w:rsidRDefault="74F3D7CD" w14:paraId="61EE215B" w14:textId="6C491EC1">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Cohen and Manion (2018) emphasise the importance of considering the emotional and psychological well-being of participants, especially when sensitive topics are involved. They further suggest the use of pre-interview briefings and debriefings, along with signposting to external support services where </w:t>
      </w:r>
      <w:r w:rsidRPr="1957092F" w:rsidR="74F3D7CD">
        <w:rPr>
          <w:rFonts w:ascii="Arial" w:hAnsi="Arial" w:eastAsia="Arial" w:cs="Arial"/>
          <w:b w:val="0"/>
          <w:bCs w:val="0"/>
          <w:sz w:val="24"/>
          <w:szCs w:val="24"/>
        </w:rPr>
        <w:t>appropriate for</w:t>
      </w:r>
      <w:r w:rsidRPr="1957092F" w:rsidR="74F3D7CD">
        <w:rPr>
          <w:rFonts w:ascii="Arial" w:hAnsi="Arial" w:eastAsia="Arial" w:cs="Arial"/>
          <w:b w:val="0"/>
          <w:bCs w:val="0"/>
          <w:sz w:val="24"/>
          <w:szCs w:val="24"/>
        </w:rPr>
        <w:t xml:space="preserve"> participants' aftercare.</w:t>
      </w:r>
      <w:r w:rsidRPr="1957092F" w:rsidR="4604D67E">
        <w:rPr>
          <w:rFonts w:ascii="Arial" w:hAnsi="Arial" w:eastAsia="Arial" w:cs="Arial"/>
          <w:b w:val="0"/>
          <w:bCs w:val="0"/>
          <w:sz w:val="24"/>
          <w:szCs w:val="24"/>
        </w:rPr>
        <w:t xml:space="preserve"> </w:t>
      </w:r>
      <w:r w:rsidRPr="1957092F" w:rsidR="74F3D7CD">
        <w:rPr>
          <w:rFonts w:ascii="Arial" w:hAnsi="Arial" w:eastAsia="Arial" w:cs="Arial"/>
          <w:b w:val="0"/>
          <w:bCs w:val="0"/>
          <w:sz w:val="24"/>
          <w:szCs w:val="24"/>
        </w:rPr>
        <w:t xml:space="preserve">These strategies would ensure that the participants are well-informed about the research project's structure and feel supported throughout the research process. </w:t>
      </w:r>
    </w:p>
    <w:p w:rsidR="74F3D7CD" w:rsidP="1957092F" w:rsidRDefault="74F3D7CD" w14:paraId="5507785C" w14:textId="72EA195A">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According to NSPCC (2024), explaining research confidentiality and obtaining informed consent is crucial. Before participation, children should understand the nature of the research, the use of their information, and any circumstances under which confidentiality may be broken. This approach helps in reducing anxiety and promoting a sense of safety among participants.</w:t>
      </w:r>
    </w:p>
    <w:p w:rsidR="74F3D7CD" w:rsidP="1957092F" w:rsidRDefault="74F3D7CD" w14:paraId="2A68C461" w14:textId="1097D694">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Researchers</w:t>
      </w:r>
      <w:r w:rsidRPr="1957092F" w:rsidR="4C6ED016">
        <w:rPr>
          <w:rFonts w:ascii="Arial" w:hAnsi="Arial" w:eastAsia="Arial" w:cs="Arial"/>
          <w:b w:val="1"/>
          <w:bCs w:val="1"/>
          <w:sz w:val="24"/>
          <w:szCs w:val="24"/>
        </w:rPr>
        <w:t>:</w:t>
      </w:r>
      <w:r w:rsidRPr="1957092F" w:rsidR="7C6DD115">
        <w:rPr>
          <w:rFonts w:ascii="Arial" w:hAnsi="Arial" w:eastAsia="Arial" w:cs="Arial"/>
          <w:b w:val="1"/>
          <w:bCs w:val="1"/>
          <w:sz w:val="24"/>
          <w:szCs w:val="24"/>
        </w:rPr>
        <w:t xml:space="preserve"> </w:t>
      </w:r>
      <w:r w:rsidRPr="1957092F" w:rsidR="74F3D7CD">
        <w:rPr>
          <w:rFonts w:ascii="Arial" w:hAnsi="Arial" w:eastAsia="Arial" w:cs="Arial"/>
          <w:b w:val="1"/>
          <w:bCs w:val="1"/>
          <w:sz w:val="24"/>
          <w:szCs w:val="24"/>
        </w:rPr>
        <w:t xml:space="preserve">Ensuring a </w:t>
      </w:r>
      <w:r w:rsidRPr="1957092F" w:rsidR="50BB0249">
        <w:rPr>
          <w:rFonts w:ascii="Arial" w:hAnsi="Arial" w:eastAsia="Arial" w:cs="Arial"/>
          <w:b w:val="1"/>
          <w:bCs w:val="1"/>
          <w:sz w:val="24"/>
          <w:szCs w:val="24"/>
        </w:rPr>
        <w:t>S</w:t>
      </w:r>
      <w:r w:rsidRPr="1957092F" w:rsidR="74F3D7CD">
        <w:rPr>
          <w:rFonts w:ascii="Arial" w:hAnsi="Arial" w:eastAsia="Arial" w:cs="Arial"/>
          <w:b w:val="1"/>
          <w:bCs w:val="1"/>
          <w:sz w:val="24"/>
          <w:szCs w:val="24"/>
        </w:rPr>
        <w:t xml:space="preserve">afe </w:t>
      </w:r>
      <w:r w:rsidRPr="1957092F" w:rsidR="274AA3EF">
        <w:rPr>
          <w:rFonts w:ascii="Arial" w:hAnsi="Arial" w:eastAsia="Arial" w:cs="Arial"/>
          <w:b w:val="1"/>
          <w:bCs w:val="1"/>
          <w:sz w:val="24"/>
          <w:szCs w:val="24"/>
        </w:rPr>
        <w:t>E</w:t>
      </w:r>
      <w:r w:rsidRPr="1957092F" w:rsidR="74F3D7CD">
        <w:rPr>
          <w:rFonts w:ascii="Arial" w:hAnsi="Arial" w:eastAsia="Arial" w:cs="Arial"/>
          <w:b w:val="1"/>
          <w:bCs w:val="1"/>
          <w:sz w:val="24"/>
          <w:szCs w:val="24"/>
        </w:rPr>
        <w:t xml:space="preserve">nvironment for </w:t>
      </w:r>
      <w:r w:rsidRPr="1957092F" w:rsidR="3DFFFA20">
        <w:rPr>
          <w:rFonts w:ascii="Arial" w:hAnsi="Arial" w:eastAsia="Arial" w:cs="Arial"/>
          <w:b w:val="1"/>
          <w:bCs w:val="1"/>
          <w:sz w:val="24"/>
          <w:szCs w:val="24"/>
        </w:rPr>
        <w:t>I</w:t>
      </w:r>
      <w:r w:rsidRPr="1957092F" w:rsidR="74F3D7CD">
        <w:rPr>
          <w:rFonts w:ascii="Arial" w:hAnsi="Arial" w:eastAsia="Arial" w:cs="Arial"/>
          <w:b w:val="1"/>
          <w:bCs w:val="1"/>
          <w:sz w:val="24"/>
          <w:szCs w:val="24"/>
        </w:rPr>
        <w:t>nterviews</w:t>
      </w:r>
    </w:p>
    <w:p w:rsidR="74F3D7CD" w:rsidP="1957092F" w:rsidRDefault="74F3D7CD" w14:paraId="1756F135" w14:textId="6D1E94EA">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According to Cohen and Manion (2018), ensuring the safety of researchers is crucial, especially when conducting fieldwork or interviews. They further suggest that interviews should be conducted in safe and neutral settings to protect both the researcher and the participant. As such, the research project will conduct interviews in familiar and/or public environments to help reduce potential risks, such as personal safety concerns. </w:t>
      </w:r>
    </w:p>
    <w:p w:rsidR="74F3D7CD" w:rsidP="1957092F" w:rsidRDefault="74F3D7CD" w14:paraId="65B88AD4" w14:textId="0EB86878">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Additionally, NSPCC (2024) recommends conducting research in a friendly and comfortable environment and avoiding times when support services are unavailable, which can help in creating a safer and more supportive setting for both researchers and participants.</w:t>
      </w:r>
    </w:p>
    <w:p w:rsidR="74F3D7CD" w:rsidP="1957092F" w:rsidRDefault="74F3D7CD" w14:paraId="375129B5" w14:textId="19183121">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 </w:t>
      </w:r>
    </w:p>
    <w:p w:rsidR="74F3D7CD" w:rsidP="1957092F" w:rsidRDefault="74F3D7CD" w14:paraId="68C09241" w14:textId="07DEAFE0">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University</w:t>
      </w:r>
      <w:r w:rsidRPr="1957092F" w:rsidR="7DF6EE85">
        <w:rPr>
          <w:rFonts w:ascii="Arial" w:hAnsi="Arial" w:eastAsia="Arial" w:cs="Arial"/>
          <w:b w:val="1"/>
          <w:bCs w:val="1"/>
          <w:sz w:val="24"/>
          <w:szCs w:val="24"/>
        </w:rPr>
        <w:t xml:space="preserve">: </w:t>
      </w:r>
      <w:r w:rsidRPr="1957092F" w:rsidR="74F3D7CD">
        <w:rPr>
          <w:rFonts w:ascii="Arial" w:hAnsi="Arial" w:eastAsia="Arial" w:cs="Arial"/>
          <w:b w:val="1"/>
          <w:bCs w:val="1"/>
          <w:sz w:val="24"/>
          <w:szCs w:val="24"/>
        </w:rPr>
        <w:t xml:space="preserve">Compliance with </w:t>
      </w:r>
      <w:r w:rsidRPr="1957092F" w:rsidR="3EECB9D1">
        <w:rPr>
          <w:rFonts w:ascii="Arial" w:hAnsi="Arial" w:eastAsia="Arial" w:cs="Arial"/>
          <w:b w:val="1"/>
          <w:bCs w:val="1"/>
          <w:sz w:val="24"/>
          <w:szCs w:val="24"/>
        </w:rPr>
        <w:t>E</w:t>
      </w:r>
      <w:r w:rsidRPr="1957092F" w:rsidR="74F3D7CD">
        <w:rPr>
          <w:rFonts w:ascii="Arial" w:hAnsi="Arial" w:eastAsia="Arial" w:cs="Arial"/>
          <w:b w:val="1"/>
          <w:bCs w:val="1"/>
          <w:sz w:val="24"/>
          <w:szCs w:val="24"/>
        </w:rPr>
        <w:t xml:space="preserve">thical </w:t>
      </w:r>
      <w:r w:rsidRPr="1957092F" w:rsidR="3627E95C">
        <w:rPr>
          <w:rFonts w:ascii="Arial" w:hAnsi="Arial" w:eastAsia="Arial" w:cs="Arial"/>
          <w:b w:val="1"/>
          <w:bCs w:val="1"/>
          <w:sz w:val="24"/>
          <w:szCs w:val="24"/>
        </w:rPr>
        <w:t>S</w:t>
      </w:r>
      <w:r w:rsidRPr="1957092F" w:rsidR="74F3D7CD">
        <w:rPr>
          <w:rFonts w:ascii="Arial" w:hAnsi="Arial" w:eastAsia="Arial" w:cs="Arial"/>
          <w:b w:val="1"/>
          <w:bCs w:val="1"/>
          <w:sz w:val="24"/>
          <w:szCs w:val="24"/>
        </w:rPr>
        <w:t>tandards</w:t>
      </w:r>
    </w:p>
    <w:p w:rsidR="74F3D7CD" w:rsidP="1957092F" w:rsidRDefault="74F3D7CD" w14:paraId="48963485" w14:textId="1FF4090D">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The university has a responsibility to ensure that research conducted under its supervision adheres to ethical standards. Cohen and Manion (2018) discuss the role of institutional review boards or ethics committees in regularly reviewing research activities to ensure compliance with both institutional and legal ethical standards. </w:t>
      </w:r>
    </w:p>
    <w:p w:rsidR="74F3D7CD" w:rsidP="1957092F" w:rsidRDefault="74F3D7CD" w14:paraId="1625B0C8" w14:textId="51F9AFA6">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As such, the research project will strive to adopt regular reviews whilst adhering to approved protocols to better </w:t>
      </w:r>
      <w:r w:rsidRPr="1957092F" w:rsidR="74F3D7CD">
        <w:rPr>
          <w:rFonts w:ascii="Arial" w:hAnsi="Arial" w:eastAsia="Arial" w:cs="Arial"/>
          <w:b w:val="0"/>
          <w:bCs w:val="0"/>
          <w:sz w:val="24"/>
          <w:szCs w:val="24"/>
        </w:rPr>
        <w:t>maintain</w:t>
      </w:r>
      <w:r w:rsidRPr="1957092F" w:rsidR="74F3D7CD">
        <w:rPr>
          <w:rFonts w:ascii="Arial" w:hAnsi="Arial" w:eastAsia="Arial" w:cs="Arial"/>
          <w:b w:val="0"/>
          <w:bCs w:val="0"/>
          <w:sz w:val="24"/>
          <w:szCs w:val="24"/>
        </w:rPr>
        <w:t xml:space="preserve"> the integrity of ethics. This will ensure that the research protects the university’s reputation whilst also ensuring the safety of everyone involved both directly and indirectly in the research project. </w:t>
      </w:r>
    </w:p>
    <w:p w:rsidR="74F3D7CD" w:rsidP="1957092F" w:rsidRDefault="74F3D7CD" w14:paraId="74F81DB4" w14:textId="3AE20935">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NSPCC (2024) also highlights the importance of adapting data collection methodologies to minimise distress, which includes thoughtful placement of sensitive questions and allowing breaks during data collection, further ensuring ethical compliance and participant well-being.</w:t>
      </w:r>
    </w:p>
    <w:p w:rsidR="74F3D7CD" w:rsidP="1957092F" w:rsidRDefault="74F3D7CD" w14:paraId="7914BE53" w14:textId="4D659152">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These mitigating strategies are essential practices in modern research to ensure ethical compliance while protecting the interests of all parties involved.</w:t>
      </w:r>
    </w:p>
    <w:p w:rsidR="74F3D7CD" w:rsidP="1957092F" w:rsidRDefault="74F3D7CD" w14:paraId="10BA7B8E" w14:textId="36882A3C">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Data Collection and Storage</w:t>
      </w:r>
    </w:p>
    <w:p w:rsidR="74F3D7CD" w:rsidP="1957092F" w:rsidRDefault="74F3D7CD" w14:paraId="0E6438DC" w14:textId="204927F3">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collection and storage of data for the research project must be done in compliance with appropriate guidelines and legislation (Cohen and Manion, 2018; BPS, 2021).</w:t>
      </w:r>
    </w:p>
    <w:p w:rsidR="74F3D7CD" w:rsidP="1957092F" w:rsidRDefault="74F3D7CD" w14:paraId="3F6BA198" w14:textId="49F982EE">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Data Protection Act 2018 and General Data Protection Act 2018 law applies in terms of handling, storage and use of data that is collected within the research project. This ensures the privacy of all parties involved, especially of the participants (BERA, 2024).</w:t>
      </w:r>
    </w:p>
    <w:p w:rsidR="74F3D7CD" w:rsidP="1957092F" w:rsidRDefault="74F3D7CD" w14:paraId="521436C8" w14:textId="01BA500B">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Participants also will be made aware of and be offered their rights in being able request to see their data and records whilst being able to have it amended and or </w:t>
      </w:r>
      <w:r w:rsidRPr="1957092F" w:rsidR="74F3D7CD">
        <w:rPr>
          <w:rFonts w:ascii="Arial" w:hAnsi="Arial" w:eastAsia="Arial" w:cs="Arial"/>
          <w:b w:val="0"/>
          <w:bCs w:val="0"/>
          <w:sz w:val="24"/>
          <w:szCs w:val="24"/>
        </w:rPr>
        <w:t>deleted</w:t>
      </w:r>
      <w:r w:rsidRPr="1957092F" w:rsidR="74F3D7CD">
        <w:rPr>
          <w:rFonts w:ascii="Arial" w:hAnsi="Arial" w:eastAsia="Arial" w:cs="Arial"/>
          <w:b w:val="0"/>
          <w:bCs w:val="0"/>
          <w:sz w:val="24"/>
          <w:szCs w:val="24"/>
        </w:rPr>
        <w:t>. As well as this they will be able to withdraw from the research at any point in time of the research project.</w:t>
      </w:r>
    </w:p>
    <w:p w:rsidR="74F3D7CD" w:rsidP="1957092F" w:rsidRDefault="74F3D7CD" w14:paraId="54BE0C2E" w14:textId="5488F480">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In the case of the need to break confidentiality, participants will need to be made aware from the outset of the research project, that confidentiality may need to be broken under certain circumstances, these according to BERA 2024 can consist of the following scenarios.</w:t>
      </w:r>
    </w:p>
    <w:p w:rsidR="74F3D7CD" w:rsidP="1957092F" w:rsidRDefault="74F3D7CD" w14:paraId="65B13EAA" w14:textId="4E54FC4E">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According to BERA (2024) and BPS (2021), Researchers must inform participants that confidentiality may be broken in exceptional circumstances, especially if it involves illegal or harmful actions, such as abuse or terrorism. They should seek advice from a responsible person before making such disclosures and, if safe to do so, inform participants of their intentions. Decisions to override confidentiality must be carefully considered and documented.</w:t>
      </w:r>
    </w:p>
    <w:p w:rsidR="74F3D7CD" w:rsidP="1957092F" w:rsidRDefault="74F3D7CD" w14:paraId="4136717E" w14:textId="5F3C13C3">
      <w:pPr>
        <w:pStyle w:val="Normal"/>
        <w:bidi w:val="0"/>
        <w:spacing w:before="0" w:beforeAutospacing="off" w:after="160" w:afterAutospacing="off" w:line="360" w:lineRule="auto"/>
        <w:ind w:left="0" w:right="0"/>
        <w:jc w:val="both"/>
        <w:rPr>
          <w:rFonts w:ascii="Arial" w:hAnsi="Arial" w:eastAsia="Arial" w:cs="Arial"/>
          <w:b w:val="1"/>
          <w:bCs w:val="1"/>
          <w:sz w:val="24"/>
          <w:szCs w:val="24"/>
        </w:rPr>
      </w:pPr>
      <w:r w:rsidRPr="1957092F" w:rsidR="74F3D7CD">
        <w:rPr>
          <w:rFonts w:ascii="Arial" w:hAnsi="Arial" w:eastAsia="Arial" w:cs="Arial"/>
          <w:b w:val="1"/>
          <w:bCs w:val="1"/>
          <w:sz w:val="24"/>
          <w:szCs w:val="24"/>
        </w:rPr>
        <w:t>Conclusion</w:t>
      </w:r>
    </w:p>
    <w:p w:rsidR="74F3D7CD" w:rsidP="1957092F" w:rsidRDefault="74F3D7CD" w14:paraId="46DFC311" w14:textId="3B0E691C">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This research project aims to explore effective ways to engage parents in Early Years Education using qualitative methods. By selecting a purposive sample of teachers and parents within South Wales, the study includes diverse perspectives and experiences that are essential for understanding the challenges and opportunities in parental engagement. The chosen methods - semi-structured interviews and close-ended questionnaires – will be ideal for gathering detailed insights while managing practical constraints of the research.</w:t>
      </w:r>
    </w:p>
    <w:p w:rsidR="74F3D7CD" w:rsidP="1957092F" w:rsidRDefault="74F3D7CD" w14:paraId="4542352B" w14:textId="07312DF8">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Ethical considerations are a key part of the research design, ensuring participants' rights and well-being are protected. Informed consent, confidentiality, and the mitigation of risks will be prioritised to </w:t>
      </w:r>
      <w:r w:rsidRPr="1957092F" w:rsidR="74F3D7CD">
        <w:rPr>
          <w:rFonts w:ascii="Arial" w:hAnsi="Arial" w:eastAsia="Arial" w:cs="Arial"/>
          <w:b w:val="0"/>
          <w:bCs w:val="0"/>
          <w:sz w:val="24"/>
          <w:szCs w:val="24"/>
        </w:rPr>
        <w:t>maintain</w:t>
      </w:r>
      <w:r w:rsidRPr="1957092F" w:rsidR="74F3D7CD">
        <w:rPr>
          <w:rFonts w:ascii="Arial" w:hAnsi="Arial" w:eastAsia="Arial" w:cs="Arial"/>
          <w:b w:val="0"/>
          <w:bCs w:val="0"/>
          <w:sz w:val="24"/>
          <w:szCs w:val="24"/>
        </w:rPr>
        <w:t xml:space="preserve"> the study's integrity. The use of triangulation enhances the reliability and validity of potential findings, ensuring that the conclusions drawn are well-supported by the data collected.</w:t>
      </w:r>
    </w:p>
    <w:p w:rsidR="74F3D7CD" w:rsidP="1957092F" w:rsidRDefault="74F3D7CD" w14:paraId="688EEFD5" w14:textId="2C326009">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 xml:space="preserve">Moving forward, this research aims to </w:t>
      </w:r>
      <w:r w:rsidRPr="1957092F" w:rsidR="74F3D7CD">
        <w:rPr>
          <w:rFonts w:ascii="Arial" w:hAnsi="Arial" w:eastAsia="Arial" w:cs="Arial"/>
          <w:b w:val="0"/>
          <w:bCs w:val="0"/>
          <w:sz w:val="24"/>
          <w:szCs w:val="24"/>
        </w:rPr>
        <w:t>provide</w:t>
      </w:r>
      <w:r w:rsidRPr="1957092F" w:rsidR="74F3D7CD">
        <w:rPr>
          <w:rFonts w:ascii="Arial" w:hAnsi="Arial" w:eastAsia="Arial" w:cs="Arial"/>
          <w:b w:val="0"/>
          <w:bCs w:val="0"/>
          <w:sz w:val="24"/>
          <w:szCs w:val="24"/>
        </w:rPr>
        <w:t xml:space="preserve"> valuable insights into Early Years Education, offering both practical and theoretical foundations for future studies and applications. By addressing barriers and utilising effective engagement strategies, the study hopes to contribute to more inclusive and supportive educational environments.</w:t>
      </w:r>
      <w:r w:rsidRPr="1957092F" w:rsidR="448A36B4">
        <w:rPr>
          <w:rFonts w:ascii="Arial" w:hAnsi="Arial" w:eastAsia="Arial" w:cs="Arial"/>
          <w:b w:val="0"/>
          <w:bCs w:val="0"/>
          <w:sz w:val="24"/>
          <w:szCs w:val="24"/>
        </w:rPr>
        <w:t xml:space="preserve"> </w:t>
      </w:r>
    </w:p>
    <w:p w:rsidR="74F3D7CD" w:rsidP="1957092F" w:rsidRDefault="74F3D7CD" w14:paraId="590D8B09" w14:textId="4030EBE3">
      <w:pPr>
        <w:pStyle w:val="Normal"/>
        <w:bidi w:val="0"/>
        <w:spacing w:before="0" w:beforeAutospacing="off" w:after="160" w:afterAutospacing="off" w:line="360" w:lineRule="auto"/>
        <w:ind w:left="0" w:right="0"/>
        <w:jc w:val="both"/>
      </w:pPr>
      <w:r w:rsidRPr="1957092F" w:rsidR="74F3D7CD">
        <w:rPr>
          <w:rFonts w:ascii="Arial" w:hAnsi="Arial" w:eastAsia="Arial" w:cs="Arial"/>
          <w:b w:val="0"/>
          <w:bCs w:val="0"/>
          <w:sz w:val="24"/>
          <w:szCs w:val="24"/>
        </w:rPr>
        <w:t>The findings will inform current practices and guide future research in refining and testing effective parental engagement strategies across various educational settings.</w:t>
      </w:r>
    </w:p>
    <w:p w:rsidR="090963AF" w:rsidRDefault="090963AF" w14:paraId="73C8C348" w14:textId="2F5FD0FF">
      <w:r>
        <w:br w:type="page"/>
      </w:r>
    </w:p>
    <w:p w:rsidR="3EAC53A6" w:rsidP="090963AF" w:rsidRDefault="3EAC53A6" w14:paraId="70C09894" w14:textId="05CDCAE5">
      <w:pPr>
        <w:pStyle w:val="Normal"/>
        <w:spacing w:line="360" w:lineRule="auto"/>
        <w:jc w:val="left"/>
        <w:rPr>
          <w:rFonts w:ascii="Arial" w:hAnsi="Arial" w:eastAsia="Arial" w:cs="Arial"/>
          <w:sz w:val="24"/>
          <w:szCs w:val="24"/>
          <w:u w:val="single"/>
        </w:rPr>
      </w:pPr>
      <w:r w:rsidRPr="1957092F" w:rsidR="6DC49306">
        <w:rPr>
          <w:rFonts w:ascii="Arial" w:hAnsi="Arial" w:eastAsia="Arial" w:cs="Arial"/>
          <w:sz w:val="24"/>
          <w:szCs w:val="24"/>
          <w:u w:val="single"/>
        </w:rPr>
        <w:t>Reference List</w:t>
      </w:r>
    </w:p>
    <w:p w:rsidR="090963AF" w:rsidP="1957092F" w:rsidRDefault="090963AF" w14:paraId="5A3A6CE6" w14:textId="3472D7C8">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Bailey, K. (1994). </w:t>
      </w:r>
      <w:r w:rsidRPr="1957092F" w:rsidR="76A761A0">
        <w:rPr>
          <w:rFonts w:ascii="Arial" w:hAnsi="Arial" w:eastAsia="Arial" w:cs="Arial"/>
          <w:i w:val="1"/>
          <w:iCs w:val="1"/>
          <w:noProof w:val="0"/>
          <w:color w:val="000000" w:themeColor="text1" w:themeTint="FF" w:themeShade="FF"/>
          <w:sz w:val="24"/>
          <w:szCs w:val="24"/>
          <w:lang w:val="en-GB"/>
        </w:rPr>
        <w:t xml:space="preserve">Interview Studies in Methods of social research. </w:t>
      </w:r>
      <w:r w:rsidRPr="1957092F" w:rsidR="76A761A0">
        <w:rPr>
          <w:rFonts w:ascii="Arial" w:hAnsi="Arial" w:eastAsia="Arial" w:cs="Arial"/>
          <w:i w:val="1"/>
          <w:iCs w:val="1"/>
          <w:noProof w:val="0"/>
          <w:color w:val="000000" w:themeColor="text1" w:themeTint="FF" w:themeShade="FF"/>
          <w:sz w:val="24"/>
          <w:szCs w:val="24"/>
          <w:lang w:val="en-GB"/>
        </w:rPr>
        <w:t>Simonand</w:t>
      </w:r>
      <w:r w:rsidRPr="1957092F" w:rsidR="76A761A0">
        <w:rPr>
          <w:rFonts w:ascii="Arial" w:hAnsi="Arial" w:eastAsia="Arial" w:cs="Arial"/>
          <w:i w:val="1"/>
          <w:iCs w:val="1"/>
          <w:noProof w:val="0"/>
          <w:color w:val="000000" w:themeColor="text1" w:themeTint="FF" w:themeShade="FF"/>
          <w:sz w:val="24"/>
          <w:szCs w:val="24"/>
          <w:lang w:val="en-GB"/>
        </w:rPr>
        <w:t xml:space="preserve"> Schuster</w:t>
      </w:r>
      <w:r w:rsidRPr="1957092F" w:rsidR="76A761A0">
        <w:rPr>
          <w:rFonts w:ascii="Arial" w:hAnsi="Arial" w:eastAsia="Arial" w:cs="Arial"/>
          <w:noProof w:val="0"/>
          <w:color w:val="000000" w:themeColor="text1" w:themeTint="FF" w:themeShade="FF"/>
          <w:sz w:val="24"/>
          <w:szCs w:val="24"/>
          <w:lang w:val="en-GB"/>
        </w:rPr>
        <w:t>, 4</w:t>
      </w:r>
      <w:r w:rsidRPr="1957092F" w:rsidR="76A761A0">
        <w:rPr>
          <w:rFonts w:ascii="Arial" w:hAnsi="Arial" w:eastAsia="Arial" w:cs="Arial"/>
          <w:noProof w:val="0"/>
          <w:color w:val="000000" w:themeColor="text1" w:themeTint="FF" w:themeShade="FF"/>
          <w:sz w:val="24"/>
          <w:szCs w:val="24"/>
          <w:vertAlign w:val="superscript"/>
          <w:lang w:val="en-GB"/>
        </w:rPr>
        <w:t>th</w:t>
      </w:r>
      <w:r w:rsidRPr="1957092F" w:rsidR="76A761A0">
        <w:rPr>
          <w:rFonts w:ascii="Arial" w:hAnsi="Arial" w:eastAsia="Arial" w:cs="Arial"/>
          <w:noProof w:val="0"/>
          <w:color w:val="000000" w:themeColor="text1" w:themeTint="FF" w:themeShade="FF"/>
          <w:sz w:val="24"/>
          <w:szCs w:val="24"/>
          <w:lang w:val="en-GB"/>
        </w:rPr>
        <w:t xml:space="preserve"> ed. The Free Press, New York NY 10020.Ch8. Pp.173-213. </w:t>
      </w:r>
    </w:p>
    <w:p w:rsidR="090963AF" w:rsidP="1957092F" w:rsidRDefault="090963AF" w14:paraId="4BABDEB1" w14:textId="5BD78F55">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Bartram, B. (2019) </w:t>
      </w:r>
      <w:r w:rsidRPr="1957092F" w:rsidR="76A761A0">
        <w:rPr>
          <w:rFonts w:ascii="Arial" w:hAnsi="Arial" w:eastAsia="Arial" w:cs="Arial"/>
          <w:i w:val="1"/>
          <w:iCs w:val="1"/>
          <w:noProof w:val="0"/>
          <w:color w:val="000000" w:themeColor="text1" w:themeTint="FF" w:themeShade="FF"/>
          <w:sz w:val="24"/>
          <w:szCs w:val="24"/>
          <w:lang w:val="en-GB"/>
        </w:rPr>
        <w:t>‘Using Questionnaires’</w:t>
      </w:r>
      <w:r w:rsidRPr="1957092F" w:rsidR="76A761A0">
        <w:rPr>
          <w:rFonts w:ascii="Arial" w:hAnsi="Arial" w:eastAsia="Arial" w:cs="Arial"/>
          <w:noProof w:val="0"/>
          <w:color w:val="000000" w:themeColor="text1" w:themeTint="FF" w:themeShade="FF"/>
          <w:sz w:val="24"/>
          <w:szCs w:val="24"/>
          <w:lang w:val="en-GB"/>
        </w:rPr>
        <w:t xml:space="preserve">, pp1-12, in Lambert, M. (ed.) </w:t>
      </w:r>
      <w:r w:rsidRPr="1957092F" w:rsidR="76A761A0">
        <w:rPr>
          <w:rFonts w:ascii="Arial" w:hAnsi="Arial" w:eastAsia="Arial" w:cs="Arial"/>
          <w:i w:val="1"/>
          <w:iCs w:val="1"/>
          <w:noProof w:val="0"/>
          <w:color w:val="000000" w:themeColor="text1" w:themeTint="FF" w:themeShade="FF"/>
          <w:sz w:val="24"/>
          <w:szCs w:val="24"/>
          <w:lang w:val="en-GB"/>
        </w:rPr>
        <w:t>Practical research Methods in Education: An early researcher’s critical guide</w:t>
      </w:r>
      <w:r w:rsidRPr="1957092F" w:rsidR="76A761A0">
        <w:rPr>
          <w:rFonts w:ascii="Arial" w:hAnsi="Arial" w:eastAsia="Arial" w:cs="Arial"/>
          <w:noProof w:val="0"/>
          <w:color w:val="000000" w:themeColor="text1" w:themeTint="FF" w:themeShade="FF"/>
          <w:sz w:val="24"/>
          <w:szCs w:val="24"/>
          <w:lang w:val="en-GB"/>
        </w:rPr>
        <w:t xml:space="preserve">. Abingdon Oxon: Routledge. </w:t>
      </w:r>
    </w:p>
    <w:p w:rsidR="090963AF" w:rsidP="1957092F" w:rsidRDefault="090963AF" w14:paraId="788532DC" w14:textId="1F8BCE95">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Basilova</w:t>
      </w:r>
      <w:r w:rsidRPr="1957092F" w:rsidR="76A761A0">
        <w:rPr>
          <w:rFonts w:ascii="Arial" w:hAnsi="Arial" w:eastAsia="Arial" w:cs="Arial"/>
          <w:noProof w:val="0"/>
          <w:color w:val="000000" w:themeColor="text1" w:themeTint="FF" w:themeShade="FF"/>
          <w:sz w:val="24"/>
          <w:szCs w:val="24"/>
          <w:lang w:val="en-GB"/>
        </w:rPr>
        <w:t xml:space="preserve"> T.A. (2021) </w:t>
      </w:r>
      <w:r w:rsidRPr="1957092F" w:rsidR="76A761A0">
        <w:rPr>
          <w:rFonts w:ascii="Arial" w:hAnsi="Arial" w:eastAsia="Arial" w:cs="Arial"/>
          <w:i w:val="1"/>
          <w:iCs w:val="1"/>
          <w:noProof w:val="0"/>
          <w:color w:val="000000" w:themeColor="text1" w:themeTint="FF" w:themeShade="FF"/>
          <w:sz w:val="24"/>
          <w:szCs w:val="24"/>
          <w:lang w:val="en-GB"/>
        </w:rPr>
        <w:t>About manual</w:t>
      </w:r>
      <w:r w:rsidRPr="1957092F" w:rsidR="76A761A0">
        <w:rPr>
          <w:rFonts w:ascii="Arial" w:hAnsi="Arial" w:eastAsia="Arial" w:cs="Arial"/>
          <w:noProof w:val="0"/>
          <w:color w:val="000000" w:themeColor="text1" w:themeTint="FF" w:themeShade="FF"/>
          <w:sz w:val="24"/>
          <w:szCs w:val="24"/>
          <w:lang w:val="en-GB"/>
        </w:rPr>
        <w:t xml:space="preserve"> “Practical Research Methods in Education. An Early Researcher’s Critical Guide</w:t>
      </w:r>
      <w:bookmarkStart w:name="_Int_cZPua2T3" w:id="222200757"/>
      <w:r w:rsidRPr="1957092F" w:rsidR="76A761A0">
        <w:rPr>
          <w:rFonts w:ascii="Arial" w:hAnsi="Arial" w:eastAsia="Arial" w:cs="Arial"/>
          <w:noProof w:val="0"/>
          <w:color w:val="000000" w:themeColor="text1" w:themeTint="FF" w:themeShade="FF"/>
          <w:sz w:val="24"/>
          <w:szCs w:val="24"/>
          <w:lang w:val="en-GB"/>
        </w:rPr>
        <w:t>”,</w:t>
      </w:r>
      <w:bookmarkEnd w:id="222200757"/>
      <w:r w:rsidRPr="1957092F" w:rsidR="76A761A0">
        <w:rPr>
          <w:rFonts w:ascii="Arial" w:hAnsi="Arial" w:eastAsia="Arial" w:cs="Arial"/>
          <w:noProof w:val="0"/>
          <w:color w:val="000000" w:themeColor="text1" w:themeTint="FF" w:themeShade="FF"/>
          <w:sz w:val="24"/>
          <w:szCs w:val="24"/>
          <w:lang w:val="en-GB"/>
        </w:rPr>
        <w:t xml:space="preserve"> </w:t>
      </w:r>
      <w:r w:rsidRPr="1957092F" w:rsidR="76A761A0">
        <w:rPr>
          <w:rFonts w:ascii="Arial" w:hAnsi="Arial" w:eastAsia="Arial" w:cs="Arial"/>
          <w:noProof w:val="0"/>
          <w:color w:val="000000" w:themeColor="text1" w:themeTint="FF" w:themeShade="FF"/>
          <w:sz w:val="24"/>
          <w:szCs w:val="24"/>
          <w:lang w:val="en-GB"/>
        </w:rPr>
        <w:t>Sovremennaâ</w:t>
      </w:r>
      <w:r w:rsidRPr="1957092F" w:rsidR="76A761A0">
        <w:rPr>
          <w:rFonts w:ascii="Arial" w:hAnsi="Arial" w:eastAsia="Arial" w:cs="Arial"/>
          <w:noProof w:val="0"/>
          <w:color w:val="000000" w:themeColor="text1" w:themeTint="FF" w:themeShade="FF"/>
          <w:sz w:val="24"/>
          <w:szCs w:val="24"/>
          <w:lang w:val="en-GB"/>
        </w:rPr>
        <w:t xml:space="preserve"> </w:t>
      </w:r>
      <w:r w:rsidRPr="1957092F" w:rsidR="76A761A0">
        <w:rPr>
          <w:rFonts w:ascii="Arial" w:hAnsi="Arial" w:eastAsia="Arial" w:cs="Arial"/>
          <w:noProof w:val="0"/>
          <w:color w:val="000000" w:themeColor="text1" w:themeTint="FF" w:themeShade="FF"/>
          <w:sz w:val="24"/>
          <w:szCs w:val="24"/>
          <w:lang w:val="en-GB"/>
        </w:rPr>
        <w:t>Zarubežnaâ</w:t>
      </w:r>
      <w:r w:rsidRPr="1957092F" w:rsidR="76A761A0">
        <w:rPr>
          <w:rFonts w:ascii="Arial" w:hAnsi="Arial" w:eastAsia="Arial" w:cs="Arial"/>
          <w:noProof w:val="0"/>
          <w:color w:val="000000" w:themeColor="text1" w:themeTint="FF" w:themeShade="FF"/>
          <w:sz w:val="24"/>
          <w:szCs w:val="24"/>
          <w:lang w:val="en-GB"/>
        </w:rPr>
        <w:t xml:space="preserve"> </w:t>
      </w:r>
      <w:r w:rsidRPr="1957092F" w:rsidR="76A761A0">
        <w:rPr>
          <w:rFonts w:ascii="Arial" w:hAnsi="Arial" w:eastAsia="Arial" w:cs="Arial"/>
          <w:noProof w:val="0"/>
          <w:color w:val="000000" w:themeColor="text1" w:themeTint="FF" w:themeShade="FF"/>
          <w:sz w:val="24"/>
          <w:szCs w:val="24"/>
          <w:lang w:val="en-GB"/>
        </w:rPr>
        <w:t>Psihologiâ</w:t>
      </w:r>
      <w:r w:rsidRPr="1957092F" w:rsidR="76A761A0">
        <w:rPr>
          <w:rFonts w:ascii="Arial" w:hAnsi="Arial" w:eastAsia="Arial" w:cs="Arial"/>
          <w:noProof w:val="0"/>
          <w:color w:val="000000" w:themeColor="text1" w:themeTint="FF" w:themeShade="FF"/>
          <w:sz w:val="24"/>
          <w:szCs w:val="24"/>
          <w:lang w:val="en-GB"/>
        </w:rPr>
        <w:t xml:space="preserve">, 10(3), pp. 103–104. Available at: </w:t>
      </w:r>
      <w:hyperlink r:id="R12e644ea31494c6d">
        <w:r w:rsidRPr="1957092F" w:rsidR="76A761A0">
          <w:rPr>
            <w:rStyle w:val="Hyperlink"/>
            <w:rFonts w:ascii="Arial" w:hAnsi="Arial" w:eastAsia="Arial" w:cs="Arial"/>
            <w:noProof w:val="0"/>
            <w:color w:val="0B4CB4"/>
            <w:sz w:val="24"/>
            <w:szCs w:val="24"/>
            <w:lang w:val="en-GB"/>
          </w:rPr>
          <w:t>https://psyjournals.ru/en/journals/jmfp/archive/2021_n3/Basilova</w:t>
        </w:r>
      </w:hyperlink>
      <w:r w:rsidRPr="1957092F" w:rsidR="76A761A0">
        <w:rPr>
          <w:rFonts w:ascii="Arial" w:hAnsi="Arial" w:eastAsia="Arial" w:cs="Arial"/>
          <w:noProof w:val="0"/>
          <w:color w:val="000000" w:themeColor="text1" w:themeTint="FF" w:themeShade="FF"/>
          <w:sz w:val="24"/>
          <w:szCs w:val="24"/>
          <w:lang w:val="en-GB"/>
        </w:rPr>
        <w:t xml:space="preserve">. (Accessed: 7 June 2024). </w:t>
      </w:r>
    </w:p>
    <w:p w:rsidR="090963AF" w:rsidP="1957092F" w:rsidRDefault="090963AF" w14:paraId="01ECD7D8" w14:textId="588A4304">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BERA (2024) </w:t>
      </w:r>
      <w:r w:rsidRPr="1957092F" w:rsidR="76A761A0">
        <w:rPr>
          <w:rFonts w:ascii="Arial" w:hAnsi="Arial" w:eastAsia="Arial" w:cs="Arial"/>
          <w:i w:val="1"/>
          <w:iCs w:val="1"/>
          <w:noProof w:val="0"/>
          <w:color w:val="000000" w:themeColor="text1" w:themeTint="FF" w:themeShade="FF"/>
          <w:sz w:val="24"/>
          <w:szCs w:val="24"/>
          <w:lang w:val="en-GB"/>
        </w:rPr>
        <w:t xml:space="preserve">Ethical Guidelines for Educational Research, </w:t>
      </w:r>
      <w:r w:rsidRPr="1957092F" w:rsidR="76A761A0">
        <w:rPr>
          <w:rFonts w:ascii="Arial" w:hAnsi="Arial" w:eastAsia="Arial" w:cs="Arial"/>
          <w:noProof w:val="0"/>
          <w:color w:val="000000" w:themeColor="text1" w:themeTint="FF" w:themeShade="FF"/>
          <w:sz w:val="24"/>
          <w:szCs w:val="24"/>
          <w:lang w:val="en-GB"/>
        </w:rPr>
        <w:t>5</w:t>
      </w:r>
      <w:r w:rsidRPr="1957092F" w:rsidR="76A761A0">
        <w:rPr>
          <w:rFonts w:ascii="Arial" w:hAnsi="Arial" w:eastAsia="Arial" w:cs="Arial"/>
          <w:noProof w:val="0"/>
          <w:color w:val="000000" w:themeColor="text1" w:themeTint="FF" w:themeShade="FF"/>
          <w:sz w:val="24"/>
          <w:szCs w:val="24"/>
          <w:vertAlign w:val="superscript"/>
          <w:lang w:val="en-GB"/>
        </w:rPr>
        <w:t>th</w:t>
      </w:r>
      <w:r w:rsidRPr="1957092F" w:rsidR="76A761A0">
        <w:rPr>
          <w:rFonts w:ascii="Arial" w:hAnsi="Arial" w:eastAsia="Arial" w:cs="Arial"/>
          <w:noProof w:val="0"/>
          <w:color w:val="000000" w:themeColor="text1" w:themeTint="FF" w:themeShade="FF"/>
          <w:sz w:val="24"/>
          <w:szCs w:val="24"/>
          <w:lang w:val="en-GB"/>
        </w:rPr>
        <w:t xml:space="preserve"> ed. Available at: </w:t>
      </w:r>
      <w:hyperlink r:id="Rbe9235b919ce4521">
        <w:r w:rsidRPr="1957092F" w:rsidR="76A761A0">
          <w:rPr>
            <w:rStyle w:val="Hyperlink"/>
            <w:rFonts w:ascii="Arial" w:hAnsi="Arial" w:eastAsia="Arial" w:cs="Arial"/>
            <w:noProof w:val="0"/>
            <w:color w:val="0B4CB4"/>
            <w:sz w:val="24"/>
            <w:szCs w:val="24"/>
            <w:lang w:val="en-GB"/>
          </w:rPr>
          <w:t>https://www.bera.ac.uk/publication/ethical-guidelines-for-educational-research-fifth-edition-2024</w:t>
        </w:r>
      </w:hyperlink>
      <w:r w:rsidRPr="1957092F" w:rsidR="76A761A0">
        <w:rPr>
          <w:rFonts w:ascii="Arial" w:hAnsi="Arial" w:eastAsia="Arial" w:cs="Arial"/>
          <w:noProof w:val="0"/>
          <w:color w:val="000000" w:themeColor="text1" w:themeTint="FF" w:themeShade="FF"/>
          <w:sz w:val="24"/>
          <w:szCs w:val="24"/>
          <w:lang w:val="en-GB"/>
        </w:rPr>
        <w:t xml:space="preserve">. (Accessed: 6 June 2024). </w:t>
      </w:r>
    </w:p>
    <w:p w:rsidR="090963AF" w:rsidP="1957092F" w:rsidRDefault="090963AF" w14:paraId="0AD9D94F" w14:textId="01EA35E3">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Bryman, A. (2016) </w:t>
      </w:r>
      <w:r w:rsidRPr="1957092F" w:rsidR="76A761A0">
        <w:rPr>
          <w:rFonts w:ascii="Arial" w:hAnsi="Arial" w:eastAsia="Arial" w:cs="Arial"/>
          <w:i w:val="1"/>
          <w:iCs w:val="1"/>
          <w:noProof w:val="0"/>
          <w:color w:val="000000" w:themeColor="text1" w:themeTint="FF" w:themeShade="FF"/>
          <w:sz w:val="24"/>
          <w:szCs w:val="24"/>
          <w:lang w:val="en-GB"/>
        </w:rPr>
        <w:t xml:space="preserve">Social Research Methods. </w:t>
      </w:r>
      <w:r w:rsidRPr="1957092F" w:rsidR="76A761A0">
        <w:rPr>
          <w:rFonts w:ascii="Arial" w:hAnsi="Arial" w:eastAsia="Arial" w:cs="Arial"/>
          <w:noProof w:val="0"/>
          <w:color w:val="000000" w:themeColor="text1" w:themeTint="FF" w:themeShade="FF"/>
          <w:sz w:val="24"/>
          <w:szCs w:val="24"/>
          <w:lang w:val="en-GB"/>
        </w:rPr>
        <w:t>5</w:t>
      </w:r>
      <w:r w:rsidRPr="1957092F" w:rsidR="76A761A0">
        <w:rPr>
          <w:rFonts w:ascii="Arial" w:hAnsi="Arial" w:eastAsia="Arial" w:cs="Arial"/>
          <w:noProof w:val="0"/>
          <w:color w:val="000000" w:themeColor="text1" w:themeTint="FF" w:themeShade="FF"/>
          <w:sz w:val="24"/>
          <w:szCs w:val="24"/>
          <w:vertAlign w:val="superscript"/>
          <w:lang w:val="en-GB"/>
        </w:rPr>
        <w:t xml:space="preserve">th </w:t>
      </w:r>
      <w:r w:rsidRPr="1957092F" w:rsidR="76A761A0">
        <w:rPr>
          <w:rFonts w:ascii="Arial" w:hAnsi="Arial" w:eastAsia="Arial" w:cs="Arial"/>
          <w:noProof w:val="0"/>
          <w:color w:val="000000" w:themeColor="text1" w:themeTint="FF" w:themeShade="FF"/>
          <w:sz w:val="24"/>
          <w:szCs w:val="24"/>
          <w:lang w:val="en-GB"/>
        </w:rPr>
        <w:t>ed</w:t>
      </w:r>
      <w:r w:rsidRPr="1957092F" w:rsidR="76A761A0">
        <w:rPr>
          <w:rFonts w:ascii="Arial" w:hAnsi="Arial" w:eastAsia="Arial" w:cs="Arial"/>
          <w:i w:val="1"/>
          <w:iCs w:val="1"/>
          <w:noProof w:val="0"/>
          <w:color w:val="000000" w:themeColor="text1" w:themeTint="FF" w:themeShade="FF"/>
          <w:sz w:val="24"/>
          <w:szCs w:val="24"/>
          <w:lang w:val="en-GB"/>
        </w:rPr>
        <w:t xml:space="preserve">. </w:t>
      </w:r>
      <w:r w:rsidRPr="1957092F" w:rsidR="76A761A0">
        <w:rPr>
          <w:rFonts w:ascii="Arial" w:hAnsi="Arial" w:eastAsia="Arial" w:cs="Arial"/>
          <w:noProof w:val="0"/>
          <w:color w:val="000000" w:themeColor="text1" w:themeTint="FF" w:themeShade="FF"/>
          <w:sz w:val="24"/>
          <w:szCs w:val="24"/>
          <w:lang w:val="en-GB"/>
        </w:rPr>
        <w:t xml:space="preserve">Oxford University Press. </w:t>
      </w:r>
    </w:p>
    <w:p w:rsidR="090963AF" w:rsidP="1957092F" w:rsidRDefault="090963AF" w14:paraId="0E2D0E73" w14:textId="65EEB9FB">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Cohen, L., Manion, L. and Morrison, K. (2018) </w:t>
      </w:r>
      <w:r w:rsidRPr="1957092F" w:rsidR="76A761A0">
        <w:rPr>
          <w:rFonts w:ascii="Arial" w:hAnsi="Arial" w:eastAsia="Arial" w:cs="Arial"/>
          <w:i w:val="1"/>
          <w:iCs w:val="1"/>
          <w:noProof w:val="0"/>
          <w:color w:val="000000" w:themeColor="text1" w:themeTint="FF" w:themeShade="FF"/>
          <w:sz w:val="24"/>
          <w:szCs w:val="24"/>
          <w:lang w:val="en-GB"/>
        </w:rPr>
        <w:t xml:space="preserve">Research methods in education. </w:t>
      </w:r>
      <w:r w:rsidRPr="1957092F" w:rsidR="76A761A0">
        <w:rPr>
          <w:rFonts w:ascii="Arial" w:hAnsi="Arial" w:eastAsia="Arial" w:cs="Arial"/>
          <w:noProof w:val="0"/>
          <w:color w:val="000000" w:themeColor="text1" w:themeTint="FF" w:themeShade="FF"/>
          <w:sz w:val="24"/>
          <w:szCs w:val="24"/>
          <w:lang w:val="en-GB"/>
        </w:rPr>
        <w:t>8</w:t>
      </w:r>
      <w:r w:rsidRPr="1957092F" w:rsidR="76A761A0">
        <w:rPr>
          <w:rFonts w:ascii="Arial" w:hAnsi="Arial" w:eastAsia="Arial" w:cs="Arial"/>
          <w:noProof w:val="0"/>
          <w:color w:val="000000" w:themeColor="text1" w:themeTint="FF" w:themeShade="FF"/>
          <w:sz w:val="24"/>
          <w:szCs w:val="24"/>
          <w:vertAlign w:val="superscript"/>
          <w:lang w:val="en-GB"/>
        </w:rPr>
        <w:t>th</w:t>
      </w:r>
      <w:r w:rsidRPr="1957092F" w:rsidR="76A761A0">
        <w:rPr>
          <w:rFonts w:ascii="Arial" w:hAnsi="Arial" w:eastAsia="Arial" w:cs="Arial"/>
          <w:noProof w:val="0"/>
          <w:color w:val="000000" w:themeColor="text1" w:themeTint="FF" w:themeShade="FF"/>
          <w:sz w:val="24"/>
          <w:szCs w:val="24"/>
          <w:lang w:val="en-GB"/>
        </w:rPr>
        <w:t xml:space="preserve"> ed. London; Routledge. </w:t>
      </w:r>
    </w:p>
    <w:p w:rsidR="090963AF" w:rsidP="1957092F" w:rsidRDefault="090963AF" w14:paraId="0FDDAE28" w14:textId="424F44CC">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Creswell, J. W. (2014) </w:t>
      </w:r>
      <w:r w:rsidRPr="1957092F" w:rsidR="76A761A0">
        <w:rPr>
          <w:rFonts w:ascii="Arial" w:hAnsi="Arial" w:eastAsia="Arial" w:cs="Arial"/>
          <w:i w:val="1"/>
          <w:iCs w:val="1"/>
          <w:noProof w:val="0"/>
          <w:color w:val="000000" w:themeColor="text1" w:themeTint="FF" w:themeShade="FF"/>
          <w:sz w:val="24"/>
          <w:szCs w:val="24"/>
          <w:lang w:val="en-GB"/>
        </w:rPr>
        <w:t>Research Design: Qualitative, Quantitative, and Mixed Methods Approaches.</w:t>
      </w:r>
      <w:r w:rsidRPr="1957092F" w:rsidR="76A761A0">
        <w:rPr>
          <w:rFonts w:ascii="Arial" w:hAnsi="Arial" w:eastAsia="Arial" w:cs="Arial"/>
          <w:noProof w:val="0"/>
          <w:color w:val="000000" w:themeColor="text1" w:themeTint="FF" w:themeShade="FF"/>
          <w:sz w:val="24"/>
          <w:szCs w:val="24"/>
          <w:lang w:val="en-GB"/>
        </w:rPr>
        <w:t xml:space="preserve"> 4</w:t>
      </w:r>
      <w:r w:rsidRPr="1957092F" w:rsidR="76A761A0">
        <w:rPr>
          <w:rFonts w:ascii="Arial" w:hAnsi="Arial" w:eastAsia="Arial" w:cs="Arial"/>
          <w:noProof w:val="0"/>
          <w:color w:val="000000" w:themeColor="text1" w:themeTint="FF" w:themeShade="FF"/>
          <w:sz w:val="24"/>
          <w:szCs w:val="24"/>
          <w:vertAlign w:val="superscript"/>
          <w:lang w:val="en-GB"/>
        </w:rPr>
        <w:t>th</w:t>
      </w:r>
      <w:r w:rsidRPr="1957092F" w:rsidR="76A761A0">
        <w:rPr>
          <w:rFonts w:ascii="Arial" w:hAnsi="Arial" w:eastAsia="Arial" w:cs="Arial"/>
          <w:noProof w:val="0"/>
          <w:color w:val="000000" w:themeColor="text1" w:themeTint="FF" w:themeShade="FF"/>
          <w:sz w:val="24"/>
          <w:szCs w:val="24"/>
          <w:lang w:val="en-GB"/>
        </w:rPr>
        <w:t xml:space="preserve"> ed. Sage Publications. </w:t>
      </w:r>
    </w:p>
    <w:p w:rsidR="090963AF" w:rsidP="1957092F" w:rsidRDefault="090963AF" w14:paraId="1747631F" w14:textId="0ECE9CA3">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i w:val="1"/>
          <w:iCs w:val="1"/>
          <w:noProof w:val="0"/>
          <w:color w:val="000000" w:themeColor="text1" w:themeTint="FF" w:themeShade="FF"/>
          <w:sz w:val="24"/>
          <w:szCs w:val="24"/>
          <w:lang w:val="en-GB"/>
        </w:rPr>
        <w:t>Data Protection Act 2018</w:t>
      </w:r>
      <w:r w:rsidRPr="1957092F" w:rsidR="76A761A0">
        <w:rPr>
          <w:rFonts w:ascii="Arial" w:hAnsi="Arial" w:eastAsia="Arial" w:cs="Arial"/>
          <w:noProof w:val="0"/>
          <w:color w:val="000000" w:themeColor="text1" w:themeTint="FF" w:themeShade="FF"/>
          <w:sz w:val="24"/>
          <w:szCs w:val="24"/>
          <w:lang w:val="en-GB"/>
        </w:rPr>
        <w:t xml:space="preserve">. Available at: </w:t>
      </w:r>
      <w:hyperlink r:id="R93a7f99855aa4798">
        <w:r w:rsidRPr="1957092F" w:rsidR="76A761A0">
          <w:rPr>
            <w:rStyle w:val="Hyperlink"/>
            <w:rFonts w:ascii="Arial" w:hAnsi="Arial" w:eastAsia="Arial" w:cs="Arial"/>
            <w:noProof w:val="0"/>
            <w:color w:val="0B4CB4"/>
            <w:sz w:val="24"/>
            <w:szCs w:val="24"/>
            <w:lang w:val="en-GB"/>
          </w:rPr>
          <w:t>https://www.legislation.gov.uk/ukpga/2018/12</w:t>
        </w:r>
      </w:hyperlink>
      <w:r w:rsidRPr="1957092F" w:rsidR="76A761A0">
        <w:rPr>
          <w:rFonts w:ascii="Arial" w:hAnsi="Arial" w:eastAsia="Arial" w:cs="Arial"/>
          <w:noProof w:val="0"/>
          <w:color w:val="000000" w:themeColor="text1" w:themeTint="FF" w:themeShade="FF"/>
          <w:sz w:val="24"/>
          <w:szCs w:val="24"/>
          <w:lang w:val="en-GB"/>
        </w:rPr>
        <w:t xml:space="preserve">. (Accessed: 6 June 2024). </w:t>
      </w:r>
    </w:p>
    <w:p w:rsidR="090963AF" w:rsidP="1957092F" w:rsidRDefault="090963AF" w14:paraId="73CD2CBC" w14:textId="2854D97E">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Denzin, N. K. (2017) </w:t>
      </w:r>
      <w:r w:rsidRPr="1957092F" w:rsidR="76A761A0">
        <w:rPr>
          <w:rFonts w:ascii="Arial" w:hAnsi="Arial" w:eastAsia="Arial" w:cs="Arial"/>
          <w:i w:val="1"/>
          <w:iCs w:val="1"/>
          <w:noProof w:val="0"/>
          <w:color w:val="000000" w:themeColor="text1" w:themeTint="FF" w:themeShade="FF"/>
          <w:sz w:val="24"/>
          <w:szCs w:val="24"/>
          <w:lang w:val="en-GB"/>
        </w:rPr>
        <w:t xml:space="preserve">The Research Act: A Theoretical Introduction to Sociological Methods. </w:t>
      </w:r>
      <w:r w:rsidRPr="1957092F" w:rsidR="76A761A0">
        <w:rPr>
          <w:rFonts w:ascii="Arial" w:hAnsi="Arial" w:eastAsia="Arial" w:cs="Arial"/>
          <w:noProof w:val="0"/>
          <w:color w:val="000000" w:themeColor="text1" w:themeTint="FF" w:themeShade="FF"/>
          <w:sz w:val="24"/>
          <w:szCs w:val="24"/>
          <w:lang w:val="en-GB"/>
        </w:rPr>
        <w:t>2</w:t>
      </w:r>
      <w:r w:rsidRPr="1957092F" w:rsidR="76A761A0">
        <w:rPr>
          <w:rFonts w:ascii="Arial" w:hAnsi="Arial" w:eastAsia="Arial" w:cs="Arial"/>
          <w:noProof w:val="0"/>
          <w:color w:val="000000" w:themeColor="text1" w:themeTint="FF" w:themeShade="FF"/>
          <w:sz w:val="24"/>
          <w:szCs w:val="24"/>
          <w:vertAlign w:val="superscript"/>
          <w:lang w:val="en-GB"/>
        </w:rPr>
        <w:t>nd</w:t>
      </w:r>
      <w:r w:rsidRPr="1957092F" w:rsidR="76A761A0">
        <w:rPr>
          <w:rFonts w:ascii="Arial" w:hAnsi="Arial" w:eastAsia="Arial" w:cs="Arial"/>
          <w:noProof w:val="0"/>
          <w:color w:val="000000" w:themeColor="text1" w:themeTint="FF" w:themeShade="FF"/>
          <w:sz w:val="24"/>
          <w:szCs w:val="24"/>
          <w:lang w:val="en-GB"/>
        </w:rPr>
        <w:t xml:space="preserve"> ed. Abingdon, Oxon: Routledge. </w:t>
      </w:r>
    </w:p>
    <w:p w:rsidR="090963AF" w:rsidP="1957092F" w:rsidRDefault="090963AF" w14:paraId="1399CDF7" w14:textId="0F6421AE">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Durand, T.M. and </w:t>
      </w:r>
      <w:r w:rsidRPr="1957092F" w:rsidR="76A761A0">
        <w:rPr>
          <w:rFonts w:ascii="Arial" w:hAnsi="Arial" w:eastAsia="Arial" w:cs="Arial"/>
          <w:noProof w:val="0"/>
          <w:color w:val="000000" w:themeColor="text1" w:themeTint="FF" w:themeShade="FF"/>
          <w:sz w:val="24"/>
          <w:szCs w:val="24"/>
          <w:lang w:val="en-GB"/>
        </w:rPr>
        <w:t>Secakusuma</w:t>
      </w:r>
      <w:r w:rsidRPr="1957092F" w:rsidR="76A761A0">
        <w:rPr>
          <w:rFonts w:ascii="Arial" w:hAnsi="Arial" w:eastAsia="Arial" w:cs="Arial"/>
          <w:noProof w:val="0"/>
          <w:color w:val="000000" w:themeColor="text1" w:themeTint="FF" w:themeShade="FF"/>
          <w:sz w:val="24"/>
          <w:szCs w:val="24"/>
          <w:lang w:val="en-GB"/>
        </w:rPr>
        <w:t xml:space="preserve">, M. (2019) ‘Negotiating the Boundaries of Parental School Engagement: The Role of Social Space and Symbolic Capital in Urban Teachers’ Perspectives’, </w:t>
      </w:r>
      <w:r w:rsidRPr="1957092F" w:rsidR="76A761A0">
        <w:rPr>
          <w:rFonts w:ascii="Arial" w:hAnsi="Arial" w:eastAsia="Arial" w:cs="Arial"/>
          <w:i w:val="1"/>
          <w:iCs w:val="1"/>
          <w:noProof w:val="0"/>
          <w:color w:val="000000" w:themeColor="text1" w:themeTint="FF" w:themeShade="FF"/>
          <w:sz w:val="24"/>
          <w:szCs w:val="24"/>
          <w:lang w:val="en-GB"/>
        </w:rPr>
        <w:t>Teachers College record (1970)</w:t>
      </w:r>
      <w:r w:rsidRPr="1957092F" w:rsidR="76A761A0">
        <w:rPr>
          <w:rFonts w:ascii="Arial" w:hAnsi="Arial" w:eastAsia="Arial" w:cs="Arial"/>
          <w:noProof w:val="0"/>
          <w:color w:val="000000" w:themeColor="text1" w:themeTint="FF" w:themeShade="FF"/>
          <w:sz w:val="24"/>
          <w:szCs w:val="24"/>
          <w:lang w:val="en-GB"/>
        </w:rPr>
        <w:t xml:space="preserve">, 121(2), pp. 1–40. Available at: </w:t>
      </w:r>
      <w:hyperlink r:id="R87e3089e741a4929">
        <w:r w:rsidRPr="1957092F" w:rsidR="76A761A0">
          <w:rPr>
            <w:rStyle w:val="Hyperlink"/>
            <w:rFonts w:ascii="Arial" w:hAnsi="Arial" w:eastAsia="Arial" w:cs="Arial"/>
            <w:noProof w:val="0"/>
            <w:color w:val="0B4CB4"/>
            <w:sz w:val="24"/>
            <w:szCs w:val="24"/>
            <w:lang w:val="en-GB"/>
          </w:rPr>
          <w:t>https://doi.org/10.1177/016146811912100205</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00A4E252" w14:textId="1BFD8927">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Fowler, F. J. (2014) </w:t>
      </w:r>
      <w:r w:rsidRPr="1957092F" w:rsidR="76A761A0">
        <w:rPr>
          <w:rFonts w:ascii="Arial" w:hAnsi="Arial" w:eastAsia="Arial" w:cs="Arial"/>
          <w:i w:val="1"/>
          <w:iCs w:val="1"/>
          <w:noProof w:val="0"/>
          <w:color w:val="000000" w:themeColor="text1" w:themeTint="FF" w:themeShade="FF"/>
          <w:sz w:val="24"/>
          <w:szCs w:val="24"/>
          <w:lang w:val="en-GB"/>
        </w:rPr>
        <w:t>Survey Research Method.</w:t>
      </w:r>
      <w:r w:rsidRPr="1957092F" w:rsidR="76A761A0">
        <w:rPr>
          <w:rFonts w:ascii="Arial" w:hAnsi="Arial" w:eastAsia="Arial" w:cs="Arial"/>
          <w:noProof w:val="0"/>
          <w:color w:val="000000" w:themeColor="text1" w:themeTint="FF" w:themeShade="FF"/>
          <w:sz w:val="24"/>
          <w:szCs w:val="24"/>
          <w:lang w:val="en-GB"/>
        </w:rPr>
        <w:t xml:space="preserve"> 5</w:t>
      </w:r>
      <w:r w:rsidRPr="1957092F" w:rsidR="76A761A0">
        <w:rPr>
          <w:rFonts w:ascii="Arial" w:hAnsi="Arial" w:eastAsia="Arial" w:cs="Arial"/>
          <w:noProof w:val="0"/>
          <w:color w:val="000000" w:themeColor="text1" w:themeTint="FF" w:themeShade="FF"/>
          <w:sz w:val="24"/>
          <w:szCs w:val="24"/>
          <w:vertAlign w:val="superscript"/>
          <w:lang w:val="en-GB"/>
        </w:rPr>
        <w:t>th</w:t>
      </w:r>
      <w:r w:rsidRPr="1957092F" w:rsidR="76A761A0">
        <w:rPr>
          <w:rFonts w:ascii="Arial" w:hAnsi="Arial" w:eastAsia="Arial" w:cs="Arial"/>
          <w:noProof w:val="0"/>
          <w:color w:val="000000" w:themeColor="text1" w:themeTint="FF" w:themeShade="FF"/>
          <w:sz w:val="24"/>
          <w:szCs w:val="24"/>
          <w:lang w:val="en-GB"/>
        </w:rPr>
        <w:t xml:space="preserve"> ed. Centre for Survey, Research: University of Massachusetts. </w:t>
      </w:r>
    </w:p>
    <w:p w:rsidR="090963AF" w:rsidP="1957092F" w:rsidRDefault="090963AF" w14:paraId="1AE5F215" w14:textId="0D796DF9">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GDPR (2018) </w:t>
      </w:r>
      <w:r w:rsidRPr="1957092F" w:rsidR="76A761A0">
        <w:rPr>
          <w:rFonts w:ascii="Arial" w:hAnsi="Arial" w:eastAsia="Arial" w:cs="Arial"/>
          <w:i w:val="1"/>
          <w:iCs w:val="1"/>
          <w:noProof w:val="0"/>
          <w:color w:val="000000" w:themeColor="text1" w:themeTint="FF" w:themeShade="FF"/>
          <w:sz w:val="24"/>
          <w:szCs w:val="24"/>
          <w:lang w:val="en-GB"/>
        </w:rPr>
        <w:t>Regulation (EU) 2016/679 of the European Parliament and of the Council</w:t>
      </w:r>
      <w:r w:rsidRPr="1957092F" w:rsidR="76A761A0">
        <w:rPr>
          <w:rFonts w:ascii="Arial" w:hAnsi="Arial" w:eastAsia="Arial" w:cs="Arial"/>
          <w:noProof w:val="0"/>
          <w:color w:val="000000" w:themeColor="text1" w:themeTint="FF" w:themeShade="FF"/>
          <w:sz w:val="24"/>
          <w:szCs w:val="24"/>
          <w:lang w:val="en-GB"/>
        </w:rPr>
        <w:t xml:space="preserve">. Available at: </w:t>
      </w:r>
      <w:hyperlink r:id="Rebca54068e554912">
        <w:r w:rsidRPr="1957092F" w:rsidR="76A761A0">
          <w:rPr>
            <w:rStyle w:val="Hyperlink"/>
            <w:rFonts w:ascii="Arial" w:hAnsi="Arial" w:eastAsia="Arial" w:cs="Arial"/>
            <w:noProof w:val="0"/>
            <w:color w:val="0B4CB4"/>
            <w:sz w:val="24"/>
            <w:szCs w:val="24"/>
            <w:lang w:val="en-GB"/>
          </w:rPr>
          <w:t>https://www.legislation.gov.uk/eur/2016/679/contents</w:t>
        </w:r>
      </w:hyperlink>
      <w:r w:rsidRPr="1957092F" w:rsidR="76A761A0">
        <w:rPr>
          <w:rFonts w:ascii="Arial" w:hAnsi="Arial" w:eastAsia="Arial" w:cs="Arial"/>
          <w:noProof w:val="0"/>
          <w:color w:val="000000" w:themeColor="text1" w:themeTint="FF" w:themeShade="FF"/>
          <w:sz w:val="24"/>
          <w:szCs w:val="24"/>
          <w:lang w:val="en-GB"/>
        </w:rPr>
        <w:t xml:space="preserve">. (Accessed: 8 June 2024). </w:t>
      </w:r>
    </w:p>
    <w:p w:rsidR="090963AF" w:rsidP="1957092F" w:rsidRDefault="090963AF" w14:paraId="0610FDE8" w14:textId="7F0348E0">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Goodall, J. (2018) ‘A Toolkit for Parental Engagement: From Project to Process’, </w:t>
      </w:r>
      <w:r w:rsidRPr="1957092F" w:rsidR="76A761A0">
        <w:rPr>
          <w:rFonts w:ascii="Arial" w:hAnsi="Arial" w:eastAsia="Arial" w:cs="Arial"/>
          <w:i w:val="1"/>
          <w:iCs w:val="1"/>
          <w:noProof w:val="0"/>
          <w:color w:val="000000" w:themeColor="text1" w:themeTint="FF" w:themeShade="FF"/>
          <w:sz w:val="24"/>
          <w:szCs w:val="24"/>
          <w:lang w:val="en-GB"/>
        </w:rPr>
        <w:t>School leadership &amp; management</w:t>
      </w:r>
      <w:r w:rsidRPr="1957092F" w:rsidR="76A761A0">
        <w:rPr>
          <w:rFonts w:ascii="Arial" w:hAnsi="Arial" w:eastAsia="Arial" w:cs="Arial"/>
          <w:noProof w:val="0"/>
          <w:color w:val="000000" w:themeColor="text1" w:themeTint="FF" w:themeShade="FF"/>
          <w:sz w:val="24"/>
          <w:szCs w:val="24"/>
          <w:lang w:val="en-GB"/>
        </w:rPr>
        <w:t xml:space="preserve">, 38(2), pp. 222–238. Available at: </w:t>
      </w:r>
      <w:hyperlink r:id="Rddbfafc938cd4bfa">
        <w:r w:rsidRPr="1957092F" w:rsidR="76A761A0">
          <w:rPr>
            <w:rStyle w:val="Hyperlink"/>
            <w:rFonts w:ascii="Arial" w:hAnsi="Arial" w:eastAsia="Arial" w:cs="Arial"/>
            <w:noProof w:val="0"/>
            <w:color w:val="0B4CB4"/>
            <w:sz w:val="24"/>
            <w:szCs w:val="24"/>
            <w:lang w:val="en-GB"/>
          </w:rPr>
          <w:t>https://doi.org/10.1080/13632434.2018.1430689</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0667402B" w14:textId="7BD6314E">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Gray, C. (2012) </w:t>
      </w:r>
      <w:r w:rsidRPr="1957092F" w:rsidR="76A761A0">
        <w:rPr>
          <w:rFonts w:ascii="Arial" w:hAnsi="Arial" w:eastAsia="Arial" w:cs="Arial"/>
          <w:i w:val="1"/>
          <w:iCs w:val="1"/>
          <w:noProof w:val="0"/>
          <w:color w:val="000000" w:themeColor="text1" w:themeTint="FF" w:themeShade="FF"/>
          <w:sz w:val="24"/>
          <w:szCs w:val="24"/>
          <w:lang w:val="en-GB"/>
        </w:rPr>
        <w:t>‘Ethical Research with Children and Vulnerable Groups’</w:t>
      </w:r>
      <w:r w:rsidRPr="1957092F" w:rsidR="76A761A0">
        <w:rPr>
          <w:rFonts w:ascii="Arial" w:hAnsi="Arial" w:eastAsia="Arial" w:cs="Arial"/>
          <w:noProof w:val="0"/>
          <w:color w:val="000000" w:themeColor="text1" w:themeTint="FF" w:themeShade="FF"/>
          <w:sz w:val="24"/>
          <w:szCs w:val="24"/>
          <w:lang w:val="en-GB"/>
        </w:rPr>
        <w:t xml:space="preserve">, in Palaiologou, I. (ed.) </w:t>
      </w:r>
      <w:r w:rsidRPr="1957092F" w:rsidR="76A761A0">
        <w:rPr>
          <w:rFonts w:ascii="Arial" w:hAnsi="Arial" w:eastAsia="Arial" w:cs="Arial"/>
          <w:i w:val="1"/>
          <w:iCs w:val="1"/>
          <w:noProof w:val="0"/>
          <w:color w:val="000000" w:themeColor="text1" w:themeTint="FF" w:themeShade="FF"/>
          <w:sz w:val="24"/>
          <w:szCs w:val="24"/>
          <w:lang w:val="en-GB"/>
        </w:rPr>
        <w:t>Ethical practice in early childhood</w:t>
      </w:r>
      <w:r w:rsidRPr="1957092F" w:rsidR="76A761A0">
        <w:rPr>
          <w:rFonts w:ascii="Arial" w:hAnsi="Arial" w:eastAsia="Arial" w:cs="Arial"/>
          <w:noProof w:val="0"/>
          <w:color w:val="000000" w:themeColor="text1" w:themeTint="FF" w:themeShade="FF"/>
          <w:sz w:val="24"/>
          <w:szCs w:val="24"/>
          <w:lang w:val="en-GB"/>
        </w:rPr>
        <w:t xml:space="preserve">. Thousand Oaks, California: SAGE Publications. </w:t>
      </w:r>
    </w:p>
    <w:p w:rsidR="090963AF" w:rsidP="1957092F" w:rsidRDefault="090963AF" w14:paraId="5F4AAB23" w14:textId="546606E7">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Green, D. (2012) </w:t>
      </w:r>
      <w:r w:rsidRPr="1957092F" w:rsidR="76A761A0">
        <w:rPr>
          <w:rFonts w:ascii="Arial" w:hAnsi="Arial" w:eastAsia="Arial" w:cs="Arial"/>
          <w:i w:val="1"/>
          <w:iCs w:val="1"/>
          <w:noProof w:val="0"/>
          <w:color w:val="000000" w:themeColor="text1" w:themeTint="FF" w:themeShade="FF"/>
          <w:sz w:val="24"/>
          <w:szCs w:val="24"/>
          <w:lang w:val="en-GB"/>
        </w:rPr>
        <w:t>‘Involving Young Children in Research’</w:t>
      </w:r>
      <w:r w:rsidRPr="1957092F" w:rsidR="76A761A0">
        <w:rPr>
          <w:rFonts w:ascii="Arial" w:hAnsi="Arial" w:eastAsia="Arial" w:cs="Arial"/>
          <w:noProof w:val="0"/>
          <w:color w:val="000000" w:themeColor="text1" w:themeTint="FF" w:themeShade="FF"/>
          <w:sz w:val="24"/>
          <w:szCs w:val="24"/>
          <w:lang w:val="en-GB"/>
        </w:rPr>
        <w:t xml:space="preserve">, in Palaiologou, I. (ed.) </w:t>
      </w:r>
      <w:r w:rsidRPr="1957092F" w:rsidR="76A761A0">
        <w:rPr>
          <w:rFonts w:ascii="Arial" w:hAnsi="Arial" w:eastAsia="Arial" w:cs="Arial"/>
          <w:i w:val="1"/>
          <w:iCs w:val="1"/>
          <w:noProof w:val="0"/>
          <w:color w:val="000000" w:themeColor="text1" w:themeTint="FF" w:themeShade="FF"/>
          <w:sz w:val="24"/>
          <w:szCs w:val="24"/>
          <w:lang w:val="en-GB"/>
        </w:rPr>
        <w:t>Ethical practice in early childhood</w:t>
      </w:r>
      <w:r w:rsidRPr="1957092F" w:rsidR="76A761A0">
        <w:rPr>
          <w:rFonts w:ascii="Arial" w:hAnsi="Arial" w:eastAsia="Arial" w:cs="Arial"/>
          <w:noProof w:val="0"/>
          <w:color w:val="000000" w:themeColor="text1" w:themeTint="FF" w:themeShade="FF"/>
          <w:sz w:val="24"/>
          <w:szCs w:val="24"/>
          <w:lang w:val="en-GB"/>
        </w:rPr>
        <w:t xml:space="preserve">. Thousand Oaks, California: SAGE Publications. </w:t>
      </w:r>
    </w:p>
    <w:p w:rsidR="090963AF" w:rsidP="1957092F" w:rsidRDefault="090963AF" w14:paraId="1A79F568" w14:textId="6707AA5C">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Harpaz, G. and </w:t>
      </w:r>
      <w:r w:rsidRPr="1957092F" w:rsidR="76A761A0">
        <w:rPr>
          <w:rFonts w:ascii="Arial" w:hAnsi="Arial" w:eastAsia="Arial" w:cs="Arial"/>
          <w:noProof w:val="0"/>
          <w:color w:val="000000" w:themeColor="text1" w:themeTint="FF" w:themeShade="FF"/>
          <w:sz w:val="24"/>
          <w:szCs w:val="24"/>
          <w:lang w:val="en-GB"/>
        </w:rPr>
        <w:t>Grinshtain</w:t>
      </w:r>
      <w:r w:rsidRPr="1957092F" w:rsidR="76A761A0">
        <w:rPr>
          <w:rFonts w:ascii="Arial" w:hAnsi="Arial" w:eastAsia="Arial" w:cs="Arial"/>
          <w:noProof w:val="0"/>
          <w:color w:val="000000" w:themeColor="text1" w:themeTint="FF" w:themeShade="FF"/>
          <w:sz w:val="24"/>
          <w:szCs w:val="24"/>
          <w:lang w:val="en-GB"/>
        </w:rPr>
        <w:t xml:space="preserve">, Y. (2020) ‘Parent–Teacher Relations, Parental Self-Efficacy, and Parents’ Help-Seeking </w:t>
      </w:r>
      <w:bookmarkStart w:name="_Int_0jJzskXd" w:id="1494483880"/>
      <w:r w:rsidRPr="1957092F" w:rsidR="76A761A0">
        <w:rPr>
          <w:rFonts w:ascii="Arial" w:hAnsi="Arial" w:eastAsia="Arial" w:cs="Arial"/>
          <w:noProof w:val="0"/>
          <w:color w:val="000000" w:themeColor="text1" w:themeTint="FF" w:themeShade="FF"/>
          <w:sz w:val="24"/>
          <w:szCs w:val="24"/>
          <w:lang w:val="en-GB"/>
        </w:rPr>
        <w:t>From</w:t>
      </w:r>
      <w:bookmarkEnd w:id="1494483880"/>
      <w:r w:rsidRPr="1957092F" w:rsidR="76A761A0">
        <w:rPr>
          <w:rFonts w:ascii="Arial" w:hAnsi="Arial" w:eastAsia="Arial" w:cs="Arial"/>
          <w:noProof w:val="0"/>
          <w:color w:val="000000" w:themeColor="text1" w:themeTint="FF" w:themeShade="FF"/>
          <w:sz w:val="24"/>
          <w:szCs w:val="24"/>
          <w:lang w:val="en-GB"/>
        </w:rPr>
        <w:t xml:space="preserve"> Teachers About Children’s Learning and Socio-Emotional Problems’, </w:t>
      </w:r>
      <w:bookmarkStart w:name="_Int_dmjVtbpO" w:id="1470772287"/>
      <w:r w:rsidRPr="1957092F" w:rsidR="76A761A0">
        <w:rPr>
          <w:rFonts w:ascii="Arial" w:hAnsi="Arial" w:eastAsia="Arial" w:cs="Arial"/>
          <w:i w:val="1"/>
          <w:iCs w:val="1"/>
          <w:noProof w:val="0"/>
          <w:color w:val="000000" w:themeColor="text1" w:themeTint="FF" w:themeShade="FF"/>
          <w:sz w:val="24"/>
          <w:szCs w:val="24"/>
          <w:lang w:val="en-GB"/>
        </w:rPr>
        <w:t>Education</w:t>
      </w:r>
      <w:bookmarkEnd w:id="1470772287"/>
      <w:r w:rsidRPr="1957092F" w:rsidR="76A761A0">
        <w:rPr>
          <w:rFonts w:ascii="Arial" w:hAnsi="Arial" w:eastAsia="Arial" w:cs="Arial"/>
          <w:i w:val="1"/>
          <w:iCs w:val="1"/>
          <w:noProof w:val="0"/>
          <w:color w:val="000000" w:themeColor="text1" w:themeTint="FF" w:themeShade="FF"/>
          <w:sz w:val="24"/>
          <w:szCs w:val="24"/>
          <w:lang w:val="en-GB"/>
        </w:rPr>
        <w:t xml:space="preserve"> and urban society</w:t>
      </w:r>
      <w:r w:rsidRPr="1957092F" w:rsidR="76A761A0">
        <w:rPr>
          <w:rFonts w:ascii="Arial" w:hAnsi="Arial" w:eastAsia="Arial" w:cs="Arial"/>
          <w:noProof w:val="0"/>
          <w:color w:val="000000" w:themeColor="text1" w:themeTint="FF" w:themeShade="FF"/>
          <w:sz w:val="24"/>
          <w:szCs w:val="24"/>
          <w:lang w:val="en-GB"/>
        </w:rPr>
        <w:t xml:space="preserve">, 52(9), pp. 1397–1416. Available at: </w:t>
      </w:r>
      <w:hyperlink r:id="R6ffb31de44ac4c49">
        <w:r w:rsidRPr="1957092F" w:rsidR="76A761A0">
          <w:rPr>
            <w:rStyle w:val="Hyperlink"/>
            <w:rFonts w:ascii="Arial" w:hAnsi="Arial" w:eastAsia="Arial" w:cs="Arial"/>
            <w:noProof w:val="0"/>
            <w:color w:val="0B4CB4"/>
            <w:sz w:val="24"/>
            <w:szCs w:val="24"/>
            <w:lang w:val="en-GB"/>
          </w:rPr>
          <w:t>https://doi.org/10.1177/0013124520915597</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4F0D0305" w14:textId="2B892C41">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Heale, R. and, Forbes, D. (2017) ‘Understanding triangulation in research’ </w:t>
      </w:r>
      <w:r w:rsidRPr="1957092F" w:rsidR="76A761A0">
        <w:rPr>
          <w:rFonts w:ascii="Arial" w:hAnsi="Arial" w:eastAsia="Arial" w:cs="Arial"/>
          <w:i w:val="1"/>
          <w:iCs w:val="1"/>
          <w:noProof w:val="0"/>
          <w:color w:val="000000" w:themeColor="text1" w:themeTint="FF" w:themeShade="FF"/>
          <w:sz w:val="24"/>
          <w:szCs w:val="24"/>
          <w:lang w:val="en-GB"/>
        </w:rPr>
        <w:t>Evidence-Based Nursing</w:t>
      </w:r>
      <w:r w:rsidRPr="1957092F" w:rsidR="76A761A0">
        <w:rPr>
          <w:rFonts w:ascii="Arial" w:hAnsi="Arial" w:eastAsia="Arial" w:cs="Arial"/>
          <w:noProof w:val="0"/>
          <w:color w:val="000000" w:themeColor="text1" w:themeTint="FF" w:themeShade="FF"/>
          <w:sz w:val="24"/>
          <w:szCs w:val="24"/>
          <w:lang w:val="en-GB"/>
        </w:rPr>
        <w:t xml:space="preserve">, 16:98. Available at: </w:t>
      </w:r>
      <w:hyperlink r:id="R5aedb7cd981d42d5">
        <w:r w:rsidRPr="1957092F" w:rsidR="76A761A0">
          <w:rPr>
            <w:rStyle w:val="Hyperlink"/>
            <w:rFonts w:ascii="Arial" w:hAnsi="Arial" w:eastAsia="Arial" w:cs="Arial"/>
            <w:noProof w:val="0"/>
            <w:color w:val="0B4CB4"/>
            <w:sz w:val="24"/>
            <w:szCs w:val="24"/>
            <w:lang w:val="en-GB"/>
          </w:rPr>
          <w:t>https://doi.org/10.1136/eb-2013-101494</w:t>
        </w:r>
      </w:hyperlink>
      <w:r w:rsidRPr="1957092F" w:rsidR="76A761A0">
        <w:rPr>
          <w:rFonts w:ascii="Arial" w:hAnsi="Arial" w:eastAsia="Arial" w:cs="Arial"/>
          <w:noProof w:val="0"/>
          <w:color w:val="000000" w:themeColor="text1" w:themeTint="FF" w:themeShade="FF"/>
          <w:sz w:val="24"/>
          <w:szCs w:val="24"/>
          <w:lang w:val="en-GB"/>
        </w:rPr>
        <w:t>. (Accessed: 5 June 2024).</w:t>
      </w:r>
    </w:p>
    <w:p w:rsidR="090963AF" w:rsidP="1957092F" w:rsidRDefault="090963AF" w14:paraId="519A4BEB" w14:textId="65587F06">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Hornby, G. and Blackwell, I. (2018) ‘Barriers to parental involvement in education: an update’, </w:t>
      </w:r>
      <w:r w:rsidRPr="1957092F" w:rsidR="76A761A0">
        <w:rPr>
          <w:rFonts w:ascii="Arial" w:hAnsi="Arial" w:eastAsia="Arial" w:cs="Arial"/>
          <w:i w:val="1"/>
          <w:iCs w:val="1"/>
          <w:noProof w:val="0"/>
          <w:color w:val="000000" w:themeColor="text1" w:themeTint="FF" w:themeShade="FF"/>
          <w:sz w:val="24"/>
          <w:szCs w:val="24"/>
          <w:lang w:val="en-GB"/>
        </w:rPr>
        <w:t>Educational review (Birmingham)</w:t>
      </w:r>
      <w:r w:rsidRPr="1957092F" w:rsidR="76A761A0">
        <w:rPr>
          <w:rFonts w:ascii="Arial" w:hAnsi="Arial" w:eastAsia="Arial" w:cs="Arial"/>
          <w:noProof w:val="0"/>
          <w:color w:val="000000" w:themeColor="text1" w:themeTint="FF" w:themeShade="FF"/>
          <w:sz w:val="24"/>
          <w:szCs w:val="24"/>
          <w:lang w:val="en-GB"/>
        </w:rPr>
        <w:t xml:space="preserve">, 70(1), pp. 109–119. Available at: </w:t>
      </w:r>
      <w:hyperlink r:id="R99645f9ad6034571">
        <w:r w:rsidRPr="1957092F" w:rsidR="76A761A0">
          <w:rPr>
            <w:rStyle w:val="Hyperlink"/>
            <w:rFonts w:ascii="Arial" w:hAnsi="Arial" w:eastAsia="Arial" w:cs="Arial"/>
            <w:noProof w:val="0"/>
            <w:color w:val="0B4CB4"/>
            <w:sz w:val="24"/>
            <w:szCs w:val="24"/>
            <w:lang w:val="en-GB"/>
          </w:rPr>
          <w:t>https://doi.org/10.1080/00131911.2018.1388612</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4EAD2464" w14:textId="28A9267D">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Jeynes</w:t>
      </w:r>
      <w:r w:rsidRPr="1957092F" w:rsidR="76A761A0">
        <w:rPr>
          <w:rFonts w:ascii="Arial" w:hAnsi="Arial" w:eastAsia="Arial" w:cs="Arial"/>
          <w:noProof w:val="0"/>
          <w:color w:val="000000" w:themeColor="text1" w:themeTint="FF" w:themeShade="FF"/>
          <w:sz w:val="24"/>
          <w:szCs w:val="24"/>
          <w:lang w:val="en-GB"/>
        </w:rPr>
        <w:t xml:space="preserve">, W.H. (2018) ‘A Practical Model for School Leaders to Encourage Parental Involvement and Parental Engagement’, </w:t>
      </w:r>
      <w:r w:rsidRPr="1957092F" w:rsidR="76A761A0">
        <w:rPr>
          <w:rFonts w:ascii="Arial" w:hAnsi="Arial" w:eastAsia="Arial" w:cs="Arial"/>
          <w:i w:val="1"/>
          <w:iCs w:val="1"/>
          <w:noProof w:val="0"/>
          <w:color w:val="000000" w:themeColor="text1" w:themeTint="FF" w:themeShade="FF"/>
          <w:sz w:val="24"/>
          <w:szCs w:val="24"/>
          <w:lang w:val="en-GB"/>
        </w:rPr>
        <w:t>School leadership &amp; management</w:t>
      </w:r>
      <w:r w:rsidRPr="1957092F" w:rsidR="76A761A0">
        <w:rPr>
          <w:rFonts w:ascii="Arial" w:hAnsi="Arial" w:eastAsia="Arial" w:cs="Arial"/>
          <w:noProof w:val="0"/>
          <w:color w:val="000000" w:themeColor="text1" w:themeTint="FF" w:themeShade="FF"/>
          <w:sz w:val="24"/>
          <w:szCs w:val="24"/>
          <w:lang w:val="en-GB"/>
        </w:rPr>
        <w:t xml:space="preserve">, 38(2), pp. 147–163. Available at: </w:t>
      </w:r>
      <w:hyperlink r:id="Rf6a34177940148ff">
        <w:r w:rsidRPr="1957092F" w:rsidR="76A761A0">
          <w:rPr>
            <w:rStyle w:val="Hyperlink"/>
            <w:rFonts w:ascii="Arial" w:hAnsi="Arial" w:eastAsia="Arial" w:cs="Arial"/>
            <w:noProof w:val="0"/>
            <w:color w:val="0B4CB4"/>
            <w:sz w:val="24"/>
            <w:szCs w:val="24"/>
            <w:lang w:val="en-GB"/>
          </w:rPr>
          <w:t>https://doi.org/10.1080/13632434.2018.1434767</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24E8753A" w14:textId="4BD56D85">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Lambert, M. (ed.) (2019) </w:t>
      </w:r>
      <w:r w:rsidRPr="1957092F" w:rsidR="76A761A0">
        <w:rPr>
          <w:rFonts w:ascii="Arial" w:hAnsi="Arial" w:eastAsia="Arial" w:cs="Arial"/>
          <w:i w:val="1"/>
          <w:iCs w:val="1"/>
          <w:noProof w:val="0"/>
          <w:color w:val="000000" w:themeColor="text1" w:themeTint="FF" w:themeShade="FF"/>
          <w:sz w:val="24"/>
          <w:szCs w:val="24"/>
          <w:lang w:val="en-GB"/>
        </w:rPr>
        <w:t>Practical research Methods in Education: An early researcher’s critical guide</w:t>
      </w:r>
      <w:r w:rsidRPr="1957092F" w:rsidR="76A761A0">
        <w:rPr>
          <w:rFonts w:ascii="Arial" w:hAnsi="Arial" w:eastAsia="Arial" w:cs="Arial"/>
          <w:noProof w:val="0"/>
          <w:color w:val="000000" w:themeColor="text1" w:themeTint="FF" w:themeShade="FF"/>
          <w:sz w:val="24"/>
          <w:szCs w:val="24"/>
          <w:lang w:val="en-GB"/>
        </w:rPr>
        <w:t xml:space="preserve">. Abingdon, Oxon: Routledge. </w:t>
      </w:r>
    </w:p>
    <w:p w:rsidR="090963AF" w:rsidP="1957092F" w:rsidRDefault="090963AF" w14:paraId="3CC531A9" w14:textId="24AF3188">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NSPCC Learning (2024) </w:t>
      </w:r>
      <w:r w:rsidRPr="1957092F" w:rsidR="76A761A0">
        <w:rPr>
          <w:rFonts w:ascii="Arial" w:hAnsi="Arial" w:eastAsia="Arial" w:cs="Arial"/>
          <w:i w:val="1"/>
          <w:iCs w:val="1"/>
          <w:noProof w:val="0"/>
          <w:color w:val="000000" w:themeColor="text1" w:themeTint="FF" w:themeShade="FF"/>
          <w:sz w:val="24"/>
          <w:szCs w:val="24"/>
          <w:lang w:val="en-GB"/>
        </w:rPr>
        <w:t>Research with children: ethics, safety and promoting inclusion</w:t>
      </w:r>
      <w:r w:rsidRPr="1957092F" w:rsidR="76A761A0">
        <w:rPr>
          <w:rFonts w:ascii="Arial" w:hAnsi="Arial" w:eastAsia="Arial" w:cs="Arial"/>
          <w:noProof w:val="0"/>
          <w:color w:val="000000" w:themeColor="text1" w:themeTint="FF" w:themeShade="FF"/>
          <w:sz w:val="24"/>
          <w:szCs w:val="24"/>
          <w:lang w:val="en-GB"/>
        </w:rPr>
        <w:t xml:space="preserve">. Available at: </w:t>
      </w:r>
      <w:hyperlink r:id="Ra76aa47480fe4ecc">
        <w:r w:rsidRPr="1957092F" w:rsidR="76A761A0">
          <w:rPr>
            <w:rStyle w:val="Hyperlink"/>
            <w:rFonts w:ascii="Arial" w:hAnsi="Arial" w:eastAsia="Arial" w:cs="Arial"/>
            <w:noProof w:val="0"/>
            <w:color w:val="0B4CB4"/>
            <w:sz w:val="24"/>
            <w:szCs w:val="24"/>
            <w:lang w:val="en-GB"/>
          </w:rPr>
          <w:t>https://learning.nspcc.org.uk/research-resources/briefings/research-with-children-ethics-safety-promoting-inclusion</w:t>
        </w:r>
      </w:hyperlink>
      <w:r w:rsidRPr="1957092F" w:rsidR="76A761A0">
        <w:rPr>
          <w:rFonts w:ascii="Arial" w:hAnsi="Arial" w:eastAsia="Arial" w:cs="Arial"/>
          <w:noProof w:val="0"/>
          <w:color w:val="000000" w:themeColor="text1" w:themeTint="FF" w:themeShade="FF"/>
          <w:sz w:val="24"/>
          <w:szCs w:val="24"/>
          <w:lang w:val="en-GB"/>
        </w:rPr>
        <w:t xml:space="preserve">. (Accessed: 1 June 2024). </w:t>
      </w:r>
    </w:p>
    <w:p w:rsidR="090963AF" w:rsidP="1957092F" w:rsidRDefault="090963AF" w14:paraId="461CD8D7" w14:textId="24405273">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Patton, M. Q. (2015) </w:t>
      </w:r>
      <w:r w:rsidRPr="1957092F" w:rsidR="76A761A0">
        <w:rPr>
          <w:rFonts w:ascii="Arial" w:hAnsi="Arial" w:eastAsia="Arial" w:cs="Arial"/>
          <w:i w:val="1"/>
          <w:iCs w:val="1"/>
          <w:noProof w:val="0"/>
          <w:color w:val="000000" w:themeColor="text1" w:themeTint="FF" w:themeShade="FF"/>
          <w:sz w:val="24"/>
          <w:szCs w:val="24"/>
          <w:lang w:val="en-GB"/>
        </w:rPr>
        <w:t xml:space="preserve">Qualitative Research &amp; Evaluation Methods. </w:t>
      </w:r>
      <w:r w:rsidRPr="1957092F" w:rsidR="76A761A0">
        <w:rPr>
          <w:rFonts w:ascii="Arial" w:hAnsi="Arial" w:eastAsia="Arial" w:cs="Arial"/>
          <w:noProof w:val="0"/>
          <w:color w:val="000000" w:themeColor="text1" w:themeTint="FF" w:themeShade="FF"/>
          <w:sz w:val="24"/>
          <w:szCs w:val="24"/>
          <w:lang w:val="en-GB"/>
        </w:rPr>
        <w:t>4</w:t>
      </w:r>
      <w:r w:rsidRPr="1957092F" w:rsidR="76A761A0">
        <w:rPr>
          <w:rFonts w:ascii="Arial" w:hAnsi="Arial" w:eastAsia="Arial" w:cs="Arial"/>
          <w:noProof w:val="0"/>
          <w:color w:val="000000" w:themeColor="text1" w:themeTint="FF" w:themeShade="FF"/>
          <w:sz w:val="24"/>
          <w:szCs w:val="24"/>
          <w:vertAlign w:val="superscript"/>
          <w:lang w:val="en-GB"/>
        </w:rPr>
        <w:t>th</w:t>
      </w:r>
      <w:r w:rsidRPr="1957092F" w:rsidR="76A761A0">
        <w:rPr>
          <w:rFonts w:ascii="Arial" w:hAnsi="Arial" w:eastAsia="Arial" w:cs="Arial"/>
          <w:noProof w:val="0"/>
          <w:color w:val="000000" w:themeColor="text1" w:themeTint="FF" w:themeShade="FF"/>
          <w:sz w:val="24"/>
          <w:szCs w:val="24"/>
          <w:lang w:val="en-GB"/>
        </w:rPr>
        <w:t xml:space="preserve"> ed. London: Sage Publications. </w:t>
      </w:r>
    </w:p>
    <w:p w:rsidR="090963AF" w:rsidP="1957092F" w:rsidRDefault="090963AF" w14:paraId="36A422E9" w14:textId="0C6280E5">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Posey-Maddox, L. and Haley-Lock, A. (2020) ‘One Size Does Not Fit All: Understanding Parent Engagement in the Contexts of Work, Family, and Public Schooling’, </w:t>
      </w:r>
      <w:r w:rsidRPr="1957092F" w:rsidR="76A761A0">
        <w:rPr>
          <w:rFonts w:ascii="Arial" w:hAnsi="Arial" w:eastAsia="Arial" w:cs="Arial"/>
          <w:i w:val="1"/>
          <w:iCs w:val="1"/>
          <w:noProof w:val="0"/>
          <w:color w:val="000000" w:themeColor="text1" w:themeTint="FF" w:themeShade="FF"/>
          <w:sz w:val="24"/>
          <w:szCs w:val="24"/>
          <w:lang w:val="en-GB"/>
        </w:rPr>
        <w:t>Urban education</w:t>
      </w:r>
      <w:r w:rsidRPr="1957092F" w:rsidR="76A761A0">
        <w:rPr>
          <w:rFonts w:ascii="Arial" w:hAnsi="Arial" w:eastAsia="Arial" w:cs="Arial"/>
          <w:noProof w:val="0"/>
          <w:color w:val="000000" w:themeColor="text1" w:themeTint="FF" w:themeShade="FF"/>
          <w:sz w:val="24"/>
          <w:szCs w:val="24"/>
          <w:lang w:val="en-GB"/>
        </w:rPr>
        <w:t xml:space="preserve"> </w:t>
      </w:r>
      <w:r w:rsidRPr="1957092F" w:rsidR="76A761A0">
        <w:rPr>
          <w:rFonts w:ascii="Arial" w:hAnsi="Arial" w:eastAsia="Arial" w:cs="Arial"/>
          <w:i w:val="1"/>
          <w:iCs w:val="1"/>
          <w:noProof w:val="0"/>
          <w:color w:val="000000" w:themeColor="text1" w:themeTint="FF" w:themeShade="FF"/>
          <w:sz w:val="24"/>
          <w:szCs w:val="24"/>
          <w:lang w:val="en-GB"/>
        </w:rPr>
        <w:t>(Beverly Hills, Calif.)</w:t>
      </w:r>
      <w:r w:rsidRPr="1957092F" w:rsidR="76A761A0">
        <w:rPr>
          <w:rFonts w:ascii="Arial" w:hAnsi="Arial" w:eastAsia="Arial" w:cs="Arial"/>
          <w:noProof w:val="0"/>
          <w:color w:val="000000" w:themeColor="text1" w:themeTint="FF" w:themeShade="FF"/>
          <w:sz w:val="24"/>
          <w:szCs w:val="24"/>
          <w:lang w:val="en-GB"/>
        </w:rPr>
        <w:t xml:space="preserve">, 55(5), pp. 671–698. Available at: </w:t>
      </w:r>
      <w:hyperlink r:id="R44b1fc4981ca4c10">
        <w:r w:rsidRPr="1957092F" w:rsidR="76A761A0">
          <w:rPr>
            <w:rStyle w:val="Hyperlink"/>
            <w:rFonts w:ascii="Arial" w:hAnsi="Arial" w:eastAsia="Arial" w:cs="Arial"/>
            <w:noProof w:val="0"/>
            <w:color w:val="0B4CB4"/>
            <w:sz w:val="24"/>
            <w:szCs w:val="24"/>
            <w:lang w:val="en-GB"/>
          </w:rPr>
          <w:t>https://doi.org/10.1177/0042085916660348</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1FCD6247" w14:textId="5984B248">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Rozsahegyi</w:t>
      </w:r>
      <w:r w:rsidRPr="1957092F" w:rsidR="76A761A0">
        <w:rPr>
          <w:rFonts w:ascii="Arial" w:hAnsi="Arial" w:eastAsia="Arial" w:cs="Arial"/>
          <w:noProof w:val="0"/>
          <w:color w:val="000000" w:themeColor="text1" w:themeTint="FF" w:themeShade="FF"/>
          <w:sz w:val="24"/>
          <w:szCs w:val="24"/>
          <w:lang w:val="en-GB"/>
        </w:rPr>
        <w:t xml:space="preserve">, T. (2019) </w:t>
      </w:r>
      <w:r w:rsidRPr="1957092F" w:rsidR="76A761A0">
        <w:rPr>
          <w:rFonts w:ascii="Arial" w:hAnsi="Arial" w:eastAsia="Arial" w:cs="Arial"/>
          <w:i w:val="1"/>
          <w:iCs w:val="1"/>
          <w:noProof w:val="0"/>
          <w:color w:val="000000" w:themeColor="text1" w:themeTint="FF" w:themeShade="FF"/>
          <w:sz w:val="24"/>
          <w:szCs w:val="24"/>
          <w:lang w:val="en-GB"/>
        </w:rPr>
        <w:t>‘Observations’</w:t>
      </w:r>
      <w:r w:rsidRPr="1957092F" w:rsidR="76A761A0">
        <w:rPr>
          <w:rFonts w:ascii="Arial" w:hAnsi="Arial" w:eastAsia="Arial" w:cs="Arial"/>
          <w:noProof w:val="0"/>
          <w:color w:val="000000" w:themeColor="text1" w:themeTint="FF" w:themeShade="FF"/>
          <w:sz w:val="24"/>
          <w:szCs w:val="24"/>
          <w:lang w:val="en-GB"/>
        </w:rPr>
        <w:t xml:space="preserve">, pp. 23-34, in Lambert, M. (ed.) </w:t>
      </w:r>
      <w:r w:rsidRPr="1957092F" w:rsidR="76A761A0">
        <w:rPr>
          <w:rFonts w:ascii="Arial" w:hAnsi="Arial" w:eastAsia="Arial" w:cs="Arial"/>
          <w:i w:val="1"/>
          <w:iCs w:val="1"/>
          <w:noProof w:val="0"/>
          <w:color w:val="000000" w:themeColor="text1" w:themeTint="FF" w:themeShade="FF"/>
          <w:sz w:val="24"/>
          <w:szCs w:val="24"/>
          <w:lang w:val="en-GB"/>
        </w:rPr>
        <w:t>Practical research Methods in Education: An early researcher’s critical guide</w:t>
      </w:r>
      <w:r w:rsidRPr="1957092F" w:rsidR="76A761A0">
        <w:rPr>
          <w:rFonts w:ascii="Arial" w:hAnsi="Arial" w:eastAsia="Arial" w:cs="Arial"/>
          <w:noProof w:val="0"/>
          <w:color w:val="000000" w:themeColor="text1" w:themeTint="FF" w:themeShade="FF"/>
          <w:sz w:val="24"/>
          <w:szCs w:val="24"/>
          <w:lang w:val="en-GB"/>
        </w:rPr>
        <w:t xml:space="preserve">. Abingdon Oxon: Routledge. </w:t>
      </w:r>
    </w:p>
    <w:p w:rsidR="090963AF" w:rsidP="1957092F" w:rsidRDefault="090963AF" w14:paraId="2F6562CA" w14:textId="26E91DDA">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The British Psychological Society (2021) </w:t>
      </w:r>
      <w:r w:rsidRPr="1957092F" w:rsidR="76A761A0">
        <w:rPr>
          <w:rFonts w:ascii="Arial" w:hAnsi="Arial" w:eastAsia="Arial" w:cs="Arial"/>
          <w:i w:val="1"/>
          <w:iCs w:val="1"/>
          <w:noProof w:val="0"/>
          <w:color w:val="000000" w:themeColor="text1" w:themeTint="FF" w:themeShade="FF"/>
          <w:sz w:val="24"/>
          <w:szCs w:val="24"/>
          <w:lang w:val="en-GB"/>
        </w:rPr>
        <w:t>BPS Code of Human Research Ethics.</w:t>
      </w:r>
      <w:r w:rsidRPr="1957092F" w:rsidR="76A761A0">
        <w:rPr>
          <w:rFonts w:ascii="Arial" w:hAnsi="Arial" w:eastAsia="Arial" w:cs="Arial"/>
          <w:noProof w:val="0"/>
          <w:color w:val="000000" w:themeColor="text1" w:themeTint="FF" w:themeShade="FF"/>
          <w:sz w:val="24"/>
          <w:szCs w:val="24"/>
          <w:lang w:val="en-GB"/>
        </w:rPr>
        <w:t xml:space="preserve"> Available at: </w:t>
      </w:r>
      <w:hyperlink r:id="R81012601909d478f">
        <w:r w:rsidRPr="1957092F" w:rsidR="76A761A0">
          <w:rPr>
            <w:rStyle w:val="Hyperlink"/>
            <w:rFonts w:ascii="Arial" w:hAnsi="Arial" w:eastAsia="Arial" w:cs="Arial"/>
            <w:noProof w:val="0"/>
            <w:color w:val="0B4CB4"/>
            <w:sz w:val="24"/>
            <w:szCs w:val="24"/>
            <w:lang w:val="en-GB"/>
          </w:rPr>
          <w:t>https://explore.bps.org.uk/binary/bpsworks/06096a55b82ca73a/9787a5959b2bfdff7ed2a43ad5b3f333a5278925cfd667b1b2e64b5387c91b92/inf180_2021.pdf</w:t>
        </w:r>
      </w:hyperlink>
      <w:r w:rsidRPr="1957092F" w:rsidR="76A761A0">
        <w:rPr>
          <w:rFonts w:ascii="Arial" w:hAnsi="Arial" w:eastAsia="Arial" w:cs="Arial"/>
          <w:noProof w:val="0"/>
          <w:color w:val="000000" w:themeColor="text1" w:themeTint="FF" w:themeShade="FF"/>
          <w:sz w:val="24"/>
          <w:szCs w:val="24"/>
          <w:lang w:val="en-GB"/>
        </w:rPr>
        <w:t xml:space="preserve">. (Accessed: 7 June 2024). </w:t>
      </w:r>
    </w:p>
    <w:p w:rsidR="090963AF" w:rsidP="1957092F" w:rsidRDefault="090963AF" w14:paraId="1D40606C" w14:textId="4A21B253">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Wilson, S. and McGuire, K. (2021) ‘“</w:t>
      </w:r>
      <w:bookmarkStart w:name="_Int_3Q75reuX" w:id="1902224961"/>
      <w:r w:rsidRPr="1957092F" w:rsidR="76A761A0">
        <w:rPr>
          <w:rFonts w:ascii="Arial" w:hAnsi="Arial" w:eastAsia="Arial" w:cs="Arial"/>
          <w:noProof w:val="0"/>
          <w:color w:val="000000" w:themeColor="text1" w:themeTint="FF" w:themeShade="FF"/>
          <w:sz w:val="24"/>
          <w:szCs w:val="24"/>
          <w:lang w:val="en-GB"/>
        </w:rPr>
        <w:t>They’d</w:t>
      </w:r>
      <w:bookmarkEnd w:id="1902224961"/>
      <w:r w:rsidRPr="1957092F" w:rsidR="76A761A0">
        <w:rPr>
          <w:rFonts w:ascii="Arial" w:hAnsi="Arial" w:eastAsia="Arial" w:cs="Arial"/>
          <w:noProof w:val="0"/>
          <w:color w:val="000000" w:themeColor="text1" w:themeTint="FF" w:themeShade="FF"/>
          <w:sz w:val="24"/>
          <w:szCs w:val="24"/>
          <w:lang w:val="en-GB"/>
        </w:rPr>
        <w:t xml:space="preserve"> already made their minds up”: understanding the impact of stigma on parental engagement’, </w:t>
      </w:r>
      <w:r w:rsidRPr="1957092F" w:rsidR="76A761A0">
        <w:rPr>
          <w:rFonts w:ascii="Arial" w:hAnsi="Arial" w:eastAsia="Arial" w:cs="Arial"/>
          <w:i w:val="1"/>
          <w:iCs w:val="1"/>
          <w:noProof w:val="0"/>
          <w:color w:val="000000" w:themeColor="text1" w:themeTint="FF" w:themeShade="FF"/>
          <w:sz w:val="24"/>
          <w:szCs w:val="24"/>
          <w:lang w:val="en-GB"/>
        </w:rPr>
        <w:t>British journal of sociology of education</w:t>
      </w:r>
      <w:r w:rsidRPr="1957092F" w:rsidR="76A761A0">
        <w:rPr>
          <w:rFonts w:ascii="Arial" w:hAnsi="Arial" w:eastAsia="Arial" w:cs="Arial"/>
          <w:noProof w:val="0"/>
          <w:color w:val="000000" w:themeColor="text1" w:themeTint="FF" w:themeShade="FF"/>
          <w:sz w:val="24"/>
          <w:szCs w:val="24"/>
          <w:lang w:val="en-GB"/>
        </w:rPr>
        <w:t xml:space="preserve">, 42(5–6), pp. 775–791. Available at: </w:t>
      </w:r>
      <w:hyperlink r:id="Rb0da3b0cf7634c84">
        <w:r w:rsidRPr="1957092F" w:rsidR="76A761A0">
          <w:rPr>
            <w:rStyle w:val="Hyperlink"/>
            <w:rFonts w:ascii="Arial" w:hAnsi="Arial" w:eastAsia="Arial" w:cs="Arial"/>
            <w:noProof w:val="0"/>
            <w:color w:val="0B4CB4"/>
            <w:sz w:val="24"/>
            <w:szCs w:val="24"/>
            <w:lang w:val="en-GB"/>
          </w:rPr>
          <w:t>https://doi.org/10.1080/01425692.2021.1908115</w:t>
        </w:r>
      </w:hyperlink>
      <w:r w:rsidRPr="1957092F" w:rsidR="76A761A0">
        <w:rPr>
          <w:rFonts w:ascii="Arial" w:hAnsi="Arial" w:eastAsia="Arial" w:cs="Arial"/>
          <w:noProof w:val="0"/>
          <w:color w:val="000000" w:themeColor="text1" w:themeTint="FF" w:themeShade="FF"/>
          <w:sz w:val="24"/>
          <w:szCs w:val="24"/>
          <w:lang w:val="en-GB"/>
        </w:rPr>
        <w:t xml:space="preserve">. </w:t>
      </w:r>
    </w:p>
    <w:p w:rsidR="090963AF" w:rsidP="1957092F" w:rsidRDefault="090963AF" w14:paraId="7FF93BB1" w14:textId="0C10E1F6">
      <w:pPr>
        <w:spacing w:before="0" w:beforeAutospacing="off" w:after="213" w:afterAutospacing="off" w:line="360" w:lineRule="auto"/>
        <w:rPr>
          <w:rFonts w:ascii="Arial" w:hAnsi="Arial" w:eastAsia="Arial" w:cs="Arial"/>
          <w:noProof w:val="0"/>
          <w:color w:val="000000" w:themeColor="text1" w:themeTint="FF" w:themeShade="FF"/>
          <w:sz w:val="24"/>
          <w:szCs w:val="24"/>
          <w:lang w:val="en-GB"/>
        </w:rPr>
      </w:pPr>
      <w:r w:rsidRPr="1957092F" w:rsidR="76A761A0">
        <w:rPr>
          <w:rFonts w:ascii="Arial" w:hAnsi="Arial" w:eastAsia="Arial" w:cs="Arial"/>
          <w:noProof w:val="0"/>
          <w:color w:val="000000" w:themeColor="text1" w:themeTint="FF" w:themeShade="FF"/>
          <w:sz w:val="24"/>
          <w:szCs w:val="24"/>
          <w:lang w:val="en-GB"/>
        </w:rPr>
        <w:t xml:space="preserve">Winwood, J. (2019) </w:t>
      </w:r>
      <w:r w:rsidRPr="1957092F" w:rsidR="76A761A0">
        <w:rPr>
          <w:rFonts w:ascii="Arial" w:hAnsi="Arial" w:eastAsia="Arial" w:cs="Arial"/>
          <w:i w:val="1"/>
          <w:iCs w:val="1"/>
          <w:noProof w:val="0"/>
          <w:color w:val="000000" w:themeColor="text1" w:themeTint="FF" w:themeShade="FF"/>
          <w:sz w:val="24"/>
          <w:szCs w:val="24"/>
          <w:lang w:val="en-GB"/>
        </w:rPr>
        <w:t>‘Using Interviews’</w:t>
      </w:r>
      <w:r w:rsidRPr="1957092F" w:rsidR="76A761A0">
        <w:rPr>
          <w:rFonts w:ascii="Arial" w:hAnsi="Arial" w:eastAsia="Arial" w:cs="Arial"/>
          <w:noProof w:val="0"/>
          <w:color w:val="000000" w:themeColor="text1" w:themeTint="FF" w:themeShade="FF"/>
          <w:sz w:val="24"/>
          <w:szCs w:val="24"/>
          <w:lang w:val="en-GB"/>
        </w:rPr>
        <w:t xml:space="preserve">, pp12-19, in Lambert, M. (ed.) </w:t>
      </w:r>
      <w:r w:rsidRPr="1957092F" w:rsidR="76A761A0">
        <w:rPr>
          <w:rFonts w:ascii="Arial" w:hAnsi="Arial" w:eastAsia="Arial" w:cs="Arial"/>
          <w:i w:val="1"/>
          <w:iCs w:val="1"/>
          <w:noProof w:val="0"/>
          <w:color w:val="000000" w:themeColor="text1" w:themeTint="FF" w:themeShade="FF"/>
          <w:sz w:val="24"/>
          <w:szCs w:val="24"/>
          <w:lang w:val="en-GB"/>
        </w:rPr>
        <w:t>Practical research Methods in Education: An early researcher’s critical guide</w:t>
      </w:r>
      <w:r w:rsidRPr="1957092F" w:rsidR="76A761A0">
        <w:rPr>
          <w:rFonts w:ascii="Arial" w:hAnsi="Arial" w:eastAsia="Arial" w:cs="Arial"/>
          <w:noProof w:val="0"/>
          <w:color w:val="000000" w:themeColor="text1" w:themeTint="FF" w:themeShade="FF"/>
          <w:sz w:val="24"/>
          <w:szCs w:val="24"/>
          <w:lang w:val="en-GB"/>
        </w:rPr>
        <w:t>. Abingdon Oxon: Routledge.</w:t>
      </w:r>
    </w:p>
    <w:sectPr w:rsidRPr="00D21C31" w:rsidR="00E926E7">
      <w:headerReference w:type="default" r:id="rId7"/>
      <w:footerReference w:type="even"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AF2DD1" w14:paraId="272D2CE9" w14:textId="77777777">
      <w:pPr>
        <w:spacing w:after="0" w:line="240" w:lineRule="auto"/>
      </w:pPr>
      <w:r>
        <w:separator/>
      </w:r>
    </w:p>
  </w:endnote>
  <w:endnote w:type="continuationSeparator" w:id="0">
    <w:p w:rsidR="00000000" w:rsidRDefault="00AF2DD1" w14:paraId="46DCD1C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02E4" w:rsidP="004E7C92" w:rsidRDefault="00B302E4" w14:paraId="3C6B58C6" w14:textId="2FF80484" w14:noSpellErr="1">
    <w:pPr>
      <w:pStyle w:val="Footer"/>
      <w:framePr w:wrap="none" w:hAnchor="margin" w:vAnchor="text" w:xAlign="center" w:y="1"/>
      <w:rPr>
        <w:rStyle w:val="PageNumber"/>
      </w:rPr>
    </w:pPr>
    <w:r w:rsidRPr="629240B1">
      <w:rPr>
        <w:rStyle w:val="PageNumber"/>
      </w:rPr>
      <w:fldChar w:fldCharType="begin"/>
    </w:r>
    <w:r w:rsidRPr="629240B1">
      <w:rPr>
        <w:rStyle w:val="PageNumber"/>
      </w:rPr>
      <w:instrText xml:space="preserve"> PAGE </w:instrText>
    </w:r>
    <w:r w:rsidRPr="629240B1">
      <w:rPr>
        <w:rStyle w:val="PageNumber"/>
      </w:rPr>
      <w:fldChar w:fldCharType="separate"/>
    </w:r>
    <w:r w:rsidRPr="629240B1" w:rsidR="629240B1">
      <w:rPr>
        <w:rStyle w:val="PageNumber"/>
      </w:rPr>
      <w:t>1</w:t>
    </w:r>
    <w:r w:rsidRPr="629240B1">
      <w:rPr>
        <w:rStyle w:val="PageNumber"/>
      </w:rPr>
      <w:fldChar w:fldCharType="end"/>
    </w:r>
  </w:p>
  <w:p w:rsidR="00B302E4" w:rsidRDefault="00B302E4" w14:paraId="550BAFFD" w14:textId="77777777" w14:noSpellErr="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150736"/>
      <w:docPartObj>
        <w:docPartGallery w:val="Page Numbers (Bottom of Page)"/>
        <w:docPartUnique/>
      </w:docPartObj>
    </w:sdtPr>
    <w:sdtContent>
      <w:p w:rsidR="00B302E4" w:rsidP="004E7C92" w:rsidRDefault="00B302E4" w14:paraId="79B9533A" w14:textId="7670A451" w14:noSpellErr="1">
        <w:pPr>
          <w:pStyle w:val="Footer"/>
          <w:framePr w:wrap="none" w:hAnchor="margin" w:vAnchor="text" w:xAlign="center" w:y="1"/>
          <w:rPr>
            <w:rStyle w:val="PageNumber"/>
          </w:rPr>
        </w:pPr>
        <w:r w:rsidRPr="629240B1">
          <w:rPr>
            <w:rStyle w:val="PageNumber"/>
          </w:rPr>
          <w:fldChar w:fldCharType="begin"/>
        </w:r>
        <w:r w:rsidRPr="629240B1">
          <w:rPr>
            <w:rStyle w:val="PageNumber"/>
          </w:rPr>
          <w:instrText xml:space="preserve"> PAGE </w:instrText>
        </w:r>
        <w:r w:rsidRPr="629240B1">
          <w:rPr>
            <w:rStyle w:val="PageNumber"/>
          </w:rPr>
          <w:fldChar w:fldCharType="separate"/>
        </w:r>
        <w:r w:rsidRPr="629240B1" w:rsidR="629240B1">
          <w:rPr>
            <w:rStyle w:val="PageNumber"/>
          </w:rPr>
          <w:t>1</w:t>
        </w:r>
        <w:r w:rsidRPr="629240B1">
          <w:rPr>
            <w:rStyle w:val="PageNumber"/>
          </w:rPr>
          <w:fldChar w:fldCharType="end"/>
        </w:r>
      </w:p>
    </w:sdtContent>
    <w:sdtEndPr>
      <w:rPr>
        <w:rStyle w:val="PageNumber"/>
      </w:rPr>
    </w:sdtEndPr>
  </w:sdt>
  <w:tbl>
    <w:tblPr>
      <w:tblW w:w="0" w:type="auto"/>
      <w:tblLayout w:type="fixed"/>
      <w:tblLook w:val="06A0" w:firstRow="1" w:lastRow="0" w:firstColumn="1" w:lastColumn="0" w:noHBand="1" w:noVBand="1"/>
    </w:tblPr>
    <w:tblGrid>
      <w:gridCol w:w="3120"/>
      <w:gridCol w:w="3120"/>
      <w:gridCol w:w="3120"/>
    </w:tblGrid>
    <w:tr w:rsidR="60A775A8" w:rsidTr="629240B1" w14:paraId="17D78134" w14:textId="77777777">
      <w:trPr>
        <w:trHeight w:val="300"/>
      </w:trPr>
      <w:tc>
        <w:tcPr>
          <w:tcW w:w="3120" w:type="dxa"/>
          <w:tcMar/>
        </w:tcPr>
        <w:p w:rsidR="60A775A8" w:rsidP="60A775A8" w:rsidRDefault="60A775A8" w14:paraId="74D27D09" w14:textId="634FEA00" w14:noSpellErr="1">
          <w:pPr>
            <w:pStyle w:val="Header"/>
            <w:ind w:left="-115"/>
          </w:pPr>
        </w:p>
      </w:tc>
      <w:tc>
        <w:tcPr>
          <w:tcW w:w="3120" w:type="dxa"/>
          <w:tcMar/>
        </w:tcPr>
        <w:p w:rsidR="60A775A8" w:rsidP="60A775A8" w:rsidRDefault="60A775A8" w14:paraId="50C4F31B" w14:textId="719A903E" w14:noSpellErr="1">
          <w:pPr>
            <w:pStyle w:val="Header"/>
            <w:jc w:val="center"/>
          </w:pPr>
        </w:p>
      </w:tc>
      <w:tc>
        <w:tcPr>
          <w:tcW w:w="3120" w:type="dxa"/>
          <w:tcMar/>
        </w:tcPr>
        <w:p w:rsidR="60A775A8" w:rsidP="60A775A8" w:rsidRDefault="60A775A8" w14:paraId="41AD23EF" w14:textId="20782C4E" w14:noSpellErr="1">
          <w:pPr>
            <w:pStyle w:val="Header"/>
            <w:ind w:right="-115"/>
            <w:jc w:val="right"/>
          </w:pPr>
        </w:p>
      </w:tc>
    </w:tr>
  </w:tbl>
  <w:p w:rsidR="60A775A8" w:rsidP="60A775A8" w:rsidRDefault="60A775A8" w14:paraId="6779DEBE" w14:textId="06C161F1"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AF2DD1" w14:paraId="18AFDBE1" w14:textId="77777777">
      <w:pPr>
        <w:spacing w:after="0" w:line="240" w:lineRule="auto"/>
      </w:pPr>
      <w:r>
        <w:separator/>
      </w:r>
    </w:p>
  </w:footnote>
  <w:footnote w:type="continuationSeparator" w:id="0">
    <w:p w:rsidR="00000000" w:rsidRDefault="00AF2DD1" w14:paraId="463AE4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A775A8" w:rsidTr="4498CB9C" w14:paraId="3C3CB01B" w14:textId="77777777">
      <w:trPr>
        <w:trHeight w:val="300"/>
      </w:trPr>
      <w:tc>
        <w:tcPr>
          <w:tcW w:w="3120" w:type="dxa"/>
          <w:tcMar/>
        </w:tcPr>
        <w:p w:rsidR="60A775A8" w:rsidP="60A775A8" w:rsidRDefault="60A775A8" w14:paraId="0D570317" w14:textId="4C756E4D">
          <w:pPr>
            <w:pStyle w:val="Header"/>
            <w:ind w:left="-115"/>
          </w:pPr>
          <w:r>
            <w:t>2307239</w:t>
          </w:r>
        </w:p>
      </w:tc>
      <w:tc>
        <w:tcPr>
          <w:tcW w:w="3120" w:type="dxa"/>
          <w:tcMar/>
        </w:tcPr>
        <w:p w:rsidR="60A775A8" w:rsidP="629240B1" w:rsidRDefault="00B302E4" w14:paraId="4B58A09E" w14:textId="2B002978">
          <w:pPr>
            <w:pStyle w:val="Header"/>
            <w:suppressLineNumbers w:val="0"/>
            <w:bidi w:val="0"/>
            <w:spacing w:before="0" w:beforeAutospacing="off" w:after="0" w:afterAutospacing="off" w:line="240" w:lineRule="auto"/>
            <w:ind w:left="0" w:right="0"/>
            <w:jc w:val="center"/>
          </w:pPr>
          <w:r w:rsidR="629240B1">
            <w:rPr/>
            <w:t>ECEY5010</w:t>
          </w:r>
        </w:p>
      </w:tc>
      <w:tc>
        <w:tcPr>
          <w:tcW w:w="3120" w:type="dxa"/>
          <w:tcMar/>
        </w:tcPr>
        <w:p w:rsidR="60A775A8" w:rsidP="60A775A8" w:rsidRDefault="60A775A8" w14:paraId="4EA0A332" w14:textId="168F9BAE">
          <w:pPr>
            <w:pStyle w:val="Header"/>
            <w:ind w:right="-115"/>
            <w:jc w:val="right"/>
          </w:pPr>
          <w:r w:rsidR="4498CB9C">
            <w:rPr/>
            <w:t>Word Count</w:t>
          </w:r>
          <w:r w:rsidR="4498CB9C">
            <w:rPr/>
            <w:t xml:space="preserve">: </w:t>
          </w:r>
          <w:r w:rsidR="4498CB9C">
            <w:rPr/>
            <w:t>822</w:t>
          </w:r>
        </w:p>
      </w:tc>
    </w:tr>
  </w:tbl>
  <w:p w:rsidR="60A775A8" w:rsidP="60A775A8" w:rsidRDefault="60A775A8" w14:paraId="403141D5" w14:textId="6905C367" w14:noSpellErr="1">
    <w:pPr>
      <w:pStyle w:val="Header"/>
    </w:pPr>
  </w:p>
</w:hdr>
</file>

<file path=word/intelligence2.xml><?xml version="1.0" encoding="utf-8"?>
<int2:intelligence xmlns:int2="http://schemas.microsoft.com/office/intelligence/2020/intelligence">
  <int2:observations>
    <int2:textHash int2:hashCode="uL6g24dKmewWtt" int2:id="EgPQvdE8">
      <int2:state int2:type="AugLoop_Text_Critique" int2:value="Rejected"/>
    </int2:textHash>
    <int2:textHash int2:hashCode="ykL+M+Zs/jCe35" int2:id="zUBQ4SSG">
      <int2:state int2:type="AugLoop_Text_Critique" int2:value="Rejected"/>
    </int2:textHash>
    <int2:textHash int2:hashCode="KesNgQ71PlIh56" int2:id="W6rzJmeD">
      <int2:state int2:type="AugLoop_Text_Critique" int2:value="Rejected"/>
    </int2:textHash>
    <int2:textHash int2:hashCode="jDAJVv4a/9ZwDB" int2:id="UVzPD6w9">
      <int2:state int2:type="AugLoop_Text_Critique" int2:value="Rejected"/>
    </int2:textHash>
    <int2:textHash int2:hashCode="zFNA5y9y+NVdF/" int2:id="3Trle82Q">
      <int2:state int2:type="AugLoop_Text_Critique" int2:value="Rejected"/>
    </int2:textHash>
    <int2:textHash int2:hashCode="nhbi9QFRQ3Nj93" int2:id="BTu0zpmI">
      <int2:state int2:type="AugLoop_Text_Critique" int2:value="Rejected"/>
    </int2:textHash>
    <int2:textHash int2:hashCode="P908FLuOQu8rlq" int2:id="pwDRUNkx">
      <int2:state int2:type="AugLoop_Text_Critique" int2:value="Rejected"/>
    </int2:textHash>
    <int2:textHash int2:hashCode="6obF8mNUUJ4cob" int2:id="mgx1yaKT">
      <int2:state int2:type="AugLoop_Text_Critique" int2:value="Rejected"/>
    </int2:textHash>
    <int2:textHash int2:hashCode="pPo5IBxD+V/U7C" int2:id="VLR5yybY">
      <int2:state int2:type="AugLoop_Text_Critique" int2:value="Rejected"/>
    </int2:textHash>
    <int2:textHash int2:hashCode="qFDXDGXJMlucgg" int2:id="MSGs1TPr">
      <int2:state int2:type="AugLoop_Text_Critique" int2:value="Rejected"/>
    </int2:textHash>
    <int2:textHash int2:hashCode="XrvPq8pMdBtE7B" int2:id="Lge9BKES">
      <int2:state int2:type="AugLoop_Text_Critique" int2:value="Rejected"/>
    </int2:textHash>
    <int2:textHash int2:hashCode="RK7R8Dc68Je7a1" int2:id="2OV5xbXi">
      <int2:state int2:type="AugLoop_Text_Critique" int2:value="Rejected"/>
    </int2:textHash>
    <int2:bookmark int2:bookmarkName="_Int_0jJzskXd" int2:invalidationBookmarkName="" int2:hashCode="P2YFKhB+r5uufK" int2:id="3C7GpcfF">
      <int2:state int2:type="AugLoop_Text_Critique" int2:value="Rejected"/>
    </int2:bookmark>
    <int2:bookmark int2:bookmarkName="_Int_cZPua2T3" int2:invalidationBookmarkName="" int2:hashCode="wCgj9rKdcuGrsF" int2:id="fhXE7sOD">
      <int2:state int2:type="AugLoop_Text_Critique" int2:value="Rejected"/>
    </int2:bookmark>
    <int2:bookmark int2:bookmarkName="_Int_dmjVtbpO" int2:invalidationBookmarkName="" int2:hashCode="qvh/5Xrm0yPbVJ" int2:id="5tDQV1Cp">
      <int2:state int2:type="AugLoop_Text_Critique" int2:value="Rejected"/>
    </int2:bookmark>
    <int2:bookmark int2:bookmarkName="_Int_3Q75reuX" int2:invalidationBookmarkName="" int2:hashCode="gHK4t3K3NFVerq" int2:id="2SzLmzis">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2">
    <w:nsid w:val="3ed11d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5e91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c7cb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1806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61ad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913f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dad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d113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5749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74ef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b4f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bd5e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AF7DF0"/>
    <w:multiLevelType w:val="hybridMultilevel"/>
    <w:tmpl w:val="55C26876"/>
    <w:lvl w:ilvl="0" w:tplc="446A2A0C">
      <w:start w:val="160"/>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01819143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101933"/>
    <w:rsid w:val="00125179"/>
    <w:rsid w:val="002A67F3"/>
    <w:rsid w:val="002E35D3"/>
    <w:rsid w:val="00722879"/>
    <w:rsid w:val="00835809"/>
    <w:rsid w:val="00A03EE5"/>
    <w:rsid w:val="00AF2DD1"/>
    <w:rsid w:val="00B302E4"/>
    <w:rsid w:val="00BD1490"/>
    <w:rsid w:val="00C263D5"/>
    <w:rsid w:val="00D21C31"/>
    <w:rsid w:val="00E926E7"/>
    <w:rsid w:val="01003029"/>
    <w:rsid w:val="0126D22C"/>
    <w:rsid w:val="01B0E467"/>
    <w:rsid w:val="01B88852"/>
    <w:rsid w:val="01C99CA9"/>
    <w:rsid w:val="01DF3034"/>
    <w:rsid w:val="01E22CD0"/>
    <w:rsid w:val="01F15CFF"/>
    <w:rsid w:val="01F61757"/>
    <w:rsid w:val="021D08A2"/>
    <w:rsid w:val="02245819"/>
    <w:rsid w:val="024D2FDA"/>
    <w:rsid w:val="0288AD15"/>
    <w:rsid w:val="02B00382"/>
    <w:rsid w:val="02BDA4EA"/>
    <w:rsid w:val="02E0A5EA"/>
    <w:rsid w:val="03797FC1"/>
    <w:rsid w:val="03799DDE"/>
    <w:rsid w:val="03A07AEF"/>
    <w:rsid w:val="03F5ABDA"/>
    <w:rsid w:val="04491081"/>
    <w:rsid w:val="0486892E"/>
    <w:rsid w:val="05126B81"/>
    <w:rsid w:val="052DB819"/>
    <w:rsid w:val="0553F5C4"/>
    <w:rsid w:val="056EF3E1"/>
    <w:rsid w:val="05728EA7"/>
    <w:rsid w:val="066BEA0F"/>
    <w:rsid w:val="06B13EA0"/>
    <w:rsid w:val="06C9887A"/>
    <w:rsid w:val="06FEBD85"/>
    <w:rsid w:val="072494D2"/>
    <w:rsid w:val="076788E6"/>
    <w:rsid w:val="07701FC0"/>
    <w:rsid w:val="07B2D444"/>
    <w:rsid w:val="0827C9D6"/>
    <w:rsid w:val="083E3C27"/>
    <w:rsid w:val="08516E54"/>
    <w:rsid w:val="085F601A"/>
    <w:rsid w:val="0876BBB9"/>
    <w:rsid w:val="08ED7D60"/>
    <w:rsid w:val="090689BE"/>
    <w:rsid w:val="090963AF"/>
    <w:rsid w:val="09210376"/>
    <w:rsid w:val="09CDFE71"/>
    <w:rsid w:val="09FC6EE4"/>
    <w:rsid w:val="0A01293C"/>
    <w:rsid w:val="0A181A5C"/>
    <w:rsid w:val="0A40C356"/>
    <w:rsid w:val="0A5C3594"/>
    <w:rsid w:val="0A608486"/>
    <w:rsid w:val="0A6E61F3"/>
    <w:rsid w:val="0AB4638B"/>
    <w:rsid w:val="0AFDC1D5"/>
    <w:rsid w:val="0B0715D3"/>
    <w:rsid w:val="0B211CF2"/>
    <w:rsid w:val="0B95855A"/>
    <w:rsid w:val="0BC24EF2"/>
    <w:rsid w:val="0BD429A0"/>
    <w:rsid w:val="0C26FA0D"/>
    <w:rsid w:val="0C3EA297"/>
    <w:rsid w:val="0D0E5E34"/>
    <w:rsid w:val="0D1D7D66"/>
    <w:rsid w:val="0D668B1C"/>
    <w:rsid w:val="0D7B4B23"/>
    <w:rsid w:val="0D8365C3"/>
    <w:rsid w:val="0D85F59D"/>
    <w:rsid w:val="0D8C226C"/>
    <w:rsid w:val="0D9C5124"/>
    <w:rsid w:val="0DB7A6B3"/>
    <w:rsid w:val="0DD516D9"/>
    <w:rsid w:val="0DEA8C83"/>
    <w:rsid w:val="0E0575B1"/>
    <w:rsid w:val="0E7B5566"/>
    <w:rsid w:val="0E8F62C4"/>
    <w:rsid w:val="0F310D2F"/>
    <w:rsid w:val="0F42D31C"/>
    <w:rsid w:val="0F506488"/>
    <w:rsid w:val="0FAC27B0"/>
    <w:rsid w:val="0FBDB402"/>
    <w:rsid w:val="0FE2747C"/>
    <w:rsid w:val="10369D55"/>
    <w:rsid w:val="103C8A7F"/>
    <w:rsid w:val="1044B61A"/>
    <w:rsid w:val="106167FB"/>
    <w:rsid w:val="1081CD9E"/>
    <w:rsid w:val="1096E87D"/>
    <w:rsid w:val="109E2BDE"/>
    <w:rsid w:val="10B0AECE"/>
    <w:rsid w:val="10CE49E9"/>
    <w:rsid w:val="10F87C9E"/>
    <w:rsid w:val="110685E5"/>
    <w:rsid w:val="113B9D81"/>
    <w:rsid w:val="11AE447B"/>
    <w:rsid w:val="1216DBD5"/>
    <w:rsid w:val="1231BA2D"/>
    <w:rsid w:val="12673E9F"/>
    <w:rsid w:val="12A887FC"/>
    <w:rsid w:val="12E7C7AB"/>
    <w:rsid w:val="12EA1512"/>
    <w:rsid w:val="130ABB62"/>
    <w:rsid w:val="138CBEEA"/>
    <w:rsid w:val="13B84E6A"/>
    <w:rsid w:val="13D26FBC"/>
    <w:rsid w:val="141DB774"/>
    <w:rsid w:val="14747BAB"/>
    <w:rsid w:val="14F408F7"/>
    <w:rsid w:val="14F61D7A"/>
    <w:rsid w:val="1532D571"/>
    <w:rsid w:val="15513143"/>
    <w:rsid w:val="15727794"/>
    <w:rsid w:val="159873B9"/>
    <w:rsid w:val="15D2FFC5"/>
    <w:rsid w:val="15FDEEDE"/>
    <w:rsid w:val="160F0EA4"/>
    <w:rsid w:val="162F46CA"/>
    <w:rsid w:val="165FB282"/>
    <w:rsid w:val="16795235"/>
    <w:rsid w:val="16B3F79E"/>
    <w:rsid w:val="16C1A928"/>
    <w:rsid w:val="16CC4D32"/>
    <w:rsid w:val="17494FF0"/>
    <w:rsid w:val="17D47DD4"/>
    <w:rsid w:val="17F233D4"/>
    <w:rsid w:val="1836F65D"/>
    <w:rsid w:val="185D7989"/>
    <w:rsid w:val="1894CD09"/>
    <w:rsid w:val="18A2DEA6"/>
    <w:rsid w:val="18BAE717"/>
    <w:rsid w:val="1909AE8E"/>
    <w:rsid w:val="1957092F"/>
    <w:rsid w:val="19796D39"/>
    <w:rsid w:val="19D26490"/>
    <w:rsid w:val="19D87D35"/>
    <w:rsid w:val="19EB9860"/>
    <w:rsid w:val="1A06F0B2"/>
    <w:rsid w:val="1A15489F"/>
    <w:rsid w:val="1A1A8034"/>
    <w:rsid w:val="1A309D6A"/>
    <w:rsid w:val="1B0F73C9"/>
    <w:rsid w:val="1B10AC39"/>
    <w:rsid w:val="1B2345D4"/>
    <w:rsid w:val="1B252723"/>
    <w:rsid w:val="1B602064"/>
    <w:rsid w:val="1B92C7FE"/>
    <w:rsid w:val="1B951A4B"/>
    <w:rsid w:val="1BB65095"/>
    <w:rsid w:val="1BDCFA49"/>
    <w:rsid w:val="1BF04A3C"/>
    <w:rsid w:val="1C038FB3"/>
    <w:rsid w:val="1C298565"/>
    <w:rsid w:val="1C53957A"/>
    <w:rsid w:val="1C656032"/>
    <w:rsid w:val="1C7A58EB"/>
    <w:rsid w:val="1CA77977"/>
    <w:rsid w:val="1CAC7C9A"/>
    <w:rsid w:val="1CBF1635"/>
    <w:rsid w:val="1D33A130"/>
    <w:rsid w:val="1D8C1059"/>
    <w:rsid w:val="1D9F6014"/>
    <w:rsid w:val="1DBA6274"/>
    <w:rsid w:val="1DE5F488"/>
    <w:rsid w:val="1E5AE696"/>
    <w:rsid w:val="1ECF7191"/>
    <w:rsid w:val="1ED75F17"/>
    <w:rsid w:val="1EDEA4C0"/>
    <w:rsid w:val="1F0D76FB"/>
    <w:rsid w:val="1F612627"/>
    <w:rsid w:val="1F785009"/>
    <w:rsid w:val="1F845549"/>
    <w:rsid w:val="1FF6B6F7"/>
    <w:rsid w:val="20225D4B"/>
    <w:rsid w:val="20684101"/>
    <w:rsid w:val="20732F78"/>
    <w:rsid w:val="207C8188"/>
    <w:rsid w:val="20F20336"/>
    <w:rsid w:val="2114206A"/>
    <w:rsid w:val="217FEDBD"/>
    <w:rsid w:val="21A76C6E"/>
    <w:rsid w:val="21ADD099"/>
    <w:rsid w:val="2227A217"/>
    <w:rsid w:val="223BAF4F"/>
    <w:rsid w:val="22E1FE26"/>
    <w:rsid w:val="22F81EC2"/>
    <w:rsid w:val="231578B0"/>
    <w:rsid w:val="23231004"/>
    <w:rsid w:val="232468C5"/>
    <w:rsid w:val="2326AA99"/>
    <w:rsid w:val="23303908"/>
    <w:rsid w:val="239BB108"/>
    <w:rsid w:val="23CB67EE"/>
    <w:rsid w:val="24099B5D"/>
    <w:rsid w:val="24856AD0"/>
    <w:rsid w:val="24C03926"/>
    <w:rsid w:val="24DAADDD"/>
    <w:rsid w:val="24EDDA4D"/>
    <w:rsid w:val="255A0BA0"/>
    <w:rsid w:val="25A77C07"/>
    <w:rsid w:val="26213B31"/>
    <w:rsid w:val="26565DFF"/>
    <w:rsid w:val="265C0987"/>
    <w:rsid w:val="2667D9CA"/>
    <w:rsid w:val="26767E3E"/>
    <w:rsid w:val="26777EF3"/>
    <w:rsid w:val="268FA000"/>
    <w:rsid w:val="26CD7BF4"/>
    <w:rsid w:val="26CE87D5"/>
    <w:rsid w:val="26D21CB0"/>
    <w:rsid w:val="26F352DA"/>
    <w:rsid w:val="273329E2"/>
    <w:rsid w:val="27427460"/>
    <w:rsid w:val="274AA3EF"/>
    <w:rsid w:val="274D7194"/>
    <w:rsid w:val="27A6795A"/>
    <w:rsid w:val="27B140D0"/>
    <w:rsid w:val="27B894F7"/>
    <w:rsid w:val="27BD0B92"/>
    <w:rsid w:val="27FCAC6D"/>
    <w:rsid w:val="27FD8595"/>
    <w:rsid w:val="2803AA2B"/>
    <w:rsid w:val="286CB77F"/>
    <w:rsid w:val="28765896"/>
    <w:rsid w:val="28DF1CC9"/>
    <w:rsid w:val="28F4DB29"/>
    <w:rsid w:val="2924F685"/>
    <w:rsid w:val="296AE7D4"/>
    <w:rsid w:val="299B26F6"/>
    <w:rsid w:val="299F7A8C"/>
    <w:rsid w:val="29F4D49F"/>
    <w:rsid w:val="2A1228F7"/>
    <w:rsid w:val="2A7A1522"/>
    <w:rsid w:val="2ADAF882"/>
    <w:rsid w:val="2B0A85E3"/>
    <w:rsid w:val="2B10EAE0"/>
    <w:rsid w:val="2B71468D"/>
    <w:rsid w:val="2BF537C0"/>
    <w:rsid w:val="2C84B5ED"/>
    <w:rsid w:val="2CA91EF3"/>
    <w:rsid w:val="2CACBB41"/>
    <w:rsid w:val="2CACBB41"/>
    <w:rsid w:val="2CE5BFC2"/>
    <w:rsid w:val="2CF4E0EA"/>
    <w:rsid w:val="2D1890D2"/>
    <w:rsid w:val="2D49C9B9"/>
    <w:rsid w:val="2DA96AF9"/>
    <w:rsid w:val="2E129944"/>
    <w:rsid w:val="2E13F782"/>
    <w:rsid w:val="2E2C4D16"/>
    <w:rsid w:val="2E44EF54"/>
    <w:rsid w:val="2E6CC719"/>
    <w:rsid w:val="2E9EB231"/>
    <w:rsid w:val="2EC23749"/>
    <w:rsid w:val="2EE59A1A"/>
    <w:rsid w:val="2EEE30F4"/>
    <w:rsid w:val="2F1E6753"/>
    <w:rsid w:val="2F340895"/>
    <w:rsid w:val="2FE0BFB5"/>
    <w:rsid w:val="2FE9FF92"/>
    <w:rsid w:val="2FFC29A5"/>
    <w:rsid w:val="302BC662"/>
    <w:rsid w:val="3044197E"/>
    <w:rsid w:val="304C3772"/>
    <w:rsid w:val="304F1F78"/>
    <w:rsid w:val="308503F2"/>
    <w:rsid w:val="30CE8259"/>
    <w:rsid w:val="30E42ABC"/>
    <w:rsid w:val="3117C25D"/>
    <w:rsid w:val="3141AB6B"/>
    <w:rsid w:val="314A3A06"/>
    <w:rsid w:val="3163EDD8"/>
    <w:rsid w:val="316B8C57"/>
    <w:rsid w:val="317C9016"/>
    <w:rsid w:val="31A20B7A"/>
    <w:rsid w:val="31CAF42A"/>
    <w:rsid w:val="32140364"/>
    <w:rsid w:val="32201AD2"/>
    <w:rsid w:val="32202DC0"/>
    <w:rsid w:val="328289F8"/>
    <w:rsid w:val="32852707"/>
    <w:rsid w:val="32A0352F"/>
    <w:rsid w:val="32AE57B5"/>
    <w:rsid w:val="32BFA4B1"/>
    <w:rsid w:val="32DD7BCC"/>
    <w:rsid w:val="32F85192"/>
    <w:rsid w:val="33BBEB33"/>
    <w:rsid w:val="33F4FAC6"/>
    <w:rsid w:val="34261B41"/>
    <w:rsid w:val="344C340F"/>
    <w:rsid w:val="345D94DA"/>
    <w:rsid w:val="345EAC6B"/>
    <w:rsid w:val="347DEFA2"/>
    <w:rsid w:val="348E9F47"/>
    <w:rsid w:val="34B430D8"/>
    <w:rsid w:val="34DDB534"/>
    <w:rsid w:val="34E7A25F"/>
    <w:rsid w:val="34F94A6F"/>
    <w:rsid w:val="351797F5"/>
    <w:rsid w:val="35474E28"/>
    <w:rsid w:val="3557BB94"/>
    <w:rsid w:val="35BCC7C9"/>
    <w:rsid w:val="3611A81D"/>
    <w:rsid w:val="3620DA67"/>
    <w:rsid w:val="3627E95C"/>
    <w:rsid w:val="36375EFB"/>
    <w:rsid w:val="36381088"/>
    <w:rsid w:val="3652AB93"/>
    <w:rsid w:val="3655E34A"/>
    <w:rsid w:val="36727255"/>
    <w:rsid w:val="368372C0"/>
    <w:rsid w:val="36948F8E"/>
    <w:rsid w:val="36B48121"/>
    <w:rsid w:val="36C1260B"/>
    <w:rsid w:val="36CB8147"/>
    <w:rsid w:val="36E025B3"/>
    <w:rsid w:val="36E9ACD9"/>
    <w:rsid w:val="36F0ABFF"/>
    <w:rsid w:val="36F38BF5"/>
    <w:rsid w:val="3711F991"/>
    <w:rsid w:val="37204FDC"/>
    <w:rsid w:val="37324FF1"/>
    <w:rsid w:val="3732E7AB"/>
    <w:rsid w:val="37AD787E"/>
    <w:rsid w:val="38589789"/>
    <w:rsid w:val="388C7C60"/>
    <w:rsid w:val="389F977F"/>
    <w:rsid w:val="38C52513"/>
    <w:rsid w:val="38EADF5C"/>
    <w:rsid w:val="391559A0"/>
    <w:rsid w:val="395BEFDC"/>
    <w:rsid w:val="3980AB84"/>
    <w:rsid w:val="39B3FD6D"/>
    <w:rsid w:val="3A86E4EE"/>
    <w:rsid w:val="3A9038EC"/>
    <w:rsid w:val="3ACAF828"/>
    <w:rsid w:val="3AF99547"/>
    <w:rsid w:val="3B16A016"/>
    <w:rsid w:val="3B27EB86"/>
    <w:rsid w:val="3B56E3E3"/>
    <w:rsid w:val="3B828F86"/>
    <w:rsid w:val="3B8F5A53"/>
    <w:rsid w:val="3BADB66A"/>
    <w:rsid w:val="3BC41D22"/>
    <w:rsid w:val="3BE89DE5"/>
    <w:rsid w:val="3C4DDA31"/>
    <w:rsid w:val="3C50C90F"/>
    <w:rsid w:val="3C9EB7B8"/>
    <w:rsid w:val="3CA6A07F"/>
    <w:rsid w:val="3CD37F43"/>
    <w:rsid w:val="3CDDF9C5"/>
    <w:rsid w:val="3D03D112"/>
    <w:rsid w:val="3D4D025E"/>
    <w:rsid w:val="3D4D55A7"/>
    <w:rsid w:val="3D5DE11C"/>
    <w:rsid w:val="3D790BA3"/>
    <w:rsid w:val="3DB0C1EA"/>
    <w:rsid w:val="3DFFFA20"/>
    <w:rsid w:val="3E07D654"/>
    <w:rsid w:val="3E350678"/>
    <w:rsid w:val="3E4270E0"/>
    <w:rsid w:val="3E500408"/>
    <w:rsid w:val="3E57888C"/>
    <w:rsid w:val="3E57B174"/>
    <w:rsid w:val="3E6A25D0"/>
    <w:rsid w:val="3E6F4FA4"/>
    <w:rsid w:val="3E79CA26"/>
    <w:rsid w:val="3E98CFC3"/>
    <w:rsid w:val="3EA8593D"/>
    <w:rsid w:val="3EAC53A6"/>
    <w:rsid w:val="3ECF1E8E"/>
    <w:rsid w:val="3EECB9D1"/>
    <w:rsid w:val="3EFA0A53"/>
    <w:rsid w:val="3EFBBDE4"/>
    <w:rsid w:val="3F1894DB"/>
    <w:rsid w:val="3F679A8B"/>
    <w:rsid w:val="3F77E75E"/>
    <w:rsid w:val="3FCDD933"/>
    <w:rsid w:val="40078E7E"/>
    <w:rsid w:val="400B2005"/>
    <w:rsid w:val="4026A8CA"/>
    <w:rsid w:val="403F1CAD"/>
    <w:rsid w:val="4044299E"/>
    <w:rsid w:val="404D7355"/>
    <w:rsid w:val="4084F669"/>
    <w:rsid w:val="4096C32E"/>
    <w:rsid w:val="40B15ABA"/>
    <w:rsid w:val="41216CD7"/>
    <w:rsid w:val="4169A994"/>
    <w:rsid w:val="419A9B69"/>
    <w:rsid w:val="41A6F066"/>
    <w:rsid w:val="4222CD23"/>
    <w:rsid w:val="4231AB15"/>
    <w:rsid w:val="426D4E76"/>
    <w:rsid w:val="4270EAC4"/>
    <w:rsid w:val="42CDEFFC"/>
    <w:rsid w:val="42D83440"/>
    <w:rsid w:val="430C9959"/>
    <w:rsid w:val="4315E203"/>
    <w:rsid w:val="432CAFD6"/>
    <w:rsid w:val="4346F22F"/>
    <w:rsid w:val="434B205D"/>
    <w:rsid w:val="434B205D"/>
    <w:rsid w:val="4375BFE8"/>
    <w:rsid w:val="437BCA60"/>
    <w:rsid w:val="43BC972B"/>
    <w:rsid w:val="43CF2F07"/>
    <w:rsid w:val="43F6C2EF"/>
    <w:rsid w:val="44091ED7"/>
    <w:rsid w:val="443958DD"/>
    <w:rsid w:val="444EA2A6"/>
    <w:rsid w:val="4462E1B4"/>
    <w:rsid w:val="448A36B4"/>
    <w:rsid w:val="4498CB9C"/>
    <w:rsid w:val="44BE47D8"/>
    <w:rsid w:val="44C5397D"/>
    <w:rsid w:val="44DA545C"/>
    <w:rsid w:val="44DE9128"/>
    <w:rsid w:val="45119049"/>
    <w:rsid w:val="4511B5C8"/>
    <w:rsid w:val="451883FF"/>
    <w:rsid w:val="4522BC0F"/>
    <w:rsid w:val="455C22DE"/>
    <w:rsid w:val="459440CE"/>
    <w:rsid w:val="45D41C9E"/>
    <w:rsid w:val="4604D67E"/>
    <w:rsid w:val="463D8260"/>
    <w:rsid w:val="467453BD"/>
    <w:rsid w:val="46E04CD1"/>
    <w:rsid w:val="470372E6"/>
    <w:rsid w:val="4725E2C1"/>
    <w:rsid w:val="474C80F5"/>
    <w:rsid w:val="4754B6EA"/>
    <w:rsid w:val="4757E4CD"/>
    <w:rsid w:val="477AC0F8"/>
    <w:rsid w:val="47E69CA2"/>
    <w:rsid w:val="47EA767D"/>
    <w:rsid w:val="47F8DF2B"/>
    <w:rsid w:val="47F9404F"/>
    <w:rsid w:val="47F958EA"/>
    <w:rsid w:val="4811F51E"/>
    <w:rsid w:val="481631EA"/>
    <w:rsid w:val="481A6352"/>
    <w:rsid w:val="482BE5C5"/>
    <w:rsid w:val="48333B6F"/>
    <w:rsid w:val="48E731A1"/>
    <w:rsid w:val="490874D5"/>
    <w:rsid w:val="4934C233"/>
    <w:rsid w:val="496BD1D4"/>
    <w:rsid w:val="49852387"/>
    <w:rsid w:val="49945AF4"/>
    <w:rsid w:val="4AE6C01E"/>
    <w:rsid w:val="4C08A748"/>
    <w:rsid w:val="4C1430BC"/>
    <w:rsid w:val="4C30607E"/>
    <w:rsid w:val="4C58BF11"/>
    <w:rsid w:val="4C6ED016"/>
    <w:rsid w:val="4D726FBA"/>
    <w:rsid w:val="4DAB83C1"/>
    <w:rsid w:val="4E2DE430"/>
    <w:rsid w:val="4E401A60"/>
    <w:rsid w:val="4E49FD9C"/>
    <w:rsid w:val="4E67830A"/>
    <w:rsid w:val="4FB127DB"/>
    <w:rsid w:val="4FDBEAC1"/>
    <w:rsid w:val="50BB0249"/>
    <w:rsid w:val="50D6ED27"/>
    <w:rsid w:val="51040464"/>
    <w:rsid w:val="51271AA0"/>
    <w:rsid w:val="51271AA0"/>
    <w:rsid w:val="512C3034"/>
    <w:rsid w:val="5177BB22"/>
    <w:rsid w:val="5184AC0D"/>
    <w:rsid w:val="518B2C9B"/>
    <w:rsid w:val="51D62704"/>
    <w:rsid w:val="52027D33"/>
    <w:rsid w:val="52B3378B"/>
    <w:rsid w:val="52C1C940"/>
    <w:rsid w:val="52F1043E"/>
    <w:rsid w:val="5326FCFC"/>
    <w:rsid w:val="53837B03"/>
    <w:rsid w:val="53DAA87B"/>
    <w:rsid w:val="540B49B1"/>
    <w:rsid w:val="544E1E8B"/>
    <w:rsid w:val="544F07EC"/>
    <w:rsid w:val="545F669E"/>
    <w:rsid w:val="5490D26B"/>
    <w:rsid w:val="54C7DAED"/>
    <w:rsid w:val="54CF78C4"/>
    <w:rsid w:val="558C4D55"/>
    <w:rsid w:val="5590AA78"/>
    <w:rsid w:val="55BC2A63"/>
    <w:rsid w:val="55C76729"/>
    <w:rsid w:val="5612CDC7"/>
    <w:rsid w:val="5627E1AE"/>
    <w:rsid w:val="56434C86"/>
    <w:rsid w:val="564B2C45"/>
    <w:rsid w:val="56803E8B"/>
    <w:rsid w:val="56A7B065"/>
    <w:rsid w:val="56FB9717"/>
    <w:rsid w:val="572C7AD9"/>
    <w:rsid w:val="57462EAB"/>
    <w:rsid w:val="574EF897"/>
    <w:rsid w:val="5786A8AE"/>
    <w:rsid w:val="579B71B8"/>
    <w:rsid w:val="579BE4EB"/>
    <w:rsid w:val="57AC1AC9"/>
    <w:rsid w:val="57DF1CE7"/>
    <w:rsid w:val="580C4BA5"/>
    <w:rsid w:val="5817519F"/>
    <w:rsid w:val="5834433A"/>
    <w:rsid w:val="58351A47"/>
    <w:rsid w:val="58351A47"/>
    <w:rsid w:val="586AD8C8"/>
    <w:rsid w:val="587037FD"/>
    <w:rsid w:val="58726000"/>
    <w:rsid w:val="588D9289"/>
    <w:rsid w:val="589EA6BC"/>
    <w:rsid w:val="58BA2DD0"/>
    <w:rsid w:val="58DF68EF"/>
    <w:rsid w:val="58E1FF0C"/>
    <w:rsid w:val="5930A527"/>
    <w:rsid w:val="5947EB2A"/>
    <w:rsid w:val="594B1B31"/>
    <w:rsid w:val="59684A35"/>
    <w:rsid w:val="597AED48"/>
    <w:rsid w:val="59854020"/>
    <w:rsid w:val="599B4C10"/>
    <w:rsid w:val="59B32200"/>
    <w:rsid w:val="59C619FD"/>
    <w:rsid w:val="59E2F57A"/>
    <w:rsid w:val="59E9BA8B"/>
    <w:rsid w:val="59F7C1A4"/>
    <w:rsid w:val="5A49E9FF"/>
    <w:rsid w:val="5A7B3950"/>
    <w:rsid w:val="5AB98B86"/>
    <w:rsid w:val="5ADBCA44"/>
    <w:rsid w:val="5AE6EB92"/>
    <w:rsid w:val="5B015775"/>
    <w:rsid w:val="5B858AEC"/>
    <w:rsid w:val="5B86E78F"/>
    <w:rsid w:val="5C1709B1"/>
    <w:rsid w:val="5CF56550"/>
    <w:rsid w:val="5D1E1779"/>
    <w:rsid w:val="5D6FD4E6"/>
    <w:rsid w:val="5D8A9338"/>
    <w:rsid w:val="5D9BBC5D"/>
    <w:rsid w:val="5DB2DA12"/>
    <w:rsid w:val="5DD5C541"/>
    <w:rsid w:val="5E54C442"/>
    <w:rsid w:val="5E57C771"/>
    <w:rsid w:val="5E6EBD33"/>
    <w:rsid w:val="5E811C8C"/>
    <w:rsid w:val="5E869323"/>
    <w:rsid w:val="5E8F202F"/>
    <w:rsid w:val="5ECBA58C"/>
    <w:rsid w:val="5F4EAA73"/>
    <w:rsid w:val="5F5B22F7"/>
    <w:rsid w:val="5F71F502"/>
    <w:rsid w:val="5F93D5C8"/>
    <w:rsid w:val="5FCE434E"/>
    <w:rsid w:val="5FE1926A"/>
    <w:rsid w:val="60083736"/>
    <w:rsid w:val="60226384"/>
    <w:rsid w:val="602C9339"/>
    <w:rsid w:val="60433647"/>
    <w:rsid w:val="605D4C5C"/>
    <w:rsid w:val="605D4C5C"/>
    <w:rsid w:val="60A775A8"/>
    <w:rsid w:val="60EA7AD4"/>
    <w:rsid w:val="616F0C81"/>
    <w:rsid w:val="617D62CB"/>
    <w:rsid w:val="619057F2"/>
    <w:rsid w:val="6195CC72"/>
    <w:rsid w:val="61A65DF5"/>
    <w:rsid w:val="61BE33E5"/>
    <w:rsid w:val="61DF06A8"/>
    <w:rsid w:val="61ED385C"/>
    <w:rsid w:val="61ED385C"/>
    <w:rsid w:val="61F05CFE"/>
    <w:rsid w:val="621148B0"/>
    <w:rsid w:val="6221CCA5"/>
    <w:rsid w:val="623F8ED9"/>
    <w:rsid w:val="62864B35"/>
    <w:rsid w:val="6288E152"/>
    <w:rsid w:val="628E12EF"/>
    <w:rsid w:val="629240B1"/>
    <w:rsid w:val="629E0253"/>
    <w:rsid w:val="62C75C3D"/>
    <w:rsid w:val="62FE330F"/>
    <w:rsid w:val="6338E4E9"/>
    <w:rsid w:val="63561291"/>
    <w:rsid w:val="6381EFF8"/>
    <w:rsid w:val="63BA26C0"/>
    <w:rsid w:val="63CAFD6A"/>
    <w:rsid w:val="63D185A3"/>
    <w:rsid w:val="63FFC28E"/>
    <w:rsid w:val="6416FB3B"/>
    <w:rsid w:val="64221B96"/>
    <w:rsid w:val="642C5097"/>
    <w:rsid w:val="646F38B8"/>
    <w:rsid w:val="64FC1FBA"/>
    <w:rsid w:val="64FD3639"/>
    <w:rsid w:val="6516A76A"/>
    <w:rsid w:val="65260230"/>
    <w:rsid w:val="65332402"/>
    <w:rsid w:val="65A9FD80"/>
    <w:rsid w:val="65D92452"/>
    <w:rsid w:val="660C95D9"/>
    <w:rsid w:val="6625F1A1"/>
    <w:rsid w:val="662B590B"/>
    <w:rsid w:val="6650D3EE"/>
    <w:rsid w:val="667E4899"/>
    <w:rsid w:val="669B1CAA"/>
    <w:rsid w:val="66CD4059"/>
    <w:rsid w:val="66D6346D"/>
    <w:rsid w:val="66F05FB7"/>
    <w:rsid w:val="6759BC58"/>
    <w:rsid w:val="6774F4B3"/>
    <w:rsid w:val="67A808BF"/>
    <w:rsid w:val="67A8663A"/>
    <w:rsid w:val="67AFF6C0"/>
    <w:rsid w:val="67C1C202"/>
    <w:rsid w:val="67ECA44F"/>
    <w:rsid w:val="68159F79"/>
    <w:rsid w:val="681E5563"/>
    <w:rsid w:val="683A203C"/>
    <w:rsid w:val="68490543"/>
    <w:rsid w:val="68646347"/>
    <w:rsid w:val="68731012"/>
    <w:rsid w:val="687A3FFA"/>
    <w:rsid w:val="68B578C8"/>
    <w:rsid w:val="69A0DE57"/>
    <w:rsid w:val="69ACCECC"/>
    <w:rsid w:val="6A13376F"/>
    <w:rsid w:val="6A915D1A"/>
    <w:rsid w:val="6A961772"/>
    <w:rsid w:val="6AC8887C"/>
    <w:rsid w:val="6AF6C6E1"/>
    <w:rsid w:val="6B02C16A"/>
    <w:rsid w:val="6B7FC8A4"/>
    <w:rsid w:val="6C54A2F1"/>
    <w:rsid w:val="6C5A633A"/>
    <w:rsid w:val="6C633B82"/>
    <w:rsid w:val="6C6BF006"/>
    <w:rsid w:val="6C911CF7"/>
    <w:rsid w:val="6CA8C789"/>
    <w:rsid w:val="6CD87F19"/>
    <w:rsid w:val="6D0D915F"/>
    <w:rsid w:val="6D5F64C0"/>
    <w:rsid w:val="6DB7CF32"/>
    <w:rsid w:val="6DC49306"/>
    <w:rsid w:val="6DCB93F9"/>
    <w:rsid w:val="6DDF1B12"/>
    <w:rsid w:val="6DE04E1E"/>
    <w:rsid w:val="6DFA9910"/>
    <w:rsid w:val="6E313F5A"/>
    <w:rsid w:val="6E82D496"/>
    <w:rsid w:val="6EA961C0"/>
    <w:rsid w:val="6EBC8D91"/>
    <w:rsid w:val="6EF70744"/>
    <w:rsid w:val="6F539F93"/>
    <w:rsid w:val="6F775183"/>
    <w:rsid w:val="6FA91275"/>
    <w:rsid w:val="7020B15E"/>
    <w:rsid w:val="703F68D3"/>
    <w:rsid w:val="704DE3B3"/>
    <w:rsid w:val="704E0AF1"/>
    <w:rsid w:val="706F752C"/>
    <w:rsid w:val="70A9FB84"/>
    <w:rsid w:val="70D1C208"/>
    <w:rsid w:val="70EF6FF4"/>
    <w:rsid w:val="7116BBD4"/>
    <w:rsid w:val="714DDDBC"/>
    <w:rsid w:val="71743E66"/>
    <w:rsid w:val="719B1186"/>
    <w:rsid w:val="71A71266"/>
    <w:rsid w:val="720810E8"/>
    <w:rsid w:val="727E43F2"/>
    <w:rsid w:val="72D01548"/>
    <w:rsid w:val="72E93154"/>
    <w:rsid w:val="73056D2B"/>
    <w:rsid w:val="73360441"/>
    <w:rsid w:val="7355DD26"/>
    <w:rsid w:val="73607755"/>
    <w:rsid w:val="739B45AB"/>
    <w:rsid w:val="73ABE814"/>
    <w:rsid w:val="742710B6"/>
    <w:rsid w:val="742B706D"/>
    <w:rsid w:val="743AD57D"/>
    <w:rsid w:val="7453439A"/>
    <w:rsid w:val="7467B441"/>
    <w:rsid w:val="746BE5A9"/>
    <w:rsid w:val="74F3D7CD"/>
    <w:rsid w:val="74F57B27"/>
    <w:rsid w:val="7533FC06"/>
    <w:rsid w:val="7546D6CB"/>
    <w:rsid w:val="7547D66D"/>
    <w:rsid w:val="75A1D978"/>
    <w:rsid w:val="75EA2CF7"/>
    <w:rsid w:val="75F1B141"/>
    <w:rsid w:val="76068B37"/>
    <w:rsid w:val="76A761A0"/>
    <w:rsid w:val="76D19DE4"/>
    <w:rsid w:val="76DEB6B0"/>
    <w:rsid w:val="76E0384A"/>
    <w:rsid w:val="7726ECE4"/>
    <w:rsid w:val="7751651B"/>
    <w:rsid w:val="77ABB0C4"/>
    <w:rsid w:val="77C1CA52"/>
    <w:rsid w:val="77F7997C"/>
    <w:rsid w:val="7834BB41"/>
    <w:rsid w:val="7856A67C"/>
    <w:rsid w:val="7857453E"/>
    <w:rsid w:val="78A81104"/>
    <w:rsid w:val="78EF93C9"/>
    <w:rsid w:val="79065DD9"/>
    <w:rsid w:val="790B901C"/>
    <w:rsid w:val="7921CDB9"/>
    <w:rsid w:val="792A825C"/>
    <w:rsid w:val="7936E898"/>
    <w:rsid w:val="79760FD5"/>
    <w:rsid w:val="797B8578"/>
    <w:rsid w:val="79A68600"/>
    <w:rsid w:val="79D4A709"/>
    <w:rsid w:val="79DB9D9C"/>
    <w:rsid w:val="7A22F26B"/>
    <w:rsid w:val="7A5ED877"/>
    <w:rsid w:val="7ABD9E1A"/>
    <w:rsid w:val="7AD2B8F9"/>
    <w:rsid w:val="7AD68068"/>
    <w:rsid w:val="7ADC7819"/>
    <w:rsid w:val="7ADF960D"/>
    <w:rsid w:val="7B088C86"/>
    <w:rsid w:val="7B94AB44"/>
    <w:rsid w:val="7BB12E5F"/>
    <w:rsid w:val="7BDDEE55"/>
    <w:rsid w:val="7C6DD115"/>
    <w:rsid w:val="7C803A47"/>
    <w:rsid w:val="7C8D9A71"/>
    <w:rsid w:val="7D02E300"/>
    <w:rsid w:val="7D371438"/>
    <w:rsid w:val="7D935070"/>
    <w:rsid w:val="7DB839C6"/>
    <w:rsid w:val="7DD3931B"/>
    <w:rsid w:val="7DF6EE85"/>
    <w:rsid w:val="7E53CB56"/>
    <w:rsid w:val="7E68557B"/>
    <w:rsid w:val="7E79F723"/>
    <w:rsid w:val="7EF1FF2E"/>
    <w:rsid w:val="7F158F17"/>
    <w:rsid w:val="7F20B6B8"/>
    <w:rsid w:val="7F20B6B8"/>
    <w:rsid w:val="7FC4632B"/>
    <w:rsid w:val="7FC59D98"/>
    <w:rsid w:val="7FCC84A2"/>
    <w:rsid w:val="7FD4A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29240B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uiPriority w:val="99"/>
    <w:name w:val="header"/>
    <w:basedOn w:val="Normal"/>
    <w:unhideWhenUsed/>
    <w:link w:val="HeaderChar"/>
    <w:rsid w:val="629240B1"/>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style>
  <w:style w:type="paragraph" w:styleId="Footer">
    <w:uiPriority w:val="99"/>
    <w:name w:val="footer"/>
    <w:basedOn w:val="Normal"/>
    <w:unhideWhenUsed/>
    <w:link w:val="FooterChar"/>
    <w:rsid w:val="629240B1"/>
    <w:pPr>
      <w:tabs>
        <w:tab w:val="center" w:leader="none" w:pos="4680"/>
        <w:tab w:val="right" w:leader="none"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uiPriority w:val="34"/>
    <w:name w:val="List Paragraph"/>
    <w:basedOn w:val="Normal"/>
    <w:qFormat/>
    <w:rsid w:val="629240B1"/>
    <w:pPr>
      <w:spacing/>
      <w:ind w:left="720"/>
      <w:contextualSpacing/>
    </w:pPr>
  </w:style>
  <w:style w:type="paragraph" w:styleId="Heading1">
    <w:uiPriority w:val="9"/>
    <w:name w:val="heading 1"/>
    <w:basedOn w:val="Normal"/>
    <w:next w:val="Normal"/>
    <w:link w:val="Heading1Char"/>
    <w:qFormat/>
    <w:rsid w:val="629240B1"/>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29240B1"/>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29240B1"/>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29240B1"/>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29240B1"/>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29240B1"/>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29240B1"/>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29240B1"/>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29240B1"/>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29240B1"/>
    <w:rPr>
      <w:rFonts w:ascii="Calibri Light" w:hAnsi="Calibri Light"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629240B1"/>
    <w:rPr>
      <w:rFonts w:eastAsia="" w:eastAsiaTheme="minorEastAsia"/>
      <w:color w:val="5A5A5A"/>
    </w:rPr>
  </w:style>
  <w:style w:type="paragraph" w:styleId="Quote">
    <w:uiPriority w:val="29"/>
    <w:name w:val="Quote"/>
    <w:basedOn w:val="Normal"/>
    <w:next w:val="Normal"/>
    <w:link w:val="QuoteChar"/>
    <w:qFormat/>
    <w:rsid w:val="629240B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29240B1"/>
    <w:rPr>
      <w:i w:val="1"/>
      <w:iCs w:val="1"/>
      <w:color w:val="4472C4" w:themeColor="accent1" w:themeTint="FF" w:themeShade="FF"/>
    </w:rPr>
    <w:pPr>
      <w:spacing w:before="360" w:after="360"/>
      <w:ind w:left="864" w:right="864"/>
      <w:jc w:val="center"/>
    </w:pPr>
  </w:style>
  <w:style w:type="paragraph" w:styleId="TOC1">
    <w:uiPriority w:val="39"/>
    <w:name w:val="toc 1"/>
    <w:basedOn w:val="Normal"/>
    <w:next w:val="Normal"/>
    <w:unhideWhenUsed/>
    <w:rsid w:val="629240B1"/>
    <w:pPr>
      <w:spacing w:after="100"/>
    </w:pPr>
  </w:style>
  <w:style w:type="paragraph" w:styleId="TOC2">
    <w:uiPriority w:val="39"/>
    <w:name w:val="toc 2"/>
    <w:basedOn w:val="Normal"/>
    <w:next w:val="Normal"/>
    <w:unhideWhenUsed/>
    <w:rsid w:val="629240B1"/>
    <w:pPr>
      <w:spacing w:after="100"/>
      <w:ind w:left="220"/>
    </w:pPr>
  </w:style>
  <w:style w:type="paragraph" w:styleId="TOC3">
    <w:uiPriority w:val="39"/>
    <w:name w:val="toc 3"/>
    <w:basedOn w:val="Normal"/>
    <w:next w:val="Normal"/>
    <w:unhideWhenUsed/>
    <w:rsid w:val="629240B1"/>
    <w:pPr>
      <w:spacing w:after="100"/>
      <w:ind w:left="440"/>
    </w:pPr>
  </w:style>
  <w:style w:type="paragraph" w:styleId="TOC4">
    <w:uiPriority w:val="39"/>
    <w:name w:val="toc 4"/>
    <w:basedOn w:val="Normal"/>
    <w:next w:val="Normal"/>
    <w:unhideWhenUsed/>
    <w:rsid w:val="629240B1"/>
    <w:pPr>
      <w:spacing w:after="100"/>
      <w:ind w:left="660"/>
    </w:pPr>
  </w:style>
  <w:style w:type="paragraph" w:styleId="TOC5">
    <w:uiPriority w:val="39"/>
    <w:name w:val="toc 5"/>
    <w:basedOn w:val="Normal"/>
    <w:next w:val="Normal"/>
    <w:unhideWhenUsed/>
    <w:rsid w:val="629240B1"/>
    <w:pPr>
      <w:spacing w:after="100"/>
      <w:ind w:left="880"/>
    </w:pPr>
  </w:style>
  <w:style w:type="paragraph" w:styleId="TOC6">
    <w:uiPriority w:val="39"/>
    <w:name w:val="toc 6"/>
    <w:basedOn w:val="Normal"/>
    <w:next w:val="Normal"/>
    <w:unhideWhenUsed/>
    <w:rsid w:val="629240B1"/>
    <w:pPr>
      <w:spacing w:after="100"/>
      <w:ind w:left="1100"/>
    </w:pPr>
  </w:style>
  <w:style w:type="paragraph" w:styleId="TOC7">
    <w:uiPriority w:val="39"/>
    <w:name w:val="toc 7"/>
    <w:basedOn w:val="Normal"/>
    <w:next w:val="Normal"/>
    <w:unhideWhenUsed/>
    <w:rsid w:val="629240B1"/>
    <w:pPr>
      <w:spacing w:after="100"/>
      <w:ind w:left="1320"/>
    </w:pPr>
  </w:style>
  <w:style w:type="paragraph" w:styleId="TOC8">
    <w:uiPriority w:val="39"/>
    <w:name w:val="toc 8"/>
    <w:basedOn w:val="Normal"/>
    <w:next w:val="Normal"/>
    <w:unhideWhenUsed/>
    <w:rsid w:val="629240B1"/>
    <w:pPr>
      <w:spacing w:after="100"/>
      <w:ind w:left="1540"/>
    </w:pPr>
  </w:style>
  <w:style w:type="paragraph" w:styleId="TOC9">
    <w:uiPriority w:val="39"/>
    <w:name w:val="toc 9"/>
    <w:basedOn w:val="Normal"/>
    <w:next w:val="Normal"/>
    <w:unhideWhenUsed/>
    <w:rsid w:val="629240B1"/>
    <w:pPr>
      <w:spacing w:after="100"/>
      <w:ind w:left="1760"/>
    </w:pPr>
  </w:style>
  <w:style w:type="paragraph" w:styleId="EndnoteText">
    <w:uiPriority w:val="99"/>
    <w:name w:val="endnote text"/>
    <w:basedOn w:val="Normal"/>
    <w:semiHidden/>
    <w:unhideWhenUsed/>
    <w:link w:val="EndnoteTextChar"/>
    <w:rsid w:val="629240B1"/>
    <w:rPr>
      <w:sz w:val="20"/>
      <w:szCs w:val="20"/>
    </w:rPr>
    <w:pPr>
      <w:spacing w:after="0" w:line="240" w:lineRule="auto"/>
    </w:pPr>
  </w:style>
  <w:style w:type="paragraph" w:styleId="FootnoteText">
    <w:uiPriority w:val="99"/>
    <w:name w:val="footnote text"/>
    <w:basedOn w:val="Normal"/>
    <w:semiHidden/>
    <w:unhideWhenUsed/>
    <w:link w:val="FootnoteTextChar"/>
    <w:rsid w:val="629240B1"/>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glossaryDocument" Target="glossary/document.xml" Id="Rbe8f8e3775574cd2" /><Relationship Type="http://schemas.openxmlformats.org/officeDocument/2006/relationships/hyperlink" Target="https://psyjournals.ru/en/journals/jmfp/archive/2021_n3/Basilova" TargetMode="External" Id="R12e644ea31494c6d" /><Relationship Type="http://schemas.openxmlformats.org/officeDocument/2006/relationships/hyperlink" Target="https://www.bera.ac.uk/publication/ethical-guidelines-for-educational-research-fifth-edition-2024" TargetMode="External" Id="Rbe9235b919ce4521" /><Relationship Type="http://schemas.openxmlformats.org/officeDocument/2006/relationships/hyperlink" Target="https://www.legislation.gov.uk/ukpga/2018/12" TargetMode="External" Id="R93a7f99855aa4798" /><Relationship Type="http://schemas.openxmlformats.org/officeDocument/2006/relationships/hyperlink" Target="https://doi.org/10.1177/016146811912100205" TargetMode="External" Id="R87e3089e741a4929" /><Relationship Type="http://schemas.openxmlformats.org/officeDocument/2006/relationships/hyperlink" Target="https://www.legislation.gov.uk/eur/2016/679/contents" TargetMode="External" Id="Rebca54068e554912" /><Relationship Type="http://schemas.openxmlformats.org/officeDocument/2006/relationships/hyperlink" Target="https://doi.org/10.1080/13632434.2018.1430689" TargetMode="External" Id="Rddbfafc938cd4bfa" /><Relationship Type="http://schemas.openxmlformats.org/officeDocument/2006/relationships/hyperlink" Target="https://doi.org/10.1177/0013124520915597" TargetMode="External" Id="R6ffb31de44ac4c49" /><Relationship Type="http://schemas.openxmlformats.org/officeDocument/2006/relationships/hyperlink" Target="https://doi.org/10.1136/eb-2013-101494" TargetMode="External" Id="R5aedb7cd981d42d5" /><Relationship Type="http://schemas.openxmlformats.org/officeDocument/2006/relationships/hyperlink" Target="https://doi.org/10.1080/00131911.2018.1388612" TargetMode="External" Id="R99645f9ad6034571" /><Relationship Type="http://schemas.openxmlformats.org/officeDocument/2006/relationships/hyperlink" Target="https://doi.org/10.1080/13632434.2018.1434767" TargetMode="External" Id="Rf6a34177940148ff" /><Relationship Type="http://schemas.openxmlformats.org/officeDocument/2006/relationships/hyperlink" Target="https://learning.nspcc.org.uk/research-resources/briefings/research-with-children-ethics-safety-promoting-inclusion" TargetMode="External" Id="Ra76aa47480fe4ecc" /><Relationship Type="http://schemas.openxmlformats.org/officeDocument/2006/relationships/hyperlink" Target="https://doi.org/10.1177/0042085916660348" TargetMode="External" Id="R44b1fc4981ca4c10" /><Relationship Type="http://schemas.openxmlformats.org/officeDocument/2006/relationships/hyperlink" Target="https://explore.bps.org.uk/binary/bpsworks/06096a55b82ca73a/9787a5959b2bfdff7ed2a43ad5b3f333a5278925cfd667b1b2e64b5387c91b92/inf180_2021.pdf" TargetMode="External" Id="R81012601909d478f" /><Relationship Type="http://schemas.openxmlformats.org/officeDocument/2006/relationships/hyperlink" Target="https://doi.org/10.1080/01425692.2021.1908115" TargetMode="External" Id="Rb0da3b0cf7634c84" /><Relationship Type="http://schemas.microsoft.com/office/2020/10/relationships/intelligence" Target="intelligence2.xml" Id="R26a4d03a9f0f4bf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2c1ed71b-bdc6-4c8c-90d8-50f5ba963158}"/>
      </w:docPartPr>
      <w:docPartBody>
        <w:p xmlns:wp14="http://schemas.microsoft.com/office/word/2010/wordml" w14:paraId="162F46CA"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Nurul Subhan</dc:creator>
  <keywords/>
  <dc:description/>
  <lastModifiedBy>Nurul Subhan (2307239)</lastModifiedBy>
  <revision>18</revision>
  <dcterms:created xsi:type="dcterms:W3CDTF">2023-09-05T05:57:00.0000000Z</dcterms:created>
  <dcterms:modified xsi:type="dcterms:W3CDTF">2024-06-14T07:23:43.7582677Z</dcterms:modified>
</coreProperties>
</file>