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31C" w:rsidRDefault="005E7BBE" w:rsidP="00036BD5">
      <w:pPr>
        <w:pStyle w:val="awTB00chTitle"/>
        <w:spacing w:before="720" w:after="0"/>
      </w:pPr>
      <w:r>
        <w:rPr>
          <w:sz w:val="44"/>
          <w:szCs w:val="44"/>
        </w:rPr>
        <w:t xml:space="preserve">Chapter </w:t>
      </w:r>
      <w:r w:rsidR="005C57B8">
        <w:rPr>
          <w:sz w:val="44"/>
          <w:szCs w:val="44"/>
        </w:rPr>
        <w:t>7</w:t>
      </w:r>
      <w:r>
        <w:rPr>
          <w:sz w:val="32"/>
        </w:rPr>
        <w:br/>
      </w:r>
      <w:r>
        <w:t>Foreig</w:t>
      </w:r>
      <w:r w:rsidR="005943A2">
        <w:t>n Currency Derivatives and Swaps</w:t>
      </w:r>
    </w:p>
    <w:p w:rsidR="005943A2" w:rsidRPr="0090254E" w:rsidRDefault="005943A2" w:rsidP="005943A2">
      <w:pPr>
        <w:rPr>
          <w:rFonts w:ascii="Helvetica" w:eastAsia="Calibri" w:hAnsi="Helvetica"/>
          <w:b/>
          <w:sz w:val="28"/>
          <w:szCs w:val="28"/>
        </w:rPr>
      </w:pPr>
      <w:r>
        <w:rPr>
          <w:rFonts w:ascii="Helvetica" w:eastAsia="Calibri" w:hAnsi="Helvetica"/>
          <w:sz w:val="28"/>
          <w:szCs w:val="28"/>
        </w:rPr>
        <w:br/>
      </w: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Learning Objectives</w:t>
      </w:r>
    </w:p>
    <w:p w:rsidR="005B42DA" w:rsidRPr="005B42DA" w:rsidRDefault="005B42DA" w:rsidP="005B42DA">
      <w:pPr>
        <w:numPr>
          <w:ilvl w:val="0"/>
          <w:numId w:val="22"/>
        </w:numPr>
        <w:spacing w:after="160" w:line="259" w:lineRule="auto"/>
        <w:contextualSpacing/>
        <w:rPr>
          <w:rFonts w:ascii="Times" w:eastAsia="Calibri" w:hAnsi="Times" w:cs="Times"/>
          <w:sz w:val="24"/>
          <w:szCs w:val="24"/>
        </w:rPr>
      </w:pPr>
      <w:r w:rsidRPr="005B42DA">
        <w:rPr>
          <w:rFonts w:ascii="Times" w:eastAsia="Calibri" w:hAnsi="Times" w:cs="Times"/>
          <w:sz w:val="24"/>
          <w:szCs w:val="24"/>
        </w:rPr>
        <w:t>Explain how foreign currency futures are quoted, valued, and used for speculation</w:t>
      </w:r>
      <w:r>
        <w:rPr>
          <w:rFonts w:ascii="Times" w:eastAsia="Calibri" w:hAnsi="Times" w:cs="Times"/>
          <w:sz w:val="24"/>
          <w:szCs w:val="24"/>
        </w:rPr>
        <w:t xml:space="preserve"> </w:t>
      </w:r>
      <w:r w:rsidRPr="005B42DA">
        <w:rPr>
          <w:rFonts w:ascii="Times" w:eastAsia="Calibri" w:hAnsi="Times" w:cs="Times"/>
          <w:sz w:val="24"/>
          <w:szCs w:val="24"/>
        </w:rPr>
        <w:t>purposes</w:t>
      </w:r>
    </w:p>
    <w:p w:rsidR="005B42DA" w:rsidRPr="005B42DA" w:rsidRDefault="005B42DA" w:rsidP="005B42DA">
      <w:pPr>
        <w:numPr>
          <w:ilvl w:val="0"/>
          <w:numId w:val="22"/>
        </w:numPr>
        <w:spacing w:after="160" w:line="259" w:lineRule="auto"/>
        <w:contextualSpacing/>
        <w:rPr>
          <w:rFonts w:ascii="Times" w:eastAsia="Calibri" w:hAnsi="Times" w:cs="Times"/>
          <w:sz w:val="24"/>
          <w:szCs w:val="24"/>
        </w:rPr>
      </w:pPr>
      <w:r w:rsidRPr="005B42DA">
        <w:rPr>
          <w:rFonts w:ascii="Times" w:eastAsia="Calibri" w:hAnsi="Times" w:cs="Times"/>
          <w:sz w:val="24"/>
          <w:szCs w:val="24"/>
        </w:rPr>
        <w:t>Illustrate how foreign currency futures differ from forward contracts</w:t>
      </w:r>
    </w:p>
    <w:p w:rsidR="005B42DA" w:rsidRPr="005B42DA" w:rsidRDefault="005B42DA" w:rsidP="005B42DA">
      <w:pPr>
        <w:numPr>
          <w:ilvl w:val="0"/>
          <w:numId w:val="22"/>
        </w:numPr>
        <w:spacing w:after="160" w:line="259" w:lineRule="auto"/>
        <w:contextualSpacing/>
        <w:rPr>
          <w:rFonts w:ascii="Times" w:eastAsia="Calibri" w:hAnsi="Times" w:cs="Times"/>
          <w:sz w:val="24"/>
          <w:szCs w:val="24"/>
        </w:rPr>
      </w:pPr>
      <w:r w:rsidRPr="005B42DA">
        <w:rPr>
          <w:rFonts w:ascii="Times" w:eastAsia="Calibri" w:hAnsi="Times" w:cs="Times"/>
          <w:sz w:val="24"/>
          <w:szCs w:val="24"/>
        </w:rPr>
        <w:t>Analyze how foreign currency options are quoted and used for speculation purposes</w:t>
      </w:r>
    </w:p>
    <w:p w:rsidR="005B42DA" w:rsidRPr="005B42DA" w:rsidRDefault="005B42DA" w:rsidP="005B42DA">
      <w:pPr>
        <w:numPr>
          <w:ilvl w:val="0"/>
          <w:numId w:val="22"/>
        </w:numPr>
        <w:spacing w:after="160" w:line="259" w:lineRule="auto"/>
        <w:contextualSpacing/>
        <w:rPr>
          <w:rFonts w:ascii="Times" w:eastAsia="Calibri" w:hAnsi="Times" w:cs="Times"/>
          <w:sz w:val="24"/>
          <w:szCs w:val="24"/>
        </w:rPr>
      </w:pPr>
      <w:r w:rsidRPr="005B42DA">
        <w:rPr>
          <w:rFonts w:ascii="Times" w:eastAsia="Calibri" w:hAnsi="Times" w:cs="Times"/>
          <w:sz w:val="24"/>
          <w:szCs w:val="24"/>
        </w:rPr>
        <w:t>Consider the distinction between buying options and writing options in terms of</w:t>
      </w:r>
      <w:r>
        <w:rPr>
          <w:rFonts w:ascii="Times" w:eastAsia="Calibri" w:hAnsi="Times" w:cs="Times"/>
          <w:sz w:val="24"/>
          <w:szCs w:val="24"/>
        </w:rPr>
        <w:t xml:space="preserve"> </w:t>
      </w:r>
      <w:r w:rsidRPr="005B42DA">
        <w:rPr>
          <w:rFonts w:ascii="Times" w:eastAsia="Calibri" w:hAnsi="Times" w:cs="Times"/>
          <w:sz w:val="24"/>
          <w:szCs w:val="24"/>
        </w:rPr>
        <w:t>whether profits and losses are limited or unlimited</w:t>
      </w:r>
    </w:p>
    <w:p w:rsidR="005B42DA" w:rsidRPr="005B42DA" w:rsidRDefault="005B42DA" w:rsidP="005B42DA">
      <w:pPr>
        <w:numPr>
          <w:ilvl w:val="0"/>
          <w:numId w:val="22"/>
        </w:numPr>
        <w:spacing w:after="160" w:line="259" w:lineRule="auto"/>
        <w:contextualSpacing/>
        <w:rPr>
          <w:rFonts w:ascii="Times" w:eastAsia="Calibri" w:hAnsi="Times" w:cs="Times"/>
          <w:sz w:val="24"/>
          <w:szCs w:val="24"/>
        </w:rPr>
      </w:pPr>
      <w:r w:rsidRPr="005B42DA">
        <w:rPr>
          <w:rFonts w:ascii="Times" w:eastAsia="Calibri" w:hAnsi="Times" w:cs="Times"/>
          <w:sz w:val="24"/>
          <w:szCs w:val="24"/>
        </w:rPr>
        <w:t>Explain how foreign currency options are valued</w:t>
      </w:r>
    </w:p>
    <w:p w:rsidR="005B42DA" w:rsidRPr="005B42DA" w:rsidRDefault="005B42DA" w:rsidP="005B42DA">
      <w:pPr>
        <w:numPr>
          <w:ilvl w:val="0"/>
          <w:numId w:val="22"/>
        </w:numPr>
        <w:spacing w:after="160" w:line="259" w:lineRule="auto"/>
        <w:contextualSpacing/>
        <w:rPr>
          <w:rFonts w:ascii="Times" w:eastAsia="Calibri" w:hAnsi="Times" w:cs="Times"/>
          <w:sz w:val="24"/>
          <w:szCs w:val="24"/>
        </w:rPr>
      </w:pPr>
      <w:r w:rsidRPr="005B42DA">
        <w:rPr>
          <w:rFonts w:ascii="Times" w:eastAsia="Calibri" w:hAnsi="Times" w:cs="Times"/>
          <w:sz w:val="24"/>
          <w:szCs w:val="24"/>
        </w:rPr>
        <w:t>Define interest rate risk and demonstrate how it can be managed</w:t>
      </w:r>
    </w:p>
    <w:p w:rsidR="005B42DA" w:rsidRPr="005B42DA" w:rsidRDefault="005B42DA" w:rsidP="005B42DA">
      <w:pPr>
        <w:numPr>
          <w:ilvl w:val="0"/>
          <w:numId w:val="22"/>
        </w:numPr>
        <w:spacing w:after="160" w:line="259" w:lineRule="auto"/>
        <w:contextualSpacing/>
        <w:rPr>
          <w:rFonts w:ascii="Times" w:eastAsia="Calibri" w:hAnsi="Times" w:cs="Times"/>
          <w:sz w:val="24"/>
          <w:szCs w:val="24"/>
        </w:rPr>
      </w:pPr>
      <w:r w:rsidRPr="005B42DA">
        <w:rPr>
          <w:rFonts w:ascii="Times" w:eastAsia="Calibri" w:hAnsi="Times" w:cs="Times"/>
          <w:sz w:val="24"/>
          <w:szCs w:val="24"/>
        </w:rPr>
        <w:t>Explain interest rate swaps and how they can be used to manage interest rate risk</w:t>
      </w:r>
    </w:p>
    <w:p w:rsidR="005943A2" w:rsidRPr="005B42DA" w:rsidRDefault="005B42DA" w:rsidP="005B42DA">
      <w:pPr>
        <w:numPr>
          <w:ilvl w:val="0"/>
          <w:numId w:val="22"/>
        </w:numPr>
        <w:spacing w:after="160" w:line="259" w:lineRule="auto"/>
        <w:contextualSpacing/>
        <w:rPr>
          <w:rFonts w:ascii="Times" w:eastAsia="Calibri" w:hAnsi="Times" w:cs="Times"/>
          <w:sz w:val="24"/>
          <w:szCs w:val="24"/>
        </w:rPr>
      </w:pPr>
      <w:r w:rsidRPr="005B42DA">
        <w:rPr>
          <w:rFonts w:ascii="Times" w:eastAsia="Calibri" w:hAnsi="Times" w:cs="Times"/>
          <w:sz w:val="24"/>
          <w:szCs w:val="24"/>
        </w:rPr>
        <w:t>Analyze how interest rate swaps and cross-currency swaps can be used to manage both</w:t>
      </w:r>
      <w:r>
        <w:rPr>
          <w:rFonts w:ascii="Times" w:eastAsia="Calibri" w:hAnsi="Times" w:cs="Times"/>
          <w:sz w:val="24"/>
          <w:szCs w:val="24"/>
        </w:rPr>
        <w:t xml:space="preserve"> </w:t>
      </w:r>
      <w:r w:rsidRPr="005B42DA">
        <w:rPr>
          <w:rFonts w:ascii="Times" w:eastAsia="Calibri" w:hAnsi="Times" w:cs="Times"/>
          <w:sz w:val="24"/>
          <w:szCs w:val="24"/>
        </w:rPr>
        <w:t>foreign exchange risk and interest rate risk simultaneou</w:t>
      </w:r>
      <w:r>
        <w:rPr>
          <w:rFonts w:ascii="Times" w:eastAsia="Calibri" w:hAnsi="Times" w:cs="Times"/>
          <w:sz w:val="24"/>
          <w:szCs w:val="24"/>
        </w:rPr>
        <w:t>sly</w:t>
      </w:r>
    </w:p>
    <w:p w:rsidR="005943A2" w:rsidRPr="0090254E" w:rsidRDefault="005943A2" w:rsidP="00FB0C3F">
      <w:pPr>
        <w:spacing w:before="480" w:after="160" w:line="259" w:lineRule="auto"/>
        <w:rPr>
          <w:rFonts w:ascii="Calibri" w:eastAsia="Calibri" w:hAnsi="Calibri"/>
          <w:sz w:val="22"/>
          <w:szCs w:val="22"/>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Chapter Outline</w:t>
      </w:r>
      <w:r w:rsidRPr="0090254E">
        <w:rPr>
          <w:rFonts w:ascii="Calibri" w:eastAsia="Calibri" w:hAnsi="Calibri"/>
          <w:sz w:val="22"/>
          <w:szCs w:val="22"/>
        </w:rPr>
        <w:t xml:space="preserve"> </w:t>
      </w:r>
    </w:p>
    <w:p w:rsidR="005943A2" w:rsidRDefault="005943A2" w:rsidP="00F61C88">
      <w:pPr>
        <w:pStyle w:val="OutlineI"/>
      </w:pPr>
      <w:r>
        <w:t>Foreign Currency Futures</w:t>
      </w:r>
    </w:p>
    <w:p w:rsidR="005943A2" w:rsidRDefault="005943A2" w:rsidP="00F61C88">
      <w:pPr>
        <w:pStyle w:val="OutlineA"/>
      </w:pPr>
      <w:r>
        <w:t>Contract Specifications</w:t>
      </w:r>
    </w:p>
    <w:p w:rsidR="005943A2" w:rsidRDefault="005943A2" w:rsidP="00F61C88">
      <w:pPr>
        <w:pStyle w:val="OutlineA"/>
      </w:pPr>
      <w:r>
        <w:t>Using Foreign Currency Futures</w:t>
      </w:r>
    </w:p>
    <w:p w:rsidR="005943A2" w:rsidRDefault="005943A2" w:rsidP="00F61C88">
      <w:pPr>
        <w:pStyle w:val="Outlline1"/>
      </w:pPr>
      <w:r>
        <w:t>Short Positions</w:t>
      </w:r>
    </w:p>
    <w:p w:rsidR="005943A2" w:rsidRDefault="005943A2" w:rsidP="00F61C88">
      <w:pPr>
        <w:pStyle w:val="Outlline1"/>
      </w:pPr>
      <w:r>
        <w:t>Long Positions</w:t>
      </w:r>
    </w:p>
    <w:p w:rsidR="005943A2" w:rsidRDefault="005943A2" w:rsidP="00F61C88">
      <w:pPr>
        <w:pStyle w:val="OutlineA"/>
      </w:pPr>
      <w:r>
        <w:t xml:space="preserve">Foreign Currency Futures </w:t>
      </w:r>
      <w:r w:rsidR="00FB0C3F">
        <w:t>v</w:t>
      </w:r>
      <w:r>
        <w:t>ersus Forward Contracts</w:t>
      </w:r>
    </w:p>
    <w:p w:rsidR="005943A2" w:rsidRDefault="005943A2" w:rsidP="00F61C88">
      <w:pPr>
        <w:pStyle w:val="OutlineI"/>
      </w:pPr>
      <w:r>
        <w:t>Currency Options</w:t>
      </w:r>
    </w:p>
    <w:p w:rsidR="005B42DA" w:rsidRDefault="005B42DA" w:rsidP="00F61C88">
      <w:pPr>
        <w:pStyle w:val="OutlineA"/>
        <w:numPr>
          <w:ilvl w:val="0"/>
          <w:numId w:val="27"/>
        </w:numPr>
      </w:pPr>
      <w:r>
        <w:t>Option Fundamentals</w:t>
      </w:r>
    </w:p>
    <w:p w:rsidR="005943A2" w:rsidRDefault="005943A2" w:rsidP="00F61C88">
      <w:pPr>
        <w:pStyle w:val="OutlineA"/>
      </w:pPr>
      <w:r>
        <w:t>Foreign Currency Options Markets</w:t>
      </w:r>
    </w:p>
    <w:p w:rsidR="005943A2" w:rsidRDefault="005943A2" w:rsidP="00F61C88">
      <w:pPr>
        <w:pStyle w:val="Outlline1"/>
        <w:numPr>
          <w:ilvl w:val="0"/>
          <w:numId w:val="28"/>
        </w:numPr>
      </w:pPr>
      <w:r>
        <w:t>Options on the Over-the-Counter Market</w:t>
      </w:r>
    </w:p>
    <w:p w:rsidR="005943A2" w:rsidRDefault="005943A2" w:rsidP="00F61C88">
      <w:pPr>
        <w:pStyle w:val="Outlline1"/>
      </w:pPr>
      <w:r>
        <w:t>Options on Organized Exchanges</w:t>
      </w:r>
    </w:p>
    <w:p w:rsidR="005943A2" w:rsidRDefault="005943A2" w:rsidP="00F61C88">
      <w:pPr>
        <w:pStyle w:val="OutlineA"/>
      </w:pPr>
      <w:r>
        <w:t>Currency Option Quotations and Prices</w:t>
      </w:r>
    </w:p>
    <w:p w:rsidR="005943A2" w:rsidRDefault="005943A2" w:rsidP="00FB0C3F">
      <w:pPr>
        <w:pStyle w:val="Outlline1"/>
        <w:numPr>
          <w:ilvl w:val="0"/>
          <w:numId w:val="31"/>
        </w:numPr>
      </w:pPr>
      <w:r>
        <w:t>Spot rate</w:t>
      </w:r>
    </w:p>
    <w:p w:rsidR="005943A2" w:rsidRDefault="005943A2" w:rsidP="00F61C88">
      <w:pPr>
        <w:pStyle w:val="Outlline1"/>
      </w:pPr>
      <w:r>
        <w:t>Exercise price</w:t>
      </w:r>
    </w:p>
    <w:p w:rsidR="005943A2" w:rsidRDefault="005943A2" w:rsidP="00F61C88">
      <w:pPr>
        <w:pStyle w:val="Outlline1"/>
      </w:pPr>
      <w:r>
        <w:t>Premium</w:t>
      </w:r>
    </w:p>
    <w:p w:rsidR="005943A2" w:rsidRDefault="005943A2" w:rsidP="00F61C88">
      <w:pPr>
        <w:pStyle w:val="OutlineA"/>
      </w:pPr>
      <w:r>
        <w:t>Buyer of a Call</w:t>
      </w:r>
    </w:p>
    <w:p w:rsidR="005943A2" w:rsidRDefault="005943A2" w:rsidP="00F61C88">
      <w:pPr>
        <w:pStyle w:val="OutlineA"/>
      </w:pPr>
      <w:r>
        <w:t>Writer of a Call</w:t>
      </w:r>
    </w:p>
    <w:p w:rsidR="005943A2" w:rsidRDefault="005943A2" w:rsidP="00F61C88">
      <w:pPr>
        <w:pStyle w:val="OutlineA"/>
      </w:pPr>
      <w:r>
        <w:t>Buyer of a Put</w:t>
      </w:r>
    </w:p>
    <w:p w:rsidR="005943A2" w:rsidRDefault="005943A2" w:rsidP="00F61C88">
      <w:pPr>
        <w:pStyle w:val="OutlineA"/>
      </w:pPr>
      <w:r>
        <w:t>Writer of a Put</w:t>
      </w:r>
    </w:p>
    <w:p w:rsidR="005943A2" w:rsidRDefault="005943A2" w:rsidP="00F61C88">
      <w:pPr>
        <w:pStyle w:val="OutlineI"/>
      </w:pPr>
      <w:r>
        <w:t>Option Pricing and Valuation</w:t>
      </w:r>
    </w:p>
    <w:p w:rsidR="005943A2" w:rsidRDefault="005943A2" w:rsidP="00F61C88">
      <w:pPr>
        <w:pStyle w:val="OutlineI"/>
      </w:pPr>
      <w:r>
        <w:t>Interest Rate Risk</w:t>
      </w:r>
    </w:p>
    <w:p w:rsidR="005943A2" w:rsidRDefault="005943A2" w:rsidP="00F61C88">
      <w:pPr>
        <w:pStyle w:val="OutlineA"/>
        <w:numPr>
          <w:ilvl w:val="0"/>
          <w:numId w:val="29"/>
        </w:numPr>
      </w:pPr>
      <w:r>
        <w:t xml:space="preserve">Credit Risk and </w:t>
      </w:r>
      <w:proofErr w:type="spellStart"/>
      <w:r w:rsidRPr="005943A2">
        <w:t>Repricing</w:t>
      </w:r>
      <w:proofErr w:type="spellEnd"/>
      <w:r>
        <w:t xml:space="preserve"> Risk</w:t>
      </w:r>
    </w:p>
    <w:p w:rsidR="005943A2" w:rsidRDefault="005943A2" w:rsidP="00F61C88">
      <w:pPr>
        <w:pStyle w:val="OutlineI"/>
      </w:pPr>
      <w:r>
        <w:lastRenderedPageBreak/>
        <w:t>Interest Rate Derivatives</w:t>
      </w:r>
    </w:p>
    <w:p w:rsidR="005943A2" w:rsidRDefault="005943A2" w:rsidP="00F61C88">
      <w:pPr>
        <w:pStyle w:val="OutlineA"/>
        <w:numPr>
          <w:ilvl w:val="0"/>
          <w:numId w:val="30"/>
        </w:numPr>
      </w:pPr>
      <w:r>
        <w:t>Interest Rate Futures</w:t>
      </w:r>
    </w:p>
    <w:p w:rsidR="005943A2" w:rsidRDefault="005943A2" w:rsidP="00F61C88">
      <w:pPr>
        <w:pStyle w:val="OutlineA"/>
      </w:pPr>
      <w:r>
        <w:t>Forward Rate Agreements</w:t>
      </w:r>
    </w:p>
    <w:p w:rsidR="005943A2" w:rsidRDefault="005943A2" w:rsidP="00F61C88">
      <w:pPr>
        <w:pStyle w:val="OutlineA"/>
      </w:pPr>
      <w:r>
        <w:t>Interest Rate Swaps</w:t>
      </w:r>
    </w:p>
    <w:p w:rsidR="005943A2" w:rsidRDefault="005943A2" w:rsidP="00F61C88">
      <w:pPr>
        <w:pStyle w:val="OutlineA"/>
      </w:pPr>
      <w:r>
        <w:t>Currency Swaps</w:t>
      </w:r>
    </w:p>
    <w:p w:rsidR="005943A2" w:rsidRPr="005943A2" w:rsidRDefault="005943A2" w:rsidP="00F61C88">
      <w:pPr>
        <w:pStyle w:val="OutlineA"/>
      </w:pPr>
      <w:r>
        <w:t>Prudence in Practice</w:t>
      </w:r>
    </w:p>
    <w:p w:rsidR="0056531C" w:rsidRDefault="005E7BBE" w:rsidP="00FB0C3F">
      <w:pPr>
        <w:pStyle w:val="awTB01questionHead"/>
        <w:keepNext w:val="0"/>
        <w:keepLines w:val="0"/>
        <w:numPr>
          <w:ilvl w:val="0"/>
          <w:numId w:val="19"/>
        </w:numPr>
        <w:tabs>
          <w:tab w:val="num" w:pos="360"/>
        </w:tabs>
        <w:spacing w:before="480"/>
      </w:pPr>
      <w:r>
        <w:rPr>
          <w:szCs w:val="28"/>
        </w:rPr>
        <w:sym w:font="Wingdings" w:char="F06E"/>
      </w:r>
      <w:r>
        <w:rPr>
          <w:rFonts w:cs="Helvetica"/>
        </w:rPr>
        <w:t> </w:t>
      </w:r>
      <w:r>
        <w:t>Questions</w:t>
      </w:r>
    </w:p>
    <w:p w:rsidR="0056531C" w:rsidRDefault="005E7BBE">
      <w:pPr>
        <w:pStyle w:val="MCQList1"/>
        <w:ind w:left="446" w:hanging="446"/>
      </w:pPr>
      <w:r>
        <w:tab/>
        <w:t>1.</w:t>
      </w:r>
      <w:r>
        <w:tab/>
      </w:r>
      <w:r>
        <w:rPr>
          <w:b/>
        </w:rPr>
        <w:t xml:space="preserve">Options versus Futures. </w:t>
      </w:r>
      <w:r>
        <w:t xml:space="preserve">Explain the difference between foreign currency </w:t>
      </w:r>
      <w:r w:rsidRPr="00FB0C3F">
        <w:t>options</w:t>
      </w:r>
      <w:r>
        <w:t xml:space="preserve"> and </w:t>
      </w:r>
      <w:r w:rsidRPr="00FB0C3F">
        <w:t>futures</w:t>
      </w:r>
      <w:r>
        <w:t xml:space="preserve"> and when either </w:t>
      </w:r>
      <w:proofErr w:type="gramStart"/>
      <w:r>
        <w:t>might be most appropriately used</w:t>
      </w:r>
      <w:proofErr w:type="gramEnd"/>
      <w:r>
        <w:t>.</w:t>
      </w:r>
    </w:p>
    <w:p w:rsidR="0056531C" w:rsidRDefault="005E7BBE" w:rsidP="00EA5E55">
      <w:pPr>
        <w:pStyle w:val="MCQAnswer"/>
      </w:pPr>
      <w:r>
        <w:t xml:space="preserve">A </w:t>
      </w:r>
      <w:r>
        <w:rPr>
          <w:i/>
        </w:rPr>
        <w:t>foreign currency option</w:t>
      </w:r>
      <w:r>
        <w:t xml:space="preserve"> is a contract that gives the option purchaser (the buyer) the right, but not the obligation, to buy or sell a given amount of foreign exchange at a fixed price per unit for a specified time period (until the maturity date). A </w:t>
      </w:r>
      <w:r>
        <w:rPr>
          <w:i/>
        </w:rPr>
        <w:t>foreign currency futures</w:t>
      </w:r>
      <w:r>
        <w:t xml:space="preserve"> contract calls for future delivery of a standard amount of foreign exchange at a fixed time, place, and price. </w:t>
      </w:r>
    </w:p>
    <w:p w:rsidR="0056531C" w:rsidRDefault="005E7BBE" w:rsidP="00EA5E55">
      <w:pPr>
        <w:pStyle w:val="MCQAnswer"/>
      </w:pPr>
      <w:r>
        <w:t xml:space="preserve">The essence of the difference is that an option leaves the buyer with the choice of exercising or not exercising. The </w:t>
      </w:r>
      <w:r>
        <w:rPr>
          <w:i/>
        </w:rPr>
        <w:t>future</w:t>
      </w:r>
      <w:r>
        <w:t xml:space="preserve"> requires a mandatory delivery. </w:t>
      </w:r>
    </w:p>
    <w:p w:rsidR="0056531C" w:rsidRDefault="005E7BBE">
      <w:pPr>
        <w:pStyle w:val="MCQList1"/>
        <w:keepNext w:val="0"/>
        <w:keepLines w:val="0"/>
        <w:spacing w:before="160"/>
      </w:pPr>
      <w:r>
        <w:tab/>
      </w:r>
      <w:proofErr w:type="gramStart"/>
      <w:r>
        <w:t>2.</w:t>
      </w:r>
      <w:r>
        <w:tab/>
      </w:r>
      <w:r>
        <w:rPr>
          <w:b/>
        </w:rPr>
        <w:t>Trading Location for Futures.</w:t>
      </w:r>
      <w:proofErr w:type="gramEnd"/>
      <w:r>
        <w:rPr>
          <w:b/>
        </w:rPr>
        <w:t xml:space="preserve"> </w:t>
      </w:r>
      <w:r>
        <w:t xml:space="preserve">Check the </w:t>
      </w:r>
      <w:r>
        <w:rPr>
          <w:i/>
        </w:rPr>
        <w:t>Wall Street Journal</w:t>
      </w:r>
      <w:r>
        <w:t xml:space="preserve"> to find where in the United States foreign exchange future contracts </w:t>
      </w:r>
      <w:proofErr w:type="gramStart"/>
      <w:r>
        <w:t>are traded</w:t>
      </w:r>
      <w:proofErr w:type="gramEnd"/>
      <w:r>
        <w:t>.</w:t>
      </w:r>
    </w:p>
    <w:p w:rsidR="0056531C" w:rsidRDefault="005E7BBE" w:rsidP="00F61C88">
      <w:pPr>
        <w:pStyle w:val="MCQAnswer"/>
      </w:pPr>
      <w:r>
        <w:rPr>
          <w:i/>
        </w:rPr>
        <w:t>The Wall Street Journal</w:t>
      </w:r>
      <w:r>
        <w:t xml:space="preserve"> reports on foreign exchange futures trading </w:t>
      </w:r>
      <w:r w:rsidR="00B93EBC">
        <w:t>on the</w:t>
      </w:r>
      <w:r>
        <w:t xml:space="preserve"> Chicago Mercantile Exchange (CME).</w:t>
      </w:r>
    </w:p>
    <w:p w:rsidR="0056531C" w:rsidRDefault="005E7BBE">
      <w:pPr>
        <w:pStyle w:val="MCQList1"/>
        <w:spacing w:before="160"/>
      </w:pPr>
      <w:r>
        <w:tab/>
      </w:r>
      <w:proofErr w:type="gramStart"/>
      <w:r>
        <w:t>3.</w:t>
      </w:r>
      <w:r>
        <w:tab/>
      </w:r>
      <w:r>
        <w:rPr>
          <w:b/>
        </w:rPr>
        <w:t>Futures Terminology.</w:t>
      </w:r>
      <w:proofErr w:type="gramEnd"/>
      <w:r>
        <w:rPr>
          <w:b/>
        </w:rPr>
        <w:t xml:space="preserve"> </w:t>
      </w:r>
      <w:r>
        <w:t>Explain the meaning and probable significance for international business of the following contract specifications:</w:t>
      </w:r>
    </w:p>
    <w:p w:rsidR="000115EC" w:rsidRDefault="00FB0C3F" w:rsidP="00FB0C3F">
      <w:pPr>
        <w:pStyle w:val="MCQAnswerBL"/>
      </w:pPr>
      <w:proofErr w:type="gramStart"/>
      <w:r w:rsidRPr="00FB0C3F">
        <w:t>a.</w:t>
      </w:r>
      <w:r w:rsidRPr="00FB0C3F">
        <w:tab/>
      </w:r>
      <w:r w:rsidR="000115EC">
        <w:rPr>
          <w:i/>
        </w:rPr>
        <w:t>Notional principal</w:t>
      </w:r>
      <w:r w:rsidR="005E7BBE">
        <w:t>.</w:t>
      </w:r>
      <w:proofErr w:type="gramEnd"/>
      <w:r w:rsidR="005E7BBE">
        <w:t xml:space="preserve"> </w:t>
      </w:r>
      <w:r w:rsidR="000115EC">
        <w:t xml:space="preserve">The notional principal is the nominal amount </w:t>
      </w:r>
      <w:r w:rsidR="00EA5E55">
        <w:t xml:space="preserve">on which </w:t>
      </w:r>
      <w:r w:rsidR="000115EC">
        <w:t xml:space="preserve">the contract </w:t>
      </w:r>
      <w:proofErr w:type="gramStart"/>
      <w:r w:rsidR="000115EC">
        <w:t>is based</w:t>
      </w:r>
      <w:proofErr w:type="gramEnd"/>
      <w:r w:rsidR="000115EC">
        <w:t xml:space="preserve">.  For example, the notional </w:t>
      </w:r>
      <w:r w:rsidR="00224D25">
        <w:t>principal</w:t>
      </w:r>
      <w:r w:rsidR="000115EC">
        <w:t xml:space="preserve"> of a Mexican peso futures co</w:t>
      </w:r>
      <w:r w:rsidR="00224D25">
        <w:t>ntract is 500,000 Mexican pesos</w:t>
      </w:r>
      <w:r w:rsidR="00EA5E55">
        <w:t>,</w:t>
      </w:r>
      <w:r w:rsidR="00224D25">
        <w:t xml:space="preserve"> while the notional principal for a British pounds sterling futures contract is £62,500.</w:t>
      </w:r>
    </w:p>
    <w:p w:rsidR="000115EC" w:rsidRDefault="00FB0C3F" w:rsidP="00FB0C3F">
      <w:pPr>
        <w:pStyle w:val="MCQAnswerBL"/>
        <w:rPr>
          <w:i/>
          <w:spacing w:val="-1"/>
          <w:szCs w:val="22"/>
        </w:rPr>
      </w:pPr>
      <w:proofErr w:type="gramStart"/>
      <w:r w:rsidRPr="00FB0C3F">
        <w:t>b.</w:t>
      </w:r>
      <w:r>
        <w:rPr>
          <w:i/>
        </w:rPr>
        <w:tab/>
      </w:r>
      <w:r w:rsidR="000115EC">
        <w:rPr>
          <w:i/>
        </w:rPr>
        <w:t>Margin</w:t>
      </w:r>
      <w:r w:rsidR="005E7BBE">
        <w:t>.</w:t>
      </w:r>
      <w:proofErr w:type="gramEnd"/>
      <w:r w:rsidR="005E7BBE">
        <w:t xml:space="preserve"> </w:t>
      </w:r>
      <w:r w:rsidR="000115EC" w:rsidRPr="000115EC">
        <w:t xml:space="preserve">One of the defining characteristics of futures is the requirement that the purchaser deposits a sum as an initial margin. This requirement is similar to requiring a performance bond, and it </w:t>
      </w:r>
      <w:proofErr w:type="gramStart"/>
      <w:r w:rsidR="000115EC" w:rsidRPr="000115EC">
        <w:t>can be met</w:t>
      </w:r>
      <w:proofErr w:type="gramEnd"/>
      <w:r w:rsidR="000115EC" w:rsidRPr="000115EC">
        <w:t xml:space="preserve"> by a letter of credit from a bank, Treasury bills, or cash. In addition, a maintenance margin is required. The value of the contract is marked-to-market daily, and all changes in value </w:t>
      </w:r>
      <w:proofErr w:type="gramStart"/>
      <w:r w:rsidR="000115EC" w:rsidRPr="000115EC">
        <w:t>are paid</w:t>
      </w:r>
      <w:proofErr w:type="gramEnd"/>
      <w:r w:rsidR="000115EC" w:rsidRPr="000115EC">
        <w:t xml:space="preserve"> in cash daily. The amount to be paid </w:t>
      </w:r>
      <w:proofErr w:type="gramStart"/>
      <w:r w:rsidR="000115EC" w:rsidRPr="000115EC">
        <w:t>is called</w:t>
      </w:r>
      <w:proofErr w:type="gramEnd"/>
      <w:r w:rsidR="000115EC" w:rsidRPr="000115EC">
        <w:t xml:space="preserve"> the variation margin.</w:t>
      </w:r>
      <w:r w:rsidR="005E7BBE">
        <w:rPr>
          <w:i/>
          <w:spacing w:val="-1"/>
          <w:szCs w:val="22"/>
        </w:rPr>
        <w:tab/>
      </w:r>
      <w:r w:rsidR="005E7BBE">
        <w:rPr>
          <w:i/>
          <w:spacing w:val="-1"/>
          <w:szCs w:val="22"/>
        </w:rPr>
        <w:tab/>
      </w:r>
    </w:p>
    <w:p w:rsidR="0056531C" w:rsidRDefault="00FB0C3F" w:rsidP="00FB0C3F">
      <w:pPr>
        <w:pStyle w:val="MCQAnswerBL"/>
      </w:pPr>
      <w:proofErr w:type="gramStart"/>
      <w:r w:rsidRPr="00FB0C3F">
        <w:rPr>
          <w:spacing w:val="-1"/>
          <w:szCs w:val="22"/>
        </w:rPr>
        <w:t>c.</w:t>
      </w:r>
      <w:r w:rsidRPr="00FB0C3F">
        <w:rPr>
          <w:spacing w:val="-1"/>
          <w:szCs w:val="22"/>
        </w:rPr>
        <w:tab/>
      </w:r>
      <w:r w:rsidR="000115EC">
        <w:rPr>
          <w:i/>
          <w:spacing w:val="-1"/>
          <w:szCs w:val="22"/>
        </w:rPr>
        <w:t>Marked to market</w:t>
      </w:r>
      <w:r w:rsidR="005E7BBE">
        <w:rPr>
          <w:spacing w:val="-1"/>
          <w:szCs w:val="22"/>
        </w:rPr>
        <w:t>.</w:t>
      </w:r>
      <w:proofErr w:type="gramEnd"/>
      <w:r w:rsidR="005E7BBE">
        <w:rPr>
          <w:spacing w:val="-1"/>
          <w:szCs w:val="22"/>
        </w:rPr>
        <w:t xml:space="preserve"> </w:t>
      </w:r>
      <w:r w:rsidR="000115EC" w:rsidRPr="000115EC">
        <w:rPr>
          <w:spacing w:val="-1"/>
          <w:szCs w:val="22"/>
        </w:rPr>
        <w:t>Marked-to-market means that the value of the contract is revalued using the closing price for the day.</w:t>
      </w:r>
    </w:p>
    <w:p w:rsidR="0056531C" w:rsidRDefault="005E7BBE">
      <w:pPr>
        <w:pStyle w:val="MCQList1"/>
      </w:pPr>
      <w:r>
        <w:lastRenderedPageBreak/>
        <w:tab/>
      </w:r>
      <w:proofErr w:type="gramStart"/>
      <w:r>
        <w:t>4.</w:t>
      </w:r>
      <w:r>
        <w:tab/>
      </w:r>
      <w:r>
        <w:rPr>
          <w:b/>
        </w:rPr>
        <w:t>A Futures Trade.</w:t>
      </w:r>
      <w:proofErr w:type="gramEnd"/>
      <w:r>
        <w:rPr>
          <w:b/>
        </w:rPr>
        <w:t xml:space="preserve"> </w:t>
      </w:r>
      <w:r>
        <w:t>A newspaper shows the prices below for the previous day’s trading in U.S. dollar-euro currency futures. What do the terms shown indicate?</w:t>
      </w:r>
    </w:p>
    <w:p w:rsidR="000115EC" w:rsidRDefault="00757A7A" w:rsidP="00BA61AD">
      <w:pPr>
        <w:pStyle w:val="MCQList1"/>
        <w:keepNext w:val="0"/>
        <w:jc w:val="center"/>
      </w:pPr>
      <w:r w:rsidRPr="00757A7A">
        <w:rPr>
          <w:noProof/>
        </w:rPr>
        <w:drawing>
          <wp:inline distT="0" distB="0" distL="0" distR="0" wp14:anchorId="50A767D1" wp14:editId="4146B004">
            <wp:extent cx="3228975" cy="16209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28975" cy="1620945"/>
                    </a:xfrm>
                    <a:prstGeom prst="rect">
                      <a:avLst/>
                    </a:prstGeom>
                  </pic:spPr>
                </pic:pic>
              </a:graphicData>
            </a:graphic>
          </wp:inline>
        </w:drawing>
      </w:r>
    </w:p>
    <w:p w:rsidR="0056531C" w:rsidRDefault="005E7BBE" w:rsidP="00F61C88">
      <w:pPr>
        <w:pStyle w:val="MCQAnswer"/>
      </w:pPr>
      <w:r>
        <w:t xml:space="preserve">This data reports that 29,763 contracts, each contract being for </w:t>
      </w:r>
      <w:r>
        <w:rPr>
          <w:rFonts w:ascii="Times New Roman" w:hAnsi="Times New Roman"/>
          <w:szCs w:val="22"/>
        </w:rPr>
        <w:t>€</w:t>
      </w:r>
      <w:r>
        <w:rPr>
          <w:rFonts w:cs="Times"/>
        </w:rPr>
        <w:t xml:space="preserve">125,000, were traded for settlement on the </w:t>
      </w:r>
      <w:r>
        <w:t xml:space="preserve">third Wednesday of the following December. The total euro value of all contracts traded on the </w:t>
      </w:r>
      <w:r>
        <w:rPr>
          <w:spacing w:val="-1"/>
          <w:szCs w:val="22"/>
        </w:rPr>
        <w:t xml:space="preserve">day for which data are reported is the product of the two numbers: </w:t>
      </w:r>
      <w:proofErr w:type="gramStart"/>
      <w:r>
        <w:rPr>
          <w:spacing w:val="-1"/>
          <w:szCs w:val="22"/>
        </w:rPr>
        <w:t xml:space="preserve">29,763 </w:t>
      </w:r>
      <w:r>
        <w:rPr>
          <w:rFonts w:ascii="WP MathA" w:hAnsi="WP MathA"/>
          <w:spacing w:val="-1"/>
          <w:szCs w:val="22"/>
        </w:rPr>
        <w:sym w:font="Symbol" w:char="F0B4"/>
      </w:r>
      <w:proofErr w:type="gramEnd"/>
      <w:r>
        <w:rPr>
          <w:rFonts w:ascii="WP MathA" w:hAnsi="WP MathA"/>
          <w:spacing w:val="-1"/>
          <w:szCs w:val="22"/>
        </w:rPr>
        <w:t></w:t>
      </w:r>
      <w:r>
        <w:rPr>
          <w:rFonts w:ascii="Times New Roman" w:hAnsi="Times New Roman"/>
          <w:spacing w:val="-1"/>
          <w:szCs w:val="22"/>
        </w:rPr>
        <w:t>€</w:t>
      </w:r>
      <w:r>
        <w:rPr>
          <w:rFonts w:cs="Times"/>
          <w:spacing w:val="-1"/>
          <w:szCs w:val="22"/>
        </w:rPr>
        <w:t xml:space="preserve">125,000 </w:t>
      </w:r>
      <w:r>
        <w:rPr>
          <w:rFonts w:ascii="Symbol" w:hAnsi="Symbol" w:cs="Times"/>
          <w:spacing w:val="-1"/>
          <w:szCs w:val="22"/>
        </w:rPr>
        <w:t></w:t>
      </w:r>
      <w:r>
        <w:rPr>
          <w:rFonts w:cs="Times"/>
          <w:spacing w:val="-1"/>
          <w:szCs w:val="22"/>
        </w:rPr>
        <w:t xml:space="preserve"> </w:t>
      </w:r>
      <w:r>
        <w:rPr>
          <w:rFonts w:ascii="Times New Roman" w:hAnsi="Times New Roman"/>
          <w:spacing w:val="-1"/>
          <w:szCs w:val="22"/>
        </w:rPr>
        <w:t>€</w:t>
      </w:r>
      <w:r>
        <w:rPr>
          <w:rFonts w:cs="Times"/>
          <w:spacing w:val="-1"/>
          <w:szCs w:val="22"/>
        </w:rPr>
        <w:t>3,720,375,000.</w:t>
      </w:r>
      <w:r>
        <w:rPr>
          <w:rFonts w:cs="Times"/>
        </w:rPr>
        <w:t xml:space="preserve"> The highest price during the day at which euro futures traded was $0.9147/</w:t>
      </w:r>
      <w:r>
        <w:rPr>
          <w:rFonts w:ascii="Times New Roman" w:hAnsi="Times New Roman"/>
          <w:szCs w:val="22"/>
        </w:rPr>
        <w:t>€</w:t>
      </w:r>
      <w:r>
        <w:rPr>
          <w:rFonts w:cs="Times"/>
        </w:rPr>
        <w:t>. The lowest price was $0.9098/</w:t>
      </w:r>
      <w:r>
        <w:rPr>
          <w:rFonts w:ascii="Times New Roman" w:hAnsi="Times New Roman"/>
          <w:szCs w:val="22"/>
        </w:rPr>
        <w:t>€</w:t>
      </w:r>
      <w:r>
        <w:rPr>
          <w:rFonts w:cs="Times"/>
        </w:rPr>
        <w:t>. The first trade of the day was at $0.9124/</w:t>
      </w:r>
      <w:r>
        <w:rPr>
          <w:rFonts w:ascii="Times New Roman" w:hAnsi="Times New Roman"/>
          <w:szCs w:val="22"/>
        </w:rPr>
        <w:t>€</w:t>
      </w:r>
      <w:r w:rsidR="00EA5E55">
        <w:rPr>
          <w:rFonts w:ascii="Times New Roman" w:hAnsi="Times New Roman"/>
          <w:szCs w:val="22"/>
        </w:rPr>
        <w:t>,</w:t>
      </w:r>
      <w:r>
        <w:rPr>
          <w:rFonts w:cs="Times"/>
        </w:rPr>
        <w:t xml:space="preserve"> and the last trade, called “settlement,” was at $0.9136/</w:t>
      </w:r>
      <w:r>
        <w:rPr>
          <w:rFonts w:ascii="Times New Roman" w:hAnsi="Times New Roman"/>
          <w:szCs w:val="22"/>
        </w:rPr>
        <w:t>€</w:t>
      </w:r>
      <w:r>
        <w:rPr>
          <w:rFonts w:cs="Times"/>
        </w:rPr>
        <w:t>. This closing pr</w:t>
      </w:r>
      <w:r>
        <w:t>ice was 0.0027 above the previous day’s close, from which one can determine that on the previous day euro contracts closed at $0.9136/</w:t>
      </w:r>
      <w:r>
        <w:rPr>
          <w:rFonts w:ascii="Times New Roman" w:hAnsi="Times New Roman"/>
          <w:szCs w:val="22"/>
        </w:rPr>
        <w:t>€</w:t>
      </w:r>
      <w:r>
        <w:rPr>
          <w:rFonts w:cs="Times"/>
        </w:rPr>
        <w:t xml:space="preserve"> </w:t>
      </w:r>
      <w:r>
        <w:rPr>
          <w:rFonts w:ascii="Symbol" w:hAnsi="Symbol" w:cs="Times"/>
        </w:rPr>
        <w:t></w:t>
      </w:r>
      <w:r>
        <w:rPr>
          <w:rFonts w:cs="Times"/>
        </w:rPr>
        <w:t xml:space="preserve"> $0.0027/</w:t>
      </w:r>
      <w:r>
        <w:rPr>
          <w:rFonts w:ascii="Times New Roman" w:hAnsi="Times New Roman"/>
          <w:szCs w:val="22"/>
        </w:rPr>
        <w:t>€</w:t>
      </w:r>
      <w:r>
        <w:rPr>
          <w:rFonts w:cs="Times"/>
        </w:rPr>
        <w:t xml:space="preserve"> </w:t>
      </w:r>
      <w:r>
        <w:rPr>
          <w:rFonts w:ascii="Symbol" w:hAnsi="Symbol" w:cs="Times"/>
        </w:rPr>
        <w:t></w:t>
      </w:r>
      <w:r>
        <w:rPr>
          <w:rFonts w:cs="Times"/>
        </w:rPr>
        <w:t xml:space="preserve"> $0.9109/</w:t>
      </w:r>
      <w:r>
        <w:rPr>
          <w:rFonts w:ascii="Times New Roman" w:hAnsi="Times New Roman"/>
          <w:szCs w:val="22"/>
        </w:rPr>
        <w:t>€</w:t>
      </w:r>
      <w:r>
        <w:rPr>
          <w:rFonts w:cs="Times"/>
        </w:rPr>
        <w:t>. The closing “settlement” price is the price used by futures exchanges to determine margin calls</w:t>
      </w:r>
      <w:r>
        <w:t>. Open interest is the sum of all long (buying futures) and short (selling futures) contracts outstanding.</w:t>
      </w:r>
    </w:p>
    <w:p w:rsidR="0056531C" w:rsidRDefault="005E7BBE">
      <w:pPr>
        <w:pStyle w:val="MCQList1"/>
        <w:keepNext w:val="0"/>
        <w:keepLines w:val="0"/>
        <w:spacing w:before="160"/>
        <w:ind w:left="446" w:hanging="446"/>
      </w:pPr>
      <w:r>
        <w:tab/>
        <w:t>5.</w:t>
      </w:r>
      <w:r>
        <w:tab/>
      </w:r>
      <w:r>
        <w:rPr>
          <w:b/>
        </w:rPr>
        <w:t xml:space="preserve">Puts and Calls. </w:t>
      </w:r>
      <w:r>
        <w:t xml:space="preserve">What is the basic difference between a </w:t>
      </w:r>
      <w:r w:rsidRPr="00FB0C3F">
        <w:t>put</w:t>
      </w:r>
      <w:r>
        <w:t xml:space="preserve"> on British pounds sterling and a </w:t>
      </w:r>
      <w:r w:rsidRPr="00FB0C3F">
        <w:t>call</w:t>
      </w:r>
      <w:r>
        <w:t xml:space="preserve"> on sterling?</w:t>
      </w:r>
    </w:p>
    <w:p w:rsidR="0056531C" w:rsidRDefault="005E7BBE" w:rsidP="00F61C88">
      <w:pPr>
        <w:pStyle w:val="MCQAnswer"/>
      </w:pPr>
      <w:r>
        <w:t xml:space="preserve">A </w:t>
      </w:r>
      <w:r>
        <w:rPr>
          <w:i/>
        </w:rPr>
        <w:t>put</w:t>
      </w:r>
      <w:r>
        <w:t xml:space="preserve"> on pounds sterling is a contract giving the owner (buyer) the right, but not the obligation, to sell </w:t>
      </w:r>
      <w:r>
        <w:rPr>
          <w:spacing w:val="-1"/>
          <w:szCs w:val="22"/>
        </w:rPr>
        <w:t xml:space="preserve">pounds sterling for dollars at the exchange rate stated in the put. A </w:t>
      </w:r>
      <w:r>
        <w:rPr>
          <w:i/>
          <w:spacing w:val="-1"/>
          <w:szCs w:val="22"/>
        </w:rPr>
        <w:t>call</w:t>
      </w:r>
      <w:r>
        <w:rPr>
          <w:spacing w:val="-1"/>
          <w:szCs w:val="22"/>
        </w:rPr>
        <w:t xml:space="preserve"> on pounds sterling is a contract</w:t>
      </w:r>
      <w:r>
        <w:t xml:space="preserve"> giving the owner (buyer) the right, but not the obligation, to buy pounds sterling for dollars at the exchange rate stated in the call.</w:t>
      </w:r>
    </w:p>
    <w:p w:rsidR="0056531C" w:rsidRDefault="005E7BBE">
      <w:pPr>
        <w:pStyle w:val="MCQList1"/>
        <w:keepNext w:val="0"/>
        <w:keepLines w:val="0"/>
        <w:spacing w:before="160"/>
        <w:ind w:left="446" w:hanging="446"/>
      </w:pPr>
      <w:r>
        <w:tab/>
        <w:t>6.</w:t>
      </w:r>
      <w:r>
        <w:tab/>
      </w:r>
      <w:r>
        <w:rPr>
          <w:b/>
        </w:rPr>
        <w:t xml:space="preserve">Call Contract Elements. </w:t>
      </w:r>
      <w:r>
        <w:t>You read that exchange-traded American call options on pounds sterling having a strike price of 1.460 and a maturity of next March are now quoted at 3.67. What does this mean if you are a potential buyer?</w:t>
      </w:r>
    </w:p>
    <w:p w:rsidR="0056531C" w:rsidRDefault="005E7BBE" w:rsidP="00F61C88">
      <w:pPr>
        <w:pStyle w:val="MCQAnswer"/>
      </w:pPr>
      <w:r>
        <w:t>If you buy such an option, you have the right to force the writer/seller of the option to deliver pounds sterling to you</w:t>
      </w:r>
      <w:r w:rsidR="00EA5E55">
        <w:t>,</w:t>
      </w:r>
      <w:r>
        <w:t xml:space="preserve"> and you will pay $1.460 for each pound. $1.460/£ is called the “strike price.” You have this right (this “option”) until next March, and for this right you will pay 3.67¢ per pound. The information provided to you does not tell you the size of each option contract, which you would have to know from general experience or from asking your broker. The contract size for pounds sterling on the Chicago Mercantile Exchange is £62,500 per contract, meaning that the option will cost you £62,500 </w:t>
      </w:r>
      <w:r>
        <w:rPr>
          <w:rFonts w:ascii="WP MathA" w:hAnsi="WP MathA"/>
          <w:szCs w:val="22"/>
        </w:rPr>
        <w:sym w:font="Symbol" w:char="F0B4"/>
      </w:r>
      <w:r>
        <w:t xml:space="preserve"> $0.0367 </w:t>
      </w:r>
      <w:r>
        <w:rPr>
          <w:rFonts w:ascii="Symbol" w:hAnsi="Symbol"/>
        </w:rPr>
        <w:t></w:t>
      </w:r>
      <w:r>
        <w:t xml:space="preserve"> $2,293.75.</w:t>
      </w:r>
    </w:p>
    <w:p w:rsidR="0056531C" w:rsidRDefault="005E7BBE">
      <w:pPr>
        <w:pStyle w:val="MCQList1"/>
        <w:keepNext w:val="0"/>
        <w:keepLines w:val="0"/>
        <w:spacing w:before="160"/>
        <w:ind w:left="446" w:hanging="446"/>
      </w:pPr>
      <w:r>
        <w:tab/>
      </w:r>
      <w:proofErr w:type="gramStart"/>
      <w:r>
        <w:t>7.</w:t>
      </w:r>
      <w:r>
        <w:tab/>
      </w:r>
      <w:r>
        <w:rPr>
          <w:b/>
        </w:rPr>
        <w:t>The Option Cost.</w:t>
      </w:r>
      <w:proofErr w:type="gramEnd"/>
      <w:r>
        <w:rPr>
          <w:b/>
        </w:rPr>
        <w:t xml:space="preserve"> </w:t>
      </w:r>
      <w:r>
        <w:t>What happens to the premium you paid for the above option in the event you decide to let the option expire unexercised? What happens to this amount in the event you do decide to exercise the option?</w:t>
      </w:r>
    </w:p>
    <w:p w:rsidR="0056531C" w:rsidRDefault="005E7BBE" w:rsidP="00F61C88">
      <w:pPr>
        <w:pStyle w:val="MCQAnswer"/>
      </w:pPr>
      <w:r>
        <w:t xml:space="preserve">The amount you pay for the option is gone forever, whether or not you exercise the option. This is the amount paid to the writer/seller of the option, who undertakes the open-ended obligation to deliver pounds to you should you so wish. If you do not exercise the option, this is the sunk cost of buying options. If you in fact do exercise the option, your direct profit on the option </w:t>
      </w:r>
      <w:proofErr w:type="gramStart"/>
      <w:r>
        <w:t>is reduced</w:t>
      </w:r>
      <w:proofErr w:type="gramEnd"/>
      <w:r>
        <w:t xml:space="preserve"> by this amount</w:t>
      </w:r>
      <w:r w:rsidR="00EA5E55">
        <w:t>,</w:t>
      </w:r>
      <w:r>
        <w:t xml:space="preserve"> which has already been paid out.</w:t>
      </w:r>
    </w:p>
    <w:p w:rsidR="0056531C" w:rsidRDefault="005E7BBE">
      <w:pPr>
        <w:pStyle w:val="MCQList1"/>
        <w:spacing w:before="0"/>
        <w:ind w:left="446" w:hanging="446"/>
      </w:pPr>
      <w:r>
        <w:lastRenderedPageBreak/>
        <w:tab/>
      </w:r>
      <w:proofErr w:type="gramStart"/>
      <w:r>
        <w:t>8.</w:t>
      </w:r>
      <w:r>
        <w:tab/>
      </w:r>
      <w:r>
        <w:rPr>
          <w:b/>
        </w:rPr>
        <w:t>Buying a European Option.</w:t>
      </w:r>
      <w:proofErr w:type="gramEnd"/>
      <w:r>
        <w:rPr>
          <w:b/>
        </w:rPr>
        <w:t xml:space="preserve"> </w:t>
      </w:r>
      <w:r>
        <w:t xml:space="preserve">You have the same information as in Question </w:t>
      </w:r>
      <w:proofErr w:type="gramStart"/>
      <w:r>
        <w:t>4</w:t>
      </w:r>
      <w:proofErr w:type="gramEnd"/>
      <w:r>
        <w:t>, except that the pricing is for a European option. What is different?</w:t>
      </w:r>
    </w:p>
    <w:p w:rsidR="0056531C" w:rsidRDefault="005E7BBE" w:rsidP="00F61C88">
      <w:pPr>
        <w:pStyle w:val="MCQAnswer"/>
      </w:pPr>
      <w:r>
        <w:t xml:space="preserve">The only difference is that you may exercise the option </w:t>
      </w:r>
      <w:r>
        <w:rPr>
          <w:i/>
        </w:rPr>
        <w:t>only</w:t>
      </w:r>
      <w:r>
        <w:t xml:space="preserve"> on the day that it matures. Of course, you may sell the option to another investor at any time, as the option would still have some “time value” above its “intrinsic value” before the expiration date.</w:t>
      </w:r>
    </w:p>
    <w:p w:rsidR="0056531C" w:rsidRDefault="005E7BBE">
      <w:pPr>
        <w:pStyle w:val="MCQList1"/>
      </w:pPr>
      <w:r>
        <w:tab/>
      </w:r>
      <w:proofErr w:type="gramStart"/>
      <w:r>
        <w:t>9.</w:t>
      </w:r>
      <w:r>
        <w:tab/>
      </w:r>
      <w:r>
        <w:rPr>
          <w:b/>
        </w:rPr>
        <w:t>Writing Options.</w:t>
      </w:r>
      <w:proofErr w:type="gramEnd"/>
      <w:r>
        <w:rPr>
          <w:b/>
        </w:rPr>
        <w:t xml:space="preserve"> </w:t>
      </w:r>
      <w:r>
        <w:t xml:space="preserve">Why would anyone write an option, knowing that the gain from receiving the option premium </w:t>
      </w:r>
      <w:proofErr w:type="gramStart"/>
      <w:r>
        <w:t>is fixed</w:t>
      </w:r>
      <w:proofErr w:type="gramEnd"/>
      <w:r>
        <w:t xml:space="preserve"> but the loss if the underlying price goes in the wrong direction can be extremely large?</w:t>
      </w:r>
    </w:p>
    <w:p w:rsidR="0056531C" w:rsidRDefault="005E7BBE" w:rsidP="00F61C88">
      <w:pPr>
        <w:pStyle w:val="MCQAnswer"/>
      </w:pPr>
      <w:r>
        <w:t xml:space="preserve">From the option writer’s point of view, only two events can take place: </w:t>
      </w:r>
    </w:p>
    <w:p w:rsidR="0056531C" w:rsidRDefault="005E7BBE" w:rsidP="00F61C88">
      <w:pPr>
        <w:pStyle w:val="MCQAnswerBL"/>
      </w:pPr>
      <w:r>
        <w:t>a.</w:t>
      </w:r>
      <w:r>
        <w:tab/>
      </w:r>
      <w:r>
        <w:rPr>
          <w:i/>
        </w:rPr>
        <w:t xml:space="preserve">The option </w:t>
      </w:r>
      <w:proofErr w:type="gramStart"/>
      <w:r>
        <w:rPr>
          <w:i/>
        </w:rPr>
        <w:t>is not exercised</w:t>
      </w:r>
      <w:proofErr w:type="gramEnd"/>
      <w:r>
        <w:t>. In this case the writer gains the option premium and still has the underlying stock. Historically, 75%</w:t>
      </w:r>
      <w:r>
        <w:rPr>
          <w:rFonts w:ascii="Symbol" w:hAnsi="Symbol"/>
        </w:rPr>
        <w:t></w:t>
      </w:r>
      <w:proofErr w:type="gramStart"/>
      <w:r>
        <w:t>80%</w:t>
      </w:r>
      <w:proofErr w:type="gramEnd"/>
      <w:r>
        <w:t xml:space="preserve"> of options expire and are not exercised.</w:t>
      </w:r>
    </w:p>
    <w:p w:rsidR="0056531C" w:rsidRDefault="005E7BBE" w:rsidP="00F61C88">
      <w:pPr>
        <w:pStyle w:val="MCQAnswerBL"/>
      </w:pPr>
      <w:r>
        <w:t>b.</w:t>
      </w:r>
      <w:r>
        <w:tab/>
      </w:r>
      <w:r>
        <w:rPr>
          <w:i/>
          <w:spacing w:val="-2"/>
          <w:szCs w:val="22"/>
        </w:rPr>
        <w:t xml:space="preserve">The option </w:t>
      </w:r>
      <w:proofErr w:type="gramStart"/>
      <w:r>
        <w:rPr>
          <w:i/>
          <w:spacing w:val="-2"/>
          <w:szCs w:val="22"/>
        </w:rPr>
        <w:t>is exercised</w:t>
      </w:r>
      <w:proofErr w:type="gramEnd"/>
      <w:r>
        <w:rPr>
          <w:spacing w:val="-2"/>
          <w:szCs w:val="22"/>
        </w:rPr>
        <w:t xml:space="preserve">. If the option writer owns the </w:t>
      </w:r>
      <w:r w:rsidR="00B93EBC">
        <w:rPr>
          <w:spacing w:val="-2"/>
          <w:szCs w:val="22"/>
        </w:rPr>
        <w:t>underlying asset</w:t>
      </w:r>
      <w:r>
        <w:rPr>
          <w:spacing w:val="-2"/>
          <w:szCs w:val="22"/>
        </w:rPr>
        <w:t xml:space="preserve"> and the option </w:t>
      </w:r>
      <w:proofErr w:type="gramStart"/>
      <w:r>
        <w:rPr>
          <w:spacing w:val="-2"/>
          <w:szCs w:val="22"/>
        </w:rPr>
        <w:t>is</w:t>
      </w:r>
      <w:proofErr w:type="gramEnd"/>
      <w:r>
        <w:rPr>
          <w:spacing w:val="-2"/>
          <w:szCs w:val="22"/>
        </w:rPr>
        <w:t xml:space="preserve"> exercised, the option</w:t>
      </w:r>
      <w:r>
        <w:t xml:space="preserve"> writer (</w:t>
      </w:r>
      <w:r w:rsidR="00EA5E55">
        <w:t>1</w:t>
      </w:r>
      <w:r>
        <w:t>) gains the premium and (</w:t>
      </w:r>
      <w:r w:rsidR="00EA5E55">
        <w:t>2</w:t>
      </w:r>
      <w:r>
        <w:t xml:space="preserve">) experiences only an </w:t>
      </w:r>
      <w:r>
        <w:rPr>
          <w:i/>
        </w:rPr>
        <w:t>opportunity cost</w:t>
      </w:r>
      <w:r>
        <w:t xml:space="preserve"> loss. In other words, the loss is not a cash loss, but rather the opportunity cost loss of having forgone the potential of making even more profit had the underlying </w:t>
      </w:r>
      <w:r w:rsidR="00B93EBC">
        <w:t>asset</w:t>
      </w:r>
      <w:r>
        <w:t xml:space="preserve"> been sold at a more advantageous price. This is somewhat equivalent of having sold (call option writer) or bought (put option writer) at a price better than current market, only to have the market price move even further in a beneficial direction. If the option writer does not own the underlying </w:t>
      </w:r>
      <w:r w:rsidR="00B93EBC">
        <w:t>asset</w:t>
      </w:r>
      <w:r>
        <w:t xml:space="preserve">, the option </w:t>
      </w:r>
      <w:proofErr w:type="gramStart"/>
      <w:r>
        <w:t>is written</w:t>
      </w:r>
      <w:proofErr w:type="gramEnd"/>
      <w:r>
        <w:t xml:space="preserve"> “</w:t>
      </w:r>
      <w:r>
        <w:rPr>
          <w:i/>
        </w:rPr>
        <w:t>naked</w:t>
      </w:r>
      <w:r>
        <w:t>.” Only in this instance can the cash loss to the option writer be a very large amount.</w:t>
      </w:r>
    </w:p>
    <w:p w:rsidR="0056531C" w:rsidRDefault="005E7BBE">
      <w:pPr>
        <w:pStyle w:val="MCQList1"/>
      </w:pPr>
      <w:r>
        <w:tab/>
      </w:r>
      <w:proofErr w:type="gramStart"/>
      <w:r>
        <w:t>10.</w:t>
      </w:r>
      <w:r>
        <w:tab/>
      </w:r>
      <w:r>
        <w:rPr>
          <w:b/>
        </w:rPr>
        <w:t>Option Valuation.</w:t>
      </w:r>
      <w:proofErr w:type="gramEnd"/>
      <w:r>
        <w:rPr>
          <w:b/>
        </w:rPr>
        <w:t xml:space="preserve"> </w:t>
      </w:r>
      <w:r>
        <w:t xml:space="preserve">The value of an option </w:t>
      </w:r>
      <w:proofErr w:type="gramStart"/>
      <w:r>
        <w:t>is stated</w:t>
      </w:r>
      <w:proofErr w:type="gramEnd"/>
      <w:r>
        <w:t xml:space="preserve"> to be the sum of its </w:t>
      </w:r>
      <w:r w:rsidRPr="00FB0C3F">
        <w:t>intrinsic value</w:t>
      </w:r>
      <w:r>
        <w:t xml:space="preserve"> and its </w:t>
      </w:r>
      <w:r w:rsidRPr="00FB0C3F">
        <w:t>time value</w:t>
      </w:r>
      <w:r>
        <w:t>. Explain what is meant by these terms.</w:t>
      </w:r>
    </w:p>
    <w:p w:rsidR="0056531C" w:rsidRDefault="005E7BBE" w:rsidP="00F61C88">
      <w:pPr>
        <w:pStyle w:val="MCQAnswerBL"/>
      </w:pPr>
      <w:r>
        <w:t>a.</w:t>
      </w:r>
      <w:r>
        <w:tab/>
      </w:r>
      <w:r>
        <w:rPr>
          <w:i/>
        </w:rPr>
        <w:t>Intrinsic value</w:t>
      </w:r>
      <w:r>
        <w:t xml:space="preserve"> is the financial gain if the option is exercised immediately. The intrinsic value for </w:t>
      </w:r>
      <w:r>
        <w:rPr>
          <w:spacing w:val="-3"/>
        </w:rPr>
        <w:t>a call option is zero until it reaches the strike price, then rises linearly (1 cent for each 1-cent increase</w:t>
      </w:r>
      <w:r>
        <w:t xml:space="preserve"> in the spot rate). Intrinsic value will be zero when the option is </w:t>
      </w:r>
      <w:r>
        <w:rPr>
          <w:i/>
        </w:rPr>
        <w:t>out-of-the-money</w:t>
      </w:r>
      <w:r>
        <w:t>—that is, when the strike price is above the market price—as no gain can be derived from exercising the option. When the spot rate rises above the strike price, the intrinsic value becomes positive because the option is always worth at least this value if exercised.</w:t>
      </w:r>
    </w:p>
    <w:p w:rsidR="0056531C" w:rsidRDefault="005E7BBE" w:rsidP="00F61C88">
      <w:pPr>
        <w:pStyle w:val="MCQAnswerBL"/>
      </w:pPr>
      <w:r>
        <w:tab/>
        <w:t>For a put option, the intrinsic value is zero until the price falls to equal the strike price, then rises linearly (1</w:t>
      </w:r>
      <w:r w:rsidR="00FB0C3F">
        <w:t> </w:t>
      </w:r>
      <w:r>
        <w:t xml:space="preserve">cent for each 1-cent decrease in the spot rate). Intrinsic value will be zero when the option is </w:t>
      </w:r>
      <w:r>
        <w:rPr>
          <w:i/>
        </w:rPr>
        <w:t>out-of-the-money</w:t>
      </w:r>
      <w:r>
        <w:t xml:space="preserve">—that is, when the strike price is below the market price—as no gain </w:t>
      </w:r>
      <w:proofErr w:type="gramStart"/>
      <w:r>
        <w:t>can be derived</w:t>
      </w:r>
      <w:proofErr w:type="gramEnd"/>
      <w:r>
        <w:t xml:space="preserve"> from exercising the option. When the spot rate falls below the strike price, the intrinsic value becomes positive because the option is worth at least this value if exercised.</w:t>
      </w:r>
    </w:p>
    <w:p w:rsidR="0056531C" w:rsidRDefault="005E7BBE" w:rsidP="00F61C88">
      <w:pPr>
        <w:pStyle w:val="MCQAnswerBL"/>
      </w:pPr>
      <w:r>
        <w:tab/>
        <w:t>On the date of maturity, both call and put options will have a value equal to its intrinsic value (zero time remaining means zero time value).</w:t>
      </w:r>
    </w:p>
    <w:p w:rsidR="0056531C" w:rsidRDefault="005E7BBE" w:rsidP="00F61C88">
      <w:pPr>
        <w:pStyle w:val="MCQAnswerBL"/>
      </w:pPr>
      <w:r>
        <w:t>b.</w:t>
      </w:r>
      <w:r>
        <w:tab/>
      </w:r>
      <w:r>
        <w:rPr>
          <w:i/>
        </w:rPr>
        <w:t>Time value</w:t>
      </w:r>
      <w:r>
        <w:t xml:space="preserve"> of an option exists because the price of the underlying currency, the spot rate, can potentially move further and further into the money before the option’s expiration. Time value is the difference between the total value of the option and its intrinsic value. An investor will pay something today for an out-of-the-money option (i.e., zero intrinsic value) on the chance that the spot rate will move far enough before maturity to move the option in</w:t>
      </w:r>
      <w:r w:rsidR="00FB11DC">
        <w:t xml:space="preserve"> </w:t>
      </w:r>
      <w:r>
        <w:t>the</w:t>
      </w:r>
      <w:r w:rsidR="00FB11DC">
        <w:t xml:space="preserve"> </w:t>
      </w:r>
      <w:r>
        <w:t>money. Consequently, the price of an option is always somewhat greater than its intrinsic value</w:t>
      </w:r>
      <w:r w:rsidR="00FB11DC">
        <w:t xml:space="preserve"> because</w:t>
      </w:r>
      <w:r>
        <w:t xml:space="preserve"> there is always some chance that the intrinsic value will </w:t>
      </w:r>
      <w:proofErr w:type="gramStart"/>
      <w:r>
        <w:t>rise</w:t>
      </w:r>
      <w:proofErr w:type="gramEnd"/>
      <w:r>
        <w:t xml:space="preserve"> between the present and the expiration date.</w:t>
      </w:r>
    </w:p>
    <w:p w:rsidR="0056531C" w:rsidRDefault="005E7BBE">
      <w:pPr>
        <w:pStyle w:val="MCQList1"/>
        <w:spacing w:before="0"/>
        <w:ind w:left="446" w:hanging="446"/>
        <w:rPr>
          <w:b/>
        </w:rPr>
      </w:pPr>
      <w:proofErr w:type="gramStart"/>
      <w:r>
        <w:rPr>
          <w:rStyle w:val="BL2Char"/>
          <w:sz w:val="22"/>
        </w:rPr>
        <w:lastRenderedPageBreak/>
        <w:t>1</w:t>
      </w:r>
      <w:r w:rsidR="005C57B8">
        <w:rPr>
          <w:rStyle w:val="BL2Char"/>
          <w:sz w:val="22"/>
        </w:rPr>
        <w:t>1</w:t>
      </w:r>
      <w:r>
        <w:rPr>
          <w:rStyle w:val="BL2Char"/>
          <w:sz w:val="22"/>
        </w:rPr>
        <w:t>.</w:t>
      </w:r>
      <w:r>
        <w:rPr>
          <w:rStyle w:val="BL2Char"/>
          <w:sz w:val="22"/>
        </w:rPr>
        <w:tab/>
      </w:r>
      <w:r>
        <w:rPr>
          <w:b/>
        </w:rPr>
        <w:t xml:space="preserve">Credit and </w:t>
      </w:r>
      <w:proofErr w:type="spellStart"/>
      <w:r>
        <w:rPr>
          <w:b/>
        </w:rPr>
        <w:t>Repricing</w:t>
      </w:r>
      <w:proofErr w:type="spellEnd"/>
      <w:r>
        <w:rPr>
          <w:b/>
        </w:rPr>
        <w:t xml:space="preserve"> Risk.</w:t>
      </w:r>
      <w:proofErr w:type="gramEnd"/>
      <w:r>
        <w:rPr>
          <w:b/>
        </w:rPr>
        <w:t xml:space="preserve"> </w:t>
      </w:r>
      <w:r>
        <w:t xml:space="preserve">From the point of view of a borrowing corporation, what are credit and </w:t>
      </w:r>
      <w:proofErr w:type="spellStart"/>
      <w:r>
        <w:t>repricing</w:t>
      </w:r>
      <w:proofErr w:type="spellEnd"/>
      <w:r>
        <w:t xml:space="preserve"> risks? Explain steps a company might take to minimize both.</w:t>
      </w:r>
    </w:p>
    <w:p w:rsidR="0056531C" w:rsidRDefault="005E7BBE" w:rsidP="00F61C88">
      <w:pPr>
        <w:pStyle w:val="MCQAnswer"/>
      </w:pPr>
      <w:r>
        <w:t xml:space="preserve">Credit risk, sometimes termed </w:t>
      </w:r>
      <w:proofErr w:type="gramStart"/>
      <w:r>
        <w:rPr>
          <w:i/>
        </w:rPr>
        <w:t>roll-over</w:t>
      </w:r>
      <w:proofErr w:type="gramEnd"/>
      <w:r>
        <w:rPr>
          <w:i/>
        </w:rPr>
        <w:t xml:space="preserve"> risk</w:t>
      </w:r>
      <w:r>
        <w:t xml:space="preserve">, is the possibility that a borrower’s creditworthiness, at the time of renewing a credit, is reclassified by the lender. This can result in changing fees, changing interest rates, altered credit line commitments, or even denial. </w:t>
      </w:r>
      <w:proofErr w:type="spellStart"/>
      <w:r>
        <w:rPr>
          <w:i/>
        </w:rPr>
        <w:t>Repricing</w:t>
      </w:r>
      <w:proofErr w:type="spellEnd"/>
      <w:r>
        <w:rPr>
          <w:i/>
        </w:rPr>
        <w:t xml:space="preserve"> risk</w:t>
      </w:r>
      <w:r>
        <w:t xml:space="preserve"> is the risk of changes in interest rates at the time a financial contract’s rate is reset. Consider the following three different debt strategies being considered by a corporate borrower. Each </w:t>
      </w:r>
      <w:proofErr w:type="gramStart"/>
      <w:r>
        <w:t>is intended</w:t>
      </w:r>
      <w:proofErr w:type="gramEnd"/>
      <w:r>
        <w:t xml:space="preserve"> to provi</w:t>
      </w:r>
      <w:bookmarkStart w:id="0" w:name="_GoBack"/>
      <w:bookmarkEnd w:id="0"/>
      <w:r>
        <w:t>de $3 million in financing for a five-year period.</w:t>
      </w:r>
    </w:p>
    <w:p w:rsidR="0056531C" w:rsidRDefault="005E7BBE" w:rsidP="00F61C88">
      <w:pPr>
        <w:pStyle w:val="MCQAnswerBL"/>
      </w:pPr>
      <w:r>
        <w:rPr>
          <w:rFonts w:ascii="Symbol" w:hAnsi="Symbol"/>
          <w:szCs w:val="22"/>
        </w:rPr>
        <w:sym w:font="Symbol" w:char="F0B7"/>
      </w:r>
      <w:r>
        <w:tab/>
        <w:t>Strategy 1: Borrow $3 million for five years at a fixed rate of interest.</w:t>
      </w:r>
    </w:p>
    <w:p w:rsidR="0056531C" w:rsidRDefault="005E7BBE" w:rsidP="00F61C88">
      <w:pPr>
        <w:pStyle w:val="MCQAnswerBL"/>
      </w:pPr>
      <w:r>
        <w:rPr>
          <w:rFonts w:ascii="Symbol" w:hAnsi="Symbol"/>
          <w:szCs w:val="22"/>
        </w:rPr>
        <w:sym w:font="Symbol" w:char="F0B7"/>
      </w:r>
      <w:r>
        <w:tab/>
        <w:t xml:space="preserve">Strategy 2: Borrow $3 million for five years at a floating rate, LIBOR </w:t>
      </w:r>
      <w:r>
        <w:rPr>
          <w:rFonts w:ascii="Symbol" w:hAnsi="Symbol"/>
        </w:rPr>
        <w:t></w:t>
      </w:r>
      <w:r>
        <w:t xml:space="preserve"> 2%, to </w:t>
      </w:r>
      <w:proofErr w:type="gramStart"/>
      <w:r>
        <w:t>be reset</w:t>
      </w:r>
      <w:proofErr w:type="gramEnd"/>
      <w:r>
        <w:t xml:space="preserve"> annually.</w:t>
      </w:r>
    </w:p>
    <w:p w:rsidR="0056531C" w:rsidRDefault="005E7BBE" w:rsidP="00F61C88">
      <w:pPr>
        <w:pStyle w:val="MCQAnswerBL"/>
      </w:pPr>
      <w:r>
        <w:rPr>
          <w:rFonts w:ascii="Symbol" w:hAnsi="Symbol"/>
          <w:szCs w:val="22"/>
        </w:rPr>
        <w:sym w:font="Symbol" w:char="F0B7"/>
      </w:r>
      <w:r>
        <w:tab/>
        <w:t xml:space="preserve">Strategy 3: Borrow $3 million for one year at a fixed rate, </w:t>
      </w:r>
      <w:proofErr w:type="gramStart"/>
      <w:r>
        <w:t>then</w:t>
      </w:r>
      <w:proofErr w:type="gramEnd"/>
      <w:r>
        <w:t xml:space="preserve"> renew the credit annually.</w:t>
      </w:r>
    </w:p>
    <w:p w:rsidR="0056531C" w:rsidRDefault="005E7BBE" w:rsidP="00F61C88">
      <w:pPr>
        <w:pStyle w:val="MCQAnswer"/>
      </w:pPr>
      <w:r>
        <w:t xml:space="preserve">Although the lowest cost of funds is always a major selection </w:t>
      </w:r>
      <w:proofErr w:type="gramStart"/>
      <w:r>
        <w:t>criteria</w:t>
      </w:r>
      <w:proofErr w:type="gramEnd"/>
      <w:r>
        <w:t>, it is not the only one. If the firm chooses Strategy 1, it assures itself of the funding for the full five years at a known interest rate. It has maximized the predictability of cash flows for the debt obligation. What it has sacrificed, to some degree, is the ability to enjoy a lower interest rate in the event that interest rates fall over the period. Of course, it has also eliminated the risk that interest rates could rise over the period, increasing debt</w:t>
      </w:r>
      <w:r w:rsidR="00FB11DC">
        <w:t>-</w:t>
      </w:r>
      <w:r>
        <w:t>servicing costs.</w:t>
      </w:r>
    </w:p>
    <w:p w:rsidR="0056531C" w:rsidRDefault="005E7BBE" w:rsidP="00F61C88">
      <w:pPr>
        <w:pStyle w:val="MCQAnswer"/>
      </w:pPr>
      <w:r>
        <w:t>Strategy 2 offers what Strategy 1 did not, flexibility (</w:t>
      </w:r>
      <w:proofErr w:type="spellStart"/>
      <w:r>
        <w:t>repricing</w:t>
      </w:r>
      <w:proofErr w:type="spellEnd"/>
      <w:r>
        <w:t xml:space="preserve"> risk). It too assures the firm of full funding for the five-year period. This eliminates credit risk. </w:t>
      </w:r>
      <w:proofErr w:type="spellStart"/>
      <w:r>
        <w:t>Repricing</w:t>
      </w:r>
      <w:proofErr w:type="spellEnd"/>
      <w:r>
        <w:t xml:space="preserve"> risk is, however, alive and well in Strategy 2. If LIBOR changes dramatically, the rate change </w:t>
      </w:r>
      <w:proofErr w:type="gramStart"/>
      <w:r>
        <w:t>is passed through</w:t>
      </w:r>
      <w:proofErr w:type="gramEnd"/>
      <w:r>
        <w:t xml:space="preserve"> fully to the borrower. The spread, however, remains fixed (reflecting the credit standing that </w:t>
      </w:r>
      <w:proofErr w:type="gramStart"/>
      <w:r>
        <w:t>has been locked in</w:t>
      </w:r>
      <w:proofErr w:type="gramEnd"/>
      <w:r>
        <w:t xml:space="preserve"> for the full five years). Flexibility comes at a cost in this case, the risk that interest rates could go </w:t>
      </w:r>
      <w:proofErr w:type="gramStart"/>
      <w:r>
        <w:t>up as well as down</w:t>
      </w:r>
      <w:proofErr w:type="gramEnd"/>
      <w:r>
        <w:t>.</w:t>
      </w:r>
    </w:p>
    <w:p w:rsidR="0056531C" w:rsidRDefault="005E7BBE" w:rsidP="00F61C88">
      <w:pPr>
        <w:pStyle w:val="MCQAnswer"/>
      </w:pPr>
      <w:r>
        <w:t xml:space="preserve">Strategy 3 offers more flexibility and more risk. First, the firm is borrowing at the shorter end of the </w:t>
      </w:r>
      <w:r>
        <w:rPr>
          <w:spacing w:val="-2"/>
        </w:rPr>
        <w:t>yield curve. If the yield curve is positively sloped, as is commonly the case, the base interest rate should</w:t>
      </w:r>
      <w:r>
        <w:t xml:space="preserve"> </w:t>
      </w:r>
      <w:r>
        <w:rPr>
          <w:spacing w:val="-2"/>
        </w:rPr>
        <w:t xml:space="preserve">be lower. </w:t>
      </w:r>
      <w:proofErr w:type="gramStart"/>
      <w:r>
        <w:rPr>
          <w:spacing w:val="-2"/>
        </w:rPr>
        <w:t>But</w:t>
      </w:r>
      <w:proofErr w:type="gramEnd"/>
      <w:r>
        <w:rPr>
          <w:spacing w:val="-2"/>
        </w:rPr>
        <w:t xml:space="preserve"> the short end of the yield curve is also the more volatile. It responds to short-term events</w:t>
      </w:r>
      <w:r>
        <w:t xml:space="preserve"> in a much more pronounced fashion than longer-term rates. The strategy also exposes the firm to the possibility that its credit rating may change dramatically by the time of the credit renewal, for better or worse. Noting that credit ratings in general are established on the premise that a firm can meet its debt-service obligations under worsening economic conditions, firms that are highly creditworthy (investment rated grades) may view Strategy 3 as a more relevant alternative than do firms of lower quality (speculative grades). This is not a strategy for </w:t>
      </w:r>
      <w:r w:rsidR="00FB11DC">
        <w:t xml:space="preserve">financially weak </w:t>
      </w:r>
      <w:r>
        <w:t>firms.</w:t>
      </w:r>
    </w:p>
    <w:p w:rsidR="0056531C" w:rsidRDefault="005E7BBE">
      <w:pPr>
        <w:pStyle w:val="MCQList1"/>
      </w:pPr>
      <w:proofErr w:type="gramStart"/>
      <w:r>
        <w:rPr>
          <w:rStyle w:val="BL2Char"/>
          <w:sz w:val="22"/>
        </w:rPr>
        <w:t>1</w:t>
      </w:r>
      <w:r w:rsidR="005C57B8">
        <w:rPr>
          <w:rStyle w:val="BL2Char"/>
          <w:sz w:val="22"/>
        </w:rPr>
        <w:t>2</w:t>
      </w:r>
      <w:r>
        <w:rPr>
          <w:rStyle w:val="BL2Char"/>
          <w:sz w:val="22"/>
        </w:rPr>
        <w:t>.</w:t>
      </w:r>
      <w:r>
        <w:rPr>
          <w:rStyle w:val="BL2Char"/>
          <w:sz w:val="22"/>
        </w:rPr>
        <w:tab/>
      </w:r>
      <w:r>
        <w:rPr>
          <w:b/>
        </w:rPr>
        <w:t>Forward Rate Agreement.</w:t>
      </w:r>
      <w:proofErr w:type="gramEnd"/>
      <w:r>
        <w:rPr>
          <w:b/>
        </w:rPr>
        <w:t xml:space="preserve"> </w:t>
      </w:r>
      <w:r>
        <w:t>How can a business firm that has borrowed on a floating rate basis use a forward rate agreement to reduce interest rate risk?</w:t>
      </w:r>
    </w:p>
    <w:p w:rsidR="0056531C" w:rsidRDefault="005E7BBE" w:rsidP="00F61C88">
      <w:pPr>
        <w:pStyle w:val="MCQAnswer"/>
      </w:pPr>
      <w:r>
        <w:t xml:space="preserve">A </w:t>
      </w:r>
      <w:r>
        <w:rPr>
          <w:i/>
        </w:rPr>
        <w:t>forward rate agreement</w:t>
      </w:r>
      <w:r>
        <w:t xml:space="preserve"> (FRA) is an interbank-traded contract to buy or sell interest rate payments on a notional principal. These contracts are settled in cash. The buyer of an FRA obtains the right to lock in an interest rate for a desired term that begins at a future date. The contract specifies that the seller of the FRA will pay the buyer the increased interest expense on a nominal sum (the notional principal) of money if interest rates rise above the agreed rate, but the buyer will pay the seller the differential interest expense if interest rates fall below the agreed rate. Maturities available are typically </w:t>
      </w:r>
      <w:proofErr w:type="gramStart"/>
      <w:r>
        <w:t>1</w:t>
      </w:r>
      <w:proofErr w:type="gramEnd"/>
      <w:r>
        <w:t>, 3, 6, 9, and 12 months, much like traditional forward contracts for currencies.</w:t>
      </w:r>
    </w:p>
    <w:p w:rsidR="0056531C" w:rsidRDefault="005E7BBE" w:rsidP="00F61C88">
      <w:pPr>
        <w:pStyle w:val="MCQAnswer"/>
      </w:pPr>
      <w:r>
        <w:t>To offset the risk of borrowing on a floating rate basis, the business would take a forward position such that the change in the value of the forward position would offset the change in interest expense on the borrowings. Selling a FRA would reduce the interest rate risk. If interest rates go up, the FRA would increase in value, offsetting the higher interest expense. If interest rates go down, the FRA would fall in value, counteracting the lower interest expense.</w:t>
      </w:r>
    </w:p>
    <w:p w:rsidR="0056531C" w:rsidRDefault="005E7BBE" w:rsidP="00036BD5">
      <w:pPr>
        <w:pStyle w:val="MCQList1"/>
      </w:pPr>
      <w:proofErr w:type="gramStart"/>
      <w:r>
        <w:rPr>
          <w:rStyle w:val="BL2Char"/>
          <w:sz w:val="22"/>
        </w:rPr>
        <w:lastRenderedPageBreak/>
        <w:t>1</w:t>
      </w:r>
      <w:r w:rsidR="005C57B8">
        <w:rPr>
          <w:rStyle w:val="BL2Char"/>
          <w:sz w:val="22"/>
        </w:rPr>
        <w:t>3</w:t>
      </w:r>
      <w:r>
        <w:rPr>
          <w:rStyle w:val="BL2Char"/>
          <w:sz w:val="22"/>
        </w:rPr>
        <w:t>.</w:t>
      </w:r>
      <w:r>
        <w:rPr>
          <w:rStyle w:val="BL2Char"/>
          <w:sz w:val="22"/>
        </w:rPr>
        <w:tab/>
      </w:r>
      <w:r>
        <w:rPr>
          <w:b/>
        </w:rPr>
        <w:t>Eurodollar Futures.</w:t>
      </w:r>
      <w:proofErr w:type="gramEnd"/>
      <w:r>
        <w:rPr>
          <w:b/>
        </w:rPr>
        <w:t xml:space="preserve"> </w:t>
      </w:r>
      <w:r>
        <w:t xml:space="preserve">A newspaper reports that a given June </w:t>
      </w:r>
      <w:proofErr w:type="spellStart"/>
      <w:proofErr w:type="gramStart"/>
      <w:r w:rsidR="00C53C70">
        <w:t>e</w:t>
      </w:r>
      <w:r>
        <w:t>urodollar</w:t>
      </w:r>
      <w:proofErr w:type="spellEnd"/>
      <w:proofErr w:type="gramEnd"/>
      <w:r>
        <w:t xml:space="preserve"> futures settled at 93.55. What was the annual yield? How many dollars does this represent?</w:t>
      </w:r>
    </w:p>
    <w:p w:rsidR="0056531C" w:rsidRDefault="005E7BBE" w:rsidP="00036BD5">
      <w:pPr>
        <w:pStyle w:val="MCQAnswer"/>
        <w:keepNext/>
      </w:pPr>
      <w:r>
        <w:t xml:space="preserve">The annual yield </w:t>
      </w:r>
      <w:proofErr w:type="gramStart"/>
      <w:r>
        <w:t>is calculated</w:t>
      </w:r>
      <w:proofErr w:type="gramEnd"/>
      <w:r>
        <w:t xml:space="preserve"> as:</w:t>
      </w:r>
    </w:p>
    <w:p w:rsidR="0056531C" w:rsidRDefault="005E7BBE" w:rsidP="00F61C88">
      <w:pPr>
        <w:pStyle w:val="MCQAnswer"/>
        <w:rPr>
          <w:i/>
          <w:iCs/>
        </w:rPr>
      </w:pPr>
      <w:proofErr w:type="gramStart"/>
      <w:r>
        <w:rPr>
          <w:iCs/>
        </w:rPr>
        <w:t xml:space="preserve">Annual yield </w:t>
      </w:r>
      <w:r>
        <w:rPr>
          <w:rFonts w:ascii="Symbol" w:hAnsi="Symbol"/>
          <w:iCs/>
        </w:rPr>
        <w:t></w:t>
      </w:r>
      <w:r>
        <w:rPr>
          <w:iCs/>
        </w:rPr>
        <w:t xml:space="preserve"> 100.00 </w:t>
      </w:r>
      <w:r>
        <w:rPr>
          <w:rFonts w:ascii="Symbol" w:hAnsi="Symbol"/>
          <w:iCs/>
        </w:rPr>
        <w:t></w:t>
      </w:r>
      <w:r>
        <w:rPr>
          <w:rFonts w:ascii="Symbol" w:hAnsi="Symbol"/>
          <w:iCs/>
        </w:rPr>
        <w:t></w:t>
      </w:r>
      <w:r>
        <w:rPr>
          <w:iCs/>
        </w:rPr>
        <w:t xml:space="preserve">93.55 </w:t>
      </w:r>
      <w:r>
        <w:rPr>
          <w:rFonts w:ascii="Symbol" w:hAnsi="Symbol"/>
          <w:iCs/>
        </w:rPr>
        <w:t></w:t>
      </w:r>
      <w:r>
        <w:rPr>
          <w:iCs/>
        </w:rPr>
        <w:t xml:space="preserve"> 6.45%.</w:t>
      </w:r>
      <w:proofErr w:type="gramEnd"/>
    </w:p>
    <w:p w:rsidR="0056531C" w:rsidRDefault="005E7BBE" w:rsidP="00F61C88">
      <w:pPr>
        <w:pStyle w:val="MCQAnswer"/>
      </w:pPr>
      <w:r>
        <w:t xml:space="preserve">Each </w:t>
      </w:r>
      <w:proofErr w:type="spellStart"/>
      <w:proofErr w:type="gramStart"/>
      <w:r w:rsidR="00FB11DC">
        <w:t>e</w:t>
      </w:r>
      <w:r>
        <w:t>urodollar</w:t>
      </w:r>
      <w:proofErr w:type="spellEnd"/>
      <w:proofErr w:type="gramEnd"/>
      <w:r>
        <w:t xml:space="preserve"> contract is for a notional principal of $1 million.</w:t>
      </w:r>
    </w:p>
    <w:p w:rsidR="0056531C" w:rsidRDefault="005E7BBE">
      <w:pPr>
        <w:pStyle w:val="MCQList1"/>
      </w:pPr>
      <w:proofErr w:type="gramStart"/>
      <w:r>
        <w:rPr>
          <w:rStyle w:val="BL2Char"/>
          <w:sz w:val="22"/>
        </w:rPr>
        <w:t>1</w:t>
      </w:r>
      <w:r w:rsidR="005C57B8">
        <w:rPr>
          <w:rStyle w:val="BL2Char"/>
          <w:sz w:val="22"/>
        </w:rPr>
        <w:t>4</w:t>
      </w:r>
      <w:r>
        <w:rPr>
          <w:rStyle w:val="BL2Char"/>
          <w:sz w:val="22"/>
        </w:rPr>
        <w:t>.</w:t>
      </w:r>
      <w:r>
        <w:rPr>
          <w:rStyle w:val="BL2Char"/>
          <w:sz w:val="22"/>
        </w:rPr>
        <w:tab/>
      </w:r>
      <w:r>
        <w:rPr>
          <w:b/>
        </w:rPr>
        <w:t>Defaulting on an Interest Rate Swap.</w:t>
      </w:r>
      <w:proofErr w:type="gramEnd"/>
      <w:r>
        <w:rPr>
          <w:b/>
        </w:rPr>
        <w:t xml:space="preserve"> </w:t>
      </w:r>
      <w:r>
        <w:t>Smith Company and Jones Company enter into an interest rate swap, with Smith paying fixed interest to Jones, and Jones paying floating interest to Smith. Smith now goes bankrupt and so defaults on its remaining interest payments. What is the financial damage to Jones Company?</w:t>
      </w:r>
    </w:p>
    <w:p w:rsidR="0056531C" w:rsidRDefault="005E7BBE" w:rsidP="00F61C88">
      <w:pPr>
        <w:pStyle w:val="MCQAnswer"/>
      </w:pPr>
      <w:r>
        <w:t xml:space="preserve">The financial damage to Jones Company is the difference in the interest rate payments. The principal is not at risk. </w:t>
      </w:r>
      <w:r w:rsidR="00C53C70">
        <w:t xml:space="preserve">Because </w:t>
      </w:r>
      <w:r>
        <w:t>Jones is paying floating/receiving fixed, they likely have a fixed-rate debt and expected interest rates to fall. With the default of Smith Company, Jones will not benefit in the event rates do fall.</w:t>
      </w:r>
    </w:p>
    <w:p w:rsidR="0056531C" w:rsidRDefault="005E7BBE">
      <w:pPr>
        <w:pStyle w:val="MCQList1"/>
      </w:pPr>
      <w:proofErr w:type="gramStart"/>
      <w:r>
        <w:rPr>
          <w:rStyle w:val="BL2Char"/>
          <w:sz w:val="22"/>
        </w:rPr>
        <w:t>1</w:t>
      </w:r>
      <w:r w:rsidR="005C57B8">
        <w:rPr>
          <w:rStyle w:val="BL2Char"/>
          <w:sz w:val="22"/>
        </w:rPr>
        <w:t>5</w:t>
      </w:r>
      <w:r>
        <w:rPr>
          <w:rStyle w:val="BL2Char"/>
          <w:sz w:val="22"/>
        </w:rPr>
        <w:t>.</w:t>
      </w:r>
      <w:r>
        <w:rPr>
          <w:rStyle w:val="BL2Char"/>
          <w:sz w:val="22"/>
        </w:rPr>
        <w:tab/>
      </w:r>
      <w:r>
        <w:rPr>
          <w:b/>
        </w:rPr>
        <w:t>Currency Swaps.</w:t>
      </w:r>
      <w:proofErr w:type="gramEnd"/>
      <w:r>
        <w:rPr>
          <w:b/>
        </w:rPr>
        <w:t xml:space="preserve"> </w:t>
      </w:r>
      <w:r>
        <w:t>Why would one company, with interest payments due in pounds sterling, want to swap those payments for interest payments due in U.S. dollars?</w:t>
      </w:r>
    </w:p>
    <w:p w:rsidR="0056531C" w:rsidRDefault="005E7BBE" w:rsidP="00F61C88">
      <w:pPr>
        <w:pStyle w:val="MCQAnswer"/>
      </w:pPr>
      <w:r>
        <w:t xml:space="preserve">The usual motivation for a currency swap is to replace cash flows scheduled in an undesired currency with flows in a desired currency. The desired currency is probably the currency in which the firm’s future operating revenues (inflows) will be generated. Firms often raise capital in currencies in which they do not possess significant revenues or other natural cash flows. The reason they do so is cost; specific firms may find capital costs in specific currencies attractively priced to them under special </w:t>
      </w:r>
      <w:r>
        <w:rPr>
          <w:spacing w:val="-2"/>
        </w:rPr>
        <w:t>conditions. Having raised the capital, however, the firm may wish to swap its repayment into a currency</w:t>
      </w:r>
      <w:r>
        <w:t xml:space="preserve"> in which it has future operating revenues.</w:t>
      </w:r>
    </w:p>
    <w:p w:rsidR="0056531C" w:rsidRDefault="005C57B8">
      <w:pPr>
        <w:pStyle w:val="MCQList1"/>
      </w:pPr>
      <w:proofErr w:type="gramStart"/>
      <w:r>
        <w:rPr>
          <w:rStyle w:val="BL2Char"/>
          <w:sz w:val="22"/>
        </w:rPr>
        <w:t>16</w:t>
      </w:r>
      <w:r w:rsidR="005E7BBE">
        <w:rPr>
          <w:rStyle w:val="BL2Char"/>
          <w:sz w:val="22"/>
        </w:rPr>
        <w:t>.</w:t>
      </w:r>
      <w:r w:rsidR="005E7BBE">
        <w:rPr>
          <w:b/>
        </w:rPr>
        <w:tab/>
        <w:t>Counterparty Risk.</w:t>
      </w:r>
      <w:proofErr w:type="gramEnd"/>
      <w:r w:rsidR="005E7BBE">
        <w:rPr>
          <w:b/>
        </w:rPr>
        <w:t xml:space="preserve"> </w:t>
      </w:r>
      <w:r w:rsidR="005E7BBE">
        <w:t>How does exchange trading in swaps remove any risk that the counterparty in a swap agreement will not complete the agreement?</w:t>
      </w:r>
    </w:p>
    <w:p w:rsidR="0056531C" w:rsidRDefault="005E7BBE" w:rsidP="00F61C88">
      <w:pPr>
        <w:pStyle w:val="MCQAnswer"/>
      </w:pPr>
      <w:r>
        <w:rPr>
          <w:i/>
        </w:rPr>
        <w:t>Counterparty risk</w:t>
      </w:r>
      <w:r>
        <w:t xml:space="preserve"> is the potential exposure any individual firm bears that the second party to any financial contract will be unable to fulfill its obligations under the contract’s specifications. Concern over counterparty risk has risen in the interest rate and currency swap markets as a result of a few large and well-publicized swap defaults. The rapid growth in the currency and interest rate financial </w:t>
      </w:r>
      <w:r>
        <w:rPr>
          <w:spacing w:val="-3"/>
        </w:rPr>
        <w:t>derivatives markets has actually been accompanied by a surprisingly low default rate to date, particularly</w:t>
      </w:r>
      <w:r>
        <w:t xml:space="preserve"> in a global market that is, in principle, unregulated. </w:t>
      </w:r>
    </w:p>
    <w:p w:rsidR="005E7BBE" w:rsidRDefault="005E7BBE" w:rsidP="00F61C88">
      <w:pPr>
        <w:pStyle w:val="MCQAnswer"/>
      </w:pPr>
      <w:r>
        <w:t xml:space="preserve">Counterparty risk has long been one of the major factors that favor the use of exchange-traded rather </w:t>
      </w:r>
      <w:r>
        <w:rPr>
          <w:spacing w:val="-3"/>
        </w:rPr>
        <w:t>than over-the-counter derivatives. Most exchanges, like the Philadelphia Stock Exchange for currency</w:t>
      </w:r>
      <w:r>
        <w:t xml:space="preserve"> options or the Chicago Mercantile Exchange for Eurodollar futures, are themselves the counterparty </w:t>
      </w:r>
      <w:r>
        <w:rPr>
          <w:spacing w:val="-2"/>
        </w:rPr>
        <w:t>to all transactions. This allows all firms a high degree of confidence that they can buy or sell exchange-traded products quickly and with little concern over the credit quality of the exchange itself. Financial</w:t>
      </w:r>
      <w:r>
        <w:t xml:space="preserve"> </w:t>
      </w:r>
      <w:r>
        <w:rPr>
          <w:spacing w:val="-2"/>
        </w:rPr>
        <w:t>exchanges typically require a small fee of all traders on the exchanges, to fund insurance funds created</w:t>
      </w:r>
      <w:r>
        <w:t xml:space="preserve"> expressly </w:t>
      </w:r>
      <w:proofErr w:type="gramStart"/>
      <w:r>
        <w:t>for the purpose of</w:t>
      </w:r>
      <w:proofErr w:type="gramEnd"/>
      <w:r>
        <w:t xml:space="preserve"> protecting all parties. Over-the-counter products, however, are direct credit exposures to the firm because the contract is generally between the buying firm and the selling financial institution. Most financial derivatives in today’s world financial centers are sold or brokered only by the largest and soundest financial institutions. This structure does not mean, however, that firms can enter continuing agreements with these institutions without some degree of real financial risk and concern.</w:t>
      </w:r>
    </w:p>
    <w:sectPr w:rsidR="005E7BBE" w:rsidSect="00036BD5">
      <w:headerReference w:type="even" r:id="rId9"/>
      <w:headerReference w:type="default" r:id="rId10"/>
      <w:footerReference w:type="even" r:id="rId11"/>
      <w:footerReference w:type="default" r:id="rId12"/>
      <w:footerReference w:type="first" r:id="rId13"/>
      <w:pgSz w:w="12240" w:h="15840" w:code="1"/>
      <w:pgMar w:top="1008" w:right="1008" w:bottom="1008" w:left="1800" w:header="1008" w:footer="720" w:gutter="0"/>
      <w:pgNumType w:start="41"/>
      <w:cols w:space="720"/>
      <w:titlePg/>
      <w:docGrid w:linePitch="2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911" w:rsidRDefault="001F2911">
      <w:r>
        <w:separator/>
      </w:r>
    </w:p>
  </w:endnote>
  <w:endnote w:type="continuationSeparator" w:id="0">
    <w:p w:rsidR="001F2911" w:rsidRDefault="001F2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5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WP MathA">
    <w:altName w:val="Symbol"/>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1C" w:rsidRDefault="005E7BBE">
    <w:pPr>
      <w:pStyle w:val="Footer"/>
      <w:pBdr>
        <w:top w:val="single" w:sz="4" w:space="1" w:color="auto"/>
      </w:pBdr>
      <w:spacing w:before="360"/>
      <w:jc w:val="center"/>
      <w:rPr>
        <w:rFonts w:ascii="Times" w:hAnsi="Times"/>
        <w:sz w:val="18"/>
      </w:rPr>
    </w:pPr>
    <w:r>
      <w:rPr>
        <w:rFonts w:ascii="Times" w:hAnsi="Times"/>
        <w:sz w:val="18"/>
      </w:rPr>
      <w:t>© 201</w:t>
    </w:r>
    <w:r w:rsidR="00FB0C3F">
      <w:rPr>
        <w:rFonts w:ascii="Times" w:hAnsi="Times"/>
        <w:sz w:val="18"/>
      </w:rPr>
      <w:t>5</w:t>
    </w:r>
    <w:r>
      <w:rPr>
        <w:rFonts w:ascii="Times" w:hAnsi="Times"/>
        <w:sz w:val="18"/>
      </w:rPr>
      <w:t xml:space="preserve"> Pearson Education, Inc.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1C" w:rsidRDefault="005E7BBE">
    <w:pPr>
      <w:pStyle w:val="Footer"/>
      <w:pBdr>
        <w:top w:val="single" w:sz="4" w:space="1" w:color="auto"/>
      </w:pBdr>
      <w:spacing w:before="360"/>
      <w:jc w:val="center"/>
      <w:rPr>
        <w:rFonts w:ascii="Times" w:hAnsi="Times"/>
        <w:sz w:val="18"/>
      </w:rPr>
    </w:pPr>
    <w:r>
      <w:rPr>
        <w:rFonts w:ascii="Times" w:hAnsi="Times"/>
        <w:sz w:val="18"/>
      </w:rPr>
      <w:t>© 201</w:t>
    </w:r>
    <w:r w:rsidR="00FB0C3F">
      <w:rPr>
        <w:rFonts w:ascii="Times" w:hAnsi="Times"/>
        <w:sz w:val="18"/>
      </w:rPr>
      <w:t>5</w:t>
    </w:r>
    <w:r w:rsidR="005C57B8">
      <w:rPr>
        <w:rFonts w:ascii="Times" w:hAnsi="Times"/>
        <w:sz w:val="18"/>
      </w:rPr>
      <w:t xml:space="preserve"> Pearson Education, Inc.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1C" w:rsidRDefault="005E7BBE">
    <w:pPr>
      <w:pStyle w:val="Footer"/>
      <w:pBdr>
        <w:top w:val="single" w:sz="4" w:space="1" w:color="auto"/>
      </w:pBdr>
      <w:spacing w:before="360"/>
      <w:jc w:val="center"/>
      <w:rPr>
        <w:rFonts w:ascii="Times" w:hAnsi="Times"/>
        <w:sz w:val="18"/>
      </w:rPr>
    </w:pPr>
    <w:r>
      <w:rPr>
        <w:rFonts w:ascii="Times" w:hAnsi="Times"/>
        <w:sz w:val="18"/>
      </w:rPr>
      <w:t>© 201</w:t>
    </w:r>
    <w:r w:rsidR="00FB0C3F">
      <w:rPr>
        <w:rFonts w:ascii="Times" w:hAnsi="Times"/>
        <w:sz w:val="18"/>
      </w:rPr>
      <w:t>5</w:t>
    </w:r>
    <w:r>
      <w:rPr>
        <w:rFonts w:ascii="Times" w:hAnsi="Times"/>
        <w:sz w:val="18"/>
      </w:rPr>
      <w:t xml:space="preserve"> Pearson Education, Inc.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911" w:rsidRDefault="001F2911">
      <w:r>
        <w:separator/>
      </w:r>
    </w:p>
  </w:footnote>
  <w:footnote w:type="continuationSeparator" w:id="0">
    <w:p w:rsidR="001F2911" w:rsidRDefault="001F2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1C" w:rsidRDefault="005E7BBE">
    <w:pPr>
      <w:pStyle w:val="VersoHeader"/>
    </w:pPr>
    <w:r>
      <w:rPr>
        <w:rStyle w:val="PageNumber"/>
      </w:rPr>
      <w:fldChar w:fldCharType="begin"/>
    </w:r>
    <w:r>
      <w:rPr>
        <w:rStyle w:val="PageNumber"/>
      </w:rPr>
      <w:instrText xml:space="preserve"> PAGE </w:instrText>
    </w:r>
    <w:r>
      <w:rPr>
        <w:rStyle w:val="PageNumber"/>
      </w:rPr>
      <w:fldChar w:fldCharType="separate"/>
    </w:r>
    <w:r w:rsidR="00036BD5">
      <w:rPr>
        <w:rStyle w:val="PageNumber"/>
        <w:noProof/>
      </w:rPr>
      <w:t>46</w:t>
    </w:r>
    <w:r>
      <w:rPr>
        <w:rStyle w:val="PageNumber"/>
      </w:rPr>
      <w:fldChar w:fldCharType="end"/>
    </w:r>
    <w:r>
      <w:t> </w:t>
    </w:r>
    <w:r>
      <w:t> </w:t>
    </w:r>
    <w:r>
      <w:t>Moffett</w:t>
    </w:r>
    <w:r>
      <w:rPr>
        <w:rFonts w:cs="Arial"/>
        <w:color w:val="000000"/>
      </w:rPr>
      <w:t>/</w:t>
    </w:r>
    <w:proofErr w:type="spellStart"/>
    <w:r>
      <w:rPr>
        <w:rFonts w:cs="Arial"/>
        <w:color w:val="000000"/>
      </w:rPr>
      <w:t>Stonehill</w:t>
    </w:r>
    <w:proofErr w:type="spellEnd"/>
    <w:r>
      <w:rPr>
        <w:rFonts w:cs="Arial"/>
        <w:color w:val="000000"/>
      </w:rPr>
      <w:t>/</w:t>
    </w:r>
    <w:proofErr w:type="spellStart"/>
    <w:r>
      <w:rPr>
        <w:rFonts w:cs="Arial"/>
        <w:color w:val="000000"/>
      </w:rPr>
      <w:t>Eiteman</w:t>
    </w:r>
    <w:proofErr w:type="spellEnd"/>
    <w:r>
      <w:t> </w:t>
    </w:r>
    <w:r>
      <w:t>•</w:t>
    </w:r>
    <w:r>
      <w:t> </w:t>
    </w:r>
    <w:r>
      <w:rPr>
        <w:i/>
        <w:iCs/>
      </w:rPr>
      <w:t>Fundamentals of Multinational Finance,</w:t>
    </w:r>
    <w:r>
      <w:rPr>
        <w:i/>
      </w:rPr>
      <w:t xml:space="preserve"> </w:t>
    </w:r>
    <w:r>
      <w:t>F</w:t>
    </w:r>
    <w:r w:rsidR="005C57B8">
      <w:t>if</w:t>
    </w:r>
    <w:r>
      <w:t>th Edition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1C" w:rsidRDefault="005E7BBE">
    <w:pPr>
      <w:pStyle w:val="RectoHeader"/>
    </w:pPr>
    <w:r>
      <w:t xml:space="preserve">Chapter </w:t>
    </w:r>
    <w:r w:rsidR="005C57B8">
      <w:t>7</w:t>
    </w:r>
    <w:r>
      <w:t> </w:t>
    </w:r>
    <w:r>
      <w:t>Foreign Currency Derivatives and Swaps</w:t>
    </w:r>
    <w:r>
      <w:t> </w:t>
    </w:r>
    <w:r>
      <w:t> </w:t>
    </w:r>
    <w:r>
      <w:rPr>
        <w:rStyle w:val="PageNumber"/>
      </w:rPr>
      <w:fldChar w:fldCharType="begin"/>
    </w:r>
    <w:r>
      <w:rPr>
        <w:rStyle w:val="PageNumber"/>
      </w:rPr>
      <w:instrText xml:space="preserve"> PAGE </w:instrText>
    </w:r>
    <w:r>
      <w:rPr>
        <w:rStyle w:val="PageNumber"/>
      </w:rPr>
      <w:fldChar w:fldCharType="separate"/>
    </w:r>
    <w:r w:rsidR="00036BD5">
      <w:rPr>
        <w:rStyle w:val="PageNumber"/>
      </w:rPr>
      <w:t>45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494B07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B4EEAE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38DA6680"/>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4B2E9DAC"/>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6F8601C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4DC886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5A4AC2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5001EB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E14A06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9EE3094"/>
    <w:lvl w:ilvl="0">
      <w:start w:val="1"/>
      <w:numFmt w:val="bullet"/>
      <w:pStyle w:val="MCA"/>
      <w:lvlText w:val=""/>
      <w:lvlJc w:val="left"/>
      <w:pPr>
        <w:tabs>
          <w:tab w:val="num" w:pos="360"/>
        </w:tabs>
        <w:ind w:left="360" w:hanging="360"/>
      </w:pPr>
      <w:rPr>
        <w:rFonts w:ascii="Symbol" w:hAnsi="Symbol" w:hint="default"/>
      </w:rPr>
    </w:lvl>
  </w:abstractNum>
  <w:abstractNum w:abstractNumId="10">
    <w:nsid w:val="00000001"/>
    <w:multiLevelType w:val="singleLevel"/>
    <w:tmpl w:val="00000001"/>
    <w:lvl w:ilvl="0">
      <w:start w:val="1"/>
      <w:numFmt w:val="lowerLetter"/>
      <w:suff w:val="nothing"/>
      <w:lvlText w:val="%1."/>
      <w:lvlJc w:val="left"/>
      <w:rPr>
        <w:rFonts w:cs="Times New Roman"/>
      </w:rPr>
    </w:lvl>
  </w:abstractNum>
  <w:abstractNum w:abstractNumId="11">
    <w:nsid w:val="01F666CE"/>
    <w:multiLevelType w:val="hybridMultilevel"/>
    <w:tmpl w:val="C2AE2706"/>
    <w:lvl w:ilvl="0" w:tplc="7CD2096C">
      <w:start w:val="1"/>
      <w:numFmt w:val="upperLetter"/>
      <w:pStyle w:val="OutlineA"/>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nsid w:val="02F81989"/>
    <w:multiLevelType w:val="hybridMultilevel"/>
    <w:tmpl w:val="02D276CE"/>
    <w:lvl w:ilvl="0" w:tplc="5E240388">
      <w:start w:val="1"/>
      <w:numFmt w:val="decimal"/>
      <w:pStyle w:val="Outlline1"/>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3">
    <w:nsid w:val="2F40739D"/>
    <w:multiLevelType w:val="hybridMultilevel"/>
    <w:tmpl w:val="6A548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201AD"/>
    <w:multiLevelType w:val="hybridMultilevel"/>
    <w:tmpl w:val="EF04107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55172E"/>
    <w:multiLevelType w:val="multilevel"/>
    <w:tmpl w:val="1136A33C"/>
    <w:lvl w:ilvl="0">
      <w:start w:val="1"/>
      <w:numFmt w:val="none"/>
      <w:pStyle w:val="awTB01questionHead"/>
      <w:suff w:val="nothing"/>
      <w:lvlText w:val="%1"/>
      <w:lvlJc w:val="left"/>
      <w:rPr>
        <w:rFonts w:cs="Times New Roman" w:hint="default"/>
      </w:rPr>
    </w:lvl>
    <w:lvl w:ilvl="1">
      <w:start w:val="1"/>
      <w:numFmt w:val="decimal"/>
      <w:pStyle w:val="awTB02question"/>
      <w:lvlText w:val="%2."/>
      <w:lvlJc w:val="left"/>
      <w:pPr>
        <w:tabs>
          <w:tab w:val="num" w:pos="547"/>
        </w:tabs>
        <w:ind w:left="547" w:hanging="547"/>
      </w:pPr>
      <w:rPr>
        <w:rFonts w:cs="Times New Roman" w:hint="default"/>
      </w:rPr>
    </w:lvl>
    <w:lvl w:ilvl="2">
      <w:start w:val="1"/>
      <w:numFmt w:val="lowerLetter"/>
      <w:pStyle w:val="awTB03distractor"/>
      <w:lvlText w:val="(%3)"/>
      <w:lvlJc w:val="left"/>
      <w:pPr>
        <w:tabs>
          <w:tab w:val="num" w:pos="907"/>
        </w:tabs>
        <w:ind w:left="907" w:hanging="360"/>
      </w:pPr>
      <w:rPr>
        <w:rFonts w:cs="Times New Roman" w:hint="default"/>
      </w:rPr>
    </w:lvl>
    <w:lvl w:ilvl="3">
      <w:start w:val="1"/>
      <w:numFmt w:val="none"/>
      <w:lvlText w:val="Answer:"/>
      <w:lvlJc w:val="left"/>
      <w:pPr>
        <w:tabs>
          <w:tab w:val="num" w:pos="1987"/>
        </w:tabs>
        <w:ind w:left="1411" w:hanging="864"/>
      </w:pPr>
      <w:rPr>
        <w:rFonts w:ascii="Times New Roman" w:hAnsi="Times New Roman" w:cs="Times New Roman" w:hint="default"/>
        <w:b w:val="0"/>
        <w:i w:val="0"/>
        <w:caps w:val="0"/>
        <w:smallCaps w:val="0"/>
        <w:strike w:val="0"/>
        <w:dstrike w:val="0"/>
        <w:snapToGrid w:val="0"/>
        <w:vanish w:val="0"/>
        <w:color w:val="000000"/>
        <w:spacing w:val="0"/>
        <w:kern w:val="0"/>
        <w:position w:val="0"/>
        <w:u w:val="none"/>
        <w:vertAlign w:val="baseline"/>
      </w:rPr>
    </w:lvl>
    <w:lvl w:ilvl="4">
      <w:start w:val="1"/>
      <w:numFmt w:val="none"/>
      <w:lvlText w:val="(%5)"/>
      <w:lvlJc w:val="left"/>
      <w:pPr>
        <w:tabs>
          <w:tab w:val="num" w:pos="2160"/>
        </w:tabs>
        <w:ind w:left="2160" w:hanging="360"/>
      </w:pPr>
      <w:rPr>
        <w:rFonts w:cs="Times New Roman" w:hint="default"/>
      </w:rPr>
    </w:lvl>
    <w:lvl w:ilvl="5">
      <w:start w:val="1"/>
      <w:numFmt w:val="none"/>
      <w:lvlText w:val="(%6)"/>
      <w:lvlJc w:val="left"/>
      <w:pPr>
        <w:tabs>
          <w:tab w:val="num" w:pos="2520"/>
        </w:tabs>
        <w:ind w:left="2520" w:hanging="360"/>
      </w:pPr>
      <w:rPr>
        <w:rFonts w:cs="Times New Roman" w:hint="default"/>
      </w:rPr>
    </w:lvl>
    <w:lvl w:ilvl="6">
      <w:start w:val="1"/>
      <w:numFmt w:val="none"/>
      <w:lvlText w:val="%7."/>
      <w:lvlJc w:val="left"/>
      <w:pPr>
        <w:tabs>
          <w:tab w:val="num" w:pos="2880"/>
        </w:tabs>
        <w:ind w:left="2880" w:hanging="360"/>
      </w:pPr>
      <w:rPr>
        <w:rFonts w:cs="Times New Roman" w:hint="default"/>
      </w:rPr>
    </w:lvl>
    <w:lvl w:ilvl="7">
      <w:start w:val="1"/>
      <w:numFmt w:val="none"/>
      <w:lvlText w:val="%8."/>
      <w:lvlJc w:val="left"/>
      <w:pPr>
        <w:tabs>
          <w:tab w:val="num" w:pos="3240"/>
        </w:tabs>
        <w:ind w:left="3240" w:hanging="360"/>
      </w:pPr>
      <w:rPr>
        <w:rFonts w:cs="Times New Roman" w:hint="default"/>
      </w:rPr>
    </w:lvl>
    <w:lvl w:ilvl="8">
      <w:start w:val="1"/>
      <w:numFmt w:val="none"/>
      <w:lvlText w:val="%9."/>
      <w:lvlJc w:val="left"/>
      <w:pPr>
        <w:tabs>
          <w:tab w:val="num" w:pos="3600"/>
        </w:tabs>
        <w:ind w:left="3600" w:hanging="360"/>
      </w:pPr>
      <w:rPr>
        <w:rFonts w:cs="Times New Roman" w:hint="default"/>
      </w:rPr>
    </w:lvl>
  </w:abstractNum>
  <w:abstractNum w:abstractNumId="16">
    <w:nsid w:val="70803C3A"/>
    <w:multiLevelType w:val="multilevel"/>
    <w:tmpl w:val="AFB09CF2"/>
    <w:lvl w:ilvl="0">
      <w:start w:val="1"/>
      <w:numFmt w:val="decimal"/>
      <w:lvlText w:val="%1."/>
      <w:lvlJc w:val="left"/>
      <w:pPr>
        <w:tabs>
          <w:tab w:val="num" w:pos="360"/>
        </w:tabs>
      </w:pPr>
      <w:rPr>
        <w:rFonts w:cs="Times New Roman" w:hint="default"/>
      </w:rPr>
    </w:lvl>
    <w:lvl w:ilvl="1">
      <w:start w:val="1"/>
      <w:numFmt w:val="lowerLetter"/>
      <w:lvlText w:val="%2)"/>
      <w:lvlJc w:val="left"/>
      <w:pPr>
        <w:tabs>
          <w:tab w:val="num" w:pos="1080"/>
        </w:tabs>
        <w:ind w:left="720"/>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nsid w:val="796A1FDB"/>
    <w:multiLevelType w:val="hybridMultilevel"/>
    <w:tmpl w:val="4ED6CA92"/>
    <w:lvl w:ilvl="0" w:tplc="F1C261AE">
      <w:start w:val="1"/>
      <w:numFmt w:val="upperRoman"/>
      <w:pStyle w:val="OutlineI"/>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9"/>
  </w:num>
  <w:num w:numId="2">
    <w:abstractNumId w:val="16"/>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5"/>
  </w:num>
  <w:num w:numId="16">
    <w:abstractNumId w:val="15"/>
  </w:num>
  <w:num w:numId="17">
    <w:abstractNumId w:val="15"/>
  </w:num>
  <w:num w:numId="18">
    <w:abstractNumId w:val="15"/>
  </w:num>
  <w:num w:numId="19">
    <w:abstractNumId w:val="15"/>
  </w:num>
  <w:num w:numId="20">
    <w:abstractNumId w:val="9"/>
  </w:num>
  <w:num w:numId="21">
    <w:abstractNumId w:val="16"/>
  </w:num>
  <w:num w:numId="22">
    <w:abstractNumId w:val="13"/>
  </w:num>
  <w:num w:numId="23">
    <w:abstractNumId w:val="14"/>
  </w:num>
  <w:num w:numId="24">
    <w:abstractNumId w:val="11"/>
  </w:num>
  <w:num w:numId="25">
    <w:abstractNumId w:val="12"/>
  </w:num>
  <w:num w:numId="26">
    <w:abstractNumId w:val="17"/>
  </w:num>
  <w:num w:numId="27">
    <w:abstractNumId w:val="11"/>
    <w:lvlOverride w:ilvl="0">
      <w:startOverride w:val="1"/>
    </w:lvlOverride>
  </w:num>
  <w:num w:numId="28">
    <w:abstractNumId w:val="12"/>
    <w:lvlOverride w:ilvl="0">
      <w:startOverride w:val="1"/>
    </w:lvlOverride>
  </w:num>
  <w:num w:numId="29">
    <w:abstractNumId w:val="11"/>
    <w:lvlOverride w:ilvl="0">
      <w:startOverride w:val="1"/>
    </w:lvlOverride>
  </w:num>
  <w:num w:numId="30">
    <w:abstractNumId w:val="11"/>
    <w:lvlOverride w:ilvl="0">
      <w:startOverride w:val="1"/>
    </w:lvlOverride>
  </w:num>
  <w:num w:numId="31">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mirrorMargins/>
  <w:proofState w:spelling="clean" w:grammar="clean"/>
  <w:trackRevisions/>
  <w:doNotTrackFormatting/>
  <w:defaultTabStop w:val="720"/>
  <w:evenAndOddHeaders/>
  <w:drawingGridHorizontalSpacing w:val="75"/>
  <w:drawingGridVerticalSpacing w:val="102"/>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hapterid" w:val="30318"/>
    <w:docVar w:name="projectid" w:val="3143"/>
    <w:docVar w:name="projectname" w:val="BSP_moffett_fund_multintl_fin_im_4e"/>
    <w:docVar w:name="RAP_URL" w:val="http://writerap.pearson.com/pena"/>
    <w:docVar w:name="rapVersion" w:val="2"/>
    <w:docVar w:name="saved" w:val="0"/>
    <w:docVar w:name="templateID" w:val="159"/>
    <w:docVar w:name="templateName" w:val="-- NO TEMPLATE --"/>
    <w:docVar w:name="wrToolbarVersion" w:val="2010/03/17"/>
  </w:docVars>
  <w:rsids>
    <w:rsidRoot w:val="00A42020"/>
    <w:rsid w:val="000115EC"/>
    <w:rsid w:val="00036BD5"/>
    <w:rsid w:val="001F2911"/>
    <w:rsid w:val="00224D25"/>
    <w:rsid w:val="0056531C"/>
    <w:rsid w:val="005943A2"/>
    <w:rsid w:val="005B42DA"/>
    <w:rsid w:val="005C57B8"/>
    <w:rsid w:val="005E7BBE"/>
    <w:rsid w:val="006B1124"/>
    <w:rsid w:val="00757A7A"/>
    <w:rsid w:val="00A42020"/>
    <w:rsid w:val="00A76423"/>
    <w:rsid w:val="00B93EBC"/>
    <w:rsid w:val="00BA61AD"/>
    <w:rsid w:val="00C53C70"/>
    <w:rsid w:val="00EA5E55"/>
    <w:rsid w:val="00F61C88"/>
    <w:rsid w:val="00FB0C3F"/>
    <w:rsid w:val="00FB11DC"/>
    <w:rsid w:val="00FD45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0"/>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numPr>
        <w:ilvl w:val="1"/>
        <w:numId w:val="18"/>
      </w:numPr>
      <w:tabs>
        <w:tab w:val="left" w:pos="640"/>
      </w:tabs>
      <w:spacing w:before="200" w:after="60"/>
      <w:outlineLvl w:val="2"/>
    </w:pPr>
    <w:rPr>
      <w:rFonts w:ascii="Times" w:hAnsi="Times"/>
      <w:sz w:val="22"/>
    </w:rPr>
  </w:style>
  <w:style w:type="paragraph" w:customStyle="1" w:styleId="awTB03distractor">
    <w:name w:val="awTB_03_distractor"/>
    <w:basedOn w:val="Normal"/>
    <w:pPr>
      <w:keepNext/>
      <w:keepLines/>
      <w:numPr>
        <w:ilvl w:val="2"/>
        <w:numId w:val="18"/>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18"/>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paragraph" w:customStyle="1" w:styleId="Problemlist1">
    <w:name w:val="Problem_list1"/>
    <w:basedOn w:val="awTB02question"/>
    <w:pPr>
      <w:numPr>
        <w:ilvl w:val="0"/>
        <w:numId w:val="0"/>
      </w:numPr>
      <w:tabs>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spacing w:before="120"/>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character" w:customStyle="1" w:styleId="BL2Char">
    <w:name w:val="BL2 Char"/>
    <w:basedOn w:val="DefaultParagraphFont"/>
    <w:rPr>
      <w:rFonts w:ascii="Times" w:hAnsi="Times" w:cs="Times New Roman"/>
      <w:sz w:val="24"/>
      <w:szCs w:val="24"/>
      <w:lang w:val="en-US" w:eastAsia="en-US" w:bidi="ar-SA"/>
    </w:rPr>
  </w:style>
  <w:style w:type="paragraph" w:customStyle="1" w:styleId="OutlineI">
    <w:name w:val="Outline_I"/>
    <w:basedOn w:val="Normal"/>
    <w:qFormat/>
    <w:rsid w:val="00F61C88"/>
    <w:pPr>
      <w:numPr>
        <w:numId w:val="26"/>
      </w:numPr>
      <w:spacing w:before="60"/>
      <w:ind w:left="1170"/>
    </w:pPr>
    <w:rPr>
      <w:rFonts w:ascii="Times" w:eastAsiaTheme="minorHAnsi" w:hAnsi="Times" w:cs="Times"/>
      <w:sz w:val="22"/>
      <w:szCs w:val="24"/>
    </w:rPr>
  </w:style>
  <w:style w:type="paragraph" w:customStyle="1" w:styleId="OutlineA">
    <w:name w:val="Outline_A"/>
    <w:basedOn w:val="Normal"/>
    <w:qFormat/>
    <w:rsid w:val="00F61C88"/>
    <w:pPr>
      <w:numPr>
        <w:numId w:val="24"/>
      </w:numPr>
      <w:spacing w:before="60"/>
      <w:ind w:left="1526"/>
    </w:pPr>
    <w:rPr>
      <w:rFonts w:ascii="Times" w:eastAsiaTheme="minorHAnsi" w:hAnsi="Times" w:cs="Times"/>
      <w:sz w:val="22"/>
      <w:szCs w:val="24"/>
    </w:rPr>
  </w:style>
  <w:style w:type="paragraph" w:customStyle="1" w:styleId="Outlline1">
    <w:name w:val="Outlline_1"/>
    <w:basedOn w:val="Normal"/>
    <w:qFormat/>
    <w:rsid w:val="00F61C88"/>
    <w:pPr>
      <w:numPr>
        <w:numId w:val="25"/>
      </w:numPr>
      <w:spacing w:before="60"/>
    </w:pPr>
    <w:rPr>
      <w:rFonts w:ascii="Times" w:eastAsiaTheme="minorHAnsi" w:hAnsi="Times" w:cs="Times"/>
      <w:sz w:val="22"/>
      <w:szCs w:val="24"/>
    </w:rPr>
  </w:style>
  <w:style w:type="paragraph" w:customStyle="1" w:styleId="MCQAnswer">
    <w:name w:val="MCQ_Answer"/>
    <w:basedOn w:val="Normal"/>
    <w:qFormat/>
    <w:rsid w:val="00F61C88"/>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F61C88"/>
    <w:pPr>
      <w:spacing w:after="60"/>
      <w:ind w:left="705" w:hanging="259"/>
    </w:pPr>
    <w:rPr>
      <w:rFonts w:ascii="Arial Narrow" w:hAnsi="Arial Narrow"/>
      <w:sz w:val="22"/>
      <w:szCs w:val="24"/>
    </w:rPr>
  </w:style>
  <w:style w:type="paragraph" w:customStyle="1" w:styleId="LearningObjectives">
    <w:name w:val="LearningObjectives"/>
    <w:basedOn w:val="Normal"/>
    <w:qFormat/>
    <w:rsid w:val="00F61C88"/>
    <w:pPr>
      <w:spacing w:before="120" w:line="259" w:lineRule="auto"/>
      <w:ind w:left="720" w:hanging="360"/>
    </w:pPr>
    <w:rPr>
      <w:rFonts w:ascii="Times" w:eastAsiaTheme="minorHAnsi" w:hAnsi="Times" w:cs="Times"/>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0"/>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numPr>
        <w:ilvl w:val="1"/>
        <w:numId w:val="18"/>
      </w:numPr>
      <w:tabs>
        <w:tab w:val="left" w:pos="640"/>
      </w:tabs>
      <w:spacing w:before="200" w:after="60"/>
      <w:outlineLvl w:val="2"/>
    </w:pPr>
    <w:rPr>
      <w:rFonts w:ascii="Times" w:hAnsi="Times"/>
      <w:sz w:val="22"/>
    </w:rPr>
  </w:style>
  <w:style w:type="paragraph" w:customStyle="1" w:styleId="awTB03distractor">
    <w:name w:val="awTB_03_distractor"/>
    <w:basedOn w:val="Normal"/>
    <w:pPr>
      <w:keepNext/>
      <w:keepLines/>
      <w:numPr>
        <w:ilvl w:val="2"/>
        <w:numId w:val="18"/>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18"/>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paragraph" w:customStyle="1" w:styleId="Problemlist1">
    <w:name w:val="Problem_list1"/>
    <w:basedOn w:val="awTB02question"/>
    <w:pPr>
      <w:numPr>
        <w:ilvl w:val="0"/>
        <w:numId w:val="0"/>
      </w:numPr>
      <w:tabs>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spacing w:before="120"/>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character" w:customStyle="1" w:styleId="BL2Char">
    <w:name w:val="BL2 Char"/>
    <w:basedOn w:val="DefaultParagraphFont"/>
    <w:rPr>
      <w:rFonts w:ascii="Times" w:hAnsi="Times" w:cs="Times New Roman"/>
      <w:sz w:val="24"/>
      <w:szCs w:val="24"/>
      <w:lang w:val="en-US" w:eastAsia="en-US" w:bidi="ar-SA"/>
    </w:rPr>
  </w:style>
  <w:style w:type="paragraph" w:customStyle="1" w:styleId="OutlineI">
    <w:name w:val="Outline_I"/>
    <w:basedOn w:val="Normal"/>
    <w:qFormat/>
    <w:rsid w:val="00F61C88"/>
    <w:pPr>
      <w:numPr>
        <w:numId w:val="26"/>
      </w:numPr>
      <w:spacing w:before="60"/>
      <w:ind w:left="1170"/>
    </w:pPr>
    <w:rPr>
      <w:rFonts w:ascii="Times" w:eastAsiaTheme="minorHAnsi" w:hAnsi="Times" w:cs="Times"/>
      <w:sz w:val="22"/>
      <w:szCs w:val="24"/>
    </w:rPr>
  </w:style>
  <w:style w:type="paragraph" w:customStyle="1" w:styleId="OutlineA">
    <w:name w:val="Outline_A"/>
    <w:basedOn w:val="Normal"/>
    <w:qFormat/>
    <w:rsid w:val="00F61C88"/>
    <w:pPr>
      <w:numPr>
        <w:numId w:val="24"/>
      </w:numPr>
      <w:spacing w:before="60"/>
      <w:ind w:left="1526"/>
    </w:pPr>
    <w:rPr>
      <w:rFonts w:ascii="Times" w:eastAsiaTheme="minorHAnsi" w:hAnsi="Times" w:cs="Times"/>
      <w:sz w:val="22"/>
      <w:szCs w:val="24"/>
    </w:rPr>
  </w:style>
  <w:style w:type="paragraph" w:customStyle="1" w:styleId="Outlline1">
    <w:name w:val="Outlline_1"/>
    <w:basedOn w:val="Normal"/>
    <w:qFormat/>
    <w:rsid w:val="00F61C88"/>
    <w:pPr>
      <w:numPr>
        <w:numId w:val="25"/>
      </w:numPr>
      <w:spacing w:before="60"/>
    </w:pPr>
    <w:rPr>
      <w:rFonts w:ascii="Times" w:eastAsiaTheme="minorHAnsi" w:hAnsi="Times" w:cs="Times"/>
      <w:sz w:val="22"/>
      <w:szCs w:val="24"/>
    </w:rPr>
  </w:style>
  <w:style w:type="paragraph" w:customStyle="1" w:styleId="MCQAnswer">
    <w:name w:val="MCQ_Answer"/>
    <w:basedOn w:val="Normal"/>
    <w:qFormat/>
    <w:rsid w:val="00F61C88"/>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F61C88"/>
    <w:pPr>
      <w:spacing w:after="60"/>
      <w:ind w:left="705" w:hanging="259"/>
    </w:pPr>
    <w:rPr>
      <w:rFonts w:ascii="Arial Narrow" w:hAnsi="Arial Narrow"/>
      <w:sz w:val="22"/>
      <w:szCs w:val="24"/>
    </w:rPr>
  </w:style>
  <w:style w:type="paragraph" w:customStyle="1" w:styleId="LearningObjectives">
    <w:name w:val="LearningObjectives"/>
    <w:basedOn w:val="Normal"/>
    <w:qFormat/>
    <w:rsid w:val="00F61C88"/>
    <w:pPr>
      <w:spacing w:before="120" w:line="259" w:lineRule="auto"/>
      <w:ind w:left="720" w:hanging="360"/>
    </w:pPr>
    <w:rPr>
      <w:rFonts w:ascii="Times" w:eastAsiaTheme="minorHAnsi" w:hAnsi="Times" w:cs="Time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6</Pages>
  <Words>3044</Words>
  <Characters>15081</Characters>
  <Application>Microsoft Office Word</Application>
  <DocSecurity>0</DocSecurity>
  <Lines>125</Lines>
  <Paragraphs>36</Paragraphs>
  <ScaleCrop>false</ScaleCrop>
  <HeadingPairs>
    <vt:vector size="2" baseType="variant">
      <vt:variant>
        <vt:lpstr>Title</vt:lpstr>
      </vt:variant>
      <vt:variant>
        <vt:i4>1</vt:i4>
      </vt:variant>
    </vt:vector>
  </HeadingPairs>
  <TitlesOfParts>
    <vt:vector size="1" baseType="lpstr">
      <vt:lpstr>M08_MOFF9242_03_IM_C08</vt:lpstr>
    </vt:vector>
  </TitlesOfParts>
  <Company>ITC</Company>
  <LinksUpToDate>false</LinksUpToDate>
  <CharactersWithSpaces>18089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M08_MOFF9242_03_IM_C08</dc:title>
  <dc:subject/>
  <dc:creator>Administrator</dc:creator>
  <cp:keywords/>
  <dc:description/>
  <cp:lastModifiedBy>Sheryl Nelson</cp:lastModifiedBy>
  <cp:revision>11</cp:revision>
  <cp:lastPrinted>2008-02-06T23:01:00Z</cp:lastPrinted>
  <dcterms:created xsi:type="dcterms:W3CDTF">2014-07-14T15:47:00Z</dcterms:created>
  <dcterms:modified xsi:type="dcterms:W3CDTF">2014-09-29T15:24:00Z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