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after="240"/>
        <w:jc w:val="center"/>
      </w:pPr>
      <w:r>
        <w:rPr>
          <w:b/>
          <w:color w:val="1F3A5F"/>
          <w:sz w:val="36"/>
        </w:rPr>
        <w:t>AWS Hybrid Cloud Security Assessment</w:t>
      </w:r>
    </w:p>
    <w:p>
      <w:pPr>
        <w:spacing w:after="240"/>
        <w:jc w:val="center"/>
      </w:pPr>
      <w:r>
        <w:rPr>
          <w:b/>
          <w:color w:val="333333"/>
          <w:sz w:val="36"/>
        </w:rPr>
        <w:t>Executive Report and Remediation Plan</w:t>
      </w:r>
    </w:p>
    <w:tbl>
      <w:tblPr>
        <w:tblW w:type="auto" w:w="0"/>
        <w:tblLook w:firstColumn="1" w:firstRow="1" w:lastColumn="0" w:lastRow="0" w:noHBand="0" w:noVBand="1" w:val="04A0"/>
      </w:tblPr>
      <w:tblGrid>
        <w:gridCol w:w="4703"/>
        <w:gridCol w:w="4703"/>
      </w:tblGrid>
      <w:tr>
        <w:tc>
          <w:tcPr>
            <w:tcW w:type="dxa" w:w="2551"/>
            <w:shd w:val="clear" w:color="auto" w:fill="E8EEF5"/>
            <w:tcBorders>
              <w:top w:val="single" w:sz="4" w:color="808080"/>
              <w:left w:val="single" w:sz="4" w:color="808080"/>
              <w:bottom w:val="single" w:sz="4" w:color="808080"/>
              <w:right w:val="single" w:sz="4" w:color="808080"/>
            </w:tcBorders>
          </w:tcPr>
          <w:p>
            <w:pPr>
              <w:spacing w:after="0"/>
            </w:pPr>
            <w:r>
              <w:rPr>
                <w:b/>
                <w:sz w:val="20"/>
              </w:rPr>
              <w:t>Assessment date</w:t>
            </w:r>
          </w:p>
        </w:tc>
        <w:tc>
          <w:tcPr>
            <w:tcW w:type="dxa" w:w="7087"/>
            <w:tcBorders>
              <w:top w:val="single" w:sz="4" w:color="808080"/>
              <w:left w:val="single" w:sz="4" w:color="808080"/>
              <w:bottom w:val="single" w:sz="4" w:color="808080"/>
              <w:right w:val="single" w:sz="4" w:color="808080"/>
            </w:tcBorders>
          </w:tcPr>
          <w:p>
            <w:pPr>
              <w:spacing w:after="0"/>
            </w:pPr>
            <w:r>
              <w:rPr>
                <w:sz w:val="20"/>
              </w:rPr>
              <w:t>2026-07-28 13:00:18</w:t>
            </w:r>
          </w:p>
        </w:tc>
      </w:tr>
      <w:tr>
        <w:tc>
          <w:tcPr>
            <w:tcW w:type="dxa" w:w="2551"/>
            <w:shd w:val="clear" w:color="auto" w:fill="E8EEF5"/>
            <w:tcBorders>
              <w:top w:val="single" w:sz="4" w:color="808080"/>
              <w:left w:val="single" w:sz="4" w:color="808080"/>
              <w:bottom w:val="single" w:sz="4" w:color="808080"/>
              <w:right w:val="single" w:sz="4" w:color="808080"/>
            </w:tcBorders>
          </w:tcPr>
          <w:p>
            <w:pPr>
              <w:spacing w:after="0"/>
            </w:pPr>
            <w:r>
              <w:rPr>
                <w:b/>
                <w:sz w:val="20"/>
              </w:rPr>
              <w:t>Region assessed</w:t>
            </w:r>
          </w:p>
        </w:tc>
        <w:tc>
          <w:tcPr>
            <w:tcW w:type="dxa" w:w="7087"/>
            <w:tcBorders>
              <w:top w:val="single" w:sz="4" w:color="808080"/>
              <w:left w:val="single" w:sz="4" w:color="808080"/>
              <w:bottom w:val="single" w:sz="4" w:color="808080"/>
              <w:right w:val="single" w:sz="4" w:color="808080"/>
            </w:tcBorders>
          </w:tcPr>
          <w:p>
            <w:pPr>
              <w:spacing w:after="0"/>
            </w:pPr>
            <w:r>
              <w:rPr>
                <w:sz w:val="20"/>
              </w:rPr>
              <w:t>eu-west-2</w:t>
            </w:r>
          </w:p>
        </w:tc>
      </w:tr>
      <w:tr>
        <w:tc>
          <w:tcPr>
            <w:tcW w:type="dxa" w:w="2551"/>
            <w:shd w:val="clear" w:color="auto" w:fill="E8EEF5"/>
            <w:tcBorders>
              <w:top w:val="single" w:sz="4" w:color="808080"/>
              <w:left w:val="single" w:sz="4" w:color="808080"/>
              <w:bottom w:val="single" w:sz="4" w:color="808080"/>
              <w:right w:val="single" w:sz="4" w:color="808080"/>
            </w:tcBorders>
          </w:tcPr>
          <w:p>
            <w:pPr>
              <w:spacing w:after="0"/>
            </w:pPr>
            <w:r>
              <w:rPr>
                <w:b/>
                <w:sz w:val="20"/>
              </w:rPr>
              <w:t>Classification</w:t>
            </w:r>
          </w:p>
        </w:tc>
        <w:tc>
          <w:tcPr>
            <w:tcW w:type="dxa" w:w="7087"/>
            <w:tcBorders>
              <w:top w:val="single" w:sz="4" w:color="808080"/>
              <w:left w:val="single" w:sz="4" w:color="808080"/>
              <w:bottom w:val="single" w:sz="4" w:color="808080"/>
              <w:right w:val="single" w:sz="4" w:color="808080"/>
            </w:tcBorders>
          </w:tcPr>
          <w:p>
            <w:pPr>
              <w:spacing w:after="0"/>
            </w:pPr>
            <w:r>
              <w:rPr>
                <w:sz w:val="20"/>
              </w:rPr>
              <w:t>Internal - Sensitive</w:t>
            </w:r>
          </w:p>
        </w:tc>
      </w:tr>
      <w:tr>
        <w:tc>
          <w:tcPr>
            <w:tcW w:type="dxa" w:w="2551"/>
            <w:shd w:val="clear" w:color="auto" w:fill="E8EEF5"/>
            <w:tcBorders>
              <w:top w:val="single" w:sz="4" w:color="808080"/>
              <w:left w:val="single" w:sz="4" w:color="808080"/>
              <w:bottom w:val="single" w:sz="4" w:color="808080"/>
              <w:right w:val="single" w:sz="4" w:color="808080"/>
            </w:tcBorders>
          </w:tcPr>
          <w:p>
            <w:pPr>
              <w:spacing w:after="0"/>
            </w:pPr>
            <w:r>
              <w:rPr>
                <w:b/>
                <w:sz w:val="20"/>
              </w:rPr>
              <w:t>Prepared by</w:t>
            </w:r>
          </w:p>
        </w:tc>
        <w:tc>
          <w:tcPr>
            <w:tcW w:type="dxa" w:w="7087"/>
            <w:tcBorders>
              <w:top w:val="single" w:sz="4" w:color="808080"/>
              <w:left w:val="single" w:sz="4" w:color="808080"/>
              <w:bottom w:val="single" w:sz="4" w:color="808080"/>
              <w:right w:val="single" w:sz="4" w:color="808080"/>
            </w:tcBorders>
          </w:tcPr>
          <w:p>
            <w:pPr>
              <w:spacing w:after="0"/>
            </w:pPr>
            <w:r>
              <w:rPr>
                <w:sz w:val="20"/>
              </w:rPr>
              <w:t>Automated scan (scan_and_fix.py)</w:t>
            </w:r>
          </w:p>
        </w:tc>
      </w:tr>
    </w:tbl>
    <w:p/>
    <w:p>
      <w:pPr>
        <w:spacing w:before="360" w:after="160"/>
      </w:pPr>
      <w:r>
        <w:rPr>
          <w:b/>
          <w:color w:val="1F3A5F"/>
          <w:sz w:val="28"/>
        </w:rPr>
        <w:t>1. Executive Summary</w:t>
      </w:r>
    </w:p>
    <w:p>
      <w:pPr>
        <w:spacing w:after="120"/>
      </w:pPr>
      <w:r>
        <w:rPr>
          <w:b w:val="0"/>
          <w:i w:val="0"/>
          <w:sz w:val="22"/>
        </w:rPr>
        <w:t>An assessment of the target AWS environment identified 26 distinct security misconfigurations. Overall exposure was measured using the Data Exposure Risk Score (DERS): a weighted scoring model where each finding contributes 3 points (High), 2 points (Medium), or 1 point (Low).</w:t>
      </w:r>
    </w:p>
    <w:tbl>
      <w:tblPr>
        <w:tblW w:type="auto" w:w="0"/>
        <w:tblLook w:firstColumn="1" w:firstRow="1" w:lastColumn="0" w:lastRow="0" w:noHBand="0" w:noVBand="1" w:val="04A0"/>
      </w:tblPr>
      <w:tblGrid>
        <w:gridCol w:w="3135"/>
        <w:gridCol w:w="3135"/>
        <w:gridCol w:w="3135"/>
      </w:tblGrid>
      <w:tr>
        <w:tc>
          <w:tcPr>
            <w:tcW w:type="dxa" w:w="3135"/>
            <w:shd w:val="clear" w:color="auto" w:fill="1F3A5F"/>
            <w:tcBorders>
              <w:top w:val="single" w:sz="4" w:color="808080"/>
              <w:left w:val="single" w:sz="4" w:color="808080"/>
              <w:bottom w:val="single" w:sz="4" w:color="808080"/>
              <w:right w:val="single" w:sz="4" w:color="808080"/>
            </w:tcBorders>
          </w:tcPr>
          <w:p>
            <w:pPr>
              <w:spacing w:after="0"/>
            </w:pPr>
            <w:r>
              <w:rPr>
                <w:b/>
                <w:color w:val="FFFFFF"/>
                <w:sz w:val="20"/>
              </w:rPr>
              <w:t>Metric</w:t>
            </w:r>
          </w:p>
        </w:tc>
        <w:tc>
          <w:tcPr>
            <w:tcW w:type="dxa" w:w="3135"/>
            <w:shd w:val="clear" w:color="auto" w:fill="1F3A5F"/>
            <w:tcBorders>
              <w:top w:val="single" w:sz="4" w:color="808080"/>
              <w:left w:val="single" w:sz="4" w:color="808080"/>
              <w:bottom w:val="single" w:sz="4" w:color="808080"/>
              <w:right w:val="single" w:sz="4" w:color="808080"/>
            </w:tcBorders>
          </w:tcPr>
          <w:p>
            <w:pPr>
              <w:spacing w:after="0"/>
            </w:pPr>
            <w:r>
              <w:rPr>
                <w:b/>
                <w:color w:val="FFFFFF"/>
                <w:sz w:val="20"/>
              </w:rPr>
              <w:t>Baseline</w:t>
            </w:r>
          </w:p>
        </w:tc>
        <w:tc>
          <w:tcPr>
            <w:tcW w:type="dxa" w:w="3135"/>
            <w:shd w:val="clear" w:color="auto" w:fill="1F3A5F"/>
            <w:tcBorders>
              <w:top w:val="single" w:sz="4" w:color="808080"/>
              <w:left w:val="single" w:sz="4" w:color="808080"/>
              <w:bottom w:val="single" w:sz="4" w:color="808080"/>
              <w:right w:val="single" w:sz="4" w:color="808080"/>
            </w:tcBorders>
          </w:tcPr>
          <w:p>
            <w:pPr>
              <w:spacing w:after="0"/>
            </w:pPr>
            <w:r>
              <w:rPr>
                <w:b/>
                <w:color w:val="FFFFFF"/>
                <w:sz w:val="20"/>
              </w:rPr>
              <w:t>Post-remediation target</w:t>
            </w:r>
          </w:p>
        </w:tc>
      </w:tr>
      <w:tr>
        <w:tc>
          <w:tcPr>
            <w:tcW w:type="dxa" w:w="3135"/>
            <w:tcBorders>
              <w:top w:val="single" w:sz="4" w:color="808080"/>
              <w:left w:val="single" w:sz="4" w:color="808080"/>
              <w:bottom w:val="single" w:sz="4" w:color="808080"/>
              <w:right w:val="single" w:sz="4" w:color="808080"/>
            </w:tcBorders>
          </w:tcPr>
          <w:p>
            <w:pPr>
              <w:spacing w:after="0"/>
            </w:pPr>
            <w:r>
              <w:rPr>
                <w:sz w:val="20"/>
              </w:rPr>
              <w:t>Total findings</w:t>
            </w:r>
          </w:p>
        </w:tc>
        <w:tc>
          <w:tcPr>
            <w:tcW w:type="dxa" w:w="3135"/>
            <w:tcBorders>
              <w:top w:val="single" w:sz="4" w:color="808080"/>
              <w:left w:val="single" w:sz="4" w:color="808080"/>
              <w:bottom w:val="single" w:sz="4" w:color="808080"/>
              <w:right w:val="single" w:sz="4" w:color="808080"/>
            </w:tcBorders>
          </w:tcPr>
          <w:p>
            <w:pPr>
              <w:spacing w:after="0"/>
            </w:pPr>
            <w:r>
              <w:rPr>
                <w:sz w:val="20"/>
              </w:rPr>
              <w:t>26</w:t>
            </w:r>
          </w:p>
        </w:tc>
        <w:tc>
          <w:tcPr>
            <w:tcW w:type="dxa" w:w="3135"/>
            <w:tcBorders>
              <w:top w:val="single" w:sz="4" w:color="808080"/>
              <w:left w:val="single" w:sz="4" w:color="808080"/>
              <w:bottom w:val="single" w:sz="4" w:color="808080"/>
              <w:right w:val="single" w:sz="4" w:color="808080"/>
            </w:tcBorders>
          </w:tcPr>
          <w:p>
            <w:pPr>
              <w:spacing w:after="0"/>
            </w:pPr>
            <w:r>
              <w:rPr>
                <w:sz w:val="20"/>
              </w:rPr>
              <w:t>0</w:t>
            </w:r>
          </w:p>
        </w:tc>
      </w:tr>
      <w:tr>
        <w:tc>
          <w:tcPr>
            <w:tcW w:type="dxa" w:w="3135"/>
            <w:tcBorders>
              <w:top w:val="single" w:sz="4" w:color="808080"/>
              <w:left w:val="single" w:sz="4" w:color="808080"/>
              <w:bottom w:val="single" w:sz="4" w:color="808080"/>
              <w:right w:val="single" w:sz="4" w:color="808080"/>
            </w:tcBorders>
          </w:tcPr>
          <w:p>
            <w:pPr>
              <w:spacing w:after="0"/>
            </w:pPr>
            <w:r>
              <w:rPr>
                <w:sz w:val="20"/>
              </w:rPr>
              <w:t>High-severity findings</w:t>
            </w:r>
          </w:p>
        </w:tc>
        <w:tc>
          <w:tcPr>
            <w:tcW w:type="dxa" w:w="3135"/>
            <w:tcBorders>
              <w:top w:val="single" w:sz="4" w:color="808080"/>
              <w:left w:val="single" w:sz="4" w:color="808080"/>
              <w:bottom w:val="single" w:sz="4" w:color="808080"/>
              <w:right w:val="single" w:sz="4" w:color="808080"/>
            </w:tcBorders>
          </w:tcPr>
          <w:p>
            <w:pPr>
              <w:spacing w:after="0"/>
            </w:pPr>
            <w:r>
              <w:rPr>
                <w:sz w:val="20"/>
              </w:rPr>
              <w:t>17</w:t>
            </w:r>
          </w:p>
        </w:tc>
        <w:tc>
          <w:tcPr>
            <w:tcW w:type="dxa" w:w="3135"/>
            <w:tcBorders>
              <w:top w:val="single" w:sz="4" w:color="808080"/>
              <w:left w:val="single" w:sz="4" w:color="808080"/>
              <w:bottom w:val="single" w:sz="4" w:color="808080"/>
              <w:right w:val="single" w:sz="4" w:color="808080"/>
            </w:tcBorders>
          </w:tcPr>
          <w:p>
            <w:pPr>
              <w:spacing w:after="0"/>
            </w:pPr>
            <w:r>
              <w:rPr>
                <w:sz w:val="20"/>
              </w:rPr>
              <w:t>0</w:t>
            </w:r>
          </w:p>
        </w:tc>
      </w:tr>
      <w:tr>
        <w:tc>
          <w:tcPr>
            <w:tcW w:type="dxa" w:w="3135"/>
            <w:tcBorders>
              <w:top w:val="single" w:sz="4" w:color="808080"/>
              <w:left w:val="single" w:sz="4" w:color="808080"/>
              <w:bottom w:val="single" w:sz="4" w:color="808080"/>
              <w:right w:val="single" w:sz="4" w:color="808080"/>
            </w:tcBorders>
          </w:tcPr>
          <w:p>
            <w:pPr>
              <w:spacing w:after="0"/>
            </w:pPr>
            <w:r>
              <w:rPr>
                <w:sz w:val="20"/>
              </w:rPr>
              <w:t>Medium-severity findings</w:t>
            </w:r>
          </w:p>
        </w:tc>
        <w:tc>
          <w:tcPr>
            <w:tcW w:type="dxa" w:w="3135"/>
            <w:tcBorders>
              <w:top w:val="single" w:sz="4" w:color="808080"/>
              <w:left w:val="single" w:sz="4" w:color="808080"/>
              <w:bottom w:val="single" w:sz="4" w:color="808080"/>
              <w:right w:val="single" w:sz="4" w:color="808080"/>
            </w:tcBorders>
          </w:tcPr>
          <w:p>
            <w:pPr>
              <w:spacing w:after="0"/>
            </w:pPr>
            <w:r>
              <w:rPr>
                <w:sz w:val="20"/>
              </w:rPr>
              <w:t>4</w:t>
            </w:r>
          </w:p>
        </w:tc>
        <w:tc>
          <w:tcPr>
            <w:tcW w:type="dxa" w:w="3135"/>
            <w:tcBorders>
              <w:top w:val="single" w:sz="4" w:color="808080"/>
              <w:left w:val="single" w:sz="4" w:color="808080"/>
              <w:bottom w:val="single" w:sz="4" w:color="808080"/>
              <w:right w:val="single" w:sz="4" w:color="808080"/>
            </w:tcBorders>
          </w:tcPr>
          <w:p>
            <w:pPr>
              <w:spacing w:after="0"/>
            </w:pPr>
            <w:r>
              <w:rPr>
                <w:sz w:val="20"/>
              </w:rPr>
              <w:t>0</w:t>
            </w:r>
          </w:p>
        </w:tc>
      </w:tr>
      <w:tr>
        <w:tc>
          <w:tcPr>
            <w:tcW w:type="dxa" w:w="3135"/>
            <w:tcBorders>
              <w:top w:val="single" w:sz="4" w:color="808080"/>
              <w:left w:val="single" w:sz="4" w:color="808080"/>
              <w:bottom w:val="single" w:sz="4" w:color="808080"/>
              <w:right w:val="single" w:sz="4" w:color="808080"/>
            </w:tcBorders>
          </w:tcPr>
          <w:p>
            <w:pPr>
              <w:spacing w:after="0"/>
            </w:pPr>
            <w:r>
              <w:rPr>
                <w:sz w:val="20"/>
              </w:rPr>
              <w:t>Low-severity findings</w:t>
            </w:r>
          </w:p>
        </w:tc>
        <w:tc>
          <w:tcPr>
            <w:tcW w:type="dxa" w:w="3135"/>
            <w:tcBorders>
              <w:top w:val="single" w:sz="4" w:color="808080"/>
              <w:left w:val="single" w:sz="4" w:color="808080"/>
              <w:bottom w:val="single" w:sz="4" w:color="808080"/>
              <w:right w:val="single" w:sz="4" w:color="808080"/>
            </w:tcBorders>
          </w:tcPr>
          <w:p>
            <w:pPr>
              <w:spacing w:after="0"/>
            </w:pPr>
            <w:r>
              <w:rPr>
                <w:sz w:val="20"/>
              </w:rPr>
              <w:t>5</w:t>
            </w:r>
          </w:p>
        </w:tc>
        <w:tc>
          <w:tcPr>
            <w:tcW w:type="dxa" w:w="3135"/>
            <w:tcBorders>
              <w:top w:val="single" w:sz="4" w:color="808080"/>
              <w:left w:val="single" w:sz="4" w:color="808080"/>
              <w:bottom w:val="single" w:sz="4" w:color="808080"/>
              <w:right w:val="single" w:sz="4" w:color="808080"/>
            </w:tcBorders>
          </w:tcPr>
          <w:p>
            <w:pPr>
              <w:spacing w:after="0"/>
            </w:pPr>
            <w:r>
              <w:rPr>
                <w:sz w:val="20"/>
              </w:rPr>
              <w:t>0</w:t>
            </w:r>
          </w:p>
        </w:tc>
      </w:tr>
      <w:tr>
        <w:tc>
          <w:tcPr>
            <w:tcW w:type="dxa" w:w="3135"/>
            <w:tcBorders>
              <w:top w:val="single" w:sz="4" w:color="808080"/>
              <w:left w:val="single" w:sz="4" w:color="808080"/>
              <w:bottom w:val="single" w:sz="4" w:color="808080"/>
              <w:right w:val="single" w:sz="4" w:color="808080"/>
            </w:tcBorders>
          </w:tcPr>
          <w:p>
            <w:pPr>
              <w:spacing w:after="0"/>
            </w:pPr>
            <w:r>
              <w:rPr>
                <w:sz w:val="20"/>
              </w:rPr>
              <w:t>Data Exposure Risk Score (DERS)</w:t>
            </w:r>
          </w:p>
        </w:tc>
        <w:tc>
          <w:tcPr>
            <w:tcW w:type="dxa" w:w="3135"/>
            <w:tcBorders>
              <w:top w:val="single" w:sz="4" w:color="808080"/>
              <w:left w:val="single" w:sz="4" w:color="808080"/>
              <w:bottom w:val="single" w:sz="4" w:color="808080"/>
              <w:right w:val="single" w:sz="4" w:color="808080"/>
            </w:tcBorders>
          </w:tcPr>
          <w:p>
            <w:pPr>
              <w:spacing w:after="0"/>
            </w:pPr>
            <w:r>
              <w:rPr>
                <w:sz w:val="20"/>
              </w:rPr>
              <w:t>64</w:t>
            </w:r>
          </w:p>
        </w:tc>
        <w:tc>
          <w:tcPr>
            <w:tcW w:type="dxa" w:w="3135"/>
            <w:tcBorders>
              <w:top w:val="single" w:sz="4" w:color="808080"/>
              <w:left w:val="single" w:sz="4" w:color="808080"/>
              <w:bottom w:val="single" w:sz="4" w:color="808080"/>
              <w:right w:val="single" w:sz="4" w:color="808080"/>
            </w:tcBorders>
          </w:tcPr>
          <w:p>
            <w:pPr>
              <w:spacing w:after="0"/>
            </w:pPr>
            <w:r>
              <w:rPr>
                <w:sz w:val="20"/>
              </w:rPr>
              <w:t>0</w:t>
            </w:r>
          </w:p>
        </w:tc>
      </w:tr>
    </w:tbl>
    <w:p/>
    <w:p>
      <w:pPr>
        <w:spacing w:after="80"/>
      </w:pPr>
      <w:r>
        <w:rPr>
          <w:b/>
          <w:sz w:val="22"/>
        </w:rPr>
        <w:t xml:space="preserve">Bottom line: </w:t>
      </w:r>
      <w:r>
        <w:rPr>
          <w:sz w:val="22"/>
        </w:rPr>
        <w:t>7 of the 17 High-severity findings actively expose data to the public internet at time of assessment. The remaining findings do not directly leak data but create the conditions under which a single stolen credential could reach the entire environment. All findings can be remediated using AWS-native controls at no additional licensing cost, and total engineer effort to close every High finding is under 2 hours.</w:t>
      </w:r>
    </w:p>
    <w:p>
      <w:r>
        <w:br w:type="page"/>
      </w:r>
    </w:p>
    <w:p>
      <w:pPr>
        <w:spacing w:before="360" w:after="160"/>
      </w:pPr>
      <w:r>
        <w:rPr>
          <w:b/>
          <w:color w:val="1F3A5F"/>
          <w:sz w:val="28"/>
        </w:rPr>
        <w:t>2. Business Impact at a Glance</w:t>
      </w:r>
    </w:p>
    <w:p>
      <w:pPr>
        <w:spacing w:after="120"/>
      </w:pPr>
      <w:r>
        <w:rPr>
          <w:b w:val="0"/>
          <w:i w:val="0"/>
          <w:sz w:val="22"/>
        </w:rPr>
        <w:t>The table below translates each technical finding into the business consequence a manager can weigh against remediation effort.</w:t>
      </w:r>
    </w:p>
    <w:tbl>
      <w:tblPr>
        <w:tblW w:type="auto" w:w="0"/>
        <w:tblLook w:firstColumn="1" w:firstRow="1" w:lastColumn="0" w:lastRow="0" w:noHBand="0" w:noVBand="1" w:val="04A0"/>
      </w:tblPr>
      <w:tblGrid>
        <w:gridCol w:w="3135"/>
        <w:gridCol w:w="3135"/>
        <w:gridCol w:w="3135"/>
      </w:tblGrid>
      <w:tr>
        <w:tc>
          <w:tcPr>
            <w:tcW w:type="dxa" w:w="3135"/>
            <w:shd w:val="clear" w:color="auto" w:fill="1F3A5F"/>
            <w:tcBorders>
              <w:top w:val="single" w:sz="4" w:color="808080"/>
              <w:left w:val="single" w:sz="4" w:color="808080"/>
              <w:bottom w:val="single" w:sz="4" w:color="808080"/>
              <w:right w:val="single" w:sz="4" w:color="808080"/>
            </w:tcBorders>
          </w:tcPr>
          <w:p>
            <w:pPr>
              <w:spacing w:after="0"/>
            </w:pPr>
            <w:r>
              <w:rPr>
                <w:b/>
                <w:color w:val="FFFFFF"/>
                <w:sz w:val="20"/>
              </w:rPr>
              <w:t>Finding</w:t>
            </w:r>
          </w:p>
        </w:tc>
        <w:tc>
          <w:tcPr>
            <w:tcW w:type="dxa" w:w="3135"/>
            <w:shd w:val="clear" w:color="auto" w:fill="1F3A5F"/>
            <w:tcBorders>
              <w:top w:val="single" w:sz="4" w:color="808080"/>
              <w:left w:val="single" w:sz="4" w:color="808080"/>
              <w:bottom w:val="single" w:sz="4" w:color="808080"/>
              <w:right w:val="single" w:sz="4" w:color="808080"/>
            </w:tcBorders>
          </w:tcPr>
          <w:p>
            <w:pPr>
              <w:spacing w:after="0"/>
            </w:pPr>
            <w:r>
              <w:rPr>
                <w:b/>
                <w:color w:val="FFFFFF"/>
                <w:sz w:val="20"/>
              </w:rPr>
              <w:t>Severity</w:t>
            </w:r>
          </w:p>
        </w:tc>
        <w:tc>
          <w:tcPr>
            <w:tcW w:type="dxa" w:w="3135"/>
            <w:shd w:val="clear" w:color="auto" w:fill="1F3A5F"/>
            <w:tcBorders>
              <w:top w:val="single" w:sz="4" w:color="808080"/>
              <w:left w:val="single" w:sz="4" w:color="808080"/>
              <w:bottom w:val="single" w:sz="4" w:color="808080"/>
              <w:right w:val="single" w:sz="4" w:color="808080"/>
            </w:tcBorders>
          </w:tcPr>
          <w:p>
            <w:pPr>
              <w:spacing w:after="0"/>
            </w:pPr>
            <w:r>
              <w:rPr>
                <w:b/>
                <w:color w:val="FFFFFF"/>
                <w:sz w:val="20"/>
              </w:rPr>
              <w:t>Business Impact if Exploited</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Public Access</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Direct data breach. Under UK GDPR, a public-storage exposure requires notification to the ICO within 72 hours of discovery. Reputational damage. Potential ICO fine of up to GBP 17.5 million or 4 per cent of global turnover.</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No Encryption</w:t>
            </w:r>
          </w:p>
        </w:tc>
        <w:tc>
          <w:tcPr>
            <w:tcW w:type="dxa" w:w="3135"/>
            <w:tcBorders>
              <w:top w:val="single" w:sz="4" w:color="808080"/>
              <w:left w:val="single" w:sz="4" w:color="808080"/>
              <w:bottom w:val="single" w:sz="4" w:color="808080"/>
              <w:right w:val="single" w:sz="4" w:color="808080"/>
            </w:tcBorders>
          </w:tcPr>
          <w:p>
            <w:pPr>
              <w:spacing w:after="0"/>
            </w:pPr>
            <w:r>
              <w:rPr>
                <w:b/>
                <w:color w:val="B8860B"/>
                <w:sz w:val="20"/>
              </w:rPr>
              <w:t>MEDIUM</w:t>
            </w:r>
          </w:p>
        </w:tc>
        <w:tc>
          <w:tcPr>
            <w:tcW w:type="dxa" w:w="3135"/>
            <w:tcBorders>
              <w:top w:val="single" w:sz="4" w:color="808080"/>
              <w:left w:val="single" w:sz="4" w:color="808080"/>
              <w:bottom w:val="single" w:sz="4" w:color="808080"/>
              <w:right w:val="single" w:sz="4" w:color="808080"/>
            </w:tcBorders>
          </w:tcPr>
          <w:p>
            <w:pPr>
              <w:spacing w:after="0"/>
            </w:pPr>
            <w:r>
              <w:rPr>
                <w:sz w:val="20"/>
              </w:rPr>
              <w:t>Compliance finding under most regulatory frameworks (PCI DSS, HIPAA, ISO 27001). Amplifies the impact of any storage breach.</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No Versioning</w:t>
            </w:r>
          </w:p>
        </w:tc>
        <w:tc>
          <w:tcPr>
            <w:tcW w:type="dxa" w:w="3135"/>
            <w:tcBorders>
              <w:top w:val="single" w:sz="4" w:color="808080"/>
              <w:left w:val="single" w:sz="4" w:color="808080"/>
              <w:bottom w:val="single" w:sz="4" w:color="808080"/>
              <w:right w:val="single" w:sz="4" w:color="808080"/>
            </w:tcBorders>
          </w:tcPr>
          <w:p>
            <w:pPr>
              <w:spacing w:after="0"/>
            </w:pPr>
            <w:r>
              <w:rPr>
                <w:b/>
                <w:color w:val="2E7D32"/>
                <w:sz w:val="20"/>
              </w:rPr>
              <w:t>LOW</w:t>
            </w:r>
          </w:p>
        </w:tc>
        <w:tc>
          <w:tcPr>
            <w:tcW w:type="dxa" w:w="3135"/>
            <w:tcBorders>
              <w:top w:val="single" w:sz="4" w:color="808080"/>
              <w:left w:val="single" w:sz="4" w:color="808080"/>
              <w:bottom w:val="single" w:sz="4" w:color="808080"/>
              <w:right w:val="single" w:sz="4" w:color="808080"/>
            </w:tcBorders>
          </w:tcPr>
          <w:p>
            <w:pPr>
              <w:spacing w:after="0"/>
            </w:pPr>
            <w:r>
              <w:rPr>
                <w:sz w:val="20"/>
              </w:rPr>
              <w:t>Data loss (not data leak). Relevant in ransomware scenarios where an attacker with write access destroys data to force ransom payment.</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Public Access</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Direct data breach. Under UK GDPR, a public-storage exposure requires notification to the ICO within 72 hours of discovery. Reputational damage. Potential ICO fine of up to GBP 17.5 million or 4 per cent of global turnover.</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Public Policy</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See above; this is one of the two settings creating the public exposure.</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No Encryption</w:t>
            </w:r>
          </w:p>
        </w:tc>
        <w:tc>
          <w:tcPr>
            <w:tcW w:type="dxa" w:w="3135"/>
            <w:tcBorders>
              <w:top w:val="single" w:sz="4" w:color="808080"/>
              <w:left w:val="single" w:sz="4" w:color="808080"/>
              <w:bottom w:val="single" w:sz="4" w:color="808080"/>
              <w:right w:val="single" w:sz="4" w:color="808080"/>
            </w:tcBorders>
          </w:tcPr>
          <w:p>
            <w:pPr>
              <w:spacing w:after="0"/>
            </w:pPr>
            <w:r>
              <w:rPr>
                <w:b/>
                <w:color w:val="B8860B"/>
                <w:sz w:val="20"/>
              </w:rPr>
              <w:t>MEDIUM</w:t>
            </w:r>
          </w:p>
        </w:tc>
        <w:tc>
          <w:tcPr>
            <w:tcW w:type="dxa" w:w="3135"/>
            <w:tcBorders>
              <w:top w:val="single" w:sz="4" w:color="808080"/>
              <w:left w:val="single" w:sz="4" w:color="808080"/>
              <w:bottom w:val="single" w:sz="4" w:color="808080"/>
              <w:right w:val="single" w:sz="4" w:color="808080"/>
            </w:tcBorders>
          </w:tcPr>
          <w:p>
            <w:pPr>
              <w:spacing w:after="0"/>
            </w:pPr>
            <w:r>
              <w:rPr>
                <w:sz w:val="20"/>
              </w:rPr>
              <w:t>Compliance finding under most regulatory frameworks (PCI DSS, HIPAA, ISO 27001). Amplifies the impact of any storage breach.</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No Versioning</w:t>
            </w:r>
          </w:p>
        </w:tc>
        <w:tc>
          <w:tcPr>
            <w:tcW w:type="dxa" w:w="3135"/>
            <w:tcBorders>
              <w:top w:val="single" w:sz="4" w:color="808080"/>
              <w:left w:val="single" w:sz="4" w:color="808080"/>
              <w:bottom w:val="single" w:sz="4" w:color="808080"/>
              <w:right w:val="single" w:sz="4" w:color="808080"/>
            </w:tcBorders>
          </w:tcPr>
          <w:p>
            <w:pPr>
              <w:spacing w:after="0"/>
            </w:pPr>
            <w:r>
              <w:rPr>
                <w:b/>
                <w:color w:val="2E7D32"/>
                <w:sz w:val="20"/>
              </w:rPr>
              <w:t>LOW</w:t>
            </w:r>
          </w:p>
        </w:tc>
        <w:tc>
          <w:tcPr>
            <w:tcW w:type="dxa" w:w="3135"/>
            <w:tcBorders>
              <w:top w:val="single" w:sz="4" w:color="808080"/>
              <w:left w:val="single" w:sz="4" w:color="808080"/>
              <w:bottom w:val="single" w:sz="4" w:color="808080"/>
              <w:right w:val="single" w:sz="4" w:color="808080"/>
            </w:tcBorders>
          </w:tcPr>
          <w:p>
            <w:pPr>
              <w:spacing w:after="0"/>
            </w:pPr>
            <w:r>
              <w:rPr>
                <w:sz w:val="20"/>
              </w:rPr>
              <w:t>Data loss (not data leak). Relevant in ransomware scenarios where an attacker with write access destroys data to force ransom payment.</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Public Access</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Direct data breach. Under UK GDPR, a public-storage exposure requires notification to the ICO within 72 hours of discovery. Reputational damage. Potential ICO fine of up to GBP 17.5 million or 4 per cent of global turnover.</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Public Policy</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See above; this is one of the two settings creating the public exposure.</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No Encryption</w:t>
            </w:r>
          </w:p>
        </w:tc>
        <w:tc>
          <w:tcPr>
            <w:tcW w:type="dxa" w:w="3135"/>
            <w:tcBorders>
              <w:top w:val="single" w:sz="4" w:color="808080"/>
              <w:left w:val="single" w:sz="4" w:color="808080"/>
              <w:bottom w:val="single" w:sz="4" w:color="808080"/>
              <w:right w:val="single" w:sz="4" w:color="808080"/>
            </w:tcBorders>
          </w:tcPr>
          <w:p>
            <w:pPr>
              <w:spacing w:after="0"/>
            </w:pPr>
            <w:r>
              <w:rPr>
                <w:b/>
                <w:color w:val="B8860B"/>
                <w:sz w:val="20"/>
              </w:rPr>
              <w:t>MEDIUM</w:t>
            </w:r>
          </w:p>
        </w:tc>
        <w:tc>
          <w:tcPr>
            <w:tcW w:type="dxa" w:w="3135"/>
            <w:tcBorders>
              <w:top w:val="single" w:sz="4" w:color="808080"/>
              <w:left w:val="single" w:sz="4" w:color="808080"/>
              <w:bottom w:val="single" w:sz="4" w:color="808080"/>
              <w:right w:val="single" w:sz="4" w:color="808080"/>
            </w:tcBorders>
          </w:tcPr>
          <w:p>
            <w:pPr>
              <w:spacing w:after="0"/>
            </w:pPr>
            <w:r>
              <w:rPr>
                <w:sz w:val="20"/>
              </w:rPr>
              <w:t>Compliance finding under most regulatory frameworks (PCI DSS, HIPAA, ISO 27001). Amplifies the impact of any storage breach.</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No Versioning</w:t>
            </w:r>
          </w:p>
        </w:tc>
        <w:tc>
          <w:tcPr>
            <w:tcW w:type="dxa" w:w="3135"/>
            <w:tcBorders>
              <w:top w:val="single" w:sz="4" w:color="808080"/>
              <w:left w:val="single" w:sz="4" w:color="808080"/>
              <w:bottom w:val="single" w:sz="4" w:color="808080"/>
              <w:right w:val="single" w:sz="4" w:color="808080"/>
            </w:tcBorders>
          </w:tcPr>
          <w:p>
            <w:pPr>
              <w:spacing w:after="0"/>
            </w:pPr>
            <w:r>
              <w:rPr>
                <w:b/>
                <w:color w:val="2E7D32"/>
                <w:sz w:val="20"/>
              </w:rPr>
              <w:t>LOW</w:t>
            </w:r>
          </w:p>
        </w:tc>
        <w:tc>
          <w:tcPr>
            <w:tcW w:type="dxa" w:w="3135"/>
            <w:tcBorders>
              <w:top w:val="single" w:sz="4" w:color="808080"/>
              <w:left w:val="single" w:sz="4" w:color="808080"/>
              <w:bottom w:val="single" w:sz="4" w:color="808080"/>
              <w:right w:val="single" w:sz="4" w:color="808080"/>
            </w:tcBorders>
          </w:tcPr>
          <w:p>
            <w:pPr>
              <w:spacing w:after="0"/>
            </w:pPr>
            <w:r>
              <w:rPr>
                <w:sz w:val="20"/>
              </w:rPr>
              <w:t>Data loss (not data leak). Relevant in ransomware scenarios where an attacker with write access destroys data to force ransom payment.</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Public Access</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Direct data breach. Under UK GDPR, a public-storage exposure requires notification to the ICO within 72 hours of discovery. Reputational damage. Potential ICO fine of up to GBP 17.5 million or 4 per cent of global turnover.</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Public Policy</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See above; this is one of the two settings creating the public exposure.</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No Encryption</w:t>
            </w:r>
          </w:p>
        </w:tc>
        <w:tc>
          <w:tcPr>
            <w:tcW w:type="dxa" w:w="3135"/>
            <w:tcBorders>
              <w:top w:val="single" w:sz="4" w:color="808080"/>
              <w:left w:val="single" w:sz="4" w:color="808080"/>
              <w:bottom w:val="single" w:sz="4" w:color="808080"/>
              <w:right w:val="single" w:sz="4" w:color="808080"/>
            </w:tcBorders>
          </w:tcPr>
          <w:p>
            <w:pPr>
              <w:spacing w:after="0"/>
            </w:pPr>
            <w:r>
              <w:rPr>
                <w:b/>
                <w:color w:val="B8860B"/>
                <w:sz w:val="20"/>
              </w:rPr>
              <w:t>MEDIUM</w:t>
            </w:r>
          </w:p>
        </w:tc>
        <w:tc>
          <w:tcPr>
            <w:tcW w:type="dxa" w:w="3135"/>
            <w:tcBorders>
              <w:top w:val="single" w:sz="4" w:color="808080"/>
              <w:left w:val="single" w:sz="4" w:color="808080"/>
              <w:bottom w:val="single" w:sz="4" w:color="808080"/>
              <w:right w:val="single" w:sz="4" w:color="808080"/>
            </w:tcBorders>
          </w:tcPr>
          <w:p>
            <w:pPr>
              <w:spacing w:after="0"/>
            </w:pPr>
            <w:r>
              <w:rPr>
                <w:sz w:val="20"/>
              </w:rPr>
              <w:t>Compliance finding under most regulatory frameworks (PCI DSS, HIPAA, ISO 27001). Amplifies the impact of any storage breach.</w:t>
            </w:r>
          </w:p>
        </w:tc>
      </w:tr>
      <w:tr>
        <w:tc>
          <w:tcPr>
            <w:tcW w:type="dxa" w:w="3135"/>
            <w:tcBorders>
              <w:top w:val="single" w:sz="4" w:color="808080"/>
              <w:left w:val="single" w:sz="4" w:color="808080"/>
              <w:bottom w:val="single" w:sz="4" w:color="808080"/>
              <w:right w:val="single" w:sz="4" w:color="808080"/>
            </w:tcBorders>
          </w:tcPr>
          <w:p>
            <w:pPr>
              <w:spacing w:after="0"/>
            </w:pPr>
            <w:r>
              <w:rPr>
                <w:sz w:val="20"/>
              </w:rPr>
              <w:t>S3 No Versioning</w:t>
            </w:r>
          </w:p>
        </w:tc>
        <w:tc>
          <w:tcPr>
            <w:tcW w:type="dxa" w:w="3135"/>
            <w:tcBorders>
              <w:top w:val="single" w:sz="4" w:color="808080"/>
              <w:left w:val="single" w:sz="4" w:color="808080"/>
              <w:bottom w:val="single" w:sz="4" w:color="808080"/>
              <w:right w:val="single" w:sz="4" w:color="808080"/>
            </w:tcBorders>
          </w:tcPr>
          <w:p>
            <w:pPr>
              <w:spacing w:after="0"/>
            </w:pPr>
            <w:r>
              <w:rPr>
                <w:b/>
                <w:color w:val="2E7D32"/>
                <w:sz w:val="20"/>
              </w:rPr>
              <w:t>LOW</w:t>
            </w:r>
          </w:p>
        </w:tc>
        <w:tc>
          <w:tcPr>
            <w:tcW w:type="dxa" w:w="3135"/>
            <w:tcBorders>
              <w:top w:val="single" w:sz="4" w:color="808080"/>
              <w:left w:val="single" w:sz="4" w:color="808080"/>
              <w:bottom w:val="single" w:sz="4" w:color="808080"/>
              <w:right w:val="single" w:sz="4" w:color="808080"/>
            </w:tcBorders>
          </w:tcPr>
          <w:p>
            <w:pPr>
              <w:spacing w:after="0"/>
            </w:pPr>
            <w:r>
              <w:rPr>
                <w:sz w:val="20"/>
              </w:rPr>
              <w:t>Data loss (not data leak). Relevant in ransomware scenarios where an attacker with write access destroys data to force ransom payment.</w:t>
            </w:r>
          </w:p>
        </w:tc>
      </w:tr>
      <w:tr>
        <w:tc>
          <w:tcPr>
            <w:tcW w:type="dxa" w:w="3135"/>
            <w:tcBorders>
              <w:top w:val="single" w:sz="4" w:color="808080"/>
              <w:left w:val="single" w:sz="4" w:color="808080"/>
              <w:bottom w:val="single" w:sz="4" w:color="808080"/>
              <w:right w:val="single" w:sz="4" w:color="808080"/>
            </w:tcBorders>
          </w:tcPr>
          <w:p>
            <w:pPr>
              <w:spacing w:after="0"/>
            </w:pPr>
            <w:r>
              <w:rPr>
                <w:sz w:val="20"/>
              </w:rPr>
              <w:t>Ec2 Open Ssh</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Full server takeover once an attacker guesses or brute-forces a valid password. One of the top three initial-access vectors in recent industry breach reports.</w:t>
            </w:r>
          </w:p>
        </w:tc>
      </w:tr>
      <w:tr>
        <w:tc>
          <w:tcPr>
            <w:tcW w:type="dxa" w:w="3135"/>
            <w:tcBorders>
              <w:top w:val="single" w:sz="4" w:color="808080"/>
              <w:left w:val="single" w:sz="4" w:color="808080"/>
              <w:bottom w:val="single" w:sz="4" w:color="808080"/>
              <w:right w:val="single" w:sz="4" w:color="808080"/>
            </w:tcBorders>
          </w:tcPr>
          <w:p>
            <w:pPr>
              <w:spacing w:after="0"/>
            </w:pPr>
            <w:r>
              <w:rPr>
                <w:sz w:val="20"/>
              </w:rPr>
              <w:t>Ec2 Open Rdp</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Full server takeover, typically followed by ransomware deployment or data exfiltration.</w:t>
            </w:r>
          </w:p>
        </w:tc>
      </w:tr>
      <w:tr>
        <w:tc>
          <w:tcPr>
            <w:tcW w:type="dxa" w:w="3135"/>
            <w:tcBorders>
              <w:top w:val="single" w:sz="4" w:color="808080"/>
              <w:left w:val="single" w:sz="4" w:color="808080"/>
              <w:bottom w:val="single" w:sz="4" w:color="808080"/>
              <w:right w:val="single" w:sz="4" w:color="808080"/>
            </w:tcBorders>
          </w:tcPr>
          <w:p>
            <w:pPr>
              <w:spacing w:after="0"/>
            </w:pPr>
            <w:r>
              <w:rPr>
                <w:sz w:val="20"/>
              </w:rPr>
              <w:t>Ec2 Open Ssh</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Full server takeover once an attacker guesses or brute-forces a valid password. One of the top three initial-access vectors in recent industry breach reports.</w:t>
            </w:r>
          </w:p>
        </w:tc>
      </w:tr>
      <w:tr>
        <w:tc>
          <w:tcPr>
            <w:tcW w:type="dxa" w:w="3135"/>
            <w:tcBorders>
              <w:top w:val="single" w:sz="4" w:color="808080"/>
              <w:left w:val="single" w:sz="4" w:color="808080"/>
              <w:bottom w:val="single" w:sz="4" w:color="808080"/>
              <w:right w:val="single" w:sz="4" w:color="808080"/>
            </w:tcBorders>
          </w:tcPr>
          <w:p>
            <w:pPr>
              <w:spacing w:after="0"/>
            </w:pPr>
            <w:r>
              <w:rPr>
                <w:sz w:val="20"/>
              </w:rPr>
              <w:t>Ec2 Open Rdp</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Full server takeover, typically followed by ransomware deployment or data exfiltration.</w:t>
            </w:r>
          </w:p>
        </w:tc>
      </w:tr>
      <w:tr>
        <w:tc>
          <w:tcPr>
            <w:tcW w:type="dxa" w:w="3135"/>
            <w:tcBorders>
              <w:top w:val="single" w:sz="4" w:color="808080"/>
              <w:left w:val="single" w:sz="4" w:color="808080"/>
              <w:bottom w:val="single" w:sz="4" w:color="808080"/>
              <w:right w:val="single" w:sz="4" w:color="808080"/>
            </w:tcBorders>
          </w:tcPr>
          <w:p>
            <w:pPr>
              <w:spacing w:after="0"/>
            </w:pPr>
            <w:r>
              <w:rPr>
                <w:sz w:val="20"/>
              </w:rPr>
              <w:t>Ec2 Open Ssh</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Full server takeover once an attacker guesses or brute-forces a valid password. One of the top three initial-access vectors in recent industry breach reports.</w:t>
            </w:r>
          </w:p>
        </w:tc>
      </w:tr>
      <w:tr>
        <w:tc>
          <w:tcPr>
            <w:tcW w:type="dxa" w:w="3135"/>
            <w:tcBorders>
              <w:top w:val="single" w:sz="4" w:color="808080"/>
              <w:left w:val="single" w:sz="4" w:color="808080"/>
              <w:bottom w:val="single" w:sz="4" w:color="808080"/>
              <w:right w:val="single" w:sz="4" w:color="808080"/>
            </w:tcBorders>
          </w:tcPr>
          <w:p>
            <w:pPr>
              <w:spacing w:after="0"/>
            </w:pPr>
            <w:r>
              <w:rPr>
                <w:sz w:val="20"/>
              </w:rPr>
              <w:t>Ec2 Open Rdp</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Full server takeover, typically followed by ransomware deployment or data exfiltration.</w:t>
            </w:r>
          </w:p>
        </w:tc>
      </w:tr>
      <w:tr>
        <w:tc>
          <w:tcPr>
            <w:tcW w:type="dxa" w:w="3135"/>
            <w:tcBorders>
              <w:top w:val="single" w:sz="4" w:color="808080"/>
              <w:left w:val="single" w:sz="4" w:color="808080"/>
              <w:bottom w:val="single" w:sz="4" w:color="808080"/>
              <w:right w:val="single" w:sz="4" w:color="808080"/>
            </w:tcBorders>
          </w:tcPr>
          <w:p>
            <w:pPr>
              <w:spacing w:after="0"/>
            </w:pPr>
            <w:r>
              <w:rPr>
                <w:sz w:val="20"/>
              </w:rPr>
              <w:t>Iam Excessive Permissions</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Complete AWS account takeover: attacker can create, destroy, exfiltrate, or ransom every resource in the account. There is no service they cannot reach.</w:t>
            </w:r>
          </w:p>
        </w:tc>
      </w:tr>
      <w:tr>
        <w:tc>
          <w:tcPr>
            <w:tcW w:type="dxa" w:w="3135"/>
            <w:tcBorders>
              <w:top w:val="single" w:sz="4" w:color="808080"/>
              <w:left w:val="single" w:sz="4" w:color="808080"/>
              <w:bottom w:val="single" w:sz="4" w:color="808080"/>
              <w:right w:val="single" w:sz="4" w:color="808080"/>
            </w:tcBorders>
          </w:tcPr>
          <w:p>
            <w:pPr>
              <w:spacing w:after="0"/>
            </w:pPr>
            <w:r>
              <w:rPr>
                <w:sz w:val="20"/>
              </w:rPr>
              <w:t>Iam No Mfa</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A stolen or phished password is sufficient for full account sign-in. Recent industry reporting attributes 22 per cent of confirmed breaches to credential abuse; MFA is the single control that breaks that chain.</w:t>
            </w:r>
          </w:p>
        </w:tc>
      </w:tr>
      <w:tr>
        <w:tc>
          <w:tcPr>
            <w:tcW w:type="dxa" w:w="3135"/>
            <w:tcBorders>
              <w:top w:val="single" w:sz="4" w:color="808080"/>
              <w:left w:val="single" w:sz="4" w:color="808080"/>
              <w:bottom w:val="single" w:sz="4" w:color="808080"/>
              <w:right w:val="single" w:sz="4" w:color="808080"/>
            </w:tcBorders>
          </w:tcPr>
          <w:p>
            <w:pPr>
              <w:spacing w:after="0"/>
            </w:pPr>
            <w:r>
              <w:rPr>
                <w:sz w:val="20"/>
              </w:rPr>
              <w:t>Iam Excessive Permissions</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Complete AWS account takeover: attacker can create, destroy, exfiltrate, or ransom every resource in the account. There is no service they cannot reach.</w:t>
            </w:r>
          </w:p>
        </w:tc>
      </w:tr>
      <w:tr>
        <w:tc>
          <w:tcPr>
            <w:tcW w:type="dxa" w:w="3135"/>
            <w:tcBorders>
              <w:top w:val="single" w:sz="4" w:color="808080"/>
              <w:left w:val="single" w:sz="4" w:color="808080"/>
              <w:bottom w:val="single" w:sz="4" w:color="808080"/>
              <w:right w:val="single" w:sz="4" w:color="808080"/>
            </w:tcBorders>
          </w:tcPr>
          <w:p>
            <w:pPr>
              <w:spacing w:after="0"/>
            </w:pPr>
            <w:r>
              <w:rPr>
                <w:sz w:val="20"/>
              </w:rPr>
              <w:t>Iam No Mfa</w:t>
            </w:r>
          </w:p>
        </w:tc>
        <w:tc>
          <w:tcPr>
            <w:tcW w:type="dxa" w:w="3135"/>
            <w:tcBorders>
              <w:top w:val="single" w:sz="4" w:color="808080"/>
              <w:left w:val="single" w:sz="4" w:color="808080"/>
              <w:bottom w:val="single" w:sz="4" w:color="808080"/>
              <w:right w:val="single" w:sz="4" w:color="808080"/>
            </w:tcBorders>
          </w:tcPr>
          <w:p>
            <w:pPr>
              <w:spacing w:after="0"/>
            </w:pPr>
            <w:r>
              <w:rPr>
                <w:b/>
                <w:color w:val="B22222"/>
                <w:sz w:val="20"/>
              </w:rPr>
              <w:t>HIGH</w:t>
            </w:r>
          </w:p>
        </w:tc>
        <w:tc>
          <w:tcPr>
            <w:tcW w:type="dxa" w:w="3135"/>
            <w:tcBorders>
              <w:top w:val="single" w:sz="4" w:color="808080"/>
              <w:left w:val="single" w:sz="4" w:color="808080"/>
              <w:bottom w:val="single" w:sz="4" w:color="808080"/>
              <w:right w:val="single" w:sz="4" w:color="808080"/>
            </w:tcBorders>
          </w:tcPr>
          <w:p>
            <w:pPr>
              <w:spacing w:after="0"/>
            </w:pPr>
            <w:r>
              <w:rPr>
                <w:sz w:val="20"/>
              </w:rPr>
              <w:t>A stolen or phished password is sufficient for full account sign-in. Recent industry reporting attributes 22 per cent of confirmed breaches to credential abuse; MFA is the single control that breaks that chain.</w:t>
            </w:r>
          </w:p>
        </w:tc>
      </w:tr>
      <w:tr>
        <w:tc>
          <w:tcPr>
            <w:tcW w:type="dxa" w:w="3135"/>
            <w:tcBorders>
              <w:top w:val="single" w:sz="4" w:color="808080"/>
              <w:left w:val="single" w:sz="4" w:color="808080"/>
              <w:bottom w:val="single" w:sz="4" w:color="808080"/>
              <w:right w:val="single" w:sz="4" w:color="808080"/>
            </w:tcBorders>
          </w:tcPr>
          <w:p>
            <w:pPr>
              <w:spacing w:after="0"/>
            </w:pPr>
            <w:r>
              <w:rPr>
                <w:sz w:val="20"/>
              </w:rPr>
              <w:t>Cloudtrail Disabled</w:t>
            </w:r>
          </w:p>
        </w:tc>
        <w:tc>
          <w:tcPr>
            <w:tcW w:type="dxa" w:w="3135"/>
            <w:tcBorders>
              <w:top w:val="single" w:sz="4" w:color="808080"/>
              <w:left w:val="single" w:sz="4" w:color="808080"/>
              <w:bottom w:val="single" w:sz="4" w:color="808080"/>
              <w:right w:val="single" w:sz="4" w:color="808080"/>
            </w:tcBorders>
          </w:tcPr>
          <w:p>
            <w:pPr>
              <w:spacing w:after="0"/>
            </w:pPr>
            <w:r>
              <w:rPr>
                <w:b/>
                <w:color w:val="2E7D32"/>
                <w:sz w:val="20"/>
              </w:rPr>
              <w:t>LOW</w:t>
            </w:r>
          </w:p>
        </w:tc>
        <w:tc>
          <w:tcPr>
            <w:tcW w:type="dxa" w:w="3135"/>
            <w:tcBorders>
              <w:top w:val="single" w:sz="4" w:color="808080"/>
              <w:left w:val="single" w:sz="4" w:color="808080"/>
              <w:bottom w:val="single" w:sz="4" w:color="808080"/>
              <w:right w:val="single" w:sz="4" w:color="808080"/>
            </w:tcBorders>
          </w:tcPr>
          <w:p>
            <w:pPr>
              <w:spacing w:after="0"/>
            </w:pPr>
            <w:r>
              <w:rPr>
                <w:sz w:val="20"/>
              </w:rPr>
              <w:t>Absent logging does not cause a breach. It substantially extends detection time and undermines the ability to prove what happened during an incident, which affects legal, regulatory, and insurance outcomes.</w:t>
            </w:r>
          </w:p>
        </w:tc>
      </w:tr>
    </w:tbl>
    <w:p>
      <w:r>
        <w:br w:type="page"/>
      </w:r>
    </w:p>
    <w:p>
      <w:pPr>
        <w:spacing w:before="360" w:after="160"/>
      </w:pPr>
      <w:r>
        <w:rPr>
          <w:b/>
          <w:color w:val="1F3A5F"/>
          <w:sz w:val="28"/>
        </w:rPr>
        <w:t>3. Detailed Findings</w:t>
      </w:r>
    </w:p>
    <w:p>
      <w:pPr>
        <w:spacing w:before="280" w:after="120"/>
      </w:pPr>
      <w:r>
        <w:rPr>
          <w:b/>
          <w:color w:val="1F3A5F"/>
          <w:sz w:val="24"/>
        </w:rPr>
        <w:t>3.1 Priority 1 - Actively Leaking Data (fix immediately)</w:t>
      </w:r>
    </w:p>
    <w:p>
      <w:pPr>
        <w:spacing w:before="280" w:after="120"/>
      </w:pPr>
      <w:r>
        <w:rPr>
          <w:b/>
          <w:color w:val="B22222"/>
          <w:sz w:val="24"/>
        </w:rPr>
        <w:t>F-01: Bucket allows public access (Block Public Access is off)</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abc-network-limited</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s3_public_access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Misconfiguration &amp; Inadequate Change Control</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SC-7 (Boundary Protection), AC-3 (Access Enforcement)</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24 hours</w:t>
            </w:r>
          </w:p>
        </w:tc>
      </w:tr>
    </w:tbl>
    <w:p/>
    <w:p>
      <w:pPr>
        <w:spacing w:after="80"/>
      </w:pPr>
      <w:r>
        <w:rPr>
          <w:b/>
          <w:sz w:val="22"/>
        </w:rPr>
        <w:t xml:space="preserve">What this means: </w:t>
      </w:r>
      <w:r>
        <w:rPr>
          <w:sz w:val="22"/>
        </w:rPr>
        <w:t>Files in this storage bucket are readable by anyone on the internet without a password. Any customer data, credentials, or business information stored here can be downloaded by anyone who guesses or discovers the bucket URL.</w:t>
      </w:r>
    </w:p>
    <w:p/>
    <w:p>
      <w:pPr>
        <w:spacing w:after="80"/>
      </w:pPr>
      <w:r>
        <w:rPr>
          <w:b/>
          <w:sz w:val="22"/>
        </w:rPr>
        <w:t xml:space="preserve">Business impact if exploited: </w:t>
      </w:r>
      <w:r>
        <w:rPr>
          <w:sz w:val="22"/>
        </w:rPr>
        <w:t>Direct data breach. Under UK GDPR, a public-storage exposure requires notification to the ICO within 72 hours of discovery. Reputational damage. Potential ICO fine of up to GBP 17.5 million or 4 per cent of global turnover.</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put-public-access-block \</w:t>
      </w:r>
    </w:p>
    <w:p>
      <w:pPr>
        <w:spacing w:after="0" w:before="0"/>
        <w:ind w:left="283"/>
        <w:shd w:val="clear" w:color="auto" w:fill="F0F3F7"/>
      </w:pPr>
      <w:r>
        <w:rPr>
          <w:rFonts w:ascii="Consolas" w:hAnsi="Consolas"/>
          <w:color w:val="1F3A5F"/>
          <w:sz w:val="18"/>
        </w:rPr>
        <w:t xml:space="preserve">    --bucket abc-network-limited \</w:t>
      </w:r>
    </w:p>
    <w:p>
      <w:pPr>
        <w:spacing w:after="0" w:before="0"/>
        <w:ind w:left="283"/>
        <w:shd w:val="clear" w:color="auto" w:fill="F0F3F7"/>
      </w:pPr>
      <w:r>
        <w:rPr>
          <w:rFonts w:ascii="Consolas" w:hAnsi="Consolas"/>
          <w:color w:val="1F3A5F"/>
          <w:sz w:val="18"/>
        </w:rPr>
        <w:t xml:space="preserve">    --public-access-block-configuration BlockPublicAcls=true,IgnorePublicAcls=true,BlockPublicPolicy=true,RestrictPublicBuckets=true</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F-02: Bucket allows public access (Block Public Access is off)</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demo-vulnerable-1784195415</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s3_public_access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Misconfiguration &amp; Inadequate Change Control</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SC-7 (Boundary Protection), AC-3 (Access Enforcement)</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24 hours</w:t>
            </w:r>
          </w:p>
        </w:tc>
      </w:tr>
    </w:tbl>
    <w:p/>
    <w:p>
      <w:pPr>
        <w:spacing w:after="80"/>
      </w:pPr>
      <w:r>
        <w:rPr>
          <w:b/>
          <w:sz w:val="22"/>
        </w:rPr>
        <w:t xml:space="preserve">What this means: </w:t>
      </w:r>
      <w:r>
        <w:rPr>
          <w:sz w:val="22"/>
        </w:rPr>
        <w:t>Files in this storage bucket are readable by anyone on the internet without a password. Any customer data, credentials, or business information stored here can be downloaded by anyone who guesses or discovers the bucket URL.</w:t>
      </w:r>
    </w:p>
    <w:p/>
    <w:p>
      <w:pPr>
        <w:spacing w:after="80"/>
      </w:pPr>
      <w:r>
        <w:rPr>
          <w:b/>
          <w:sz w:val="22"/>
        </w:rPr>
        <w:t xml:space="preserve">Business impact if exploited: </w:t>
      </w:r>
      <w:r>
        <w:rPr>
          <w:sz w:val="22"/>
        </w:rPr>
        <w:t>Direct data breach. Under UK GDPR, a public-storage exposure requires notification to the ICO within 72 hours of discovery. Reputational damage. Potential ICO fine of up to GBP 17.5 million or 4 per cent of global turnover.</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put-public-access-block \</w:t>
      </w:r>
    </w:p>
    <w:p>
      <w:pPr>
        <w:spacing w:after="0" w:before="0"/>
        <w:ind w:left="283"/>
        <w:shd w:val="clear" w:color="auto" w:fill="F0F3F7"/>
      </w:pPr>
      <w:r>
        <w:rPr>
          <w:rFonts w:ascii="Consolas" w:hAnsi="Consolas"/>
          <w:color w:val="1F3A5F"/>
          <w:sz w:val="18"/>
        </w:rPr>
        <w:t xml:space="preserve">    --bucket demo-vulnerable-1784195415 \</w:t>
      </w:r>
    </w:p>
    <w:p>
      <w:pPr>
        <w:spacing w:after="0" w:before="0"/>
        <w:ind w:left="283"/>
        <w:shd w:val="clear" w:color="auto" w:fill="F0F3F7"/>
      </w:pPr>
      <w:r>
        <w:rPr>
          <w:rFonts w:ascii="Consolas" w:hAnsi="Consolas"/>
          <w:color w:val="1F3A5F"/>
          <w:sz w:val="18"/>
        </w:rPr>
        <w:t xml:space="preserve">    --public-access-block-configuration BlockPublicAcls=true,IgnorePublicAcls=true,BlockPublicPolicy=true,RestrictPublicBuckets=true</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F-03: Bucket policy grants access to everyone (Principal: *)</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demo-vulnerable-1784195415</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s3_public_policy</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Misconfiguration &amp; Inadequate Change Control</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AC-3 (Access Enforcement), AC-6 (Least Privilege)</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24 hours</w:t>
            </w:r>
          </w:p>
        </w:tc>
      </w:tr>
    </w:tbl>
    <w:p/>
    <w:p>
      <w:pPr>
        <w:spacing w:after="80"/>
      </w:pPr>
      <w:r>
        <w:rPr>
          <w:b/>
          <w:sz w:val="22"/>
        </w:rPr>
        <w:t xml:space="preserve">What this means: </w:t>
      </w:r>
      <w:r>
        <w:rPr>
          <w:sz w:val="22"/>
        </w:rPr>
        <w:t>The bucket has an explicit permission rule allowing every internet user to read its contents. This is the mechanism actually enabling the public exposure above.</w:t>
      </w:r>
    </w:p>
    <w:p/>
    <w:p>
      <w:pPr>
        <w:spacing w:after="80"/>
      </w:pPr>
      <w:r>
        <w:rPr>
          <w:b/>
          <w:sz w:val="22"/>
        </w:rPr>
        <w:t xml:space="preserve">Business impact if exploited: </w:t>
      </w:r>
      <w:r>
        <w:rPr>
          <w:sz w:val="22"/>
        </w:rPr>
        <w:t>See above; this is one of the two settings creating the public exposure.</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delete-bucket-policy \</w:t>
      </w:r>
    </w:p>
    <w:p>
      <w:pPr>
        <w:spacing w:after="0" w:before="0"/>
        <w:ind w:left="283"/>
        <w:shd w:val="clear" w:color="auto" w:fill="F0F3F7"/>
      </w:pPr>
      <w:r>
        <w:rPr>
          <w:rFonts w:ascii="Consolas" w:hAnsi="Consolas"/>
          <w:color w:val="1F3A5F"/>
          <w:sz w:val="18"/>
        </w:rPr>
        <w:t xml:space="preserve">    --bucket demo-vulnerable-1784195415</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F-04: Bucket allows public access (Block Public Access is off)</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demo-vulnerable-1785234132</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s3_public_access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Misconfiguration &amp; Inadequate Change Control</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SC-7 (Boundary Protection), AC-3 (Access Enforcement)</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24 hours</w:t>
            </w:r>
          </w:p>
        </w:tc>
      </w:tr>
    </w:tbl>
    <w:p/>
    <w:p>
      <w:pPr>
        <w:spacing w:after="80"/>
      </w:pPr>
      <w:r>
        <w:rPr>
          <w:b/>
          <w:sz w:val="22"/>
        </w:rPr>
        <w:t xml:space="preserve">What this means: </w:t>
      </w:r>
      <w:r>
        <w:rPr>
          <w:sz w:val="22"/>
        </w:rPr>
        <w:t>Files in this storage bucket are readable by anyone on the internet without a password. Any customer data, credentials, or business information stored here can be downloaded by anyone who guesses or discovers the bucket URL.</w:t>
      </w:r>
    </w:p>
    <w:p/>
    <w:p>
      <w:pPr>
        <w:spacing w:after="80"/>
      </w:pPr>
      <w:r>
        <w:rPr>
          <w:b/>
          <w:sz w:val="22"/>
        </w:rPr>
        <w:t xml:space="preserve">Business impact if exploited: </w:t>
      </w:r>
      <w:r>
        <w:rPr>
          <w:sz w:val="22"/>
        </w:rPr>
        <w:t>Direct data breach. Under UK GDPR, a public-storage exposure requires notification to the ICO within 72 hours of discovery. Reputational damage. Potential ICO fine of up to GBP 17.5 million or 4 per cent of global turnover.</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put-public-access-block \</w:t>
      </w:r>
    </w:p>
    <w:p>
      <w:pPr>
        <w:spacing w:after="0" w:before="0"/>
        <w:ind w:left="283"/>
        <w:shd w:val="clear" w:color="auto" w:fill="F0F3F7"/>
      </w:pPr>
      <w:r>
        <w:rPr>
          <w:rFonts w:ascii="Consolas" w:hAnsi="Consolas"/>
          <w:color w:val="1F3A5F"/>
          <w:sz w:val="18"/>
        </w:rPr>
        <w:t xml:space="preserve">    --bucket demo-vulnerable-1785234132 \</w:t>
      </w:r>
    </w:p>
    <w:p>
      <w:pPr>
        <w:spacing w:after="0" w:before="0"/>
        <w:ind w:left="283"/>
        <w:shd w:val="clear" w:color="auto" w:fill="F0F3F7"/>
      </w:pPr>
      <w:r>
        <w:rPr>
          <w:rFonts w:ascii="Consolas" w:hAnsi="Consolas"/>
          <w:color w:val="1F3A5F"/>
          <w:sz w:val="18"/>
        </w:rPr>
        <w:t xml:space="preserve">    --public-access-block-configuration BlockPublicAcls=true,IgnorePublicAcls=true,BlockPublicPolicy=true,RestrictPublicBuckets=true</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F-05: Bucket policy grants access to everyone (Principal: *)</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demo-vulnerable-1785234132</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s3_public_policy</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Misconfiguration &amp; Inadequate Change Control</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AC-3 (Access Enforcement), AC-6 (Least Privilege)</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24 hours</w:t>
            </w:r>
          </w:p>
        </w:tc>
      </w:tr>
    </w:tbl>
    <w:p/>
    <w:p>
      <w:pPr>
        <w:spacing w:after="80"/>
      </w:pPr>
      <w:r>
        <w:rPr>
          <w:b/>
          <w:sz w:val="22"/>
        </w:rPr>
        <w:t xml:space="preserve">What this means: </w:t>
      </w:r>
      <w:r>
        <w:rPr>
          <w:sz w:val="22"/>
        </w:rPr>
        <w:t>The bucket has an explicit permission rule allowing every internet user to read its contents. This is the mechanism actually enabling the public exposure above.</w:t>
      </w:r>
    </w:p>
    <w:p/>
    <w:p>
      <w:pPr>
        <w:spacing w:after="80"/>
      </w:pPr>
      <w:r>
        <w:rPr>
          <w:b/>
          <w:sz w:val="22"/>
        </w:rPr>
        <w:t xml:space="preserve">Business impact if exploited: </w:t>
      </w:r>
      <w:r>
        <w:rPr>
          <w:sz w:val="22"/>
        </w:rPr>
        <w:t>See above; this is one of the two settings creating the public exposure.</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delete-bucket-policy \</w:t>
      </w:r>
    </w:p>
    <w:p>
      <w:pPr>
        <w:spacing w:after="0" w:before="0"/>
        <w:ind w:left="283"/>
        <w:shd w:val="clear" w:color="auto" w:fill="F0F3F7"/>
      </w:pPr>
      <w:r>
        <w:rPr>
          <w:rFonts w:ascii="Consolas" w:hAnsi="Consolas"/>
          <w:color w:val="1F3A5F"/>
          <w:sz w:val="18"/>
        </w:rPr>
        <w:t xml:space="preserve">    --bucket demo-vulnerable-1785234132</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F-06: Bucket allows public access (Block Public Access is off)</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demo-vulnerable-1785236805</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s3_public_access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Misconfiguration &amp; Inadequate Change Control</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SC-7 (Boundary Protection), AC-3 (Access Enforcement)</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24 hours</w:t>
            </w:r>
          </w:p>
        </w:tc>
      </w:tr>
    </w:tbl>
    <w:p/>
    <w:p>
      <w:pPr>
        <w:spacing w:after="80"/>
      </w:pPr>
      <w:r>
        <w:rPr>
          <w:b/>
          <w:sz w:val="22"/>
        </w:rPr>
        <w:t xml:space="preserve">What this means: </w:t>
      </w:r>
      <w:r>
        <w:rPr>
          <w:sz w:val="22"/>
        </w:rPr>
        <w:t>Files in this storage bucket are readable by anyone on the internet without a password. Any customer data, credentials, or business information stored here can be downloaded by anyone who guesses or discovers the bucket URL.</w:t>
      </w:r>
    </w:p>
    <w:p/>
    <w:p>
      <w:pPr>
        <w:spacing w:after="80"/>
      </w:pPr>
      <w:r>
        <w:rPr>
          <w:b/>
          <w:sz w:val="22"/>
        </w:rPr>
        <w:t xml:space="preserve">Business impact if exploited: </w:t>
      </w:r>
      <w:r>
        <w:rPr>
          <w:sz w:val="22"/>
        </w:rPr>
        <w:t>Direct data breach. Under UK GDPR, a public-storage exposure requires notification to the ICO within 72 hours of discovery. Reputational damage. Potential ICO fine of up to GBP 17.5 million or 4 per cent of global turnover.</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put-public-access-block \</w:t>
      </w:r>
    </w:p>
    <w:p>
      <w:pPr>
        <w:spacing w:after="0" w:before="0"/>
        <w:ind w:left="283"/>
        <w:shd w:val="clear" w:color="auto" w:fill="F0F3F7"/>
      </w:pPr>
      <w:r>
        <w:rPr>
          <w:rFonts w:ascii="Consolas" w:hAnsi="Consolas"/>
          <w:color w:val="1F3A5F"/>
          <w:sz w:val="18"/>
        </w:rPr>
        <w:t xml:space="preserve">    --bucket demo-vulnerable-1785236805 \</w:t>
      </w:r>
    </w:p>
    <w:p>
      <w:pPr>
        <w:spacing w:after="0" w:before="0"/>
        <w:ind w:left="283"/>
        <w:shd w:val="clear" w:color="auto" w:fill="F0F3F7"/>
      </w:pPr>
      <w:r>
        <w:rPr>
          <w:rFonts w:ascii="Consolas" w:hAnsi="Consolas"/>
          <w:color w:val="1F3A5F"/>
          <w:sz w:val="18"/>
        </w:rPr>
        <w:t xml:space="preserve">    --public-access-block-configuration BlockPublicAcls=true,IgnorePublicAcls=true,BlockPublicPolicy=true,RestrictPublicBuckets=true</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F-07: Bucket policy grants access to everyone (Principal: *)</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demo-vulnerable-1785236805</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s3_public_policy</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Misconfiguration &amp; Inadequate Change Control</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AC-3 (Access Enforcement), AC-6 (Least Privilege)</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24 hours</w:t>
            </w:r>
          </w:p>
        </w:tc>
      </w:tr>
    </w:tbl>
    <w:p/>
    <w:p>
      <w:pPr>
        <w:spacing w:after="80"/>
      </w:pPr>
      <w:r>
        <w:rPr>
          <w:b/>
          <w:sz w:val="22"/>
        </w:rPr>
        <w:t xml:space="preserve">What this means: </w:t>
      </w:r>
      <w:r>
        <w:rPr>
          <w:sz w:val="22"/>
        </w:rPr>
        <w:t>The bucket has an explicit permission rule allowing every internet user to read its contents. This is the mechanism actually enabling the public exposure above.</w:t>
      </w:r>
    </w:p>
    <w:p/>
    <w:p>
      <w:pPr>
        <w:spacing w:after="80"/>
      </w:pPr>
      <w:r>
        <w:rPr>
          <w:b/>
          <w:sz w:val="22"/>
        </w:rPr>
        <w:t xml:space="preserve">Business impact if exploited: </w:t>
      </w:r>
      <w:r>
        <w:rPr>
          <w:sz w:val="22"/>
        </w:rPr>
        <w:t>See above; this is one of the two settings creating the public exposure.</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delete-bucket-policy \</w:t>
      </w:r>
    </w:p>
    <w:p>
      <w:pPr>
        <w:spacing w:after="0" w:before="0"/>
        <w:ind w:left="283"/>
        <w:shd w:val="clear" w:color="auto" w:fill="F0F3F7"/>
      </w:pPr>
      <w:r>
        <w:rPr>
          <w:rFonts w:ascii="Consolas" w:hAnsi="Consolas"/>
          <w:color w:val="1F3A5F"/>
          <w:sz w:val="18"/>
        </w:rPr>
        <w:t xml:space="preserve">    --bucket demo-vulnerable-1785236805</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1F3A5F"/>
          <w:sz w:val="24"/>
        </w:rPr>
        <w:t>3.2 Priority 2 - Attack Surface Exposure (fix within 1 week)</w:t>
      </w:r>
    </w:p>
    <w:p>
      <w:pPr>
        <w:spacing w:before="280" w:after="120"/>
      </w:pPr>
      <w:r>
        <w:rPr>
          <w:b/>
          <w:color w:val="B8860B"/>
          <w:sz w:val="24"/>
        </w:rPr>
        <w:t>F-08: No server-side encryption (SSE-KMS) configured</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8860B"/>
                <w:sz w:val="20"/>
              </w:rPr>
              <w:t>MEDIUM</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abc-network-limited</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s3_no_encryption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Insufficient Data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SC-28 (Protection of Information at Rest)</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2</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24 hours</w:t>
            </w:r>
          </w:p>
        </w:tc>
      </w:tr>
    </w:tbl>
    <w:p/>
    <w:p>
      <w:pPr>
        <w:spacing w:after="80"/>
      </w:pPr>
      <w:r>
        <w:rPr>
          <w:b/>
          <w:sz w:val="22"/>
        </w:rPr>
        <w:t xml:space="preserve">What this means: </w:t>
      </w:r>
      <w:r>
        <w:rPr>
          <w:sz w:val="22"/>
        </w:rPr>
        <w:t>Data in this storage bucket is stored in plain text on AWS servers, not encrypted at rest. If AWS storage were ever compromised, or if a backup copy escaped, the contents would be immediately readable.</w:t>
      </w:r>
    </w:p>
    <w:p/>
    <w:p>
      <w:pPr>
        <w:spacing w:after="80"/>
      </w:pPr>
      <w:r>
        <w:rPr>
          <w:b/>
          <w:sz w:val="22"/>
        </w:rPr>
        <w:t xml:space="preserve">Business impact if exploited: </w:t>
      </w:r>
      <w:r>
        <w:rPr>
          <w:sz w:val="22"/>
        </w:rPr>
        <w:t>Compliance finding under most regulatory frameworks (PCI DSS, HIPAA, ISO 27001). Amplifies the impact of any storage breach.</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put-bucket-encryption \</w:t>
      </w:r>
    </w:p>
    <w:p>
      <w:pPr>
        <w:spacing w:after="0" w:before="0"/>
        <w:ind w:left="283"/>
        <w:shd w:val="clear" w:color="auto" w:fill="F0F3F7"/>
      </w:pPr>
      <w:r>
        <w:rPr>
          <w:rFonts w:ascii="Consolas" w:hAnsi="Consolas"/>
          <w:color w:val="1F3A5F"/>
          <w:sz w:val="18"/>
        </w:rPr>
        <w:t xml:space="preserve">    --bucket abc-network-limited \</w:t>
      </w:r>
    </w:p>
    <w:p>
      <w:pPr>
        <w:spacing w:after="0" w:before="0"/>
        <w:ind w:left="283"/>
        <w:shd w:val="clear" w:color="auto" w:fill="F0F3F7"/>
      </w:pPr>
      <w:r>
        <w:rPr>
          <w:rFonts w:ascii="Consolas" w:hAnsi="Consolas"/>
          <w:color w:val="1F3A5F"/>
          <w:sz w:val="18"/>
        </w:rPr>
        <w:t xml:space="preserve">    --server-side-encryption-configuration '{"Rules":[{"ApplyServerSideEncryptionByDefault":{"SSEAlgorithm":"aws:kms"}}]}'</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8860B"/>
          <w:sz w:val="24"/>
        </w:rPr>
        <w:t>F-09: No server-side encryption (SSE-KMS) configured</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8860B"/>
                <w:sz w:val="20"/>
              </w:rPr>
              <w:t>MEDIUM</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demo-vulnerable-1784195415</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s3_no_encryption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Insufficient Data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SC-28 (Protection of Information at Rest)</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2</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24 hours</w:t>
            </w:r>
          </w:p>
        </w:tc>
      </w:tr>
    </w:tbl>
    <w:p/>
    <w:p>
      <w:pPr>
        <w:spacing w:after="80"/>
      </w:pPr>
      <w:r>
        <w:rPr>
          <w:b/>
          <w:sz w:val="22"/>
        </w:rPr>
        <w:t xml:space="preserve">What this means: </w:t>
      </w:r>
      <w:r>
        <w:rPr>
          <w:sz w:val="22"/>
        </w:rPr>
        <w:t>Data in this storage bucket is stored in plain text on AWS servers, not encrypted at rest. If AWS storage were ever compromised, or if a backup copy escaped, the contents would be immediately readable.</w:t>
      </w:r>
    </w:p>
    <w:p/>
    <w:p>
      <w:pPr>
        <w:spacing w:after="80"/>
      </w:pPr>
      <w:r>
        <w:rPr>
          <w:b/>
          <w:sz w:val="22"/>
        </w:rPr>
        <w:t xml:space="preserve">Business impact if exploited: </w:t>
      </w:r>
      <w:r>
        <w:rPr>
          <w:sz w:val="22"/>
        </w:rPr>
        <w:t>Compliance finding under most regulatory frameworks (PCI DSS, HIPAA, ISO 27001). Amplifies the impact of any storage breach.</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put-bucket-encryption \</w:t>
      </w:r>
    </w:p>
    <w:p>
      <w:pPr>
        <w:spacing w:after="0" w:before="0"/>
        <w:ind w:left="283"/>
        <w:shd w:val="clear" w:color="auto" w:fill="F0F3F7"/>
      </w:pPr>
      <w:r>
        <w:rPr>
          <w:rFonts w:ascii="Consolas" w:hAnsi="Consolas"/>
          <w:color w:val="1F3A5F"/>
          <w:sz w:val="18"/>
        </w:rPr>
        <w:t xml:space="preserve">    --bucket demo-vulnerable-1784195415 \</w:t>
      </w:r>
    </w:p>
    <w:p>
      <w:pPr>
        <w:spacing w:after="0" w:before="0"/>
        <w:ind w:left="283"/>
        <w:shd w:val="clear" w:color="auto" w:fill="F0F3F7"/>
      </w:pPr>
      <w:r>
        <w:rPr>
          <w:rFonts w:ascii="Consolas" w:hAnsi="Consolas"/>
          <w:color w:val="1F3A5F"/>
          <w:sz w:val="18"/>
        </w:rPr>
        <w:t xml:space="preserve">    --server-side-encryption-configuration '{"Rules":[{"ApplyServerSideEncryptionByDefault":{"SSEAlgorithm":"aws:kms"}}]}'</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8860B"/>
          <w:sz w:val="24"/>
        </w:rPr>
        <w:t>F-10: No server-side encryption (SSE-KMS) configured</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8860B"/>
                <w:sz w:val="20"/>
              </w:rPr>
              <w:t>MEDIUM</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demo-vulnerable-1785234132</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s3_no_encryption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Insufficient Data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SC-28 (Protection of Information at Rest)</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2</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24 hours</w:t>
            </w:r>
          </w:p>
        </w:tc>
      </w:tr>
    </w:tbl>
    <w:p/>
    <w:p>
      <w:pPr>
        <w:spacing w:after="80"/>
      </w:pPr>
      <w:r>
        <w:rPr>
          <w:b/>
          <w:sz w:val="22"/>
        </w:rPr>
        <w:t xml:space="preserve">What this means: </w:t>
      </w:r>
      <w:r>
        <w:rPr>
          <w:sz w:val="22"/>
        </w:rPr>
        <w:t>Data in this storage bucket is stored in plain text on AWS servers, not encrypted at rest. If AWS storage were ever compromised, or if a backup copy escaped, the contents would be immediately readable.</w:t>
      </w:r>
    </w:p>
    <w:p/>
    <w:p>
      <w:pPr>
        <w:spacing w:after="80"/>
      </w:pPr>
      <w:r>
        <w:rPr>
          <w:b/>
          <w:sz w:val="22"/>
        </w:rPr>
        <w:t xml:space="preserve">Business impact if exploited: </w:t>
      </w:r>
      <w:r>
        <w:rPr>
          <w:sz w:val="22"/>
        </w:rPr>
        <w:t>Compliance finding under most regulatory frameworks (PCI DSS, HIPAA, ISO 27001). Amplifies the impact of any storage breach.</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put-bucket-encryption \</w:t>
      </w:r>
    </w:p>
    <w:p>
      <w:pPr>
        <w:spacing w:after="0" w:before="0"/>
        <w:ind w:left="283"/>
        <w:shd w:val="clear" w:color="auto" w:fill="F0F3F7"/>
      </w:pPr>
      <w:r>
        <w:rPr>
          <w:rFonts w:ascii="Consolas" w:hAnsi="Consolas"/>
          <w:color w:val="1F3A5F"/>
          <w:sz w:val="18"/>
        </w:rPr>
        <w:t xml:space="preserve">    --bucket demo-vulnerable-1785234132 \</w:t>
      </w:r>
    </w:p>
    <w:p>
      <w:pPr>
        <w:spacing w:after="0" w:before="0"/>
        <w:ind w:left="283"/>
        <w:shd w:val="clear" w:color="auto" w:fill="F0F3F7"/>
      </w:pPr>
      <w:r>
        <w:rPr>
          <w:rFonts w:ascii="Consolas" w:hAnsi="Consolas"/>
          <w:color w:val="1F3A5F"/>
          <w:sz w:val="18"/>
        </w:rPr>
        <w:t xml:space="preserve">    --server-side-encryption-configuration '{"Rules":[{"ApplyServerSideEncryptionByDefault":{"SSEAlgorithm":"aws:kms"}}]}'</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8860B"/>
          <w:sz w:val="24"/>
        </w:rPr>
        <w:t>F-11: No server-side encryption (SSE-KMS) configured</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8860B"/>
                <w:sz w:val="20"/>
              </w:rPr>
              <w:t>MEDIUM</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demo-vulnerable-1785236805</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s3_no_encryption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Insufficient Data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SC-28 (Protection of Information at Rest)</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2</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24 hours</w:t>
            </w:r>
          </w:p>
        </w:tc>
      </w:tr>
    </w:tbl>
    <w:p/>
    <w:p>
      <w:pPr>
        <w:spacing w:after="80"/>
      </w:pPr>
      <w:r>
        <w:rPr>
          <w:b/>
          <w:sz w:val="22"/>
        </w:rPr>
        <w:t xml:space="preserve">What this means: </w:t>
      </w:r>
      <w:r>
        <w:rPr>
          <w:sz w:val="22"/>
        </w:rPr>
        <w:t>Data in this storage bucket is stored in plain text on AWS servers, not encrypted at rest. If AWS storage were ever compromised, or if a backup copy escaped, the contents would be immediately readable.</w:t>
      </w:r>
    </w:p>
    <w:p/>
    <w:p>
      <w:pPr>
        <w:spacing w:after="80"/>
      </w:pPr>
      <w:r>
        <w:rPr>
          <w:b/>
          <w:sz w:val="22"/>
        </w:rPr>
        <w:t xml:space="preserve">Business impact if exploited: </w:t>
      </w:r>
      <w:r>
        <w:rPr>
          <w:sz w:val="22"/>
        </w:rPr>
        <w:t>Compliance finding under most regulatory frameworks (PCI DSS, HIPAA, ISO 27001). Amplifies the impact of any storage breach.</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put-bucket-encryption \</w:t>
      </w:r>
    </w:p>
    <w:p>
      <w:pPr>
        <w:spacing w:after="0" w:before="0"/>
        <w:ind w:left="283"/>
        <w:shd w:val="clear" w:color="auto" w:fill="F0F3F7"/>
      </w:pPr>
      <w:r>
        <w:rPr>
          <w:rFonts w:ascii="Consolas" w:hAnsi="Consolas"/>
          <w:color w:val="1F3A5F"/>
          <w:sz w:val="18"/>
        </w:rPr>
        <w:t xml:space="preserve">    --bucket demo-vulnerable-1785236805 \</w:t>
      </w:r>
    </w:p>
    <w:p>
      <w:pPr>
        <w:spacing w:after="0" w:before="0"/>
        <w:ind w:left="283"/>
        <w:shd w:val="clear" w:color="auto" w:fill="F0F3F7"/>
      </w:pPr>
      <w:r>
        <w:rPr>
          <w:rFonts w:ascii="Consolas" w:hAnsi="Consolas"/>
          <w:color w:val="1F3A5F"/>
          <w:sz w:val="18"/>
        </w:rPr>
        <w:t xml:space="preserve">    --server-side-encryption-configuration '{"Rules":[{"ApplyServerSideEncryptionByDefault":{"SSEAlgorithm":"aws:kms"}}]}'</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F-12: SSH (port 22) open to the entire internet (0.0.0.0/0)</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sg-0855f3dfd5ebf743e</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ec2_open_ssh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Insecure Interfaces and APIs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AC-17 (Remote Access), SC-7 (Boundary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1 week</w:t>
            </w:r>
          </w:p>
        </w:tc>
      </w:tr>
    </w:tbl>
    <w:p/>
    <w:p>
      <w:pPr>
        <w:spacing w:after="80"/>
      </w:pPr>
      <w:r>
        <w:rPr>
          <w:b/>
          <w:sz w:val="22"/>
        </w:rPr>
        <w:t xml:space="preserve">What this means: </w:t>
      </w:r>
      <w:r>
        <w:rPr>
          <w:sz w:val="22"/>
        </w:rPr>
        <w:t>A network rule permits remote administrative access (SSH, port 22) from every IP address on the internet. Automated attack tools scan the entire internet for open SSH ports continuously.</w:t>
      </w:r>
    </w:p>
    <w:p/>
    <w:p>
      <w:pPr>
        <w:spacing w:after="80"/>
      </w:pPr>
      <w:r>
        <w:rPr>
          <w:b/>
          <w:sz w:val="22"/>
        </w:rPr>
        <w:t xml:space="preserve">Business impact if exploited: </w:t>
      </w:r>
      <w:r>
        <w:rPr>
          <w:sz w:val="22"/>
        </w:rPr>
        <w:t>Full server takeover once an attacker guesses or brute-forces a valid password. One of the top three initial-access vectors in recent industry breach reports.</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ec2 revoke-security-group-ingress \</w:t>
      </w:r>
    </w:p>
    <w:p>
      <w:pPr>
        <w:spacing w:after="0" w:before="0"/>
        <w:ind w:left="283"/>
        <w:shd w:val="clear" w:color="auto" w:fill="F0F3F7"/>
      </w:pPr>
      <w:r>
        <w:rPr>
          <w:rFonts w:ascii="Consolas" w:hAnsi="Consolas"/>
          <w:color w:val="1F3A5F"/>
          <w:sz w:val="18"/>
        </w:rPr>
        <w:t xml:space="preserve">    --group-id sg-0855f3dfd5ebf743e \</w:t>
      </w:r>
    </w:p>
    <w:p>
      <w:pPr>
        <w:spacing w:after="0" w:before="0"/>
        <w:ind w:left="283"/>
        <w:shd w:val="clear" w:color="auto" w:fill="F0F3F7"/>
      </w:pPr>
      <w:r>
        <w:rPr>
          <w:rFonts w:ascii="Consolas" w:hAnsi="Consolas"/>
          <w:color w:val="1F3A5F"/>
          <w:sz w:val="18"/>
        </w:rPr>
        <w:t xml:space="preserve">    --protocol tcp \</w:t>
      </w:r>
    </w:p>
    <w:p>
      <w:pPr>
        <w:spacing w:after="0" w:before="0"/>
        <w:ind w:left="283"/>
        <w:shd w:val="clear" w:color="auto" w:fill="F0F3F7"/>
      </w:pPr>
      <w:r>
        <w:rPr>
          <w:rFonts w:ascii="Consolas" w:hAnsi="Consolas"/>
          <w:color w:val="1F3A5F"/>
          <w:sz w:val="18"/>
        </w:rPr>
        <w:t xml:space="preserve">    --port 22 \</w:t>
      </w:r>
    </w:p>
    <w:p>
      <w:pPr>
        <w:spacing w:after="0" w:before="0"/>
        <w:ind w:left="283"/>
        <w:shd w:val="clear" w:color="auto" w:fill="F0F3F7"/>
      </w:pPr>
      <w:r>
        <w:rPr>
          <w:rFonts w:ascii="Consolas" w:hAnsi="Consolas"/>
          <w:color w:val="1F3A5F"/>
          <w:sz w:val="18"/>
        </w:rPr>
        <w:t xml:space="preserve">    --cidr 0.0.0.0/0</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F-13: RDP (port 3389) open to the entire internet (0.0.0.0/0)</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sg-0855f3dfd5ebf743e</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ec2_open_rdp</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Insecure Interfaces and APIs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AC-17 (Remote Access), SC-7 (Boundary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1 week</w:t>
            </w:r>
          </w:p>
        </w:tc>
      </w:tr>
    </w:tbl>
    <w:p/>
    <w:p>
      <w:pPr>
        <w:spacing w:after="80"/>
      </w:pPr>
      <w:r>
        <w:rPr>
          <w:b/>
          <w:sz w:val="22"/>
        </w:rPr>
        <w:t xml:space="preserve">What this means: </w:t>
      </w:r>
      <w:r>
        <w:rPr>
          <w:sz w:val="22"/>
        </w:rPr>
        <w:t>A network rule permits Windows Remote Desktop (port 3389) from every IP address on the internet. RDP has been the entry point in a majority of publicly documented ransomware incidents over the past three years.</w:t>
      </w:r>
    </w:p>
    <w:p/>
    <w:p>
      <w:pPr>
        <w:spacing w:after="80"/>
      </w:pPr>
      <w:r>
        <w:rPr>
          <w:b/>
          <w:sz w:val="22"/>
        </w:rPr>
        <w:t xml:space="preserve">Business impact if exploited: </w:t>
      </w:r>
      <w:r>
        <w:rPr>
          <w:sz w:val="22"/>
        </w:rPr>
        <w:t>Full server takeover, typically followed by ransomware deployment or data exfiltration.</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ec2 revoke-security-group-ingress \</w:t>
      </w:r>
    </w:p>
    <w:p>
      <w:pPr>
        <w:spacing w:after="0" w:before="0"/>
        <w:ind w:left="283"/>
        <w:shd w:val="clear" w:color="auto" w:fill="F0F3F7"/>
      </w:pPr>
      <w:r>
        <w:rPr>
          <w:rFonts w:ascii="Consolas" w:hAnsi="Consolas"/>
          <w:color w:val="1F3A5F"/>
          <w:sz w:val="18"/>
        </w:rPr>
        <w:t xml:space="preserve">    --group-id sg-0855f3dfd5ebf743e \</w:t>
      </w:r>
    </w:p>
    <w:p>
      <w:pPr>
        <w:spacing w:after="0" w:before="0"/>
        <w:ind w:left="283"/>
        <w:shd w:val="clear" w:color="auto" w:fill="F0F3F7"/>
      </w:pPr>
      <w:r>
        <w:rPr>
          <w:rFonts w:ascii="Consolas" w:hAnsi="Consolas"/>
          <w:color w:val="1F3A5F"/>
          <w:sz w:val="18"/>
        </w:rPr>
        <w:t xml:space="preserve">    --protocol tcp \</w:t>
      </w:r>
    </w:p>
    <w:p>
      <w:pPr>
        <w:spacing w:after="0" w:before="0"/>
        <w:ind w:left="283"/>
        <w:shd w:val="clear" w:color="auto" w:fill="F0F3F7"/>
      </w:pPr>
      <w:r>
        <w:rPr>
          <w:rFonts w:ascii="Consolas" w:hAnsi="Consolas"/>
          <w:color w:val="1F3A5F"/>
          <w:sz w:val="18"/>
        </w:rPr>
        <w:t xml:space="preserve">    --port 3389 \</w:t>
      </w:r>
    </w:p>
    <w:p>
      <w:pPr>
        <w:spacing w:after="0" w:before="0"/>
        <w:ind w:left="283"/>
        <w:shd w:val="clear" w:color="auto" w:fill="F0F3F7"/>
      </w:pPr>
      <w:r>
        <w:rPr>
          <w:rFonts w:ascii="Consolas" w:hAnsi="Consolas"/>
          <w:color w:val="1F3A5F"/>
          <w:sz w:val="18"/>
        </w:rPr>
        <w:t xml:space="preserve">    --cidr 0.0.0.0/0</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F-14: SSH (port 22) open to the entire internet (0.0.0.0/0)</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sg-0cd593d1a39b5035e</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ec2_open_ssh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Insecure Interfaces and APIs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AC-17 (Remote Access), SC-7 (Boundary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1 week</w:t>
            </w:r>
          </w:p>
        </w:tc>
      </w:tr>
    </w:tbl>
    <w:p/>
    <w:p>
      <w:pPr>
        <w:spacing w:after="80"/>
      </w:pPr>
      <w:r>
        <w:rPr>
          <w:b/>
          <w:sz w:val="22"/>
        </w:rPr>
        <w:t xml:space="preserve">What this means: </w:t>
      </w:r>
      <w:r>
        <w:rPr>
          <w:sz w:val="22"/>
        </w:rPr>
        <w:t>A network rule permits remote administrative access (SSH, port 22) from every IP address on the internet. Automated attack tools scan the entire internet for open SSH ports continuously.</w:t>
      </w:r>
    </w:p>
    <w:p/>
    <w:p>
      <w:pPr>
        <w:spacing w:after="80"/>
      </w:pPr>
      <w:r>
        <w:rPr>
          <w:b/>
          <w:sz w:val="22"/>
        </w:rPr>
        <w:t xml:space="preserve">Business impact if exploited: </w:t>
      </w:r>
      <w:r>
        <w:rPr>
          <w:sz w:val="22"/>
        </w:rPr>
        <w:t>Full server takeover once an attacker guesses or brute-forces a valid password. One of the top three initial-access vectors in recent industry breach reports.</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ec2 revoke-security-group-ingress \</w:t>
      </w:r>
    </w:p>
    <w:p>
      <w:pPr>
        <w:spacing w:after="0" w:before="0"/>
        <w:ind w:left="283"/>
        <w:shd w:val="clear" w:color="auto" w:fill="F0F3F7"/>
      </w:pPr>
      <w:r>
        <w:rPr>
          <w:rFonts w:ascii="Consolas" w:hAnsi="Consolas"/>
          <w:color w:val="1F3A5F"/>
          <w:sz w:val="18"/>
        </w:rPr>
        <w:t xml:space="preserve">    --group-id sg-0cd593d1a39b5035e \</w:t>
      </w:r>
    </w:p>
    <w:p>
      <w:pPr>
        <w:spacing w:after="0" w:before="0"/>
        <w:ind w:left="283"/>
        <w:shd w:val="clear" w:color="auto" w:fill="F0F3F7"/>
      </w:pPr>
      <w:r>
        <w:rPr>
          <w:rFonts w:ascii="Consolas" w:hAnsi="Consolas"/>
          <w:color w:val="1F3A5F"/>
          <w:sz w:val="18"/>
        </w:rPr>
        <w:t xml:space="preserve">    --protocol tcp \</w:t>
      </w:r>
    </w:p>
    <w:p>
      <w:pPr>
        <w:spacing w:after="0" w:before="0"/>
        <w:ind w:left="283"/>
        <w:shd w:val="clear" w:color="auto" w:fill="F0F3F7"/>
      </w:pPr>
      <w:r>
        <w:rPr>
          <w:rFonts w:ascii="Consolas" w:hAnsi="Consolas"/>
          <w:color w:val="1F3A5F"/>
          <w:sz w:val="18"/>
        </w:rPr>
        <w:t xml:space="preserve">    --port 22 \</w:t>
      </w:r>
    </w:p>
    <w:p>
      <w:pPr>
        <w:spacing w:after="0" w:before="0"/>
        <w:ind w:left="283"/>
        <w:shd w:val="clear" w:color="auto" w:fill="F0F3F7"/>
      </w:pPr>
      <w:r>
        <w:rPr>
          <w:rFonts w:ascii="Consolas" w:hAnsi="Consolas"/>
          <w:color w:val="1F3A5F"/>
          <w:sz w:val="18"/>
        </w:rPr>
        <w:t xml:space="preserve">    --cidr 0.0.0.0/0</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F-15: RDP (port 3389) open to the entire internet (0.0.0.0/0)</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sg-0cd593d1a39b5035e</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ec2_open_rdp</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Insecure Interfaces and APIs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AC-17 (Remote Access), SC-7 (Boundary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1 week</w:t>
            </w:r>
          </w:p>
        </w:tc>
      </w:tr>
    </w:tbl>
    <w:p/>
    <w:p>
      <w:pPr>
        <w:spacing w:after="80"/>
      </w:pPr>
      <w:r>
        <w:rPr>
          <w:b/>
          <w:sz w:val="22"/>
        </w:rPr>
        <w:t xml:space="preserve">What this means: </w:t>
      </w:r>
      <w:r>
        <w:rPr>
          <w:sz w:val="22"/>
        </w:rPr>
        <w:t>A network rule permits Windows Remote Desktop (port 3389) from every IP address on the internet. RDP has been the entry point in a majority of publicly documented ransomware incidents over the past three years.</w:t>
      </w:r>
    </w:p>
    <w:p/>
    <w:p>
      <w:pPr>
        <w:spacing w:after="80"/>
      </w:pPr>
      <w:r>
        <w:rPr>
          <w:b/>
          <w:sz w:val="22"/>
        </w:rPr>
        <w:t xml:space="preserve">Business impact if exploited: </w:t>
      </w:r>
      <w:r>
        <w:rPr>
          <w:sz w:val="22"/>
        </w:rPr>
        <w:t>Full server takeover, typically followed by ransomware deployment or data exfiltration.</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ec2 revoke-security-group-ingress \</w:t>
      </w:r>
    </w:p>
    <w:p>
      <w:pPr>
        <w:spacing w:after="0" w:before="0"/>
        <w:ind w:left="283"/>
        <w:shd w:val="clear" w:color="auto" w:fill="F0F3F7"/>
      </w:pPr>
      <w:r>
        <w:rPr>
          <w:rFonts w:ascii="Consolas" w:hAnsi="Consolas"/>
          <w:color w:val="1F3A5F"/>
          <w:sz w:val="18"/>
        </w:rPr>
        <w:t xml:space="preserve">    --group-id sg-0cd593d1a39b5035e \</w:t>
      </w:r>
    </w:p>
    <w:p>
      <w:pPr>
        <w:spacing w:after="0" w:before="0"/>
        <w:ind w:left="283"/>
        <w:shd w:val="clear" w:color="auto" w:fill="F0F3F7"/>
      </w:pPr>
      <w:r>
        <w:rPr>
          <w:rFonts w:ascii="Consolas" w:hAnsi="Consolas"/>
          <w:color w:val="1F3A5F"/>
          <w:sz w:val="18"/>
        </w:rPr>
        <w:t xml:space="preserve">    --protocol tcp \</w:t>
      </w:r>
    </w:p>
    <w:p>
      <w:pPr>
        <w:spacing w:after="0" w:before="0"/>
        <w:ind w:left="283"/>
        <w:shd w:val="clear" w:color="auto" w:fill="F0F3F7"/>
      </w:pPr>
      <w:r>
        <w:rPr>
          <w:rFonts w:ascii="Consolas" w:hAnsi="Consolas"/>
          <w:color w:val="1F3A5F"/>
          <w:sz w:val="18"/>
        </w:rPr>
        <w:t xml:space="preserve">    --port 3389 \</w:t>
      </w:r>
    </w:p>
    <w:p>
      <w:pPr>
        <w:spacing w:after="0" w:before="0"/>
        <w:ind w:left="283"/>
        <w:shd w:val="clear" w:color="auto" w:fill="F0F3F7"/>
      </w:pPr>
      <w:r>
        <w:rPr>
          <w:rFonts w:ascii="Consolas" w:hAnsi="Consolas"/>
          <w:color w:val="1F3A5F"/>
          <w:sz w:val="18"/>
        </w:rPr>
        <w:t xml:space="preserve">    --cidr 0.0.0.0/0</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F-16: SSH (port 22) open to the entire internet (0.0.0.0/0)</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sg-08024cb5341d2f400</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ec2_open_ssh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Insecure Interfaces and APIs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AC-17 (Remote Access), SC-7 (Boundary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1 week</w:t>
            </w:r>
          </w:p>
        </w:tc>
      </w:tr>
    </w:tbl>
    <w:p/>
    <w:p>
      <w:pPr>
        <w:spacing w:after="80"/>
      </w:pPr>
      <w:r>
        <w:rPr>
          <w:b/>
          <w:sz w:val="22"/>
        </w:rPr>
        <w:t xml:space="preserve">What this means: </w:t>
      </w:r>
      <w:r>
        <w:rPr>
          <w:sz w:val="22"/>
        </w:rPr>
        <w:t>A network rule permits remote administrative access (SSH, port 22) from every IP address on the internet. Automated attack tools scan the entire internet for open SSH ports continuously.</w:t>
      </w:r>
    </w:p>
    <w:p/>
    <w:p>
      <w:pPr>
        <w:spacing w:after="80"/>
      </w:pPr>
      <w:r>
        <w:rPr>
          <w:b/>
          <w:sz w:val="22"/>
        </w:rPr>
        <w:t xml:space="preserve">Business impact if exploited: </w:t>
      </w:r>
      <w:r>
        <w:rPr>
          <w:sz w:val="22"/>
        </w:rPr>
        <w:t>Full server takeover once an attacker guesses or brute-forces a valid password. One of the top three initial-access vectors in recent industry breach reports.</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ec2 revoke-security-group-ingress \</w:t>
      </w:r>
    </w:p>
    <w:p>
      <w:pPr>
        <w:spacing w:after="0" w:before="0"/>
        <w:ind w:left="283"/>
        <w:shd w:val="clear" w:color="auto" w:fill="F0F3F7"/>
      </w:pPr>
      <w:r>
        <w:rPr>
          <w:rFonts w:ascii="Consolas" w:hAnsi="Consolas"/>
          <w:color w:val="1F3A5F"/>
          <w:sz w:val="18"/>
        </w:rPr>
        <w:t xml:space="preserve">    --group-id sg-08024cb5341d2f400 \</w:t>
      </w:r>
    </w:p>
    <w:p>
      <w:pPr>
        <w:spacing w:after="0" w:before="0"/>
        <w:ind w:left="283"/>
        <w:shd w:val="clear" w:color="auto" w:fill="F0F3F7"/>
      </w:pPr>
      <w:r>
        <w:rPr>
          <w:rFonts w:ascii="Consolas" w:hAnsi="Consolas"/>
          <w:color w:val="1F3A5F"/>
          <w:sz w:val="18"/>
        </w:rPr>
        <w:t xml:space="preserve">    --protocol tcp \</w:t>
      </w:r>
    </w:p>
    <w:p>
      <w:pPr>
        <w:spacing w:after="0" w:before="0"/>
        <w:ind w:left="283"/>
        <w:shd w:val="clear" w:color="auto" w:fill="F0F3F7"/>
      </w:pPr>
      <w:r>
        <w:rPr>
          <w:rFonts w:ascii="Consolas" w:hAnsi="Consolas"/>
          <w:color w:val="1F3A5F"/>
          <w:sz w:val="18"/>
        </w:rPr>
        <w:t xml:space="preserve">    --port 22 \</w:t>
      </w:r>
    </w:p>
    <w:p>
      <w:pPr>
        <w:spacing w:after="0" w:before="0"/>
        <w:ind w:left="283"/>
        <w:shd w:val="clear" w:color="auto" w:fill="F0F3F7"/>
      </w:pPr>
      <w:r>
        <w:rPr>
          <w:rFonts w:ascii="Consolas" w:hAnsi="Consolas"/>
          <w:color w:val="1F3A5F"/>
          <w:sz w:val="18"/>
        </w:rPr>
        <w:t xml:space="preserve">    --cidr 0.0.0.0/0</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F-17: RDP (port 3389) open to the entire internet (0.0.0.0/0)</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sg-08024cb5341d2f400</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ec2_open_rdp</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Insecure Interfaces and APIs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AC-17 (Remote Access), SC-7 (Boundary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1 week</w:t>
            </w:r>
          </w:p>
        </w:tc>
      </w:tr>
    </w:tbl>
    <w:p/>
    <w:p>
      <w:pPr>
        <w:spacing w:after="80"/>
      </w:pPr>
      <w:r>
        <w:rPr>
          <w:b/>
          <w:sz w:val="22"/>
        </w:rPr>
        <w:t xml:space="preserve">What this means: </w:t>
      </w:r>
      <w:r>
        <w:rPr>
          <w:sz w:val="22"/>
        </w:rPr>
        <w:t>A network rule permits Windows Remote Desktop (port 3389) from every IP address on the internet. RDP has been the entry point in a majority of publicly documented ransomware incidents over the past three years.</w:t>
      </w:r>
    </w:p>
    <w:p/>
    <w:p>
      <w:pPr>
        <w:spacing w:after="80"/>
      </w:pPr>
      <w:r>
        <w:rPr>
          <w:b/>
          <w:sz w:val="22"/>
        </w:rPr>
        <w:t xml:space="preserve">Business impact if exploited: </w:t>
      </w:r>
      <w:r>
        <w:rPr>
          <w:sz w:val="22"/>
        </w:rPr>
        <w:t>Full server takeover, typically followed by ransomware deployment or data exfiltration.</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ec2 revoke-security-group-ingress \</w:t>
      </w:r>
    </w:p>
    <w:p>
      <w:pPr>
        <w:spacing w:after="0" w:before="0"/>
        <w:ind w:left="283"/>
        <w:shd w:val="clear" w:color="auto" w:fill="F0F3F7"/>
      </w:pPr>
      <w:r>
        <w:rPr>
          <w:rFonts w:ascii="Consolas" w:hAnsi="Consolas"/>
          <w:color w:val="1F3A5F"/>
          <w:sz w:val="18"/>
        </w:rPr>
        <w:t xml:space="preserve">    --group-id sg-08024cb5341d2f400 \</w:t>
      </w:r>
    </w:p>
    <w:p>
      <w:pPr>
        <w:spacing w:after="0" w:before="0"/>
        <w:ind w:left="283"/>
        <w:shd w:val="clear" w:color="auto" w:fill="F0F3F7"/>
      </w:pPr>
      <w:r>
        <w:rPr>
          <w:rFonts w:ascii="Consolas" w:hAnsi="Consolas"/>
          <w:color w:val="1F3A5F"/>
          <w:sz w:val="18"/>
        </w:rPr>
        <w:t xml:space="preserve">    --protocol tcp \</w:t>
      </w:r>
    </w:p>
    <w:p>
      <w:pPr>
        <w:spacing w:after="0" w:before="0"/>
        <w:ind w:left="283"/>
        <w:shd w:val="clear" w:color="auto" w:fill="F0F3F7"/>
      </w:pPr>
      <w:r>
        <w:rPr>
          <w:rFonts w:ascii="Consolas" w:hAnsi="Consolas"/>
          <w:color w:val="1F3A5F"/>
          <w:sz w:val="18"/>
        </w:rPr>
        <w:t xml:space="preserve">    --port 3389 \</w:t>
      </w:r>
    </w:p>
    <w:p>
      <w:pPr>
        <w:spacing w:after="0" w:before="0"/>
        <w:ind w:left="283"/>
        <w:shd w:val="clear" w:color="auto" w:fill="F0F3F7"/>
      </w:pPr>
      <w:r>
        <w:rPr>
          <w:rFonts w:ascii="Consolas" w:hAnsi="Consolas"/>
          <w:color w:val="1F3A5F"/>
          <w:sz w:val="18"/>
        </w:rPr>
        <w:t xml:space="preserve">    --cidr 0.0.0.0/0</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1F3A5F"/>
          <w:sz w:val="24"/>
        </w:rPr>
        <w:t>3.3 Priority 3 - Identity &amp; Governance (fix within 2 weeks)</w:t>
      </w:r>
    </w:p>
    <w:p>
      <w:pPr>
        <w:spacing w:before="280" w:after="120"/>
      </w:pPr>
      <w:r>
        <w:rPr>
          <w:b/>
          <w:color w:val="B22222"/>
          <w:sz w:val="24"/>
        </w:rPr>
        <w:t>F-18: User has AdministratorAccess attached (full account privileges)</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demo-admin-user-1785234132</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iam_excessive_permissions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Identity and Access Management Weaknesses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AC-6 (Least Privilege), AC-2 (Account Management)</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 weeks</w:t>
            </w:r>
          </w:p>
        </w:tc>
      </w:tr>
    </w:tbl>
    <w:p/>
    <w:p>
      <w:pPr>
        <w:spacing w:after="80"/>
      </w:pPr>
      <w:r>
        <w:rPr>
          <w:b/>
          <w:sz w:val="22"/>
        </w:rPr>
        <w:t xml:space="preserve">What this means: </w:t>
      </w:r>
      <w:r>
        <w:rPr>
          <w:sz w:val="22"/>
        </w:rPr>
        <w:t>This AWS user account has full administrative privilege over every service in the account. If the user's credentials are stolen, the attacker inherits total control.</w:t>
      </w:r>
    </w:p>
    <w:p/>
    <w:p>
      <w:pPr>
        <w:spacing w:after="80"/>
      </w:pPr>
      <w:r>
        <w:rPr>
          <w:b/>
          <w:sz w:val="22"/>
        </w:rPr>
        <w:t xml:space="preserve">Business impact if exploited: </w:t>
      </w:r>
      <w:r>
        <w:rPr>
          <w:sz w:val="22"/>
        </w:rPr>
        <w:t>Complete AWS account takeover: attacker can create, destroy, exfiltrate, or ransom every resource in the account. There is no service they cannot reach.</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iam detach-user-policy \</w:t>
      </w:r>
    </w:p>
    <w:p>
      <w:pPr>
        <w:spacing w:after="0" w:before="0"/>
        <w:ind w:left="283"/>
        <w:shd w:val="clear" w:color="auto" w:fill="F0F3F7"/>
      </w:pPr>
      <w:r>
        <w:rPr>
          <w:rFonts w:ascii="Consolas" w:hAnsi="Consolas"/>
          <w:color w:val="1F3A5F"/>
          <w:sz w:val="18"/>
        </w:rPr>
        <w:t xml:space="preserve">    --user-name demo-admin-user-1785234132 \</w:t>
      </w:r>
    </w:p>
    <w:p>
      <w:pPr>
        <w:spacing w:after="0" w:before="0"/>
        <w:ind w:left="283"/>
        <w:shd w:val="clear" w:color="auto" w:fill="F0F3F7"/>
      </w:pPr>
      <w:r>
        <w:rPr>
          <w:rFonts w:ascii="Consolas" w:hAnsi="Consolas"/>
          <w:color w:val="1F3A5F"/>
          <w:sz w:val="18"/>
        </w:rPr>
        <w:t xml:space="preserve">    --policy-arn arn:aws:iam::aws:policy/AdministratorAccess</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F-19: User has no MFA device registered</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demo-admin-user-1785234132</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iam_no_mfa</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Identity and Access Management Weaknesses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IA-2 (Identification and Authentication), IA-5 (Authenticator Management)</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 weeks</w:t>
            </w:r>
          </w:p>
        </w:tc>
      </w:tr>
    </w:tbl>
    <w:p/>
    <w:p>
      <w:pPr>
        <w:spacing w:after="80"/>
      </w:pPr>
      <w:r>
        <w:rPr>
          <w:b/>
          <w:sz w:val="22"/>
        </w:rPr>
        <w:t xml:space="preserve">What this means: </w:t>
      </w:r>
      <w:r>
        <w:rPr>
          <w:sz w:val="22"/>
        </w:rPr>
        <w:t>This AWS user account can be signed into using only a password. Multi-factor authentication (requiring a phone or hardware key in addition to the password) is not enforced.</w:t>
      </w:r>
    </w:p>
    <w:p/>
    <w:p>
      <w:pPr>
        <w:spacing w:after="80"/>
      </w:pPr>
      <w:r>
        <w:rPr>
          <w:b/>
          <w:sz w:val="22"/>
        </w:rPr>
        <w:t xml:space="preserve">Business impact if exploited: </w:t>
      </w:r>
      <w:r>
        <w:rPr>
          <w:sz w:val="22"/>
        </w:rPr>
        <w:t>A stolen or phished password is sufficient for full account sign-in. Recent industry reporting attributes 22 per cent of confirmed breaches to credential abuse; MFA is the single control that breaks that chain.</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iam create-virtual-mfa-device \</w:t>
      </w:r>
    </w:p>
    <w:p>
      <w:pPr>
        <w:spacing w:after="0" w:before="0"/>
        <w:ind w:left="283"/>
        <w:shd w:val="clear" w:color="auto" w:fill="F0F3F7"/>
      </w:pPr>
      <w:r>
        <w:rPr>
          <w:rFonts w:ascii="Consolas" w:hAnsi="Consolas"/>
          <w:color w:val="1F3A5F"/>
          <w:sz w:val="18"/>
        </w:rPr>
        <w:t xml:space="preserve">    --virtual-mfa-device-name demo-admin-user-1785234132-mfa \</w:t>
      </w:r>
    </w:p>
    <w:p>
      <w:pPr>
        <w:spacing w:after="0" w:before="0"/>
        <w:ind w:left="283"/>
        <w:shd w:val="clear" w:color="auto" w:fill="F0F3F7"/>
      </w:pPr>
      <w:r>
        <w:rPr>
          <w:rFonts w:ascii="Consolas" w:hAnsi="Consolas"/>
          <w:color w:val="1F3A5F"/>
          <w:sz w:val="18"/>
        </w:rPr>
        <w:t xml:space="preserve">    --outfile demo-admin-user-1785234132-qrcode.png \</w:t>
      </w:r>
    </w:p>
    <w:p>
      <w:pPr>
        <w:spacing w:after="0" w:before="0"/>
        <w:ind w:left="283"/>
        <w:shd w:val="clear" w:color="auto" w:fill="F0F3F7"/>
      </w:pPr>
      <w:r>
        <w:rPr>
          <w:rFonts w:ascii="Consolas" w:hAnsi="Consolas"/>
          <w:color w:val="1F3A5F"/>
          <w:sz w:val="18"/>
        </w:rPr>
        <w:t xml:space="preserve">    --bootstrap-method QRCodePNG   # then: aws iam enable-mfa-device (needs two authenticator codes; cannot be fully scripted without a human enrolling the device)</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F-20: User has AdministratorAccess attached (full account privileges)</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demo-admin-user-1785236805</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iam_excessive_permissions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Identity and Access Management Weaknesses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AC-6 (Least Privilege), AC-2 (Account Management)</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 weeks</w:t>
            </w:r>
          </w:p>
        </w:tc>
      </w:tr>
    </w:tbl>
    <w:p/>
    <w:p>
      <w:pPr>
        <w:spacing w:after="80"/>
      </w:pPr>
      <w:r>
        <w:rPr>
          <w:b/>
          <w:sz w:val="22"/>
        </w:rPr>
        <w:t xml:space="preserve">What this means: </w:t>
      </w:r>
      <w:r>
        <w:rPr>
          <w:sz w:val="22"/>
        </w:rPr>
        <w:t>This AWS user account has full administrative privilege over every service in the account. If the user's credentials are stolen, the attacker inherits total control.</w:t>
      </w:r>
    </w:p>
    <w:p/>
    <w:p>
      <w:pPr>
        <w:spacing w:after="80"/>
      </w:pPr>
      <w:r>
        <w:rPr>
          <w:b/>
          <w:sz w:val="22"/>
        </w:rPr>
        <w:t xml:space="preserve">Business impact if exploited: </w:t>
      </w:r>
      <w:r>
        <w:rPr>
          <w:sz w:val="22"/>
        </w:rPr>
        <w:t>Complete AWS account takeover: attacker can create, destroy, exfiltrate, or ransom every resource in the account. There is no service they cannot reach.</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iam detach-user-policy \</w:t>
      </w:r>
    </w:p>
    <w:p>
      <w:pPr>
        <w:spacing w:after="0" w:before="0"/>
        <w:ind w:left="283"/>
        <w:shd w:val="clear" w:color="auto" w:fill="F0F3F7"/>
      </w:pPr>
      <w:r>
        <w:rPr>
          <w:rFonts w:ascii="Consolas" w:hAnsi="Consolas"/>
          <w:color w:val="1F3A5F"/>
          <w:sz w:val="18"/>
        </w:rPr>
        <w:t xml:space="preserve">    --user-name demo-admin-user-1785236805 \</w:t>
      </w:r>
    </w:p>
    <w:p>
      <w:pPr>
        <w:spacing w:after="0" w:before="0"/>
        <w:ind w:left="283"/>
        <w:shd w:val="clear" w:color="auto" w:fill="F0F3F7"/>
      </w:pPr>
      <w:r>
        <w:rPr>
          <w:rFonts w:ascii="Consolas" w:hAnsi="Consolas"/>
          <w:color w:val="1F3A5F"/>
          <w:sz w:val="18"/>
        </w:rPr>
        <w:t xml:space="preserve">    --policy-arn arn:aws:iam::aws:policy/AdministratorAccess</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B22222"/>
          <w:sz w:val="24"/>
        </w:rPr>
        <w:t>F-21: User has no MFA device registered</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B22222"/>
                <w:sz w:val="20"/>
              </w:rPr>
              <w:t>HIGH</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demo-admin-user-1785236805</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iam_no_mfa</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Identity and Access Management Weaknesses</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IA-2 (Identification and Authentication), IA-5 (Authenticator Management)</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3</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2 weeks</w:t>
            </w:r>
          </w:p>
        </w:tc>
      </w:tr>
    </w:tbl>
    <w:p/>
    <w:p>
      <w:pPr>
        <w:spacing w:after="80"/>
      </w:pPr>
      <w:r>
        <w:rPr>
          <w:b/>
          <w:sz w:val="22"/>
        </w:rPr>
        <w:t xml:space="preserve">What this means: </w:t>
      </w:r>
      <w:r>
        <w:rPr>
          <w:sz w:val="22"/>
        </w:rPr>
        <w:t>This AWS user account can be signed into using only a password. Multi-factor authentication (requiring a phone or hardware key in addition to the password) is not enforced.</w:t>
      </w:r>
    </w:p>
    <w:p/>
    <w:p>
      <w:pPr>
        <w:spacing w:after="80"/>
      </w:pPr>
      <w:r>
        <w:rPr>
          <w:b/>
          <w:sz w:val="22"/>
        </w:rPr>
        <w:t xml:space="preserve">Business impact if exploited: </w:t>
      </w:r>
      <w:r>
        <w:rPr>
          <w:sz w:val="22"/>
        </w:rPr>
        <w:t>A stolen or phished password is sufficient for full account sign-in. Recent industry reporting attributes 22 per cent of confirmed breaches to credential abuse; MFA is the single control that breaks that chain.</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iam create-virtual-mfa-device \</w:t>
      </w:r>
    </w:p>
    <w:p>
      <w:pPr>
        <w:spacing w:after="0" w:before="0"/>
        <w:ind w:left="283"/>
        <w:shd w:val="clear" w:color="auto" w:fill="F0F3F7"/>
      </w:pPr>
      <w:r>
        <w:rPr>
          <w:rFonts w:ascii="Consolas" w:hAnsi="Consolas"/>
          <w:color w:val="1F3A5F"/>
          <w:sz w:val="18"/>
        </w:rPr>
        <w:t xml:space="preserve">    --virtual-mfa-device-name demo-admin-user-1785236805-mfa \</w:t>
      </w:r>
    </w:p>
    <w:p>
      <w:pPr>
        <w:spacing w:after="0" w:before="0"/>
        <w:ind w:left="283"/>
        <w:shd w:val="clear" w:color="auto" w:fill="F0F3F7"/>
      </w:pPr>
      <w:r>
        <w:rPr>
          <w:rFonts w:ascii="Consolas" w:hAnsi="Consolas"/>
          <w:color w:val="1F3A5F"/>
          <w:sz w:val="18"/>
        </w:rPr>
        <w:t xml:space="preserve">    --outfile demo-admin-user-1785236805-qrcode.png \</w:t>
      </w:r>
    </w:p>
    <w:p>
      <w:pPr>
        <w:spacing w:after="0" w:before="0"/>
        <w:ind w:left="283"/>
        <w:shd w:val="clear" w:color="auto" w:fill="F0F3F7"/>
      </w:pPr>
      <w:r>
        <w:rPr>
          <w:rFonts w:ascii="Consolas" w:hAnsi="Consolas"/>
          <w:color w:val="1F3A5F"/>
          <w:sz w:val="18"/>
        </w:rPr>
        <w:t xml:space="preserve">    --bootstrap-method QRCodePNG   # then: aws iam enable-mfa-device (needs two authenticator codes; cannot be fully scripted without a human enrolling the device)</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1F3A5F"/>
          <w:sz w:val="24"/>
        </w:rPr>
        <w:t>3.4 Priority 4 - Visibility &amp; Resilience (fix within 4 weeks)</w:t>
      </w:r>
    </w:p>
    <w:p>
      <w:pPr>
        <w:spacing w:before="280" w:after="120"/>
      </w:pPr>
      <w:r>
        <w:rPr>
          <w:b/>
          <w:color w:val="2E7D32"/>
          <w:sz w:val="24"/>
        </w:rPr>
        <w:t>F-22: Versioning disabled - no recovery from accidental deletion/overwrite</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2E7D32"/>
                <w:sz w:val="20"/>
              </w:rPr>
              <w:t>LOW</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abc-network-limited</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s3_no_versioning</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Insufficient Data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SI-12 (Information Management and Retention), CP-9 (Backup)</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1</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4 weeks</w:t>
            </w:r>
          </w:p>
        </w:tc>
      </w:tr>
    </w:tbl>
    <w:p/>
    <w:p>
      <w:pPr>
        <w:spacing w:after="80"/>
      </w:pPr>
      <w:r>
        <w:rPr>
          <w:b/>
          <w:sz w:val="22"/>
        </w:rPr>
        <w:t xml:space="preserve">What this means: </w:t>
      </w:r>
      <w:r>
        <w:rPr>
          <w:sz w:val="22"/>
        </w:rPr>
        <w:t>The storage bucket does not keep old versions of files. An accidentally overwritten or maliciously deleted file cannot be recovered from within AWS.</w:t>
      </w:r>
    </w:p>
    <w:p/>
    <w:p>
      <w:pPr>
        <w:spacing w:after="80"/>
      </w:pPr>
      <w:r>
        <w:rPr>
          <w:b/>
          <w:sz w:val="22"/>
        </w:rPr>
        <w:t xml:space="preserve">Business impact if exploited: </w:t>
      </w:r>
      <w:r>
        <w:rPr>
          <w:sz w:val="22"/>
        </w:rPr>
        <w:t>Data loss (not data leak). Relevant in ransomware scenarios where an attacker with write access destroys data to force ransom payment.</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put-bucket-versioning \</w:t>
      </w:r>
    </w:p>
    <w:p>
      <w:pPr>
        <w:spacing w:after="0" w:before="0"/>
        <w:ind w:left="283"/>
        <w:shd w:val="clear" w:color="auto" w:fill="F0F3F7"/>
      </w:pPr>
      <w:r>
        <w:rPr>
          <w:rFonts w:ascii="Consolas" w:hAnsi="Consolas"/>
          <w:color w:val="1F3A5F"/>
          <w:sz w:val="18"/>
        </w:rPr>
        <w:t xml:space="preserve">    --bucket abc-network-limited \</w:t>
      </w:r>
    </w:p>
    <w:p>
      <w:pPr>
        <w:spacing w:after="0" w:before="0"/>
        <w:ind w:left="283"/>
        <w:shd w:val="clear" w:color="auto" w:fill="F0F3F7"/>
      </w:pPr>
      <w:r>
        <w:rPr>
          <w:rFonts w:ascii="Consolas" w:hAnsi="Consolas"/>
          <w:color w:val="1F3A5F"/>
          <w:sz w:val="18"/>
        </w:rPr>
        <w:t xml:space="preserve">    --versioning-configuration Status=Enabled</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2E7D32"/>
          <w:sz w:val="24"/>
        </w:rPr>
        <w:t>F-23: Versioning disabled - no recovery from accidental deletion/overwrite</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2E7D32"/>
                <w:sz w:val="20"/>
              </w:rPr>
              <w:t>LOW</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demo-vulnerable-1784195415</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s3_no_versioning</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Insufficient Data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SI-12 (Information Management and Retention), CP-9 (Backup)</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1</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4 weeks</w:t>
            </w:r>
          </w:p>
        </w:tc>
      </w:tr>
    </w:tbl>
    <w:p/>
    <w:p>
      <w:pPr>
        <w:spacing w:after="80"/>
      </w:pPr>
      <w:r>
        <w:rPr>
          <w:b/>
          <w:sz w:val="22"/>
        </w:rPr>
        <w:t xml:space="preserve">What this means: </w:t>
      </w:r>
      <w:r>
        <w:rPr>
          <w:sz w:val="22"/>
        </w:rPr>
        <w:t>The storage bucket does not keep old versions of files. An accidentally overwritten or maliciously deleted file cannot be recovered from within AWS.</w:t>
      </w:r>
    </w:p>
    <w:p/>
    <w:p>
      <w:pPr>
        <w:spacing w:after="80"/>
      </w:pPr>
      <w:r>
        <w:rPr>
          <w:b/>
          <w:sz w:val="22"/>
        </w:rPr>
        <w:t xml:space="preserve">Business impact if exploited: </w:t>
      </w:r>
      <w:r>
        <w:rPr>
          <w:sz w:val="22"/>
        </w:rPr>
        <w:t>Data loss (not data leak). Relevant in ransomware scenarios where an attacker with write access destroys data to force ransom payment.</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put-bucket-versioning \</w:t>
      </w:r>
    </w:p>
    <w:p>
      <w:pPr>
        <w:spacing w:after="0" w:before="0"/>
        <w:ind w:left="283"/>
        <w:shd w:val="clear" w:color="auto" w:fill="F0F3F7"/>
      </w:pPr>
      <w:r>
        <w:rPr>
          <w:rFonts w:ascii="Consolas" w:hAnsi="Consolas"/>
          <w:color w:val="1F3A5F"/>
          <w:sz w:val="18"/>
        </w:rPr>
        <w:t xml:space="preserve">    --bucket demo-vulnerable-1784195415 \</w:t>
      </w:r>
    </w:p>
    <w:p>
      <w:pPr>
        <w:spacing w:after="0" w:before="0"/>
        <w:ind w:left="283"/>
        <w:shd w:val="clear" w:color="auto" w:fill="F0F3F7"/>
      </w:pPr>
      <w:r>
        <w:rPr>
          <w:rFonts w:ascii="Consolas" w:hAnsi="Consolas"/>
          <w:color w:val="1F3A5F"/>
          <w:sz w:val="18"/>
        </w:rPr>
        <w:t xml:space="preserve">    --versioning-configuration Status=Enabled</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2E7D32"/>
          <w:sz w:val="24"/>
        </w:rPr>
        <w:t>F-24: Versioning disabled - no recovery from accidental deletion/overwrite</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2E7D32"/>
                <w:sz w:val="20"/>
              </w:rPr>
              <w:t>LOW</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demo-vulnerable-1785234132</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s3_no_versioning</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Insufficient Data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SI-12 (Information Management and Retention), CP-9 (Backup)</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1</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4 weeks</w:t>
            </w:r>
          </w:p>
        </w:tc>
      </w:tr>
    </w:tbl>
    <w:p/>
    <w:p>
      <w:pPr>
        <w:spacing w:after="80"/>
      </w:pPr>
      <w:r>
        <w:rPr>
          <w:b/>
          <w:sz w:val="22"/>
        </w:rPr>
        <w:t xml:space="preserve">What this means: </w:t>
      </w:r>
      <w:r>
        <w:rPr>
          <w:sz w:val="22"/>
        </w:rPr>
        <w:t>The storage bucket does not keep old versions of files. An accidentally overwritten or maliciously deleted file cannot be recovered from within AWS.</w:t>
      </w:r>
    </w:p>
    <w:p/>
    <w:p>
      <w:pPr>
        <w:spacing w:after="80"/>
      </w:pPr>
      <w:r>
        <w:rPr>
          <w:b/>
          <w:sz w:val="22"/>
        </w:rPr>
        <w:t xml:space="preserve">Business impact if exploited: </w:t>
      </w:r>
      <w:r>
        <w:rPr>
          <w:sz w:val="22"/>
        </w:rPr>
        <w:t>Data loss (not data leak). Relevant in ransomware scenarios where an attacker with write access destroys data to force ransom payment.</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put-bucket-versioning \</w:t>
      </w:r>
    </w:p>
    <w:p>
      <w:pPr>
        <w:spacing w:after="0" w:before="0"/>
        <w:ind w:left="283"/>
        <w:shd w:val="clear" w:color="auto" w:fill="F0F3F7"/>
      </w:pPr>
      <w:r>
        <w:rPr>
          <w:rFonts w:ascii="Consolas" w:hAnsi="Consolas"/>
          <w:color w:val="1F3A5F"/>
          <w:sz w:val="18"/>
        </w:rPr>
        <w:t xml:space="preserve">    --bucket demo-vulnerable-1785234132 \</w:t>
      </w:r>
    </w:p>
    <w:p>
      <w:pPr>
        <w:spacing w:after="0" w:before="0"/>
        <w:ind w:left="283"/>
        <w:shd w:val="clear" w:color="auto" w:fill="F0F3F7"/>
      </w:pPr>
      <w:r>
        <w:rPr>
          <w:rFonts w:ascii="Consolas" w:hAnsi="Consolas"/>
          <w:color w:val="1F3A5F"/>
          <w:sz w:val="18"/>
        </w:rPr>
        <w:t xml:space="preserve">    --versioning-configuration Status=Enabled</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2E7D32"/>
          <w:sz w:val="24"/>
        </w:rPr>
        <w:t>F-25: Versioning disabled - no recovery from accidental deletion/overwrite</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2E7D32"/>
                <w:sz w:val="20"/>
              </w:rPr>
              <w:t>LOW</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demo-vulnerable-1785236805</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s3_no_versioning</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Insufficient Data Protection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SI-12 (Information Management and Retention), CP-9 (Backup)</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1</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4 weeks</w:t>
            </w:r>
          </w:p>
        </w:tc>
      </w:tr>
    </w:tbl>
    <w:p/>
    <w:p>
      <w:pPr>
        <w:spacing w:after="80"/>
      </w:pPr>
      <w:r>
        <w:rPr>
          <w:b/>
          <w:sz w:val="22"/>
        </w:rPr>
        <w:t xml:space="preserve">What this means: </w:t>
      </w:r>
      <w:r>
        <w:rPr>
          <w:sz w:val="22"/>
        </w:rPr>
        <w:t>The storage bucket does not keep old versions of files. An accidentally overwritten or maliciously deleted file cannot be recovered from within AWS.</w:t>
      </w:r>
    </w:p>
    <w:p/>
    <w:p>
      <w:pPr>
        <w:spacing w:after="80"/>
      </w:pPr>
      <w:r>
        <w:rPr>
          <w:b/>
          <w:sz w:val="22"/>
        </w:rPr>
        <w:t xml:space="preserve">Business impact if exploited: </w:t>
      </w:r>
      <w:r>
        <w:rPr>
          <w:sz w:val="22"/>
        </w:rPr>
        <w:t>Data loss (not data leak). Relevant in ransomware scenarios where an attacker with write access destroys data to force ransom payment.</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s3api put-bucket-versioning \</w:t>
      </w:r>
    </w:p>
    <w:p>
      <w:pPr>
        <w:spacing w:after="0" w:before="0"/>
        <w:ind w:left="283"/>
        <w:shd w:val="clear" w:color="auto" w:fill="F0F3F7"/>
      </w:pPr>
      <w:r>
        <w:rPr>
          <w:rFonts w:ascii="Consolas" w:hAnsi="Consolas"/>
          <w:color w:val="1F3A5F"/>
          <w:sz w:val="18"/>
        </w:rPr>
        <w:t xml:space="preserve">    --bucket demo-vulnerable-1785236805 \</w:t>
      </w:r>
    </w:p>
    <w:p>
      <w:pPr>
        <w:spacing w:after="0" w:before="0"/>
        <w:ind w:left="283"/>
        <w:shd w:val="clear" w:color="auto" w:fill="F0F3F7"/>
      </w:pPr>
      <w:r>
        <w:rPr>
          <w:rFonts w:ascii="Consolas" w:hAnsi="Consolas"/>
          <w:color w:val="1F3A5F"/>
          <w:sz w:val="18"/>
        </w:rPr>
        <w:t xml:space="preserve">    --versioning-configuration Status=Enabled</w:t>
      </w:r>
    </w:p>
    <w:p/>
    <w:p>
      <w:pPr>
        <w:spacing w:after="120"/>
      </w:pPr>
      <w:r>
        <w:rPr>
          <w:b w:val="0"/>
          <w:i/>
          <w:color w:val="333333"/>
          <w:sz w:val="20"/>
        </w:rPr>
        <w:t>Verification: rerun scan_and_fix.py after applying this command; the finding should no longer appear in the JSON output.</w:t>
      </w:r>
    </w:p>
    <w:p/>
    <w:p>
      <w:pPr>
        <w:spacing w:before="280" w:after="120"/>
      </w:pPr>
      <w:r>
        <w:rPr>
          <w:b/>
          <w:color w:val="2E7D32"/>
          <w:sz w:val="24"/>
        </w:rPr>
        <w:t>F-26: No CloudTrail trail is actively logging in this account</w:t>
      </w:r>
    </w:p>
    <w:tbl>
      <w:tblPr>
        <w:tblW w:type="auto" w:w="0"/>
        <w:tblLook w:firstColumn="1" w:firstRow="1" w:lastColumn="0" w:lastRow="0" w:noHBand="0" w:noVBand="1" w:val="04A0"/>
      </w:tblPr>
      <w:tblGrid>
        <w:gridCol w:w="4703"/>
        <w:gridCol w:w="4703"/>
      </w:tblGrid>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Severity</w:t>
            </w:r>
          </w:p>
        </w:tc>
        <w:tc>
          <w:tcPr>
            <w:tcW w:type="dxa" w:w="7370"/>
            <w:tcBorders>
              <w:top w:val="single" w:sz="4" w:color="808080"/>
              <w:left w:val="single" w:sz="4" w:color="808080"/>
              <w:bottom w:val="single" w:sz="4" w:color="808080"/>
              <w:right w:val="single" w:sz="4" w:color="808080"/>
            </w:tcBorders>
          </w:tcPr>
          <w:p>
            <w:pPr>
              <w:spacing w:after="0"/>
            </w:pPr>
            <w:r>
              <w:rPr>
                <w:b/>
                <w:color w:val="2E7D32"/>
                <w:sz w:val="20"/>
              </w:rPr>
              <w:t>LOW</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Resource</w:t>
            </w:r>
          </w:p>
        </w:tc>
        <w:tc>
          <w:tcPr>
            <w:tcW w:type="dxa" w:w="7370"/>
            <w:tcBorders>
              <w:top w:val="single" w:sz="4" w:color="808080"/>
              <w:left w:val="single" w:sz="4" w:color="808080"/>
              <w:bottom w:val="single" w:sz="4" w:color="808080"/>
              <w:right w:val="single" w:sz="4" w:color="808080"/>
            </w:tcBorders>
          </w:tcPr>
          <w:p>
            <w:pPr>
              <w:spacing w:after="0"/>
            </w:pPr>
            <w:r>
              <w:rPr>
                <w:sz w:val="20"/>
              </w:rPr>
              <w:t>account-wide</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Issue type</w:t>
            </w:r>
          </w:p>
        </w:tc>
        <w:tc>
          <w:tcPr>
            <w:tcW w:type="dxa" w:w="7370"/>
            <w:tcBorders>
              <w:top w:val="single" w:sz="4" w:color="808080"/>
              <w:left w:val="single" w:sz="4" w:color="808080"/>
              <w:bottom w:val="single" w:sz="4" w:color="808080"/>
              <w:right w:val="single" w:sz="4" w:color="808080"/>
            </w:tcBorders>
          </w:tcPr>
          <w:p>
            <w:pPr>
              <w:spacing w:after="0"/>
            </w:pPr>
            <w:r>
              <w:rPr>
                <w:sz w:val="20"/>
              </w:rPr>
              <w:t>cloudtrail_disabled</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CSA Top Threats 2025</w:t>
            </w:r>
          </w:p>
        </w:tc>
        <w:tc>
          <w:tcPr>
            <w:tcW w:type="dxa" w:w="7370"/>
            <w:tcBorders>
              <w:top w:val="single" w:sz="4" w:color="808080"/>
              <w:left w:val="single" w:sz="4" w:color="808080"/>
              <w:bottom w:val="single" w:sz="4" w:color="808080"/>
              <w:right w:val="single" w:sz="4" w:color="808080"/>
            </w:tcBorders>
          </w:tcPr>
          <w:p>
            <w:pPr>
              <w:spacing w:after="0"/>
            </w:pPr>
            <w:r>
              <w:rPr>
                <w:sz w:val="20"/>
              </w:rPr>
              <w:t>Misconfiguration &amp; Inadequate Change Control</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NIST SP 800-53 Rev. 5</w:t>
            </w:r>
          </w:p>
        </w:tc>
        <w:tc>
          <w:tcPr>
            <w:tcW w:type="dxa" w:w="7370"/>
            <w:tcBorders>
              <w:top w:val="single" w:sz="4" w:color="808080"/>
              <w:left w:val="single" w:sz="4" w:color="808080"/>
              <w:bottom w:val="single" w:sz="4" w:color="808080"/>
              <w:right w:val="single" w:sz="4" w:color="808080"/>
            </w:tcBorders>
          </w:tcPr>
          <w:p>
            <w:pPr>
              <w:spacing w:after="0"/>
            </w:pPr>
            <w:r>
              <w:rPr>
                <w:sz w:val="20"/>
              </w:rPr>
              <w:t>AU-2 (Event Logging), AU-12 (Audit Record Generation)</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DERS contribution</w:t>
            </w:r>
          </w:p>
        </w:tc>
        <w:tc>
          <w:tcPr>
            <w:tcW w:type="dxa" w:w="7370"/>
            <w:tcBorders>
              <w:top w:val="single" w:sz="4" w:color="808080"/>
              <w:left w:val="single" w:sz="4" w:color="808080"/>
              <w:bottom w:val="single" w:sz="4" w:color="808080"/>
              <w:right w:val="single" w:sz="4" w:color="808080"/>
            </w:tcBorders>
          </w:tcPr>
          <w:p>
            <w:pPr>
              <w:spacing w:after="0"/>
            </w:pPr>
            <w:r>
              <w:rPr>
                <w:sz w:val="20"/>
              </w:rPr>
              <w:t>1</w:t>
            </w:r>
          </w:p>
        </w:tc>
      </w:tr>
      <w:tr>
        <w:tc>
          <w:tcPr>
            <w:tcW w:type="dxa" w:w="2268"/>
            <w:shd w:val="clear" w:color="auto" w:fill="E8EEF5"/>
            <w:tcBorders>
              <w:top w:val="single" w:sz="4" w:color="808080"/>
              <w:left w:val="single" w:sz="4" w:color="808080"/>
              <w:bottom w:val="single" w:sz="4" w:color="808080"/>
              <w:right w:val="single" w:sz="4" w:color="808080"/>
            </w:tcBorders>
          </w:tcPr>
          <w:p>
            <w:pPr>
              <w:spacing w:after="0"/>
            </w:pPr>
            <w:r>
              <w:rPr>
                <w:b/>
                <w:sz w:val="20"/>
              </w:rPr>
              <w:t>Recommended fix window</w:t>
            </w:r>
          </w:p>
        </w:tc>
        <w:tc>
          <w:tcPr>
            <w:tcW w:type="dxa" w:w="7370"/>
            <w:tcBorders>
              <w:top w:val="single" w:sz="4" w:color="808080"/>
              <w:left w:val="single" w:sz="4" w:color="808080"/>
              <w:bottom w:val="single" w:sz="4" w:color="808080"/>
              <w:right w:val="single" w:sz="4" w:color="808080"/>
            </w:tcBorders>
          </w:tcPr>
          <w:p>
            <w:pPr>
              <w:spacing w:after="0"/>
            </w:pPr>
            <w:r>
              <w:rPr>
                <w:sz w:val="20"/>
              </w:rPr>
              <w:t>Within 4 weeks</w:t>
            </w:r>
          </w:p>
        </w:tc>
      </w:tr>
    </w:tbl>
    <w:p/>
    <w:p>
      <w:pPr>
        <w:spacing w:after="80"/>
      </w:pPr>
      <w:r>
        <w:rPr>
          <w:b/>
          <w:sz w:val="22"/>
        </w:rPr>
        <w:t xml:space="preserve">What this means: </w:t>
      </w:r>
      <w:r>
        <w:rPr>
          <w:sz w:val="22"/>
        </w:rPr>
        <w:t>AWS is not currently recording any activity in this account. If a breach occurred, there would be no log of what the attacker did, when, or from which IP address.</w:t>
      </w:r>
    </w:p>
    <w:p/>
    <w:p>
      <w:pPr>
        <w:spacing w:after="80"/>
      </w:pPr>
      <w:r>
        <w:rPr>
          <w:b/>
          <w:sz w:val="22"/>
        </w:rPr>
        <w:t xml:space="preserve">Business impact if exploited: </w:t>
      </w:r>
      <w:r>
        <w:rPr>
          <w:sz w:val="22"/>
        </w:rPr>
        <w:t>Absent logging does not cause a breach. It substantially extends detection time and undermines the ability to prove what happened during an incident, which affects legal, regulatory, and insurance outcomes.</w:t>
      </w:r>
    </w:p>
    <w:p/>
    <w:p>
      <w:pPr>
        <w:spacing w:after="80"/>
      </w:pPr>
      <w:r>
        <w:rPr>
          <w:b/>
          <w:sz w:val="22"/>
        </w:rPr>
        <w:t xml:space="preserve">Remediation command: </w:t>
      </w:r>
      <w:r>
        <w:rPr>
          <w:sz w:val="22"/>
        </w:rPr>
      </w:r>
    </w:p>
    <w:p>
      <w:pPr>
        <w:spacing w:after="0" w:before="0"/>
        <w:ind w:left="283"/>
        <w:shd w:val="clear" w:color="auto" w:fill="F0F3F7"/>
      </w:pPr>
      <w:r>
        <w:rPr>
          <w:rFonts w:ascii="Consolas" w:hAnsi="Consolas"/>
          <w:color w:val="1F3A5F"/>
          <w:sz w:val="18"/>
        </w:rPr>
        <w:t>aws cloudtrail create-trail \</w:t>
      </w:r>
    </w:p>
    <w:p>
      <w:pPr>
        <w:spacing w:after="0" w:before="0"/>
        <w:ind w:left="283"/>
        <w:shd w:val="clear" w:color="auto" w:fill="F0F3F7"/>
      </w:pPr>
      <w:r>
        <w:rPr>
          <w:rFonts w:ascii="Consolas" w:hAnsi="Consolas"/>
          <w:color w:val="1F3A5F"/>
          <w:sz w:val="18"/>
        </w:rPr>
        <w:t xml:space="preserve">    --name org-trail \</w:t>
      </w:r>
    </w:p>
    <w:p>
      <w:pPr>
        <w:spacing w:after="0" w:before="0"/>
        <w:ind w:left="283"/>
        <w:shd w:val="clear" w:color="auto" w:fill="F0F3F7"/>
      </w:pPr>
      <w:r>
        <w:rPr>
          <w:rFonts w:ascii="Consolas" w:hAnsi="Consolas"/>
          <w:color w:val="1F3A5F"/>
          <w:sz w:val="18"/>
        </w:rPr>
        <w:t xml:space="preserve">    --s3-bucket-name &lt;LOG-BUCKET&gt; \</w:t>
      </w:r>
    </w:p>
    <w:p>
      <w:pPr>
        <w:spacing w:after="0" w:before="0"/>
        <w:ind w:left="283"/>
        <w:shd w:val="clear" w:color="auto" w:fill="F0F3F7"/>
      </w:pPr>
      <w:r>
        <w:rPr>
          <w:rFonts w:ascii="Consolas" w:hAnsi="Consolas"/>
          <w:color w:val="1F3A5F"/>
          <w:sz w:val="18"/>
        </w:rPr>
        <w:t xml:space="preserve">    --is-multi-region-trail &amp;&amp; aws cloudtrail start-logging \</w:t>
      </w:r>
    </w:p>
    <w:p>
      <w:pPr>
        <w:spacing w:after="0" w:before="0"/>
        <w:ind w:left="283"/>
        <w:shd w:val="clear" w:color="auto" w:fill="F0F3F7"/>
      </w:pPr>
      <w:r>
        <w:rPr>
          <w:rFonts w:ascii="Consolas" w:hAnsi="Consolas"/>
          <w:color w:val="1F3A5F"/>
          <w:sz w:val="18"/>
        </w:rPr>
        <w:t xml:space="preserve">    --name org-trail</w:t>
      </w:r>
    </w:p>
    <w:p/>
    <w:p>
      <w:pPr>
        <w:spacing w:after="120"/>
      </w:pPr>
      <w:r>
        <w:rPr>
          <w:b w:val="0"/>
          <w:i/>
          <w:color w:val="333333"/>
          <w:sz w:val="20"/>
        </w:rPr>
        <w:t>Verification: rerun scan_and_fix.py after applying this command; the finding should no longer appear in the JSON output.</w:t>
      </w:r>
    </w:p>
    <w:p/>
    <w:p>
      <w:r>
        <w:br w:type="page"/>
      </w:r>
    </w:p>
    <w:p>
      <w:pPr>
        <w:spacing w:before="360" w:after="160"/>
      </w:pPr>
      <w:r>
        <w:rPr>
          <w:b/>
          <w:color w:val="1F3A5F"/>
          <w:sz w:val="28"/>
        </w:rPr>
        <w:t>4. Consolidated Remediation Timeline</w:t>
      </w:r>
    </w:p>
    <w:tbl>
      <w:tblPr>
        <w:tblW w:type="auto" w:w="0"/>
        <w:tblLook w:firstColumn="1" w:firstRow="1" w:lastColumn="0" w:lastRow="0" w:noHBand="0" w:noVBand="1" w:val="04A0"/>
      </w:tblPr>
      <w:tblGrid>
        <w:gridCol w:w="2351"/>
        <w:gridCol w:w="2351"/>
        <w:gridCol w:w="2351"/>
        <w:gridCol w:w="2351"/>
      </w:tblGrid>
      <w:tr>
        <w:tc>
          <w:tcPr>
            <w:tcW w:type="dxa" w:w="2351"/>
            <w:shd w:val="clear" w:color="auto" w:fill="1F3A5F"/>
            <w:tcBorders>
              <w:top w:val="single" w:sz="4" w:color="808080"/>
              <w:left w:val="single" w:sz="4" w:color="808080"/>
              <w:bottom w:val="single" w:sz="4" w:color="808080"/>
              <w:right w:val="single" w:sz="4" w:color="808080"/>
            </w:tcBorders>
          </w:tcPr>
          <w:p>
            <w:pPr>
              <w:spacing w:after="0"/>
            </w:pPr>
            <w:r>
              <w:rPr>
                <w:b/>
                <w:color w:val="FFFFFF"/>
                <w:sz w:val="20"/>
              </w:rPr>
              <w:t>Priority</w:t>
            </w:r>
          </w:p>
        </w:tc>
        <w:tc>
          <w:tcPr>
            <w:tcW w:type="dxa" w:w="2351"/>
            <w:shd w:val="clear" w:color="auto" w:fill="1F3A5F"/>
            <w:tcBorders>
              <w:top w:val="single" w:sz="4" w:color="808080"/>
              <w:left w:val="single" w:sz="4" w:color="808080"/>
              <w:bottom w:val="single" w:sz="4" w:color="808080"/>
              <w:right w:val="single" w:sz="4" w:color="808080"/>
            </w:tcBorders>
          </w:tcPr>
          <w:p>
            <w:pPr>
              <w:spacing w:after="0"/>
            </w:pPr>
            <w:r>
              <w:rPr>
                <w:b/>
                <w:color w:val="FFFFFF"/>
                <w:sz w:val="20"/>
              </w:rPr>
              <w:t>Findings</w:t>
            </w:r>
          </w:p>
        </w:tc>
        <w:tc>
          <w:tcPr>
            <w:tcW w:type="dxa" w:w="2351"/>
            <w:shd w:val="clear" w:color="auto" w:fill="1F3A5F"/>
            <w:tcBorders>
              <w:top w:val="single" w:sz="4" w:color="808080"/>
              <w:left w:val="single" w:sz="4" w:color="808080"/>
              <w:bottom w:val="single" w:sz="4" w:color="808080"/>
              <w:right w:val="single" w:sz="4" w:color="808080"/>
            </w:tcBorders>
          </w:tcPr>
          <w:p>
            <w:pPr>
              <w:spacing w:after="0"/>
            </w:pPr>
            <w:r>
              <w:rPr>
                <w:b/>
                <w:color w:val="FFFFFF"/>
                <w:sz w:val="20"/>
              </w:rPr>
              <w:t>Recommended completion</w:t>
            </w:r>
          </w:p>
        </w:tc>
        <w:tc>
          <w:tcPr>
            <w:tcW w:type="dxa" w:w="2351"/>
            <w:shd w:val="clear" w:color="auto" w:fill="1F3A5F"/>
            <w:tcBorders>
              <w:top w:val="single" w:sz="4" w:color="808080"/>
              <w:left w:val="single" w:sz="4" w:color="808080"/>
              <w:bottom w:val="single" w:sz="4" w:color="808080"/>
              <w:right w:val="single" w:sz="4" w:color="808080"/>
            </w:tcBorders>
          </w:tcPr>
          <w:p>
            <w:pPr>
              <w:spacing w:after="0"/>
            </w:pPr>
            <w:r>
              <w:rPr>
                <w:b/>
                <w:color w:val="FFFFFF"/>
                <w:sz w:val="20"/>
              </w:rPr>
              <w:t>Estimated effort</w:t>
            </w:r>
          </w:p>
        </w:tc>
      </w:tr>
      <w:tr>
        <w:tc>
          <w:tcPr>
            <w:tcW w:type="dxa" w:w="2351"/>
            <w:tcBorders>
              <w:top w:val="single" w:sz="4" w:color="808080"/>
              <w:left w:val="single" w:sz="4" w:color="808080"/>
              <w:bottom w:val="single" w:sz="4" w:color="808080"/>
              <w:right w:val="single" w:sz="4" w:color="808080"/>
            </w:tcBorders>
          </w:tcPr>
          <w:p>
            <w:pPr>
              <w:spacing w:after="0"/>
            </w:pPr>
            <w:r>
              <w:rPr>
                <w:sz w:val="20"/>
              </w:rPr>
              <w:t>Immediate (leak in progress)</w:t>
            </w:r>
          </w:p>
        </w:tc>
        <w:tc>
          <w:tcPr>
            <w:tcW w:type="dxa" w:w="2351"/>
            <w:tcBorders>
              <w:top w:val="single" w:sz="4" w:color="808080"/>
              <w:left w:val="single" w:sz="4" w:color="808080"/>
              <w:bottom w:val="single" w:sz="4" w:color="808080"/>
              <w:right w:val="single" w:sz="4" w:color="808080"/>
            </w:tcBorders>
          </w:tcPr>
          <w:p>
            <w:pPr>
              <w:spacing w:after="0"/>
            </w:pPr>
            <w:r>
              <w:rPr>
                <w:sz w:val="20"/>
              </w:rPr>
              <w:t>F-01, F-02, F-03, F-04, F-05, F-06, F-07</w:t>
            </w:r>
          </w:p>
        </w:tc>
        <w:tc>
          <w:tcPr>
            <w:tcW w:type="dxa" w:w="2351"/>
            <w:tcBorders>
              <w:top w:val="single" w:sz="4" w:color="808080"/>
              <w:left w:val="single" w:sz="4" w:color="808080"/>
              <w:bottom w:val="single" w:sz="4" w:color="808080"/>
              <w:right w:val="single" w:sz="4" w:color="808080"/>
            </w:tcBorders>
          </w:tcPr>
          <w:p>
            <w:pPr>
              <w:spacing w:after="0"/>
            </w:pPr>
            <w:r>
              <w:rPr>
                <w:sz w:val="20"/>
              </w:rPr>
              <w:t>Within 24 hours</w:t>
            </w:r>
          </w:p>
        </w:tc>
        <w:tc>
          <w:tcPr>
            <w:tcW w:type="dxa" w:w="2351"/>
            <w:tcBorders>
              <w:top w:val="single" w:sz="4" w:color="808080"/>
              <w:left w:val="single" w:sz="4" w:color="808080"/>
              <w:bottom w:val="single" w:sz="4" w:color="808080"/>
              <w:right w:val="single" w:sz="4" w:color="808080"/>
            </w:tcBorders>
          </w:tcPr>
          <w:p>
            <w:pPr>
              <w:spacing w:after="0"/>
            </w:pPr>
            <w:r>
              <w:rPr>
                <w:sz w:val="20"/>
              </w:rPr>
              <w:t>30 minutes</w:t>
            </w:r>
          </w:p>
        </w:tc>
      </w:tr>
      <w:tr>
        <w:tc>
          <w:tcPr>
            <w:tcW w:type="dxa" w:w="2351"/>
            <w:tcBorders>
              <w:top w:val="single" w:sz="4" w:color="808080"/>
              <w:left w:val="single" w:sz="4" w:color="808080"/>
              <w:bottom w:val="single" w:sz="4" w:color="808080"/>
              <w:right w:val="single" w:sz="4" w:color="808080"/>
            </w:tcBorders>
          </w:tcPr>
          <w:p>
            <w:pPr>
              <w:spacing w:after="0"/>
            </w:pPr>
            <w:r>
              <w:rPr>
                <w:sz w:val="20"/>
              </w:rPr>
              <w:t>Attack surface</w:t>
            </w:r>
          </w:p>
        </w:tc>
        <w:tc>
          <w:tcPr>
            <w:tcW w:type="dxa" w:w="2351"/>
            <w:tcBorders>
              <w:top w:val="single" w:sz="4" w:color="808080"/>
              <w:left w:val="single" w:sz="4" w:color="808080"/>
              <w:bottom w:val="single" w:sz="4" w:color="808080"/>
              <w:right w:val="single" w:sz="4" w:color="808080"/>
            </w:tcBorders>
          </w:tcPr>
          <w:p>
            <w:pPr>
              <w:spacing w:after="0"/>
            </w:pPr>
            <w:r>
              <w:rPr>
                <w:sz w:val="20"/>
              </w:rPr>
              <w:t>F-08, F-09, F-10, F-11, F-12, F-13, F-14, F-15, F-16, F-17</w:t>
            </w:r>
          </w:p>
        </w:tc>
        <w:tc>
          <w:tcPr>
            <w:tcW w:type="dxa" w:w="2351"/>
            <w:tcBorders>
              <w:top w:val="single" w:sz="4" w:color="808080"/>
              <w:left w:val="single" w:sz="4" w:color="808080"/>
              <w:bottom w:val="single" w:sz="4" w:color="808080"/>
              <w:right w:val="single" w:sz="4" w:color="808080"/>
            </w:tcBorders>
          </w:tcPr>
          <w:p>
            <w:pPr>
              <w:spacing w:after="0"/>
            </w:pPr>
            <w:r>
              <w:rPr>
                <w:sz w:val="20"/>
              </w:rPr>
              <w:t>Within 1 week</w:t>
            </w:r>
          </w:p>
        </w:tc>
        <w:tc>
          <w:tcPr>
            <w:tcW w:type="dxa" w:w="2351"/>
            <w:tcBorders>
              <w:top w:val="single" w:sz="4" w:color="808080"/>
              <w:left w:val="single" w:sz="4" w:color="808080"/>
              <w:bottom w:val="single" w:sz="4" w:color="808080"/>
              <w:right w:val="single" w:sz="4" w:color="808080"/>
            </w:tcBorders>
          </w:tcPr>
          <w:p>
            <w:pPr>
              <w:spacing w:after="0"/>
            </w:pPr>
            <w:r>
              <w:rPr>
                <w:sz w:val="20"/>
              </w:rPr>
              <w:t>45 minutes</w:t>
            </w:r>
          </w:p>
        </w:tc>
      </w:tr>
      <w:tr>
        <w:tc>
          <w:tcPr>
            <w:tcW w:type="dxa" w:w="2351"/>
            <w:tcBorders>
              <w:top w:val="single" w:sz="4" w:color="808080"/>
              <w:left w:val="single" w:sz="4" w:color="808080"/>
              <w:bottom w:val="single" w:sz="4" w:color="808080"/>
              <w:right w:val="single" w:sz="4" w:color="808080"/>
            </w:tcBorders>
          </w:tcPr>
          <w:p>
            <w:pPr>
              <w:spacing w:after="0"/>
            </w:pPr>
            <w:r>
              <w:rPr>
                <w:sz w:val="20"/>
              </w:rPr>
              <w:t>Identity &amp; governance</w:t>
            </w:r>
          </w:p>
        </w:tc>
        <w:tc>
          <w:tcPr>
            <w:tcW w:type="dxa" w:w="2351"/>
            <w:tcBorders>
              <w:top w:val="single" w:sz="4" w:color="808080"/>
              <w:left w:val="single" w:sz="4" w:color="808080"/>
              <w:bottom w:val="single" w:sz="4" w:color="808080"/>
              <w:right w:val="single" w:sz="4" w:color="808080"/>
            </w:tcBorders>
          </w:tcPr>
          <w:p>
            <w:pPr>
              <w:spacing w:after="0"/>
            </w:pPr>
            <w:r>
              <w:rPr>
                <w:sz w:val="20"/>
              </w:rPr>
              <w:t>F-18, F-19, F-20, F-21</w:t>
            </w:r>
          </w:p>
        </w:tc>
        <w:tc>
          <w:tcPr>
            <w:tcW w:type="dxa" w:w="2351"/>
            <w:tcBorders>
              <w:top w:val="single" w:sz="4" w:color="808080"/>
              <w:left w:val="single" w:sz="4" w:color="808080"/>
              <w:bottom w:val="single" w:sz="4" w:color="808080"/>
              <w:right w:val="single" w:sz="4" w:color="808080"/>
            </w:tcBorders>
          </w:tcPr>
          <w:p>
            <w:pPr>
              <w:spacing w:after="0"/>
            </w:pPr>
            <w:r>
              <w:rPr>
                <w:sz w:val="20"/>
              </w:rPr>
              <w:t>Within 2 weeks</w:t>
            </w:r>
          </w:p>
        </w:tc>
        <w:tc>
          <w:tcPr>
            <w:tcW w:type="dxa" w:w="2351"/>
            <w:tcBorders>
              <w:top w:val="single" w:sz="4" w:color="808080"/>
              <w:left w:val="single" w:sz="4" w:color="808080"/>
              <w:bottom w:val="single" w:sz="4" w:color="808080"/>
              <w:right w:val="single" w:sz="4" w:color="808080"/>
            </w:tcBorders>
          </w:tcPr>
          <w:p>
            <w:pPr>
              <w:spacing w:after="0"/>
            </w:pPr>
            <w:r>
              <w:rPr>
                <w:sz w:val="20"/>
              </w:rPr>
              <w:t>45 minutes (MFA needs human enrolment)</w:t>
            </w:r>
          </w:p>
        </w:tc>
      </w:tr>
      <w:tr>
        <w:tc>
          <w:tcPr>
            <w:tcW w:type="dxa" w:w="2351"/>
            <w:tcBorders>
              <w:top w:val="single" w:sz="4" w:color="808080"/>
              <w:left w:val="single" w:sz="4" w:color="808080"/>
              <w:bottom w:val="single" w:sz="4" w:color="808080"/>
              <w:right w:val="single" w:sz="4" w:color="808080"/>
            </w:tcBorders>
          </w:tcPr>
          <w:p>
            <w:pPr>
              <w:spacing w:after="0"/>
            </w:pPr>
            <w:r>
              <w:rPr>
                <w:sz w:val="20"/>
              </w:rPr>
              <w:t>Visibility &amp; resilience</w:t>
            </w:r>
          </w:p>
        </w:tc>
        <w:tc>
          <w:tcPr>
            <w:tcW w:type="dxa" w:w="2351"/>
            <w:tcBorders>
              <w:top w:val="single" w:sz="4" w:color="808080"/>
              <w:left w:val="single" w:sz="4" w:color="808080"/>
              <w:bottom w:val="single" w:sz="4" w:color="808080"/>
              <w:right w:val="single" w:sz="4" w:color="808080"/>
            </w:tcBorders>
          </w:tcPr>
          <w:p>
            <w:pPr>
              <w:spacing w:after="0"/>
            </w:pPr>
            <w:r>
              <w:rPr>
                <w:sz w:val="20"/>
              </w:rPr>
              <w:t>F-22, F-23, F-24, F-25, F-26</w:t>
            </w:r>
          </w:p>
        </w:tc>
        <w:tc>
          <w:tcPr>
            <w:tcW w:type="dxa" w:w="2351"/>
            <w:tcBorders>
              <w:top w:val="single" w:sz="4" w:color="808080"/>
              <w:left w:val="single" w:sz="4" w:color="808080"/>
              <w:bottom w:val="single" w:sz="4" w:color="808080"/>
              <w:right w:val="single" w:sz="4" w:color="808080"/>
            </w:tcBorders>
          </w:tcPr>
          <w:p>
            <w:pPr>
              <w:spacing w:after="0"/>
            </w:pPr>
            <w:r>
              <w:rPr>
                <w:sz w:val="20"/>
              </w:rPr>
              <w:t>Within 4 weeks</w:t>
            </w:r>
          </w:p>
        </w:tc>
        <w:tc>
          <w:tcPr>
            <w:tcW w:type="dxa" w:w="2351"/>
            <w:tcBorders>
              <w:top w:val="single" w:sz="4" w:color="808080"/>
              <w:left w:val="single" w:sz="4" w:color="808080"/>
              <w:bottom w:val="single" w:sz="4" w:color="808080"/>
              <w:right w:val="single" w:sz="4" w:color="808080"/>
            </w:tcBorders>
          </w:tcPr>
          <w:p>
            <w:pPr>
              <w:spacing w:after="0"/>
            </w:pPr>
            <w:r>
              <w:rPr>
                <w:sz w:val="20"/>
              </w:rPr>
              <w:t>20 minutes</w:t>
            </w:r>
          </w:p>
        </w:tc>
      </w:tr>
    </w:tbl>
    <w:p/>
    <w:p>
      <w:pPr>
        <w:spacing w:before="360" w:after="160"/>
      </w:pPr>
      <w:r>
        <w:rPr>
          <w:b/>
          <w:color w:val="1F3A5F"/>
          <w:sz w:val="28"/>
        </w:rPr>
        <w:t>5. Verification Plan and DERS Trajectory</w:t>
      </w:r>
    </w:p>
    <w:p>
      <w:pPr>
        <w:spacing w:after="120"/>
      </w:pPr>
      <w:r>
        <w:rPr>
          <w:b w:val="0"/>
          <w:i w:val="0"/>
          <w:sz w:val="22"/>
        </w:rPr>
        <w:t>After each remediation window, rerun scan_and_fix.py to confirm the specific findings no longer appear, and (for S3 findings) rerun demonstrate_leak.py to confirm unauthenticated HTTP requests receive 403 Forbidden. The Data Exposure Risk Score should drop as follows:</w:t>
      </w:r>
    </w:p>
    <w:tbl>
      <w:tblPr>
        <w:tblW w:type="auto" w:w="0"/>
        <w:tblLook w:firstColumn="1" w:firstRow="1" w:lastColumn="0" w:lastRow="0" w:noHBand="0" w:noVBand="1" w:val="04A0"/>
      </w:tblPr>
      <w:tblGrid>
        <w:gridCol w:w="4703"/>
        <w:gridCol w:w="4703"/>
      </w:tblGrid>
      <w:tr>
        <w:tc>
          <w:tcPr>
            <w:tcW w:type="dxa" w:w="4703"/>
            <w:shd w:val="clear" w:color="auto" w:fill="1F3A5F"/>
            <w:tcBorders>
              <w:top w:val="single" w:sz="4" w:color="808080"/>
              <w:left w:val="single" w:sz="4" w:color="808080"/>
              <w:bottom w:val="single" w:sz="4" w:color="808080"/>
              <w:right w:val="single" w:sz="4" w:color="808080"/>
            </w:tcBorders>
          </w:tcPr>
          <w:p>
            <w:pPr>
              <w:spacing w:after="0"/>
            </w:pPr>
            <w:r>
              <w:rPr>
                <w:b/>
                <w:color w:val="FFFFFF"/>
                <w:sz w:val="20"/>
              </w:rPr>
              <w:t>After remediation window</w:t>
            </w:r>
          </w:p>
        </w:tc>
        <w:tc>
          <w:tcPr>
            <w:tcW w:type="dxa" w:w="4703"/>
            <w:shd w:val="clear" w:color="auto" w:fill="1F3A5F"/>
            <w:tcBorders>
              <w:top w:val="single" w:sz="4" w:color="808080"/>
              <w:left w:val="single" w:sz="4" w:color="808080"/>
              <w:bottom w:val="single" w:sz="4" w:color="808080"/>
              <w:right w:val="single" w:sz="4" w:color="808080"/>
            </w:tcBorders>
          </w:tcPr>
          <w:p>
            <w:pPr>
              <w:spacing w:after="0"/>
            </w:pPr>
            <w:r>
              <w:rPr>
                <w:b/>
                <w:color w:val="FFFFFF"/>
                <w:sz w:val="20"/>
              </w:rPr>
              <w:t>Expected DERS</w:t>
            </w:r>
          </w:p>
        </w:tc>
      </w:tr>
      <w:tr>
        <w:tc>
          <w:tcPr>
            <w:tcW w:type="dxa" w:w="4703"/>
            <w:tcBorders>
              <w:top w:val="single" w:sz="4" w:color="808080"/>
              <w:left w:val="single" w:sz="4" w:color="808080"/>
              <w:bottom w:val="single" w:sz="4" w:color="808080"/>
              <w:right w:val="single" w:sz="4" w:color="808080"/>
            </w:tcBorders>
          </w:tcPr>
          <w:p>
            <w:pPr>
              <w:spacing w:after="0"/>
            </w:pPr>
            <w:r>
              <w:rPr>
                <w:sz w:val="20"/>
              </w:rPr>
              <w:t>Baseline (nothing fixed)</w:t>
            </w:r>
          </w:p>
        </w:tc>
        <w:tc>
          <w:tcPr>
            <w:tcW w:type="dxa" w:w="4703"/>
            <w:tcBorders>
              <w:top w:val="single" w:sz="4" w:color="808080"/>
              <w:left w:val="single" w:sz="4" w:color="808080"/>
              <w:bottom w:val="single" w:sz="4" w:color="808080"/>
              <w:right w:val="single" w:sz="4" w:color="808080"/>
            </w:tcBorders>
          </w:tcPr>
          <w:p>
            <w:pPr>
              <w:spacing w:after="0"/>
            </w:pPr>
            <w:r>
              <w:rPr>
                <w:sz w:val="20"/>
              </w:rPr>
              <w:t>64</w:t>
            </w:r>
          </w:p>
        </w:tc>
      </w:tr>
      <w:tr>
        <w:tc>
          <w:tcPr>
            <w:tcW w:type="dxa" w:w="4703"/>
            <w:tcBorders>
              <w:top w:val="single" w:sz="4" w:color="808080"/>
              <w:left w:val="single" w:sz="4" w:color="808080"/>
              <w:bottom w:val="single" w:sz="4" w:color="808080"/>
              <w:right w:val="single" w:sz="4" w:color="808080"/>
            </w:tcBorders>
          </w:tcPr>
          <w:p>
            <w:pPr>
              <w:spacing w:after="0"/>
            </w:pPr>
            <w:r>
              <w:rPr>
                <w:sz w:val="20"/>
              </w:rPr>
              <w:t>+ Priority 1 done (Immediate (leak in progress))</w:t>
            </w:r>
          </w:p>
        </w:tc>
        <w:tc>
          <w:tcPr>
            <w:tcW w:type="dxa" w:w="4703"/>
            <w:tcBorders>
              <w:top w:val="single" w:sz="4" w:color="808080"/>
              <w:left w:val="single" w:sz="4" w:color="808080"/>
              <w:bottom w:val="single" w:sz="4" w:color="808080"/>
              <w:right w:val="single" w:sz="4" w:color="808080"/>
            </w:tcBorders>
          </w:tcPr>
          <w:p>
            <w:pPr>
              <w:spacing w:after="0"/>
            </w:pPr>
            <w:r>
              <w:rPr>
                <w:sz w:val="20"/>
              </w:rPr>
              <w:t>43</w:t>
            </w:r>
          </w:p>
        </w:tc>
      </w:tr>
      <w:tr>
        <w:tc>
          <w:tcPr>
            <w:tcW w:type="dxa" w:w="4703"/>
            <w:tcBorders>
              <w:top w:val="single" w:sz="4" w:color="808080"/>
              <w:left w:val="single" w:sz="4" w:color="808080"/>
              <w:bottom w:val="single" w:sz="4" w:color="808080"/>
              <w:right w:val="single" w:sz="4" w:color="808080"/>
            </w:tcBorders>
          </w:tcPr>
          <w:p>
            <w:pPr>
              <w:spacing w:after="0"/>
            </w:pPr>
            <w:r>
              <w:rPr>
                <w:sz w:val="20"/>
              </w:rPr>
              <w:t>+ Priority 2 done (Attack surface)</w:t>
            </w:r>
          </w:p>
        </w:tc>
        <w:tc>
          <w:tcPr>
            <w:tcW w:type="dxa" w:w="4703"/>
            <w:tcBorders>
              <w:top w:val="single" w:sz="4" w:color="808080"/>
              <w:left w:val="single" w:sz="4" w:color="808080"/>
              <w:bottom w:val="single" w:sz="4" w:color="808080"/>
              <w:right w:val="single" w:sz="4" w:color="808080"/>
            </w:tcBorders>
          </w:tcPr>
          <w:p>
            <w:pPr>
              <w:spacing w:after="0"/>
            </w:pPr>
            <w:r>
              <w:rPr>
                <w:sz w:val="20"/>
              </w:rPr>
              <w:t>17</w:t>
            </w:r>
          </w:p>
        </w:tc>
      </w:tr>
      <w:tr>
        <w:tc>
          <w:tcPr>
            <w:tcW w:type="dxa" w:w="4703"/>
            <w:tcBorders>
              <w:top w:val="single" w:sz="4" w:color="808080"/>
              <w:left w:val="single" w:sz="4" w:color="808080"/>
              <w:bottom w:val="single" w:sz="4" w:color="808080"/>
              <w:right w:val="single" w:sz="4" w:color="808080"/>
            </w:tcBorders>
          </w:tcPr>
          <w:p>
            <w:pPr>
              <w:spacing w:after="0"/>
            </w:pPr>
            <w:r>
              <w:rPr>
                <w:sz w:val="20"/>
              </w:rPr>
              <w:t>+ Priority 3 done (Identity &amp; governance)</w:t>
            </w:r>
          </w:p>
        </w:tc>
        <w:tc>
          <w:tcPr>
            <w:tcW w:type="dxa" w:w="4703"/>
            <w:tcBorders>
              <w:top w:val="single" w:sz="4" w:color="808080"/>
              <w:left w:val="single" w:sz="4" w:color="808080"/>
              <w:bottom w:val="single" w:sz="4" w:color="808080"/>
              <w:right w:val="single" w:sz="4" w:color="808080"/>
            </w:tcBorders>
          </w:tcPr>
          <w:p>
            <w:pPr>
              <w:spacing w:after="0"/>
            </w:pPr>
            <w:r>
              <w:rPr>
                <w:sz w:val="20"/>
              </w:rPr>
              <w:t>5</w:t>
            </w:r>
          </w:p>
        </w:tc>
      </w:tr>
      <w:tr>
        <w:tc>
          <w:tcPr>
            <w:tcW w:type="dxa" w:w="4703"/>
            <w:tcBorders>
              <w:top w:val="single" w:sz="4" w:color="808080"/>
              <w:left w:val="single" w:sz="4" w:color="808080"/>
              <w:bottom w:val="single" w:sz="4" w:color="808080"/>
              <w:right w:val="single" w:sz="4" w:color="808080"/>
            </w:tcBorders>
          </w:tcPr>
          <w:p>
            <w:pPr>
              <w:spacing w:after="0"/>
            </w:pPr>
            <w:r>
              <w:rPr>
                <w:sz w:val="20"/>
              </w:rPr>
              <w:t>+ Priority 4 done (Visibility &amp; resilience)</w:t>
            </w:r>
          </w:p>
        </w:tc>
        <w:tc>
          <w:tcPr>
            <w:tcW w:type="dxa" w:w="4703"/>
            <w:tcBorders>
              <w:top w:val="single" w:sz="4" w:color="808080"/>
              <w:left w:val="single" w:sz="4" w:color="808080"/>
              <w:bottom w:val="single" w:sz="4" w:color="808080"/>
              <w:right w:val="single" w:sz="4" w:color="808080"/>
            </w:tcBorders>
          </w:tcPr>
          <w:p>
            <w:pPr>
              <w:spacing w:after="0"/>
            </w:pPr>
            <w:r>
              <w:rPr>
                <w:sz w:val="20"/>
              </w:rPr>
              <w:t>0</w:t>
            </w:r>
          </w:p>
        </w:tc>
      </w:tr>
    </w:tbl>
    <w:p>
      <w:r>
        <w:br w:type="page"/>
      </w:r>
    </w:p>
    <w:p>
      <w:pPr>
        <w:spacing w:before="360" w:after="160"/>
      </w:pPr>
      <w:r>
        <w:rPr>
          <w:b/>
          <w:color w:val="1F3A5F"/>
          <w:sz w:val="28"/>
        </w:rPr>
        <w:t>Appendix A: Evidence of Public Data Exposure</w:t>
      </w:r>
    </w:p>
    <w:p>
      <w:pPr>
        <w:spacing w:after="120"/>
      </w:pPr>
      <w:r>
        <w:rPr>
          <w:b w:val="0"/>
          <w:i w:val="0"/>
          <w:sz w:val="22"/>
        </w:rPr>
        <w:t>The public S3 findings above were confirmed as actively leaking by demonstrate_leak.py, which issues plain HTTPS GET requests with no AWS credentials attached. Before remediation, all test files returned HTTP 200 OK with full contents. After the S3 remediation commands are applied, the same requests receive HTTP 403 Forbidden from AWS at the storage service boundary.</w:t>
      </w:r>
    </w:p>
    <w:p>
      <w:pPr>
        <w:spacing w:after="120"/>
      </w:pPr>
      <w:r>
        <w:rPr>
          <w:b w:val="0"/>
          <w:i/>
          <w:color w:val="333333"/>
          <w:sz w:val="20"/>
        </w:rPr>
        <w:t>Captured evidence files (if the --save-evidence flag was used) are stored alongside this report as evidence_&lt;filename&gt;_&lt;timestamp&gt;.txt and can be attached to any incident record.</w:t>
      </w:r>
    </w:p>
    <w:p>
      <w:pPr>
        <w:spacing w:before="360" w:after="160"/>
      </w:pPr>
      <w:r>
        <w:rPr>
          <w:b/>
          <w:color w:val="1F3A5F"/>
          <w:sz w:val="28"/>
        </w:rPr>
        <w:t>Appendix B: Scanner Tooling</w:t>
      </w:r>
    </w:p>
    <w:p>
      <w:pPr>
        <w:spacing w:after="120"/>
      </w:pPr>
      <w:r>
        <w:rPr>
          <w:b w:val="0"/>
          <w:i w:val="0"/>
          <w:sz w:val="22"/>
        </w:rPr>
        <w:t>This report was generated from the raw JSON output of scan_and_fix.py, a read-only AWS security scanner covering S3, EC2, IAM, and CloudTrail. Every finding maps to a NIST SP 800-53 Rev. 5 control and a Cloud Security Alliance Top Threats 2025 category through a single central catalogue in the scanner's source code, which means the standards mapping cannot drift between findings.</w:t>
      </w:r>
    </w:p>
    <w:p>
      <w:pPr>
        <w:spacing w:after="120"/>
      </w:pPr>
      <w:r>
        <w:rPr>
          <w:b w:val="0"/>
          <w:i w:val="0"/>
          <w:sz w:val="22"/>
        </w:rPr>
        <w:t>The complete scanner source and the automated remediation script (fix_vulnerabilities.py) are provided as separate files in the assessment package.</w:t>
      </w:r>
    </w:p>
    <w:sectPr w:rsidR="00FC693F" w:rsidRPr="0006063C" w:rsidSect="00034616">
      <w:pgSz w:w="12240" w:h="15840"/>
      <w:pgMar w:top="1417" w:right="1417" w:bottom="1417"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rPr>
      <w:rFonts w:ascii="Calibri" w:hAnsi="Calibri"/>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