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051550E" wp14:paraId="3C44CD20" wp14:textId="68856F68">
      <w:pPr>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7E204B43">
        <w:drawing>
          <wp:inline xmlns:wp14="http://schemas.microsoft.com/office/word/2010/wordprocessingDrawing" wp14:editId="772B8E39" wp14:anchorId="00F82AD1">
            <wp:extent cx="1905000" cy="638175"/>
            <wp:effectExtent l="0" t="0" r="0" b="0"/>
            <wp:docPr id="2021128022" name="" title=""/>
            <wp:cNvGraphicFramePr>
              <a:graphicFrameLocks noChangeAspect="1"/>
            </wp:cNvGraphicFramePr>
            <a:graphic>
              <a:graphicData uri="http://schemas.openxmlformats.org/drawingml/2006/picture">
                <pic:pic>
                  <pic:nvPicPr>
                    <pic:cNvPr id="0" name=""/>
                    <pic:cNvPicPr/>
                  </pic:nvPicPr>
                  <pic:blipFill>
                    <a:blip r:embed="Rd03ac89f837f4a85">
                      <a:extLst>
                        <a:ext xmlns:a="http://schemas.openxmlformats.org/drawingml/2006/main" uri="{28A0092B-C50C-407E-A947-70E740481C1C}">
                          <a14:useLocalDpi val="0"/>
                        </a:ext>
                      </a:extLst>
                    </a:blip>
                    <a:stretch>
                      <a:fillRect/>
                    </a:stretch>
                  </pic:blipFill>
                  <pic:spPr>
                    <a:xfrm>
                      <a:off x="0" y="0"/>
                      <a:ext cx="1905000" cy="638175"/>
                    </a:xfrm>
                    <a:prstGeom prst="rect">
                      <a:avLst/>
                    </a:prstGeom>
                  </pic:spPr>
                </pic:pic>
              </a:graphicData>
            </a:graphic>
          </wp:inline>
        </w:drawing>
      </w:r>
    </w:p>
    <w:p xmlns:wp14="http://schemas.microsoft.com/office/word/2010/wordml" w:rsidP="7051550E" wp14:paraId="6F0FB4B7" wp14:textId="294C5C7B">
      <w:pPr>
        <w:ind w:left="-126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051550E" wp14:paraId="7A2D2A74" wp14:textId="391A4BB1">
      <w:pPr>
        <w:ind w:left="-126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051550E" wp14:paraId="18B19D9F" wp14:textId="5A6931AD">
      <w:pPr>
        <w:spacing w:before="0" w:beforeAutospacing="off" w:after="0" w:afterAutospacing="off"/>
        <w:ind w:left="0" w:right="0"/>
        <w:jc w:val="left"/>
        <w:rPr>
          <w:rFonts w:ascii="Arial" w:hAnsi="Arial" w:eastAsia="Arial" w:cs="Arial"/>
          <w:b w:val="0"/>
          <w:bCs w:val="0"/>
          <w:i w:val="0"/>
          <w:iCs w:val="0"/>
          <w:caps w:val="0"/>
          <w:smallCaps w:val="0"/>
          <w:noProof w:val="0"/>
          <w:color w:val="000000" w:themeColor="text1" w:themeTint="FF" w:themeShade="FF"/>
          <w:sz w:val="40"/>
          <w:szCs w:val="40"/>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1872"/>
        <w:gridCol w:w="1872"/>
        <w:gridCol w:w="1872"/>
        <w:gridCol w:w="1872"/>
        <w:gridCol w:w="1872"/>
      </w:tblGrid>
      <w:tr w:rsidR="7051550E" w:rsidTr="678C35A9" w14:paraId="3C062F7F">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6D35ED47" w14:textId="2A95D527">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Student Name:</w:t>
            </w:r>
          </w:p>
          <w:p w:rsidR="7051550E" w:rsidP="7051550E" w:rsidRDefault="7051550E" w14:paraId="40A4E238" w14:textId="38CE6248">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Yoanna Koleva Uzunova</w:t>
            </w:r>
          </w:p>
        </w:tc>
      </w:tr>
      <w:tr w:rsidR="7051550E" w:rsidTr="678C35A9" w14:paraId="3DE1AFB2">
        <w:trPr>
          <w:trHeight w:val="300"/>
        </w:trPr>
        <w:tc>
          <w:tcPr>
            <w:tcW w:w="18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4024893E" w14:textId="71DC73D7">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Module code: </w:t>
            </w:r>
            <w:r w:rsidRPr="7051550E" w:rsidR="7051550E">
              <w:rPr>
                <w:rFonts w:ascii="Arial" w:hAnsi="Arial" w:eastAsia="Arial" w:cs="Arial"/>
                <w:b w:val="1"/>
                <w:bCs w:val="1"/>
                <w:i w:val="0"/>
                <w:iCs w:val="0"/>
                <w:color w:val="000000" w:themeColor="text1" w:themeTint="FF" w:themeShade="FF"/>
                <w:sz w:val="22"/>
                <w:szCs w:val="22"/>
                <w:lang w:val="en-US"/>
              </w:rPr>
              <w:t>HPCA7027</w:t>
            </w:r>
          </w:p>
          <w:p w:rsidR="7051550E" w:rsidP="7051550E" w:rsidRDefault="7051550E" w14:paraId="7AD1E261" w14:textId="098D41AA">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5B365DAE" w:rsidRDefault="7051550E" w14:paraId="4A585F21" w14:textId="47319E9E">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5B365DAE" w:rsidR="737190E8">
              <w:rPr>
                <w:rFonts w:ascii="Arial" w:hAnsi="Arial" w:eastAsia="Arial" w:cs="Arial"/>
                <w:b w:val="0"/>
                <w:bCs w:val="0"/>
                <w:i w:val="0"/>
                <w:iCs w:val="0"/>
                <w:color w:val="000000" w:themeColor="text1" w:themeTint="FF" w:themeShade="FF"/>
                <w:sz w:val="22"/>
                <w:szCs w:val="22"/>
                <w:lang w:val="en-US"/>
              </w:rPr>
              <w:t xml:space="preserve">Module title: </w:t>
            </w:r>
            <w:r w:rsidRPr="5B365DAE" w:rsidR="737190E8">
              <w:rPr>
                <w:rFonts w:ascii="Arial" w:hAnsi="Arial" w:eastAsia="Arial" w:cs="Arial"/>
                <w:b w:val="1"/>
                <w:bCs w:val="1"/>
                <w:i w:val="0"/>
                <w:iCs w:val="0"/>
                <w:color w:val="000000" w:themeColor="text1" w:themeTint="FF" w:themeShade="FF"/>
                <w:sz w:val="22"/>
                <w:szCs w:val="22"/>
                <w:lang w:val="en-US"/>
              </w:rPr>
              <w:t xml:space="preserve">Cosmology, </w:t>
            </w:r>
            <w:bookmarkStart w:name="_Int_wPyC1H48" w:id="773187403"/>
            <w:r w:rsidRPr="5B365DAE" w:rsidR="737190E8">
              <w:rPr>
                <w:rFonts w:ascii="Arial" w:hAnsi="Arial" w:eastAsia="Arial" w:cs="Arial"/>
                <w:b w:val="1"/>
                <w:bCs w:val="1"/>
                <w:i w:val="0"/>
                <w:iCs w:val="0"/>
                <w:color w:val="000000" w:themeColor="text1" w:themeTint="FF" w:themeShade="FF"/>
                <w:sz w:val="22"/>
                <w:szCs w:val="22"/>
                <w:lang w:val="en-US"/>
              </w:rPr>
              <w:t>Magic</w:t>
            </w:r>
            <w:bookmarkEnd w:id="773187403"/>
            <w:r w:rsidRPr="5B365DAE" w:rsidR="737190E8">
              <w:rPr>
                <w:rFonts w:ascii="Arial" w:hAnsi="Arial" w:eastAsia="Arial" w:cs="Arial"/>
                <w:b w:val="1"/>
                <w:bCs w:val="1"/>
                <w:i w:val="0"/>
                <w:iCs w:val="0"/>
                <w:color w:val="000000" w:themeColor="text1" w:themeTint="FF" w:themeShade="FF"/>
                <w:sz w:val="22"/>
                <w:szCs w:val="22"/>
                <w:lang w:val="en-US"/>
              </w:rPr>
              <w:t xml:space="preserve"> and Divination</w:t>
            </w:r>
          </w:p>
          <w:p w:rsidR="7051550E" w:rsidP="7051550E" w:rsidRDefault="7051550E" w14:paraId="281539FF" w14:textId="6914C6E9">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73128B4A" w14:textId="24941F45">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tc>
        <w:tc>
          <w:tcPr>
            <w:tcW w:w="5616" w:type="dxa"/>
            <w:gridSpan w:val="3"/>
            <w:tcBorders>
              <w:top w:val="nil"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0A0F99C7" w14:textId="5D883FE4">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Student ID number:</w:t>
            </w:r>
          </w:p>
          <w:p w:rsidR="7051550E" w:rsidP="7051550E" w:rsidRDefault="7051550E" w14:paraId="37D1A530" w14:textId="11327447">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2124312</w:t>
            </w:r>
          </w:p>
        </w:tc>
        <w:tc>
          <w:tcPr>
            <w:tcW w:w="1872" w:type="dxa"/>
            <w:tcBorders>
              <w:top w:val="nil" w:color="000000" w:themeColor="text1" w:sz="6"/>
              <w:left w:val="nil"/>
              <w:bottom w:val="single" w:color="000000" w:themeColor="text1" w:sz="6"/>
              <w:right w:val="single" w:color="000000" w:themeColor="text1" w:sz="6"/>
            </w:tcBorders>
            <w:tcMar>
              <w:left w:w="105" w:type="dxa"/>
              <w:right w:w="105" w:type="dxa"/>
            </w:tcMar>
            <w:vAlign w:val="top"/>
          </w:tcPr>
          <w:p w:rsidR="7051550E" w:rsidP="7051550E" w:rsidRDefault="7051550E" w14:paraId="00A3E359" w14:textId="54A6DD85">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Educational support needs:</w:t>
            </w:r>
          </w:p>
          <w:p w:rsidR="7051550E" w:rsidP="7051550E" w:rsidRDefault="7051550E" w14:paraId="45EBA9EE" w14:textId="450859F5">
            <w:pPr>
              <w:spacing w:before="0" w:beforeAutospacing="off" w:after="0" w:afterAutospacing="off"/>
              <w:ind w:left="0" w:right="34"/>
              <w:jc w:val="left"/>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Yes/</w:t>
            </w:r>
            <w:r w:rsidRPr="7051550E" w:rsidR="7051550E">
              <w:rPr>
                <w:rFonts w:ascii="Arial" w:hAnsi="Arial" w:eastAsia="Arial" w:cs="Arial"/>
                <w:b w:val="1"/>
                <w:bCs w:val="1"/>
                <w:i w:val="0"/>
                <w:iCs w:val="0"/>
                <w:color w:val="000000" w:themeColor="text1" w:themeTint="FF" w:themeShade="FF"/>
                <w:sz w:val="22"/>
                <w:szCs w:val="22"/>
                <w:lang w:val="en-US"/>
              </w:rPr>
              <w:t>No</w:t>
            </w:r>
          </w:p>
        </w:tc>
      </w:tr>
      <w:tr w:rsidR="7051550E" w:rsidTr="678C35A9" w14:paraId="0FC0741D">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1B8AA660" w14:textId="7AF139EE">
            <w:pPr>
              <w:spacing w:before="0" w:beforeAutospacing="off" w:after="0" w:afterAutospacing="off"/>
              <w:ind w:left="0" w:right="34"/>
              <w:rPr>
                <w:rFonts w:ascii="Arial" w:hAnsi="Arial" w:eastAsia="Arial" w:cs="Arial"/>
                <w:b w:val="0"/>
                <w:bCs w:val="0"/>
                <w:i w:val="0"/>
                <w:iCs w:val="0"/>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Module tutor: </w:t>
            </w:r>
            <w:r w:rsidRPr="7051550E" w:rsidR="7051550E">
              <w:rPr>
                <w:rFonts w:ascii="Arial" w:hAnsi="Arial" w:eastAsia="Arial" w:cs="Arial"/>
                <w:b w:val="1"/>
                <w:bCs w:val="1"/>
                <w:i w:val="0"/>
                <w:iCs w:val="0"/>
                <w:sz w:val="22"/>
                <w:szCs w:val="22"/>
                <w:lang w:val="en-US"/>
              </w:rPr>
              <w:t>Dorian Greenbaum, Dawn Collins</w:t>
            </w:r>
          </w:p>
          <w:p w:rsidR="7051550E" w:rsidP="7051550E" w:rsidRDefault="7051550E" w14:paraId="6492AB13" w14:textId="4149CFB8">
            <w:pPr>
              <w:spacing w:before="0" w:beforeAutospacing="off" w:after="0" w:afterAutospacing="off"/>
              <w:ind w:left="0" w:right="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3A54DED6" w14:textId="1CC0F220">
            <w:pPr>
              <w:spacing w:before="0" w:beforeAutospacing="off" w:after="0" w:afterAutospacing="off"/>
              <w:ind w:left="0" w:right="34"/>
              <w:rPr>
                <w:rFonts w:ascii="Arial" w:hAnsi="Arial" w:eastAsia="Arial" w:cs="Arial"/>
                <w:b w:val="0"/>
                <w:bCs w:val="0"/>
                <w:i w:val="0"/>
                <w:iCs w:val="0"/>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Assignment due date: </w:t>
            </w:r>
            <w:r w:rsidRPr="7051550E" w:rsidR="29EA1666">
              <w:rPr>
                <w:rFonts w:ascii="Arial" w:hAnsi="Arial" w:eastAsia="Arial" w:cs="Arial"/>
                <w:b w:val="1"/>
                <w:bCs w:val="1"/>
                <w:noProof w:val="0"/>
                <w:sz w:val="22"/>
                <w:szCs w:val="22"/>
                <w:lang w:val="en-US"/>
              </w:rPr>
              <w:t>22 April 2025</w:t>
            </w:r>
          </w:p>
        </w:tc>
      </w:tr>
      <w:tr w:rsidR="7051550E" w:rsidTr="678C35A9" w14:paraId="4B79C7F3">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176BED5D" w14:textId="349B9D0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If your module has multiple submissions, please indicate which piece of work this is.</w:t>
            </w:r>
          </w:p>
          <w:p w:rsidR="7051550E" w:rsidP="7051550E" w:rsidRDefault="7051550E" w14:paraId="0A985229" w14:textId="4FB7CF74">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27DC859B" w14:textId="18A04B5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1</w:t>
            </w:r>
            <w:r w:rsidRPr="7051550E" w:rsidR="7051550E">
              <w:rPr>
                <w:rFonts w:ascii="Arial" w:hAnsi="Arial" w:eastAsia="Arial" w:cs="Arial"/>
                <w:b w:val="1"/>
                <w:bCs w:val="1"/>
                <w:i w:val="0"/>
                <w:iCs w:val="0"/>
                <w:color w:val="000000" w:themeColor="text1" w:themeTint="FF" w:themeShade="FF"/>
                <w:sz w:val="22"/>
                <w:szCs w:val="22"/>
                <w:vertAlign w:val="superscript"/>
                <w:lang w:val="en-US"/>
              </w:rPr>
              <w:t>st</w:t>
            </w:r>
            <w:r w:rsidRPr="7051550E" w:rsidR="7051550E">
              <w:rPr>
                <w:rFonts w:ascii="Arial" w:hAnsi="Arial" w:eastAsia="Arial" w:cs="Arial"/>
                <w:b w:val="0"/>
                <w:bCs w:val="0"/>
                <w:i w:val="0"/>
                <w:iCs w:val="0"/>
                <w:color w:val="000000" w:themeColor="text1" w:themeTint="FF" w:themeShade="FF"/>
                <w:sz w:val="22"/>
                <w:szCs w:val="22"/>
                <w:vertAlign w:val="superscript"/>
                <w:lang w:val="en-US"/>
              </w:rPr>
              <w:t xml:space="preserve"> </w:t>
            </w:r>
            <w:r w:rsidRPr="7051550E" w:rsidR="7051550E">
              <w:rPr>
                <w:rFonts w:ascii="Arial" w:hAnsi="Arial" w:eastAsia="Arial" w:cs="Arial"/>
                <w:b w:val="0"/>
                <w:bCs w:val="0"/>
                <w:i w:val="0"/>
                <w:iCs w:val="0"/>
                <w:color w:val="000000" w:themeColor="text1" w:themeTint="FF" w:themeShade="FF"/>
                <w:sz w:val="22"/>
                <w:szCs w:val="22"/>
                <w:lang w:val="en-US"/>
              </w:rPr>
              <w:t xml:space="preserve">    2</w:t>
            </w:r>
            <w:r w:rsidRPr="7051550E" w:rsidR="7051550E">
              <w:rPr>
                <w:rFonts w:ascii="Arial" w:hAnsi="Arial" w:eastAsia="Arial" w:cs="Arial"/>
                <w:b w:val="0"/>
                <w:bCs w:val="0"/>
                <w:i w:val="0"/>
                <w:iCs w:val="0"/>
                <w:color w:val="000000" w:themeColor="text1" w:themeTint="FF" w:themeShade="FF"/>
                <w:sz w:val="22"/>
                <w:szCs w:val="22"/>
                <w:vertAlign w:val="superscript"/>
                <w:lang w:val="en-US"/>
              </w:rPr>
              <w:t>nd</w:t>
            </w:r>
            <w:r w:rsidRPr="7051550E" w:rsidR="7051550E">
              <w:rPr>
                <w:rFonts w:ascii="Arial" w:hAnsi="Arial" w:eastAsia="Arial" w:cs="Arial"/>
                <w:b w:val="0"/>
                <w:bCs w:val="0"/>
                <w:i w:val="0"/>
                <w:iCs w:val="0"/>
                <w:color w:val="000000" w:themeColor="text1" w:themeTint="FF" w:themeShade="FF"/>
                <w:sz w:val="22"/>
                <w:szCs w:val="22"/>
                <w:lang w:val="en-US"/>
              </w:rPr>
              <w:t xml:space="preserve">       3</w:t>
            </w:r>
            <w:r w:rsidRPr="7051550E" w:rsidR="7051550E">
              <w:rPr>
                <w:rFonts w:ascii="Arial" w:hAnsi="Arial" w:eastAsia="Arial" w:cs="Arial"/>
                <w:b w:val="0"/>
                <w:bCs w:val="0"/>
                <w:i w:val="0"/>
                <w:iCs w:val="0"/>
                <w:color w:val="000000" w:themeColor="text1" w:themeTint="FF" w:themeShade="FF"/>
                <w:sz w:val="22"/>
                <w:szCs w:val="22"/>
                <w:vertAlign w:val="superscript"/>
                <w:lang w:val="en-US"/>
              </w:rPr>
              <w:t>rd</w:t>
            </w:r>
            <w:r w:rsidRPr="7051550E" w:rsidR="7051550E">
              <w:rPr>
                <w:rFonts w:ascii="Arial" w:hAnsi="Arial" w:eastAsia="Arial" w:cs="Arial"/>
                <w:b w:val="0"/>
                <w:bCs w:val="0"/>
                <w:i w:val="0"/>
                <w:iCs w:val="0"/>
                <w:color w:val="000000" w:themeColor="text1" w:themeTint="FF" w:themeShade="FF"/>
                <w:sz w:val="22"/>
                <w:szCs w:val="22"/>
                <w:lang w:val="en-US"/>
              </w:rPr>
              <w:t xml:space="preserve">        4</w:t>
            </w:r>
            <w:r w:rsidRPr="7051550E" w:rsidR="7051550E">
              <w:rPr>
                <w:rFonts w:ascii="Arial" w:hAnsi="Arial" w:eastAsia="Arial" w:cs="Arial"/>
                <w:b w:val="0"/>
                <w:bCs w:val="0"/>
                <w:i w:val="0"/>
                <w:iCs w:val="0"/>
                <w:color w:val="000000" w:themeColor="text1" w:themeTint="FF" w:themeShade="FF"/>
                <w:sz w:val="22"/>
                <w:szCs w:val="22"/>
                <w:vertAlign w:val="superscript"/>
                <w:lang w:val="en-US"/>
              </w:rPr>
              <w:t>th</w:t>
            </w:r>
            <w:r w:rsidRPr="7051550E" w:rsidR="7051550E">
              <w:rPr>
                <w:rFonts w:ascii="Arial" w:hAnsi="Arial" w:eastAsia="Arial" w:cs="Arial"/>
                <w:b w:val="0"/>
                <w:bCs w:val="0"/>
                <w:i w:val="0"/>
                <w:iCs w:val="0"/>
                <w:color w:val="000000" w:themeColor="text1" w:themeTint="FF" w:themeShade="FF"/>
                <w:sz w:val="22"/>
                <w:szCs w:val="22"/>
                <w:lang w:val="en-US"/>
              </w:rPr>
              <w:t xml:space="preserve">       5</w:t>
            </w:r>
            <w:r w:rsidRPr="7051550E" w:rsidR="7051550E">
              <w:rPr>
                <w:rFonts w:ascii="Arial" w:hAnsi="Arial" w:eastAsia="Arial" w:cs="Arial"/>
                <w:b w:val="0"/>
                <w:bCs w:val="0"/>
                <w:i w:val="0"/>
                <w:iCs w:val="0"/>
                <w:color w:val="000000" w:themeColor="text1" w:themeTint="FF" w:themeShade="FF"/>
                <w:sz w:val="22"/>
                <w:szCs w:val="22"/>
                <w:vertAlign w:val="superscript"/>
                <w:lang w:val="en-US"/>
              </w:rPr>
              <w:t>th</w:t>
            </w:r>
            <w:r w:rsidRPr="7051550E" w:rsidR="7051550E">
              <w:rPr>
                <w:rFonts w:ascii="Arial" w:hAnsi="Arial" w:eastAsia="Arial" w:cs="Arial"/>
                <w:b w:val="0"/>
                <w:bCs w:val="0"/>
                <w:i w:val="0"/>
                <w:iCs w:val="0"/>
                <w:color w:val="000000" w:themeColor="text1" w:themeTint="FF" w:themeShade="FF"/>
                <w:sz w:val="22"/>
                <w:szCs w:val="22"/>
                <w:lang w:val="en-US"/>
              </w:rPr>
              <w:t xml:space="preserve">       6</w:t>
            </w:r>
            <w:r w:rsidRPr="7051550E" w:rsidR="7051550E">
              <w:rPr>
                <w:rFonts w:ascii="Arial" w:hAnsi="Arial" w:eastAsia="Arial" w:cs="Arial"/>
                <w:b w:val="0"/>
                <w:bCs w:val="0"/>
                <w:i w:val="0"/>
                <w:iCs w:val="0"/>
                <w:color w:val="000000" w:themeColor="text1" w:themeTint="FF" w:themeShade="FF"/>
                <w:sz w:val="22"/>
                <w:szCs w:val="22"/>
                <w:vertAlign w:val="superscript"/>
                <w:lang w:val="en-US"/>
              </w:rPr>
              <w:t>th</w:t>
            </w:r>
            <w:r w:rsidRPr="7051550E" w:rsidR="7051550E">
              <w:rPr>
                <w:rFonts w:ascii="Arial" w:hAnsi="Arial" w:eastAsia="Arial" w:cs="Arial"/>
                <w:b w:val="0"/>
                <w:bCs w:val="0"/>
                <w:i w:val="0"/>
                <w:iCs w:val="0"/>
                <w:color w:val="000000" w:themeColor="text1" w:themeTint="FF" w:themeShade="FF"/>
                <w:sz w:val="22"/>
                <w:szCs w:val="22"/>
                <w:lang w:val="en-US"/>
              </w:rPr>
              <w:t xml:space="preserve"> </w:t>
            </w:r>
          </w:p>
        </w:tc>
      </w:tr>
      <w:tr w:rsidR="7051550E" w:rsidTr="678C35A9" w14:paraId="47063007">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051550E" w:rsidP="7051550E" w:rsidRDefault="7051550E" w14:paraId="4C68612A" w14:textId="21EC7249">
            <w:pPr>
              <w:spacing w:before="0" w:beforeAutospacing="off" w:after="0" w:afterAutospacing="off"/>
              <w:ind w:left="0" w:right="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I confirm that this is my original work and that I have adhered to the University policy on plagiarism.</w:t>
            </w:r>
          </w:p>
          <w:p w:rsidR="7051550E" w:rsidP="7051550E" w:rsidRDefault="7051550E" w14:paraId="6E710EA7" w14:textId="24941C8B">
            <w:pPr>
              <w:spacing w:before="0" w:beforeAutospacing="off" w:after="0" w:afterAutospacing="off"/>
              <w:ind w:left="0" w:right="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Signed …Yoanna K. Uzunova…………………………………………………………</w:t>
            </w:r>
          </w:p>
          <w:p w:rsidR="7051550E" w:rsidP="7051550E" w:rsidRDefault="7051550E" w14:paraId="610683D2" w14:textId="6A7B726F">
            <w:pPr>
              <w:spacing w:before="0" w:beforeAutospacing="off" w:after="0" w:afterAutospacing="off"/>
              <w:ind w:left="0" w:right="34"/>
              <w:rPr>
                <w:rFonts w:ascii="Calibri" w:hAnsi="Calibri" w:eastAsia="Calibri" w:cs="Calibri"/>
                <w:b w:val="0"/>
                <w:bCs w:val="0"/>
                <w:i w:val="0"/>
                <w:iCs w:val="0"/>
                <w:color w:val="000000" w:themeColor="text1" w:themeTint="FF" w:themeShade="FF"/>
                <w:sz w:val="44"/>
                <w:szCs w:val="44"/>
              </w:rPr>
            </w:pPr>
            <w:r w:rsidRPr="7051550E" w:rsidR="7051550E">
              <w:rPr>
                <w:rFonts w:ascii="Calibri" w:hAnsi="Calibri" w:eastAsia="Calibri" w:cs="Calibri"/>
                <w:b w:val="1"/>
                <w:bCs w:val="1"/>
                <w:i w:val="0"/>
                <w:iCs w:val="0"/>
                <w:color w:val="000000" w:themeColor="text1" w:themeTint="FF" w:themeShade="FF"/>
                <w:sz w:val="24"/>
                <w:szCs w:val="24"/>
                <w:lang w:val="en-US"/>
              </w:rPr>
              <w:t xml:space="preserve">Email submission: if you are submitting this form via email, please tick this box </w:t>
            </w:r>
            <w:r w:rsidRPr="7051550E" w:rsidR="7051550E">
              <w:rPr>
                <w:rFonts w:ascii="Calibri" w:hAnsi="Calibri" w:eastAsia="Calibri" w:cs="Calibri"/>
                <w:b w:val="1"/>
                <w:bCs w:val="1"/>
                <w:i w:val="0"/>
                <w:iCs w:val="0"/>
                <w:color w:val="000000" w:themeColor="text1" w:themeTint="FF" w:themeShade="FF"/>
                <w:sz w:val="44"/>
                <w:szCs w:val="44"/>
                <w:lang w:val="en-US"/>
              </w:rPr>
              <w:t>□</w:t>
            </w:r>
          </w:p>
          <w:p w:rsidR="7051550E" w:rsidP="678C35A9" w:rsidRDefault="7051550E" w14:paraId="34BE7E6B" w14:textId="18C268AC">
            <w:pPr>
              <w:spacing w:before="0" w:beforeAutospacing="off" w:after="0" w:afterAutospacing="off"/>
              <w:ind w:left="0" w:right="34"/>
              <w:rPr>
                <w:rFonts w:ascii="Calibri" w:hAnsi="Calibri" w:eastAsia="Calibri" w:cs="Calibri"/>
                <w:b w:val="0"/>
                <w:bCs w:val="0"/>
                <w:i w:val="0"/>
                <w:iCs w:val="0"/>
                <w:color w:val="000000" w:themeColor="text1" w:themeTint="FF" w:themeShade="FF"/>
                <w:sz w:val="24"/>
                <w:szCs w:val="24"/>
              </w:rPr>
            </w:pPr>
            <w:bookmarkStart w:name="_Int_Ivu7MY3h" w:id="44336724"/>
            <w:r w:rsidRPr="678C35A9" w:rsidR="521F0E38">
              <w:rPr>
                <w:rFonts w:ascii="Calibri" w:hAnsi="Calibri" w:eastAsia="Calibri" w:cs="Calibri"/>
                <w:b w:val="1"/>
                <w:bCs w:val="1"/>
                <w:i w:val="0"/>
                <w:iCs w:val="0"/>
                <w:color w:val="000000" w:themeColor="text1" w:themeTint="FF" w:themeShade="FF"/>
                <w:sz w:val="24"/>
                <w:szCs w:val="24"/>
                <w:lang w:val="en-US"/>
              </w:rPr>
              <w:t>(as a substitute for your signature) to confirm that you agree to the above declaration.</w:t>
            </w:r>
            <w:bookmarkEnd w:id="44336724"/>
          </w:p>
        </w:tc>
      </w:tr>
      <w:tr w:rsidR="7051550E" w:rsidTr="678C35A9" w14:paraId="6AC605CD">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7051550E" w:rsidP="7051550E" w:rsidRDefault="7051550E" w14:paraId="269283B9" w14:textId="281B158D">
            <w:pPr>
              <w:spacing w:before="0" w:beforeAutospacing="off" w:after="0" w:afterAutospacing="off"/>
              <w:rPr>
                <w:rFonts w:ascii="Arial" w:hAnsi="Arial" w:eastAsia="Arial" w:cs="Arial"/>
                <w:b w:val="0"/>
                <w:bCs w:val="0"/>
                <w:i w:val="0"/>
                <w:iCs w:val="0"/>
                <w:color w:val="000000" w:themeColor="text1" w:themeTint="FF" w:themeShade="FF"/>
                <w:sz w:val="21"/>
                <w:szCs w:val="21"/>
              </w:rPr>
            </w:pPr>
            <w:r w:rsidRPr="7051550E" w:rsidR="7051550E">
              <w:rPr>
                <w:rFonts w:ascii="Arial" w:hAnsi="Arial" w:eastAsia="Arial" w:cs="Arial"/>
                <w:b w:val="1"/>
                <w:bCs w:val="1"/>
                <w:i w:val="0"/>
                <w:iCs w:val="0"/>
                <w:color w:val="000000" w:themeColor="text1" w:themeTint="FF" w:themeShade="FF"/>
                <w:sz w:val="21"/>
                <w:szCs w:val="21"/>
                <w:lang w:val="en-US"/>
              </w:rPr>
              <w:t xml:space="preserve"> </w:t>
            </w:r>
          </w:p>
          <w:p w:rsidR="7051550E" w:rsidP="7051550E" w:rsidRDefault="7051550E" w14:paraId="02DEECF4" w14:textId="067E3F84">
            <w:pPr>
              <w:spacing w:before="0" w:beforeAutospacing="off" w:after="0" w:afterAutospacing="off"/>
              <w:rPr>
                <w:rFonts w:ascii="Arial" w:hAnsi="Arial" w:eastAsia="Arial" w:cs="Arial"/>
                <w:b w:val="0"/>
                <w:bCs w:val="0"/>
                <w:i w:val="0"/>
                <w:iCs w:val="0"/>
                <w:color w:val="000000" w:themeColor="text1" w:themeTint="FF" w:themeShade="FF"/>
                <w:sz w:val="21"/>
                <w:szCs w:val="21"/>
              </w:rPr>
            </w:pPr>
            <w:r w:rsidRPr="7051550E" w:rsidR="7051550E">
              <w:rPr>
                <w:rFonts w:ascii="Arial" w:hAnsi="Arial" w:eastAsia="Arial" w:cs="Arial"/>
                <w:b w:val="1"/>
                <w:bCs w:val="1"/>
                <w:i w:val="0"/>
                <w:iCs w:val="0"/>
                <w:color w:val="000000" w:themeColor="text1" w:themeTint="FF" w:themeShade="FF"/>
                <w:sz w:val="21"/>
                <w:szCs w:val="21"/>
                <w:lang w:val="en-US"/>
              </w:rPr>
              <w:t>Assignment Mark</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212"/>
              <w:gridCol w:w="1938"/>
            </w:tblGrid>
            <w:tr w:rsidR="7051550E" w:rsidTr="7051550E" w14:paraId="711CD78F">
              <w:trPr>
                <w:trHeight w:val="300"/>
              </w:trPr>
              <w:tc>
                <w:tcPr>
                  <w:tcW w:w="7212" w:type="dxa"/>
                  <w:tcBorders>
                    <w:top w:val="single" w:sz="6"/>
                    <w:left w:val="single" w:sz="6"/>
                    <w:bottom w:val="single" w:sz="6"/>
                    <w:right w:val="single" w:sz="6"/>
                  </w:tcBorders>
                  <w:tcMar>
                    <w:left w:w="105" w:type="dxa"/>
                    <w:right w:w="105" w:type="dxa"/>
                  </w:tcMar>
                  <w:vAlign w:val="top"/>
                </w:tcPr>
                <w:p w:rsidR="7051550E" w:rsidP="7051550E" w:rsidRDefault="7051550E" w14:paraId="6E365AEB" w14:textId="77938F6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p w:rsidR="7051550E" w:rsidP="7051550E" w:rsidRDefault="7051550E" w14:paraId="770D9600" w14:textId="3F78E4E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1</w:t>
                  </w:r>
                  <w:r w:rsidRPr="7051550E" w:rsidR="7051550E">
                    <w:rPr>
                      <w:rFonts w:ascii="Arial" w:hAnsi="Arial" w:eastAsia="Arial" w:cs="Arial"/>
                      <w:b w:val="0"/>
                      <w:bCs w:val="0"/>
                      <w:i w:val="0"/>
                      <w:iCs w:val="0"/>
                      <w:color w:val="000000" w:themeColor="text1" w:themeTint="FF" w:themeShade="FF"/>
                      <w:sz w:val="20"/>
                      <w:szCs w:val="20"/>
                      <w:vertAlign w:val="superscript"/>
                      <w:lang w:val="en-US"/>
                    </w:rPr>
                    <w:t>st</w:t>
                  </w:r>
                  <w:r w:rsidRPr="7051550E" w:rsidR="7051550E">
                    <w:rPr>
                      <w:rFonts w:ascii="Arial" w:hAnsi="Arial" w:eastAsia="Arial" w:cs="Arial"/>
                      <w:b w:val="0"/>
                      <w:bCs w:val="0"/>
                      <w:i w:val="0"/>
                      <w:iCs w:val="0"/>
                      <w:color w:val="000000" w:themeColor="text1" w:themeTint="FF" w:themeShade="FF"/>
                      <w:sz w:val="20"/>
                      <w:szCs w:val="20"/>
                      <w:lang w:val="en-US"/>
                    </w:rPr>
                    <w:t xml:space="preserve"> Marker’s Provisional mark</w:t>
                  </w:r>
                </w:p>
              </w:tc>
              <w:tc>
                <w:tcPr>
                  <w:tcW w:w="1938" w:type="dxa"/>
                  <w:tcBorders>
                    <w:top w:val="single" w:sz="6"/>
                    <w:left w:val="single" w:sz="6"/>
                    <w:bottom w:val="single" w:sz="6"/>
                    <w:right w:val="single" w:sz="6"/>
                  </w:tcBorders>
                  <w:tcMar>
                    <w:left w:w="105" w:type="dxa"/>
                    <w:right w:w="105" w:type="dxa"/>
                  </w:tcMar>
                  <w:vAlign w:val="top"/>
                </w:tcPr>
                <w:p w:rsidR="7051550E" w:rsidP="7051550E" w:rsidRDefault="7051550E" w14:paraId="70D86242" w14:textId="14BD5DE4">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tc>
            </w:tr>
            <w:tr w:rsidR="7051550E" w:rsidTr="7051550E" w14:paraId="5F925952">
              <w:trPr>
                <w:trHeight w:val="300"/>
              </w:trPr>
              <w:tc>
                <w:tcPr>
                  <w:tcW w:w="7212" w:type="dxa"/>
                  <w:tcBorders>
                    <w:top w:val="single" w:sz="6"/>
                    <w:left w:val="single" w:sz="6"/>
                    <w:bottom w:val="single" w:sz="6"/>
                    <w:right w:val="single" w:sz="6"/>
                  </w:tcBorders>
                  <w:tcMar>
                    <w:left w:w="105" w:type="dxa"/>
                    <w:right w:w="105" w:type="dxa"/>
                  </w:tcMar>
                  <w:vAlign w:val="top"/>
                </w:tcPr>
                <w:p w:rsidR="7051550E" w:rsidP="7051550E" w:rsidRDefault="7051550E" w14:paraId="20BAE1C6" w14:textId="7C77B553">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p w:rsidR="7051550E" w:rsidP="7051550E" w:rsidRDefault="7051550E" w14:paraId="142EA547" w14:textId="7225392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2</w:t>
                  </w:r>
                  <w:r w:rsidRPr="7051550E" w:rsidR="7051550E">
                    <w:rPr>
                      <w:rFonts w:ascii="Arial" w:hAnsi="Arial" w:eastAsia="Arial" w:cs="Arial"/>
                      <w:b w:val="0"/>
                      <w:bCs w:val="0"/>
                      <w:i w:val="0"/>
                      <w:iCs w:val="0"/>
                      <w:color w:val="000000" w:themeColor="text1" w:themeTint="FF" w:themeShade="FF"/>
                      <w:sz w:val="20"/>
                      <w:szCs w:val="20"/>
                      <w:vertAlign w:val="superscript"/>
                      <w:lang w:val="en-US"/>
                    </w:rPr>
                    <w:t>nd</w:t>
                  </w:r>
                  <w:r w:rsidRPr="7051550E" w:rsidR="7051550E">
                    <w:rPr>
                      <w:rFonts w:ascii="Arial" w:hAnsi="Arial" w:eastAsia="Arial" w:cs="Arial"/>
                      <w:b w:val="0"/>
                      <w:bCs w:val="0"/>
                      <w:i w:val="0"/>
                      <w:iCs w:val="0"/>
                      <w:color w:val="000000" w:themeColor="text1" w:themeTint="FF" w:themeShade="FF"/>
                      <w:sz w:val="20"/>
                      <w:szCs w:val="20"/>
                      <w:lang w:val="en-US"/>
                    </w:rPr>
                    <w:t xml:space="preserve"> Marker’s/Moderator’s provisional mark</w:t>
                  </w:r>
                </w:p>
              </w:tc>
              <w:tc>
                <w:tcPr>
                  <w:tcW w:w="1938" w:type="dxa"/>
                  <w:tcBorders>
                    <w:top w:val="single" w:sz="6"/>
                    <w:left w:val="single" w:sz="6"/>
                    <w:bottom w:val="single" w:sz="6"/>
                    <w:right w:val="single" w:sz="6"/>
                  </w:tcBorders>
                  <w:tcMar>
                    <w:left w:w="105" w:type="dxa"/>
                    <w:right w:w="105" w:type="dxa"/>
                  </w:tcMar>
                  <w:vAlign w:val="top"/>
                </w:tcPr>
                <w:p w:rsidR="7051550E" w:rsidP="7051550E" w:rsidRDefault="7051550E" w14:paraId="17652B1E" w14:textId="0DA10CA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tc>
            </w:tr>
            <w:tr w:rsidR="7051550E" w:rsidTr="7051550E" w14:paraId="62ED9C99">
              <w:trPr>
                <w:trHeight w:val="300"/>
              </w:trPr>
              <w:tc>
                <w:tcPr>
                  <w:tcW w:w="7212" w:type="dxa"/>
                  <w:tcBorders>
                    <w:top w:val="single" w:sz="6"/>
                    <w:left w:val="single" w:sz="6"/>
                    <w:bottom w:val="single" w:sz="6"/>
                    <w:right w:val="single" w:sz="6"/>
                  </w:tcBorders>
                  <w:tcMar>
                    <w:left w:w="105" w:type="dxa"/>
                    <w:right w:w="105" w:type="dxa"/>
                  </w:tcMar>
                  <w:vAlign w:val="top"/>
                </w:tcPr>
                <w:p w:rsidR="7051550E" w:rsidP="7051550E" w:rsidRDefault="7051550E" w14:paraId="38F24C2B" w14:textId="66D508A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Agreed Internal Mark: </w:t>
                  </w:r>
                </w:p>
                <w:p w:rsidR="7051550E" w:rsidP="7051550E" w:rsidRDefault="7051550E" w14:paraId="74110284" w14:textId="112042C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highlight w:val="yellow"/>
                      <w:lang w:val="en-US"/>
                    </w:rPr>
                    <w:t xml:space="preserve"> </w:t>
                  </w:r>
                </w:p>
              </w:tc>
              <w:tc>
                <w:tcPr>
                  <w:tcW w:w="1938" w:type="dxa"/>
                  <w:tcBorders>
                    <w:top w:val="single" w:sz="6"/>
                    <w:left w:val="single" w:sz="6"/>
                    <w:bottom w:val="single" w:sz="6"/>
                    <w:right w:val="single" w:sz="6"/>
                  </w:tcBorders>
                  <w:tcMar>
                    <w:left w:w="105" w:type="dxa"/>
                    <w:right w:w="105" w:type="dxa"/>
                  </w:tcMar>
                  <w:vAlign w:val="top"/>
                </w:tcPr>
                <w:p w:rsidR="7051550E" w:rsidP="7051550E" w:rsidRDefault="7051550E" w14:paraId="2AEB6777" w14:textId="1F7F46A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highlight w:val="yellow"/>
                      <w:lang w:val="en-US"/>
                    </w:rPr>
                    <w:t xml:space="preserve"> </w:t>
                  </w:r>
                </w:p>
              </w:tc>
            </w:tr>
            <w:tr w:rsidR="7051550E" w:rsidTr="7051550E" w14:paraId="7EA0FC87">
              <w:trPr>
                <w:trHeight w:val="300"/>
              </w:trPr>
              <w:tc>
                <w:tcPr>
                  <w:tcW w:w="7212" w:type="dxa"/>
                  <w:tcBorders>
                    <w:top w:val="single" w:sz="6"/>
                    <w:left w:val="single" w:sz="6"/>
                    <w:bottom w:val="single" w:sz="6"/>
                    <w:right w:val="single" w:sz="6"/>
                  </w:tcBorders>
                  <w:tcMar>
                    <w:left w:w="105" w:type="dxa"/>
                    <w:right w:w="105" w:type="dxa"/>
                  </w:tcMar>
                  <w:vAlign w:val="top"/>
                </w:tcPr>
                <w:p w:rsidR="7051550E" w:rsidP="7051550E" w:rsidRDefault="7051550E" w14:paraId="0D771E0D" w14:textId="542F4CD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p w:rsidR="7051550E" w:rsidP="7051550E" w:rsidRDefault="7051550E" w14:paraId="1995081E" w14:textId="6F5D22D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External Examiner’s mark (if relevant)</w:t>
                  </w:r>
                </w:p>
              </w:tc>
              <w:tc>
                <w:tcPr>
                  <w:tcW w:w="1938" w:type="dxa"/>
                  <w:tcBorders>
                    <w:top w:val="single" w:sz="6"/>
                    <w:left w:val="single" w:sz="6"/>
                    <w:bottom w:val="single" w:sz="6"/>
                    <w:right w:val="single" w:sz="6"/>
                  </w:tcBorders>
                  <w:tcMar>
                    <w:left w:w="105" w:type="dxa"/>
                    <w:right w:w="105" w:type="dxa"/>
                  </w:tcMar>
                  <w:vAlign w:val="top"/>
                </w:tcPr>
                <w:p w:rsidR="7051550E" w:rsidP="7051550E" w:rsidRDefault="7051550E" w14:paraId="16B61046" w14:textId="7ED5C7D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tc>
            </w:tr>
            <w:tr w:rsidR="7051550E" w:rsidTr="7051550E" w14:paraId="747A3AD0">
              <w:trPr>
                <w:trHeight w:val="300"/>
              </w:trPr>
              <w:tc>
                <w:tcPr>
                  <w:tcW w:w="7212" w:type="dxa"/>
                  <w:tcBorders>
                    <w:top w:val="single" w:sz="6"/>
                    <w:left w:val="single" w:sz="6"/>
                    <w:bottom w:val="single" w:sz="6"/>
                    <w:right w:val="single" w:sz="6"/>
                  </w:tcBorders>
                  <w:tcMar>
                    <w:left w:w="105" w:type="dxa"/>
                    <w:right w:w="105" w:type="dxa"/>
                  </w:tcMar>
                  <w:vAlign w:val="top"/>
                </w:tcPr>
                <w:p w:rsidR="7051550E" w:rsidP="7051550E" w:rsidRDefault="7051550E" w14:paraId="3BE4D571" w14:textId="50F8135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p w:rsidR="7051550E" w:rsidP="7051550E" w:rsidRDefault="7051550E" w14:paraId="7625960F" w14:textId="62FB3A2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1"/>
                      <w:bCs w:val="1"/>
                      <w:i w:val="0"/>
                      <w:iCs w:val="0"/>
                      <w:color w:val="000000" w:themeColor="text1" w:themeTint="FF" w:themeShade="FF"/>
                      <w:sz w:val="20"/>
                      <w:szCs w:val="20"/>
                      <w:lang w:val="en-US"/>
                    </w:rPr>
                    <w:t>Final Mark</w:t>
                  </w:r>
                </w:p>
                <w:p w:rsidR="7051550E" w:rsidP="7051550E" w:rsidRDefault="7051550E" w14:paraId="6ABD6479" w14:textId="65BCE00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tc>
              <w:tc>
                <w:tcPr>
                  <w:tcW w:w="1938" w:type="dxa"/>
                  <w:tcBorders>
                    <w:top w:val="single" w:sz="6"/>
                    <w:left w:val="single" w:sz="6"/>
                    <w:bottom w:val="single" w:sz="6"/>
                    <w:right w:val="single" w:sz="6"/>
                  </w:tcBorders>
                  <w:tcMar>
                    <w:left w:w="105" w:type="dxa"/>
                    <w:right w:w="105" w:type="dxa"/>
                  </w:tcMar>
                  <w:vAlign w:val="top"/>
                </w:tcPr>
                <w:p w:rsidR="7051550E" w:rsidP="7051550E" w:rsidRDefault="7051550E" w14:paraId="0F3EC310" w14:textId="594E4DE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051550E" w:rsidR="7051550E">
                    <w:rPr>
                      <w:rFonts w:ascii="Arial" w:hAnsi="Arial" w:eastAsia="Arial" w:cs="Arial"/>
                      <w:b w:val="0"/>
                      <w:bCs w:val="0"/>
                      <w:i w:val="0"/>
                      <w:iCs w:val="0"/>
                      <w:color w:val="000000" w:themeColor="text1" w:themeTint="FF" w:themeShade="FF"/>
                      <w:sz w:val="20"/>
                      <w:szCs w:val="20"/>
                      <w:lang w:val="en-US"/>
                    </w:rPr>
                    <w:t xml:space="preserve"> </w:t>
                  </w:r>
                </w:p>
              </w:tc>
            </w:tr>
          </w:tbl>
          <w:p w:rsidR="7051550E" w:rsidP="7051550E" w:rsidRDefault="7051550E" w14:paraId="004289F2" w14:textId="3F376835">
            <w:pPr>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678C35A9" w:rsidRDefault="7051550E" w14:paraId="47FD84F6" w14:textId="481E3FD7">
            <w:pPr>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bookmarkStart w:name="_Int_KyUG4ns1" w:id="1251842292"/>
            <w:r w:rsidRPr="678C35A9" w:rsidR="521F0E38">
              <w:rPr>
                <w:rFonts w:ascii="Arial" w:hAnsi="Arial" w:eastAsia="Arial" w:cs="Arial"/>
                <w:b w:val="1"/>
                <w:bCs w:val="1"/>
                <w:i w:val="0"/>
                <w:iCs w:val="0"/>
                <w:color w:val="000000" w:themeColor="text1" w:themeTint="FF" w:themeShade="FF"/>
                <w:sz w:val="22"/>
                <w:szCs w:val="22"/>
                <w:lang w:val="en-US"/>
              </w:rPr>
              <w:t xml:space="preserve">NB. </w:t>
            </w:r>
            <w:r w:rsidRPr="678C35A9" w:rsidR="521F0E38">
              <w:rPr>
                <w:rFonts w:ascii="Arial" w:hAnsi="Arial" w:eastAsia="Arial" w:cs="Arial"/>
                <w:b w:val="0"/>
                <w:bCs w:val="0"/>
                <w:i w:val="0"/>
                <w:iCs w:val="0"/>
                <w:color w:val="000000" w:themeColor="text1" w:themeTint="FF" w:themeShade="FF"/>
                <w:sz w:val="22"/>
                <w:szCs w:val="22"/>
                <w:lang w:val="en-US"/>
              </w:rPr>
              <w:t>All marks are provisional until confirmed by the Final Examination Board.</w:t>
            </w:r>
            <w:bookmarkEnd w:id="1251842292"/>
          </w:p>
          <w:p w:rsidR="7051550E" w:rsidP="7051550E" w:rsidRDefault="7051550E" w14:paraId="58F625BE" w14:textId="171F990C">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626B4F1F" w14:textId="013D48D3">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00DAC2AA" w14:textId="0E3FC8B4">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52648957" w14:textId="4EC8BF1D">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5454B192" w14:textId="710C1D5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For completion by Marker 1:</w:t>
            </w:r>
          </w:p>
          <w:p w:rsidR="7051550E" w:rsidP="7051550E" w:rsidRDefault="7051550E" w14:paraId="0124D9AD" w14:textId="66096529">
            <w:pPr>
              <w:spacing w:before="210" w:beforeAutospacing="off" w:after="21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Comments:</w:t>
            </w:r>
          </w:p>
          <w:p w:rsidR="7051550E" w:rsidP="7051550E" w:rsidRDefault="7051550E" w14:paraId="484513A6" w14:textId="665CFE78">
            <w:pPr>
              <w:spacing w:before="210" w:beforeAutospacing="off" w:after="21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tc>
      </w:tr>
      <w:tr w:rsidR="7051550E" w:rsidTr="678C35A9" w14:paraId="245EFA13">
        <w:trPr>
          <w:trHeight w:val="300"/>
        </w:trPr>
        <w:tc>
          <w:tcPr>
            <w:tcW w:w="561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7D6E38F2" w14:textId="62C9E7C5">
            <w:pPr>
              <w:spacing w:before="100" w:beforeAutospacing="off" w:after="100" w:afterAutospacing="off"/>
              <w:ind w:left="142" w:right="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Marker’s signature:</w:t>
            </w:r>
          </w:p>
        </w:tc>
        <w:tc>
          <w:tcPr>
            <w:tcW w:w="3744" w:type="dxa"/>
            <w:gridSpan w:val="2"/>
            <w:tcBorders>
              <w:top w:val="nil" w:color="000000" w:themeColor="text1" w:sz="6"/>
              <w:left w:val="nil"/>
              <w:bottom w:val="single" w:color="000000" w:themeColor="text1" w:sz="6"/>
              <w:right w:val="single" w:color="000000" w:themeColor="text1" w:sz="6"/>
            </w:tcBorders>
            <w:tcMar>
              <w:left w:w="105" w:type="dxa"/>
              <w:right w:w="105" w:type="dxa"/>
            </w:tcMar>
            <w:vAlign w:val="top"/>
          </w:tcPr>
          <w:p w:rsidR="7051550E" w:rsidP="7051550E" w:rsidRDefault="7051550E" w14:paraId="49A24D19" w14:textId="72A72253">
            <w:pPr>
              <w:spacing w:before="100" w:beforeAutospacing="off" w:after="0" w:afterAutospacing="off"/>
              <w:ind w:left="142" w:right="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Date:</w:t>
            </w:r>
          </w:p>
        </w:tc>
      </w:tr>
      <w:tr w:rsidR="7051550E" w:rsidTr="678C35A9" w14:paraId="5E0E8C21">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52017C5E" w14:textId="3D289497">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1"/>
                <w:iCs w:val="1"/>
                <w:color w:val="000000" w:themeColor="text1" w:themeTint="FF" w:themeShade="FF"/>
                <w:sz w:val="22"/>
                <w:szCs w:val="22"/>
                <w:lang w:val="en-US"/>
              </w:rPr>
              <w:t xml:space="preserve"> </w:t>
            </w:r>
          </w:p>
          <w:p w:rsidR="7051550E" w:rsidP="7051550E" w:rsidRDefault="7051550E" w14:paraId="1388123F" w14:textId="457BC177">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For completion by Marker 2/Moderator:</w:t>
            </w:r>
          </w:p>
          <w:p w:rsidR="7051550E" w:rsidP="7051550E" w:rsidRDefault="7051550E" w14:paraId="329014D9" w14:textId="403A9AC6">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466F0949" w14:textId="6504034D">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Comments:</w:t>
            </w:r>
          </w:p>
          <w:p w:rsidR="7051550E" w:rsidP="7051550E" w:rsidRDefault="7051550E" w14:paraId="0349EA19" w14:textId="356C222D">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14B5CEBB" w14:textId="19384AB3">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67E135BD" w14:textId="04F046A2">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tc>
      </w:tr>
      <w:tr w:rsidR="7051550E" w:rsidTr="678C35A9" w14:paraId="44BAD47E">
        <w:trPr>
          <w:trHeight w:val="300"/>
        </w:trPr>
        <w:tc>
          <w:tcPr>
            <w:tcW w:w="374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11D2DEBA" w14:textId="3D0350DF">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Marker’s Signature:</w:t>
            </w:r>
          </w:p>
        </w:tc>
        <w:tc>
          <w:tcPr>
            <w:tcW w:w="5616" w:type="dxa"/>
            <w:gridSpan w:val="3"/>
            <w:tcBorders>
              <w:top w:val="nil" w:color="000000" w:themeColor="text1" w:sz="6"/>
              <w:left w:val="nil"/>
              <w:bottom w:val="single" w:color="000000" w:themeColor="text1" w:sz="6"/>
              <w:right w:val="single" w:color="000000" w:themeColor="text1" w:sz="6"/>
            </w:tcBorders>
            <w:tcMar>
              <w:left w:w="105" w:type="dxa"/>
              <w:right w:w="105" w:type="dxa"/>
            </w:tcMar>
            <w:vAlign w:val="top"/>
          </w:tcPr>
          <w:p w:rsidR="7051550E" w:rsidP="7051550E" w:rsidRDefault="7051550E" w14:paraId="2F1955F2" w14:textId="2B2BF51C">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Date:</w:t>
            </w:r>
          </w:p>
        </w:tc>
      </w:tr>
      <w:tr w:rsidR="7051550E" w:rsidTr="678C35A9" w14:paraId="4C1F61AD">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402B196E" w14:textId="0224BF48">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AGREED INTERNAL MARK (where necessary):</w:t>
            </w:r>
          </w:p>
          <w:p w:rsidR="7051550E" w:rsidP="7051550E" w:rsidRDefault="7051550E" w14:paraId="4604239B" w14:textId="4CBEA13D">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73745A74" w14:textId="6ECC7F81">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Comment on process of arriving at agreed mark:</w:t>
            </w:r>
          </w:p>
          <w:p w:rsidR="7051550E" w:rsidP="7051550E" w:rsidRDefault="7051550E" w14:paraId="610D6798" w14:textId="55A9C794">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4E026F9A" w14:textId="09297A78">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088CC469" w14:textId="123C146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4C33E011" w14:textId="5B69A526">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40C12206" w14:textId="2360A119">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1A00EC74" w14:textId="0871F648">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5A9C5351" w14:textId="7E01B932">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p w:rsidR="7051550E" w:rsidP="7051550E" w:rsidRDefault="7051550E" w14:paraId="7EA61A88" w14:textId="1DA05381">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 xml:space="preserve"> </w:t>
            </w:r>
          </w:p>
        </w:tc>
      </w:tr>
      <w:tr w:rsidR="7051550E" w:rsidTr="678C35A9" w14:paraId="1432F23A">
        <w:trPr>
          <w:trHeight w:val="300"/>
        </w:trPr>
        <w:tc>
          <w:tcPr>
            <w:tcW w:w="936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698530DD" w14:textId="444922A4">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1"/>
                <w:bCs w:val="1"/>
                <w:i w:val="0"/>
                <w:iCs w:val="0"/>
                <w:color w:val="000000" w:themeColor="text1" w:themeTint="FF" w:themeShade="FF"/>
                <w:sz w:val="22"/>
                <w:szCs w:val="22"/>
                <w:lang w:val="en-US"/>
              </w:rPr>
              <w:t>External Examiner’s comments (if relevant)</w:t>
            </w:r>
          </w:p>
          <w:p w:rsidR="7051550E" w:rsidP="7051550E" w:rsidRDefault="7051550E" w14:paraId="7263F440" w14:textId="16F441B6">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5DD82A50" w14:textId="68066073">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2936D46F" w14:textId="13E77B22">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674647B7" w14:textId="565D34A8">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2B3F8EEA" w14:textId="1430054E">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07F2D19E" w14:textId="686FE4B3">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p w:rsidR="7051550E" w:rsidP="7051550E" w:rsidRDefault="7051550E" w14:paraId="1BE3569F" w14:textId="0992A316">
            <w:pPr>
              <w:spacing w:before="0" w:beforeAutospacing="off" w:after="0" w:afterAutospacing="off"/>
              <w:ind w:left="0" w:right="-334"/>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 xml:space="preserve"> </w:t>
            </w:r>
          </w:p>
        </w:tc>
      </w:tr>
      <w:tr w:rsidR="7051550E" w:rsidTr="678C35A9" w14:paraId="44743739">
        <w:trPr>
          <w:trHeight w:val="300"/>
        </w:trPr>
        <w:tc>
          <w:tcPr>
            <w:tcW w:w="374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51550E" w:rsidP="7051550E" w:rsidRDefault="7051550E" w14:paraId="5FA13CF7" w14:textId="1476050D">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External Examiner’s Signature:</w:t>
            </w:r>
          </w:p>
        </w:tc>
        <w:tc>
          <w:tcPr>
            <w:tcW w:w="5616" w:type="dxa"/>
            <w:gridSpan w:val="3"/>
            <w:tcBorders>
              <w:top w:val="nil" w:color="000000" w:themeColor="text1" w:sz="6"/>
              <w:left w:val="nil"/>
              <w:bottom w:val="single" w:color="000000" w:themeColor="text1" w:sz="6"/>
              <w:right w:val="single" w:color="000000" w:themeColor="text1" w:sz="6"/>
            </w:tcBorders>
            <w:tcMar>
              <w:left w:w="105" w:type="dxa"/>
              <w:right w:w="105" w:type="dxa"/>
            </w:tcMar>
            <w:vAlign w:val="top"/>
          </w:tcPr>
          <w:p w:rsidR="7051550E" w:rsidP="7051550E" w:rsidRDefault="7051550E" w14:paraId="7B62450B" w14:textId="3D1C59ED">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7051550E" w:rsidR="7051550E">
              <w:rPr>
                <w:rFonts w:ascii="Arial" w:hAnsi="Arial" w:eastAsia="Arial" w:cs="Arial"/>
                <w:b w:val="0"/>
                <w:bCs w:val="0"/>
                <w:i w:val="0"/>
                <w:iCs w:val="0"/>
                <w:color w:val="000000" w:themeColor="text1" w:themeTint="FF" w:themeShade="FF"/>
                <w:sz w:val="22"/>
                <w:szCs w:val="22"/>
                <w:lang w:val="en-US"/>
              </w:rPr>
              <w:t>Date:</w:t>
            </w:r>
          </w:p>
        </w:tc>
      </w:tr>
      <w:tr w:rsidR="7051550E" w:rsidTr="678C35A9" w14:paraId="4F43AC3E">
        <w:trPr>
          <w:trHeight w:val="300"/>
        </w:trPr>
        <w:tc>
          <w:tcPr>
            <w:tcW w:w="1872" w:type="dxa"/>
            <w:tcBorders>
              <w:top w:val="single" w:color="000000" w:themeColor="text1" w:sz="6"/>
              <w:left w:val="nil" w:color="000000" w:themeColor="text1" w:sz="6"/>
              <w:bottom w:val="nil" w:color="000000" w:themeColor="text1" w:sz="6"/>
              <w:right w:val="nil" w:color="000000" w:themeColor="text1" w:sz="6"/>
            </w:tcBorders>
            <w:tcMar>
              <w:left w:w="105" w:type="dxa"/>
              <w:right w:w="105" w:type="dxa"/>
            </w:tcMar>
            <w:vAlign w:val="center"/>
          </w:tcPr>
          <w:p w:rsidR="7051550E" w:rsidP="7051550E" w:rsidRDefault="7051550E" w14:paraId="35D4B8E8" w14:textId="12EC401D">
            <w:pPr>
              <w:rPr>
                <w:rFonts w:ascii="Aptos" w:hAnsi="Aptos" w:eastAsia="Aptos" w:cs="Aptos"/>
                <w:b w:val="0"/>
                <w:bCs w:val="0"/>
                <w:i w:val="0"/>
                <w:iCs w:val="0"/>
                <w:sz w:val="24"/>
                <w:szCs w:val="24"/>
              </w:rPr>
            </w:pPr>
          </w:p>
        </w:tc>
        <w:tc>
          <w:tcPr>
            <w:tcW w:w="1872" w:type="dxa"/>
            <w:tcBorders>
              <w:top w:val="nil" w:color="000000" w:themeColor="text1" w:sz="6"/>
              <w:left w:val="nil"/>
              <w:bottom w:val="nil" w:color="000000" w:themeColor="text1" w:sz="6"/>
              <w:right w:val="nil" w:color="000000" w:themeColor="text1" w:sz="6"/>
            </w:tcBorders>
            <w:tcMar>
              <w:left w:w="105" w:type="dxa"/>
              <w:right w:w="105" w:type="dxa"/>
            </w:tcMar>
            <w:vAlign w:val="center"/>
          </w:tcPr>
          <w:p w:rsidR="7051550E" w:rsidP="7051550E" w:rsidRDefault="7051550E" w14:paraId="6F692BC8" w14:textId="7C4417B7">
            <w:pPr>
              <w:rPr>
                <w:rFonts w:ascii="Aptos" w:hAnsi="Aptos" w:eastAsia="Aptos" w:cs="Aptos"/>
                <w:b w:val="0"/>
                <w:bCs w:val="0"/>
                <w:i w:val="0"/>
                <w:iCs w:val="0"/>
                <w:sz w:val="24"/>
                <w:szCs w:val="24"/>
              </w:rPr>
            </w:pPr>
          </w:p>
        </w:tc>
        <w:tc>
          <w:tcPr>
            <w:tcW w:w="1872" w:type="dxa"/>
            <w:tcBorders>
              <w:top w:val="single" w:color="000000" w:themeColor="text1" w:sz="6"/>
              <w:left w:val="nil"/>
              <w:bottom w:val="nil" w:color="000000" w:themeColor="text1" w:sz="6"/>
              <w:right w:val="nil" w:color="000000" w:themeColor="text1" w:sz="6"/>
            </w:tcBorders>
            <w:tcMar>
              <w:left w:w="105" w:type="dxa"/>
              <w:right w:w="105" w:type="dxa"/>
            </w:tcMar>
            <w:vAlign w:val="center"/>
          </w:tcPr>
          <w:p w:rsidR="7051550E" w:rsidP="7051550E" w:rsidRDefault="7051550E" w14:paraId="2AA2117B" w14:textId="42BE4F4A">
            <w:pPr>
              <w:rPr>
                <w:rFonts w:ascii="Aptos" w:hAnsi="Aptos" w:eastAsia="Aptos" w:cs="Aptos"/>
                <w:b w:val="0"/>
                <w:bCs w:val="0"/>
                <w:i w:val="0"/>
                <w:iCs w:val="0"/>
                <w:sz w:val="24"/>
                <w:szCs w:val="24"/>
              </w:rPr>
            </w:pPr>
          </w:p>
        </w:tc>
        <w:tc>
          <w:tcPr>
            <w:tcW w:w="1872" w:type="dxa"/>
            <w:tcBorders>
              <w:top w:val="nil"/>
              <w:left w:val="nil"/>
              <w:bottom w:val="nil" w:color="000000" w:themeColor="text1" w:sz="6"/>
              <w:right w:val="nil"/>
            </w:tcBorders>
            <w:tcMar>
              <w:left w:w="105" w:type="dxa"/>
              <w:right w:w="105" w:type="dxa"/>
            </w:tcMar>
            <w:vAlign w:val="center"/>
          </w:tcPr>
          <w:p w:rsidR="7051550E" w:rsidP="7051550E" w:rsidRDefault="7051550E" w14:paraId="08940A4F" w14:textId="4F0CE24D">
            <w:pPr>
              <w:rPr>
                <w:rFonts w:ascii="Aptos" w:hAnsi="Aptos" w:eastAsia="Aptos" w:cs="Aptos"/>
                <w:b w:val="0"/>
                <w:bCs w:val="0"/>
                <w:i w:val="0"/>
                <w:iCs w:val="0"/>
                <w:sz w:val="24"/>
                <w:szCs w:val="24"/>
              </w:rPr>
            </w:pPr>
          </w:p>
        </w:tc>
        <w:tc>
          <w:tcPr>
            <w:tcW w:w="1872" w:type="dxa"/>
            <w:tcBorders>
              <w:top w:val="nil"/>
              <w:left w:val="nil"/>
              <w:bottom w:val="nil" w:color="000000" w:themeColor="text1" w:sz="6"/>
              <w:right w:val="nil" w:color="000000" w:themeColor="text1" w:sz="6"/>
            </w:tcBorders>
            <w:tcMar>
              <w:left w:w="105" w:type="dxa"/>
              <w:right w:w="105" w:type="dxa"/>
            </w:tcMar>
            <w:vAlign w:val="center"/>
          </w:tcPr>
          <w:p w:rsidR="7051550E" w:rsidP="7051550E" w:rsidRDefault="7051550E" w14:paraId="7D636255" w14:textId="3D059E52">
            <w:pPr>
              <w:rPr>
                <w:rFonts w:ascii="Aptos" w:hAnsi="Aptos" w:eastAsia="Aptos" w:cs="Aptos"/>
                <w:b w:val="0"/>
                <w:bCs w:val="0"/>
                <w:i w:val="0"/>
                <w:iCs w:val="0"/>
                <w:sz w:val="24"/>
                <w:szCs w:val="24"/>
              </w:rPr>
            </w:pPr>
          </w:p>
        </w:tc>
      </w:tr>
    </w:tbl>
    <w:p xmlns:wp14="http://schemas.microsoft.com/office/word/2010/wordml" wp14:paraId="2C078E63" wp14:textId="6F04B939"/>
    <w:p w:rsidR="7051550E" w:rsidRDefault="7051550E" w14:paraId="2E54A282" w14:textId="549D144D"/>
    <w:p w:rsidR="7A5E96CB" w:rsidP="7051550E" w:rsidRDefault="7A5E96CB" w14:paraId="6E7FA2BA" w14:textId="756256D7">
      <w:pPr>
        <w:jc w:val="center"/>
        <w:rPr>
          <w:rFonts w:ascii="Arial Nova" w:hAnsi="Arial Nova" w:eastAsia="Arial Nova" w:cs="Arial Nova"/>
          <w:b w:val="1"/>
          <w:bCs w:val="1"/>
          <w:sz w:val="36"/>
          <w:szCs w:val="36"/>
        </w:rPr>
      </w:pPr>
      <w:r w:rsidRPr="7051550E" w:rsidR="7A5E96CB">
        <w:rPr>
          <w:rFonts w:ascii="Arial Nova" w:hAnsi="Arial Nova" w:eastAsia="Arial Nova" w:cs="Arial Nova"/>
          <w:b w:val="1"/>
          <w:bCs w:val="1"/>
          <w:sz w:val="36"/>
          <w:szCs w:val="36"/>
        </w:rPr>
        <w:t>The roles of, and relationship between, cosmology and divination in Hellenistic astrology</w:t>
      </w:r>
    </w:p>
    <w:p w:rsidR="7051550E" w:rsidP="7051550E" w:rsidRDefault="7051550E" w14:paraId="21478517" w14:textId="360C0C2B">
      <w:pPr>
        <w:jc w:val="left"/>
        <w:rPr>
          <w:rFonts w:ascii="Arial Nova" w:hAnsi="Arial Nova" w:eastAsia="Arial Nova" w:cs="Arial Nova"/>
          <w:b w:val="0"/>
          <w:bCs w:val="0"/>
          <w:sz w:val="36"/>
          <w:szCs w:val="36"/>
        </w:rPr>
      </w:pPr>
    </w:p>
    <w:p w:rsidR="11F99160" w:rsidP="11F99160" w:rsidRDefault="11F99160" w14:paraId="47CE279F" w14:textId="26817540">
      <w:pPr>
        <w:pStyle w:val="Normal"/>
        <w:jc w:val="left"/>
        <w:rPr>
          <w:rFonts w:ascii="Arial Nova" w:hAnsi="Arial Nova" w:eastAsia="Arial Nova" w:cs="Arial Nova"/>
          <w:b w:val="0"/>
          <w:bCs w:val="0"/>
          <w:sz w:val="28"/>
          <w:szCs w:val="28"/>
        </w:rPr>
      </w:pPr>
    </w:p>
    <w:p w:rsidR="68805B63" w:rsidP="11F99160" w:rsidRDefault="68805B63" w14:paraId="2691E146" w14:textId="7BBD9BA7">
      <w:pPr>
        <w:jc w:val="center"/>
        <w:rPr>
          <w:rFonts w:ascii="Arial Nova" w:hAnsi="Arial Nova" w:eastAsia="Arial Nova" w:cs="Arial Nova"/>
          <w:b w:val="1"/>
          <w:bCs w:val="1"/>
          <w:sz w:val="32"/>
          <w:szCs w:val="32"/>
        </w:rPr>
      </w:pPr>
      <w:r w:rsidRPr="11F99160" w:rsidR="68805B63">
        <w:rPr>
          <w:rFonts w:ascii="Arial Nova" w:hAnsi="Arial Nova" w:eastAsia="Arial Nova" w:cs="Arial Nova"/>
          <w:b w:val="1"/>
          <w:bCs w:val="1"/>
          <w:sz w:val="32"/>
          <w:szCs w:val="32"/>
        </w:rPr>
        <w:t>Introduction</w:t>
      </w:r>
    </w:p>
    <w:p w:rsidR="11F99160" w:rsidP="11F99160" w:rsidRDefault="11F99160" w14:paraId="4A781017" w14:textId="3CED7FCA">
      <w:pPr>
        <w:jc w:val="left"/>
        <w:rPr>
          <w:rFonts w:ascii="Arial Nova" w:hAnsi="Arial Nova" w:eastAsia="Arial Nova" w:cs="Arial Nova"/>
          <w:b w:val="0"/>
          <w:bCs w:val="0"/>
          <w:sz w:val="28"/>
          <w:szCs w:val="28"/>
        </w:rPr>
      </w:pPr>
    </w:p>
    <w:p w:rsidR="3ED9FD76" w:rsidP="678C35A9" w:rsidRDefault="3ED9FD76" w14:paraId="63D28963" w14:textId="648F4820">
      <w:pPr>
        <w:pStyle w:val="NoSpacing"/>
        <w:bidi w:val="0"/>
        <w:spacing w:line="360" w:lineRule="auto"/>
        <w:jc w:val="both"/>
        <w:rPr>
          <w:rFonts w:ascii="Arial Nova" w:hAnsi="Arial Nova" w:eastAsia="Arial Nova" w:cs="Arial Nova"/>
          <w:b w:val="0"/>
          <w:bCs w:val="0"/>
          <w:sz w:val="28"/>
          <w:szCs w:val="28"/>
        </w:rPr>
      </w:pPr>
      <w:r w:rsidR="3ED9FD76">
        <w:rPr/>
        <w:t xml:space="preserve">The Hellenistic period, traditionally dated from the death of Alexander the Great in 323 BCE to the emergence of Roman dominance in the first century BCE, marked a profound transformation in the cultural and intellectual landscape of the ancient Mediterranean. As Greek language and institutions spread across Egypt, Mesopotamia, and Persia, they </w:t>
      </w:r>
      <w:r w:rsidR="3ED9FD76">
        <w:rPr/>
        <w:t>encountered</w:t>
      </w:r>
      <w:r w:rsidR="3ED9FD76">
        <w:rPr/>
        <w:t xml:space="preserve"> and absorbed the rich traditions of these civilizations, producing a dynamic synthesis of ideas, beliefs, and practices (Walbank, 1993). This cultural exchange was not unidirectional: while Greek influence permeated the East, Hellenistic thinkers also adopted Babylonian astronomical techniques and Egyptian ritual logic, giving rise to new systems of knowledge.</w:t>
      </w:r>
    </w:p>
    <w:p w:rsidR="3ED9FD76" w:rsidP="678C35A9" w:rsidRDefault="3ED9FD76" w14:paraId="7ADEE8F4" w14:textId="2718D06D">
      <w:pPr>
        <w:pStyle w:val="NoSpacing"/>
        <w:bidi w:val="0"/>
        <w:spacing w:line="360" w:lineRule="auto"/>
        <w:jc w:val="both"/>
      </w:pPr>
      <w:r w:rsidR="3ED9FD76">
        <w:rPr/>
        <w:t>One of the most striking products of this synthesis is Hellenistic astrology — a discipline that fused mathematical astronomy, philosophical cosmology, and divinatory practice into a coherent framework for interpreting the heavens and human fate. Rooted in Babylonian omen reading and Egyptian temple ritual, yet refracted through Greek philosophical inquiry, Hellenistic astrology exemplifies the deep interdependence of cosmology and divination in ancient thought. This essay explores that relationship, analyzing how the structure of the cosmos informed divinatory technique, and how astrology functioned as both a predictive art and a metaphysical system.</w:t>
      </w:r>
    </w:p>
    <w:p w:rsidR="678C35A9" w:rsidP="678C35A9" w:rsidRDefault="678C35A9" w14:paraId="6F4B5C71" w14:textId="4CC7EC39">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8"/>
          <w:szCs w:val="28"/>
        </w:rPr>
      </w:pPr>
    </w:p>
    <w:p w:rsidR="109CA120" w:rsidP="678C35A9" w:rsidRDefault="109CA120" w14:paraId="0B9420E1" w14:textId="5CE1777B">
      <w:pPr>
        <w:pStyle w:val="Normal"/>
        <w:suppressLineNumbers w:val="0"/>
        <w:bidi w:val="0"/>
        <w:spacing w:before="0" w:beforeAutospacing="off" w:after="160" w:afterAutospacing="off" w:line="279" w:lineRule="auto"/>
        <w:ind w:left="0" w:right="0"/>
        <w:jc w:val="center"/>
        <w:rPr>
          <w:rFonts w:ascii="Arial Nova" w:hAnsi="Arial Nova" w:eastAsia="Arial Nova" w:cs="Arial Nova"/>
          <w:b w:val="1"/>
          <w:bCs w:val="1"/>
          <w:sz w:val="32"/>
          <w:szCs w:val="32"/>
        </w:rPr>
      </w:pPr>
      <w:r w:rsidRPr="678C35A9" w:rsidR="109CA120">
        <w:rPr>
          <w:rFonts w:ascii="Arial Nova" w:hAnsi="Arial Nova" w:eastAsia="Arial Nova" w:cs="Arial Nova"/>
          <w:b w:val="1"/>
          <w:bCs w:val="1"/>
          <w:sz w:val="32"/>
          <w:szCs w:val="32"/>
        </w:rPr>
        <w:t>Cosmological Foundations: The Ordered Universe and the Logic of Divination in Hellenistic Astrology</w:t>
      </w:r>
    </w:p>
    <w:p w:rsidR="678C35A9" w:rsidP="678C35A9" w:rsidRDefault="678C35A9" w14:paraId="0266B524" w14:textId="515209C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sz w:val="32"/>
          <w:szCs w:val="32"/>
        </w:rPr>
      </w:pPr>
    </w:p>
    <w:p w:rsidR="70972E61" w:rsidP="678C35A9" w:rsidRDefault="70972E61" w14:paraId="43995FAE" w14:textId="733FF7F3">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 xml:space="preserve">Hellenistic astrology arose from a convergence of Babylonian celestial divination, Egyptian religious cosmology, and Greek philosophical inquiry. Central to this system is a coherent worldview in which the cosmos is ordered, intelligible, and inherently meaningful. Divination </w:t>
      </w:r>
      <w:r w:rsidRPr="678C35A9" w:rsidR="70972E61">
        <w:rPr>
          <w:rFonts w:ascii="Arial Nova" w:hAnsi="Arial Nova" w:eastAsia="Arial Nova" w:cs="Arial Nova"/>
        </w:rPr>
        <w:t>operates</w:t>
      </w:r>
      <w:r w:rsidRPr="678C35A9" w:rsidR="70972E61">
        <w:rPr>
          <w:rFonts w:ascii="Arial Nova" w:hAnsi="Arial Nova" w:eastAsia="Arial Nova" w:cs="Arial Nova"/>
        </w:rPr>
        <w:t xml:space="preserve"> within this framework, relying on the idea that heavenly bodies do not merely move—they communicate.</w:t>
      </w:r>
    </w:p>
    <w:p w:rsidR="70972E61" w:rsidP="678C35A9" w:rsidRDefault="70972E61" w14:paraId="5AD899BC" w14:textId="561BBB2A">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 xml:space="preserve">At the heart of Hellenistic cosmology lies </w:t>
      </w:r>
      <w:r w:rsidRPr="678C35A9" w:rsidR="70972E61">
        <w:rPr>
          <w:rFonts w:ascii="Arial Nova" w:hAnsi="Arial Nova" w:eastAsia="Arial Nova" w:cs="Arial Nova"/>
        </w:rPr>
        <w:t>sympatheia</w:t>
      </w:r>
      <w:r w:rsidRPr="678C35A9" w:rsidR="70972E61">
        <w:rPr>
          <w:rFonts w:ascii="Arial Nova" w:hAnsi="Arial Nova" w:eastAsia="Arial Nova" w:cs="Arial Nova"/>
        </w:rPr>
        <w:t xml:space="preserve">, the Stoic notion of cosmic sympathy. The universe, according to thinkers like </w:t>
      </w:r>
      <w:r w:rsidRPr="678C35A9" w:rsidR="70972E61">
        <w:rPr>
          <w:rFonts w:ascii="Arial Nova" w:hAnsi="Arial Nova" w:eastAsia="Arial Nova" w:cs="Arial Nova"/>
        </w:rPr>
        <w:t>Posidonius</w:t>
      </w:r>
      <w:r w:rsidRPr="678C35A9" w:rsidR="70972E61">
        <w:rPr>
          <w:rFonts w:ascii="Arial Nova" w:hAnsi="Arial Nova" w:eastAsia="Arial Nova" w:cs="Arial Nova"/>
        </w:rPr>
        <w:t xml:space="preserve">, is a living organism whose parts are bound together by divine pneuma (breath or spirit). The celestial spheres influence terrestrial life through this interconnected web, making astrology both plausible and philosophically grounded (Cicero, De Natura </w:t>
      </w:r>
      <w:r w:rsidRPr="678C35A9" w:rsidR="70972E61">
        <w:rPr>
          <w:rFonts w:ascii="Arial Nova" w:hAnsi="Arial Nova" w:eastAsia="Arial Nova" w:cs="Arial Nova"/>
        </w:rPr>
        <w:t>Deorum</w:t>
      </w:r>
      <w:r w:rsidRPr="678C35A9" w:rsidR="70972E61">
        <w:rPr>
          <w:rFonts w:ascii="Arial Nova" w:hAnsi="Arial Nova" w:eastAsia="Arial Nova" w:cs="Arial Nova"/>
        </w:rPr>
        <w:t>, II.22–30). This notion provides the metaphysical basis for divination: signs are meaningful because the cosmos itself is structured to produce them.</w:t>
      </w:r>
    </w:p>
    <w:p w:rsidR="70972E61" w:rsidP="678C35A9" w:rsidRDefault="70972E61" w14:paraId="03B80475" w14:textId="05DF1BEA">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 xml:space="preserve">Claudius Ptolemy’s </w:t>
      </w:r>
      <w:r w:rsidRPr="678C35A9" w:rsidR="70972E61">
        <w:rPr>
          <w:rFonts w:ascii="Arial Nova" w:hAnsi="Arial Nova" w:eastAsia="Arial Nova" w:cs="Arial Nova"/>
        </w:rPr>
        <w:t>Tetrabiblos</w:t>
      </w:r>
      <w:r w:rsidRPr="678C35A9" w:rsidR="70972E61">
        <w:rPr>
          <w:rFonts w:ascii="Arial Nova" w:hAnsi="Arial Nova" w:eastAsia="Arial Nova" w:cs="Arial Nova"/>
        </w:rPr>
        <w:t xml:space="preserve"> embodies this rational foundation. He presents astrology not as superstition, but as part of natural philosophy—an empirical system based on observable correlations between planetary movements and earthly outcomes. Ptolemy emphasizes that planetary influences reflect the rational order of the universe, functioning as indicators of possibility rather than as a factor of necessity (</w:t>
      </w:r>
      <w:bookmarkStart w:name="_Int_mmhmwdhw" w:id="1888529324"/>
      <w:r w:rsidRPr="678C35A9" w:rsidR="70972E61">
        <w:rPr>
          <w:rFonts w:ascii="Arial Nova" w:hAnsi="Arial Nova" w:eastAsia="Arial Nova" w:cs="Arial Nova"/>
        </w:rPr>
        <w:t>Tetrabiblos</w:t>
      </w:r>
      <w:bookmarkEnd w:id="1888529324"/>
      <w:r w:rsidRPr="678C35A9" w:rsidR="70972E61">
        <w:rPr>
          <w:rFonts w:ascii="Arial Nova" w:hAnsi="Arial Nova" w:eastAsia="Arial Nova" w:cs="Arial Nova"/>
        </w:rPr>
        <w:t xml:space="preserve"> I.2–4).</w:t>
      </w:r>
    </w:p>
    <w:p w:rsidR="70972E61" w:rsidP="678C35A9" w:rsidRDefault="70972E61" w14:paraId="1D1B9490" w14:textId="3B9C79B6">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 xml:space="preserve">Similarly, the Hermetic texts offer a vision of the cosmos as a hierarchy of divine intelligences, each planetary sphere inhabited by daemonic forces or spiritual intermediaries. In Corpus </w:t>
      </w:r>
      <w:bookmarkStart w:name="_Int_771dJtVN" w:id="982586394"/>
      <w:r w:rsidRPr="678C35A9" w:rsidR="70972E61">
        <w:rPr>
          <w:rFonts w:ascii="Arial Nova" w:hAnsi="Arial Nova" w:eastAsia="Arial Nova" w:cs="Arial Nova"/>
        </w:rPr>
        <w:t>Hermeticum</w:t>
      </w:r>
      <w:bookmarkEnd w:id="982586394"/>
      <w:r w:rsidRPr="678C35A9" w:rsidR="70972E61">
        <w:rPr>
          <w:rFonts w:ascii="Arial Nova" w:hAnsi="Arial Nova" w:eastAsia="Arial Nova" w:cs="Arial Nova"/>
        </w:rPr>
        <w:t xml:space="preserve"> I (</w:t>
      </w:r>
      <w:r w:rsidRPr="678C35A9" w:rsidR="70972E61">
        <w:rPr>
          <w:rFonts w:ascii="Arial Nova" w:hAnsi="Arial Nova" w:eastAsia="Arial Nova" w:cs="Arial Nova"/>
        </w:rPr>
        <w:t>Poimandres</w:t>
      </w:r>
      <w:r w:rsidRPr="678C35A9" w:rsidR="70972E61">
        <w:rPr>
          <w:rFonts w:ascii="Arial Nova" w:hAnsi="Arial Nova" w:eastAsia="Arial Nova" w:cs="Arial Nova"/>
        </w:rPr>
        <w:t>), the cosmos is portrayed as a living god, and the soul’s journey through planetary realms reflects both cosmological structure and mystical aspiration. Divination in this context is not merely predictive—it is a means of understanding divine intention and aligning with the cosmic mind.</w:t>
      </w:r>
    </w:p>
    <w:p w:rsidR="70972E61" w:rsidP="678C35A9" w:rsidRDefault="70972E61" w14:paraId="6814B188" w14:textId="1DAFB0E1">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 xml:space="preserve">The idea of the microcosm and macrocosm—that the human being reflects the structure of the universe—is central to this worldview. </w:t>
      </w:r>
      <w:r w:rsidRPr="678C35A9" w:rsidR="70972E61">
        <w:rPr>
          <w:rFonts w:ascii="Arial Nova" w:hAnsi="Arial Nova" w:eastAsia="Arial Nova" w:cs="Arial Nova"/>
        </w:rPr>
        <w:t>Manilius</w:t>
      </w:r>
      <w:r w:rsidRPr="678C35A9" w:rsidR="70972E61">
        <w:rPr>
          <w:rFonts w:ascii="Arial Nova" w:hAnsi="Arial Nova" w:eastAsia="Arial Nova" w:cs="Arial Nova"/>
        </w:rPr>
        <w:t>, in his Astronomica, describes astrology as a divine art through which humans can trace their destiny written in the stars. By interpreting celestial configurations, astrologers read the cosmic text that mirrors individual fates.</w:t>
      </w:r>
    </w:p>
    <w:p w:rsidR="70972E61" w:rsidP="678C35A9" w:rsidRDefault="70972E61" w14:paraId="75062979" w14:textId="10AD7F1F">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Vettius Valens, in his Anthology, blends technical computation with spiritual insight, showing how astrological timing (</w:t>
      </w:r>
      <w:r w:rsidRPr="678C35A9" w:rsidR="70972E61">
        <w:rPr>
          <w:rFonts w:ascii="Arial Nova" w:hAnsi="Arial Nova" w:eastAsia="Arial Nova" w:cs="Arial Nova"/>
        </w:rPr>
        <w:t>kairos</w:t>
      </w:r>
      <w:r w:rsidRPr="678C35A9" w:rsidR="70972E61">
        <w:rPr>
          <w:rFonts w:ascii="Arial Nova" w:hAnsi="Arial Nova" w:eastAsia="Arial Nova" w:cs="Arial Nova"/>
        </w:rPr>
        <w:t>) reflects the quality of moments within a divinely ordered chronology. Time, in Hellenistic thought, is not linear or neutral; it is infused with symbolic meaning that can be accessed through divinatory techniques.</w:t>
      </w:r>
    </w:p>
    <w:p w:rsidR="70972E61" w:rsidP="678C35A9" w:rsidRDefault="70972E61" w14:paraId="4BDE7C7B" w14:textId="580A0F90">
      <w:pPr>
        <w:pStyle w:val="NoSpacing"/>
        <w:bidi w:val="0"/>
        <w:spacing w:line="360" w:lineRule="auto"/>
        <w:jc w:val="both"/>
        <w:rPr>
          <w:rFonts w:ascii="Arial Nova" w:hAnsi="Arial Nova" w:eastAsia="Arial Nova" w:cs="Arial Nova"/>
          <w:b w:val="0"/>
          <w:bCs w:val="0"/>
          <w:sz w:val="24"/>
          <w:szCs w:val="24"/>
        </w:rPr>
      </w:pPr>
      <w:r w:rsidRPr="678C35A9" w:rsidR="70972E61">
        <w:rPr>
          <w:rFonts w:ascii="Arial Nova" w:hAnsi="Arial Nova" w:eastAsia="Arial Nova" w:cs="Arial Nova"/>
        </w:rPr>
        <w:t>Together, these cosmological concepts—</w:t>
      </w:r>
      <w:r w:rsidRPr="678C35A9" w:rsidR="70972E61">
        <w:rPr>
          <w:rFonts w:ascii="Arial Nova" w:hAnsi="Arial Nova" w:eastAsia="Arial Nova" w:cs="Arial Nova"/>
        </w:rPr>
        <w:t>sympatheia</w:t>
      </w:r>
      <w:r w:rsidRPr="678C35A9" w:rsidR="70972E61">
        <w:rPr>
          <w:rFonts w:ascii="Arial Nova" w:hAnsi="Arial Nova" w:eastAsia="Arial Nova" w:cs="Arial Nova"/>
        </w:rPr>
        <w:t>, planetary intelligence, hierarchical order, and qualitative time—constitute the intellectual scaffolding upon which Hellenistic astrology builds its divinatory practices. The cosmos is not silent: its movements are legible, purposeful, and accessible to those trained in the language of the stars.</w:t>
      </w:r>
      <w:r w:rsidRPr="678C35A9" w:rsidR="75A9FD9F">
        <w:rPr>
          <w:rFonts w:ascii="Arial Nova" w:hAnsi="Arial Nova" w:eastAsia="Arial Nova" w:cs="Arial Nova"/>
        </w:rPr>
        <w:t xml:space="preserve"> </w:t>
      </w:r>
    </w:p>
    <w:p w:rsidR="5B365DAE" w:rsidP="5B365DAE" w:rsidRDefault="5B365DAE" w14:paraId="198DA530" w14:textId="5080863E">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8"/>
          <w:szCs w:val="28"/>
        </w:rPr>
      </w:pPr>
    </w:p>
    <w:p w:rsidR="11F99160" w:rsidP="678C35A9" w:rsidRDefault="11F99160" w14:paraId="54B089DB" w14:textId="668A7A78">
      <w:pPr>
        <w:pStyle w:val="Normal"/>
        <w:jc w:val="center"/>
        <w:rPr>
          <w:rFonts w:ascii="Arial Nova" w:hAnsi="Arial Nova" w:eastAsia="Arial Nova" w:cs="Arial Nova"/>
          <w:b w:val="1"/>
          <w:bCs w:val="1"/>
          <w:sz w:val="32"/>
          <w:szCs w:val="32"/>
        </w:rPr>
      </w:pPr>
      <w:r w:rsidRPr="678C35A9" w:rsidR="07F7487D">
        <w:rPr>
          <w:rFonts w:ascii="Arial Nova" w:hAnsi="Arial Nova" w:eastAsia="Arial Nova" w:cs="Arial Nova"/>
          <w:b w:val="1"/>
          <w:bCs w:val="1"/>
          <w:sz w:val="32"/>
          <w:szCs w:val="32"/>
        </w:rPr>
        <w:t>Necromantic Divination and Cosmological Depth in the Greek Magical Papyri - PGM IV.1928–2144</w:t>
      </w:r>
    </w:p>
    <w:p w:rsidR="678C35A9" w:rsidP="678C35A9" w:rsidRDefault="678C35A9" w14:paraId="5FEF4DD5" w14:textId="3D27416F">
      <w:pPr>
        <w:pStyle w:val="Normal"/>
        <w:jc w:val="left"/>
        <w:rPr>
          <w:rFonts w:ascii="Arial Nova" w:hAnsi="Arial Nova" w:eastAsia="Arial Nova" w:cs="Arial Nova"/>
          <w:b w:val="1"/>
          <w:bCs w:val="1"/>
          <w:sz w:val="32"/>
          <w:szCs w:val="32"/>
        </w:rPr>
      </w:pPr>
    </w:p>
    <w:p w:rsidR="536089F0" w:rsidP="678C35A9" w:rsidRDefault="536089F0" w14:paraId="60F1DE57" w14:textId="328E13C0">
      <w:pPr>
        <w:pStyle w:val="NoSpacing"/>
        <w:spacing w:line="360" w:lineRule="auto"/>
        <w:jc w:val="both"/>
        <w:rPr>
          <w:rFonts w:ascii="Arial Nova" w:hAnsi="Arial Nova" w:eastAsia="Arial Nova" w:cs="Arial Nova"/>
          <w:b w:val="0"/>
          <w:bCs w:val="0"/>
          <w:sz w:val="24"/>
          <w:szCs w:val="24"/>
        </w:rPr>
      </w:pPr>
      <w:r w:rsidRPr="678C35A9" w:rsidR="536089F0">
        <w:rPr>
          <w:rFonts w:ascii="Arial Nova" w:hAnsi="Arial Nova" w:eastAsia="Arial Nova" w:cs="Arial Nova"/>
        </w:rPr>
        <w:t>The syncretic worldview outlined in Hellenistic cosmology finds powerful ritual expression in the Greek Magical Papyri (PGM), particularly in texts where cosmology, magic, and divination are woven into a singular practice. One such example is PGM IV.1928–2144, often referred to as the “Skull and Corpse Oracle.” This ritual exemplifies how practitioners of late antiquity engaged with chthonic forces, enacting divination through a necromantic framework rooted in a layered cosmological understanding.</w:t>
      </w:r>
    </w:p>
    <w:p w:rsidR="536089F0" w:rsidP="678C35A9" w:rsidRDefault="536089F0" w14:paraId="731ED0F7" w14:textId="194FA0DC">
      <w:pPr>
        <w:pStyle w:val="NoSpacing"/>
        <w:spacing w:line="360" w:lineRule="auto"/>
        <w:jc w:val="both"/>
        <w:rPr>
          <w:rFonts w:ascii="Arial Nova" w:hAnsi="Arial Nova" w:eastAsia="Arial Nova" w:cs="Arial Nova"/>
          <w:b w:val="0"/>
          <w:bCs w:val="0"/>
          <w:sz w:val="24"/>
          <w:szCs w:val="24"/>
        </w:rPr>
      </w:pPr>
      <w:r w:rsidRPr="678C35A9" w:rsidR="536089F0">
        <w:rPr>
          <w:rFonts w:ascii="Arial Nova" w:hAnsi="Arial Nova" w:eastAsia="Arial Nova" w:cs="Arial Nova"/>
        </w:rPr>
        <w:t xml:space="preserve">Composed in Graeco-Roman Egypt between the 3rd and 4th centuries CE, this text belongs to PGM IV, one of the most extensive papyri in the collection, </w:t>
      </w:r>
      <w:r w:rsidRPr="678C35A9" w:rsidR="536089F0">
        <w:rPr>
          <w:rFonts w:ascii="Arial Nova" w:hAnsi="Arial Nova" w:eastAsia="Arial Nova" w:cs="Arial Nova"/>
        </w:rPr>
        <w:t>likely originating</w:t>
      </w:r>
      <w:r w:rsidRPr="678C35A9" w:rsidR="536089F0">
        <w:rPr>
          <w:rFonts w:ascii="Arial Nova" w:hAnsi="Arial Nova" w:eastAsia="Arial Nova" w:cs="Arial Nova"/>
        </w:rPr>
        <w:t xml:space="preserve"> from Thebes. The PGM corpus </w:t>
      </w:r>
      <w:r w:rsidRPr="678C35A9" w:rsidR="536089F0">
        <w:rPr>
          <w:rFonts w:ascii="Arial Nova" w:hAnsi="Arial Nova" w:eastAsia="Arial Nova" w:cs="Arial Nova"/>
        </w:rPr>
        <w:t>as a whole reflects</w:t>
      </w:r>
      <w:r w:rsidRPr="678C35A9" w:rsidR="536089F0">
        <w:rPr>
          <w:rFonts w:ascii="Arial Nova" w:hAnsi="Arial Nova" w:eastAsia="Arial Nova" w:cs="Arial Nova"/>
        </w:rPr>
        <w:t xml:space="preserve"> a fusion of Egyptian temple traditions, Greek philosophical motifs, and Near Eastern ritual logic. Ritual specialists, sometimes described as “wandering magicians,” adapted inherited practices for personalized revelation, healing, and divine communication. Interpretation of these texts demands careful consideration of methodological challenges: fragmentary transmission, translational ambiguity, and the hybrid use of Greek, Demotic, and ritual accents pose hurdles to clarity</w:t>
      </w:r>
      <w:r w:rsidRPr="678C35A9" w:rsidR="128E00FB">
        <w:rPr>
          <w:rFonts w:ascii="Arial Nova" w:hAnsi="Arial Nova" w:eastAsia="Arial Nova" w:cs="Arial Nova"/>
        </w:rPr>
        <w:t xml:space="preserve"> (</w:t>
      </w:r>
      <w:r w:rsidRPr="678C35A9" w:rsidR="128E00FB">
        <w:rPr>
          <w:rFonts w:ascii="Arial Nova" w:hAnsi="Arial Nova" w:eastAsia="Arial Nova" w:cs="Arial Nova"/>
          <w:sz w:val="24"/>
          <w:szCs w:val="24"/>
        </w:rPr>
        <w:t>Johnston, 2008).</w:t>
      </w:r>
      <w:r w:rsidRPr="678C35A9" w:rsidR="536089F0">
        <w:rPr>
          <w:rFonts w:ascii="Arial Nova" w:hAnsi="Arial Nova" w:eastAsia="Arial Nova" w:cs="Arial Nova"/>
        </w:rPr>
        <w:t xml:space="preserve"> Scholars such as Betz (1986), Johnston (2008), and Faraone &amp; Graf (1991) emphasize the importance of context and comparative frameworks when analyzing PGM texts, particularly those involving necromancy.</w:t>
      </w:r>
    </w:p>
    <w:p w:rsidR="536089F0" w:rsidP="678C35A9" w:rsidRDefault="536089F0" w14:paraId="35359C27" w14:textId="3BAB5C67">
      <w:pPr>
        <w:pStyle w:val="NoSpacing"/>
        <w:spacing w:line="360" w:lineRule="auto"/>
        <w:jc w:val="both"/>
        <w:rPr>
          <w:rFonts w:ascii="Arial Nova" w:hAnsi="Arial Nova" w:eastAsia="Arial Nova" w:cs="Arial Nova"/>
          <w:b w:val="0"/>
          <w:bCs w:val="0"/>
          <w:sz w:val="24"/>
          <w:szCs w:val="24"/>
        </w:rPr>
      </w:pPr>
      <w:r w:rsidRPr="678C35A9" w:rsidR="536089F0">
        <w:rPr>
          <w:rFonts w:ascii="Arial Nova" w:hAnsi="Arial Nova" w:eastAsia="Arial Nova" w:cs="Arial Nova"/>
        </w:rPr>
        <w:t>Within the “Skull and Corpse Oracle,” divination is achieved through direct communion with spirits of the dead, typically by engaging a skull or corpse as a ritual medium. The practitioner prepares the rite meticulously — purifying the space, selecting nighttime hours, and invoking specific chthonic deities such as Hecate, Persephone, or Osiris, depending on cosmological alignment. These figures are not invoked merely as mythic entities but as active participants in a layered cosmology, where the underworld holds epistemic authority. The ritual imagines death not as absence, but as a gateway to hidden knowledge, suggesting that liminal spaces — tombs, graveyards, nocturnal hours — become portals to divine insight</w:t>
      </w:r>
      <w:r w:rsidRPr="678C35A9" w:rsidR="3A91DEBF">
        <w:rPr>
          <w:rFonts w:ascii="Arial Nova" w:hAnsi="Arial Nova" w:eastAsia="Arial Nova" w:cs="Arial Nova"/>
        </w:rPr>
        <w:t xml:space="preserve"> (Gordon, 2002).</w:t>
      </w:r>
    </w:p>
    <w:p w:rsidR="536089F0" w:rsidP="678C35A9" w:rsidRDefault="536089F0" w14:paraId="1231A082" w14:textId="72F35542">
      <w:pPr>
        <w:pStyle w:val="NoSpacing"/>
        <w:spacing w:line="360" w:lineRule="auto"/>
        <w:jc w:val="both"/>
        <w:rPr>
          <w:rFonts w:ascii="Arial Nova" w:hAnsi="Arial Nova" w:eastAsia="Arial Nova" w:cs="Arial Nova"/>
          <w:b w:val="0"/>
          <w:bCs w:val="0"/>
          <w:sz w:val="24"/>
          <w:szCs w:val="24"/>
        </w:rPr>
      </w:pPr>
      <w:r w:rsidRPr="678C35A9" w:rsidR="536089F0">
        <w:rPr>
          <w:rFonts w:ascii="Arial Nova" w:hAnsi="Arial Nova" w:eastAsia="Arial Nova" w:cs="Arial Nova"/>
        </w:rPr>
        <w:t xml:space="preserve">The magical logic of the text relies on several key cosmological concepts. First, the fluid boundary between worlds is assumed: the physical remnant of a body (a skull or corpse) is not inert but </w:t>
      </w:r>
      <w:r w:rsidRPr="678C35A9" w:rsidR="536089F0">
        <w:rPr>
          <w:rFonts w:ascii="Arial Nova" w:hAnsi="Arial Nova" w:eastAsia="Arial Nova" w:cs="Arial Nova"/>
        </w:rPr>
        <w:t>remains</w:t>
      </w:r>
      <w:r w:rsidRPr="678C35A9" w:rsidR="536089F0">
        <w:rPr>
          <w:rFonts w:ascii="Arial Nova" w:hAnsi="Arial Nova" w:eastAsia="Arial Nova" w:cs="Arial Nova"/>
        </w:rPr>
        <w:t xml:space="preserve"> spiritually responsive. Second, </w:t>
      </w:r>
      <w:r w:rsidRPr="678C35A9" w:rsidR="536089F0">
        <w:rPr>
          <w:rFonts w:ascii="Arial Nova" w:hAnsi="Arial Nova" w:eastAsia="Arial Nova" w:cs="Arial Nova"/>
        </w:rPr>
        <w:t>voces</w:t>
      </w:r>
      <w:r w:rsidRPr="678C35A9" w:rsidR="536089F0">
        <w:rPr>
          <w:rFonts w:ascii="Arial Nova" w:hAnsi="Arial Nova" w:eastAsia="Arial Nova" w:cs="Arial Nova"/>
        </w:rPr>
        <w:t xml:space="preserve"> </w:t>
      </w:r>
      <w:bookmarkStart w:name="_Int_OWIBTemS" w:id="319754995"/>
      <w:r w:rsidRPr="678C35A9" w:rsidR="536089F0">
        <w:rPr>
          <w:rFonts w:ascii="Arial Nova" w:hAnsi="Arial Nova" w:eastAsia="Arial Nova" w:cs="Arial Nova"/>
        </w:rPr>
        <w:t>magicae</w:t>
      </w:r>
      <w:bookmarkEnd w:id="319754995"/>
      <w:r w:rsidRPr="678C35A9" w:rsidR="536089F0">
        <w:rPr>
          <w:rFonts w:ascii="Arial Nova" w:hAnsi="Arial Nova" w:eastAsia="Arial Nova" w:cs="Arial Nova"/>
        </w:rPr>
        <w:t xml:space="preserve"> and barbarous names reflect the belief that sacred utterances, often encoded or invented, carry performative power — they compel rather than merely </w:t>
      </w:r>
      <w:r w:rsidRPr="678C35A9" w:rsidR="536089F0">
        <w:rPr>
          <w:rFonts w:ascii="Arial Nova" w:hAnsi="Arial Nova" w:eastAsia="Arial Nova" w:cs="Arial Nova"/>
        </w:rPr>
        <w:t>request</w:t>
      </w:r>
      <w:r w:rsidRPr="678C35A9" w:rsidR="536089F0">
        <w:rPr>
          <w:rFonts w:ascii="Arial Nova" w:hAnsi="Arial Nova" w:eastAsia="Arial Nova" w:cs="Arial Nova"/>
        </w:rPr>
        <w:t xml:space="preserve">. The practitioner is not a passive observer but an active manipulator of cosmological forces, binding spirits and </w:t>
      </w:r>
      <w:r w:rsidRPr="678C35A9" w:rsidR="536089F0">
        <w:rPr>
          <w:rFonts w:ascii="Arial Nova" w:hAnsi="Arial Nova" w:eastAsia="Arial Nova" w:cs="Arial Nova"/>
        </w:rPr>
        <w:t>soliciting</w:t>
      </w:r>
      <w:r w:rsidRPr="678C35A9" w:rsidR="536089F0">
        <w:rPr>
          <w:rFonts w:ascii="Arial Nova" w:hAnsi="Arial Nova" w:eastAsia="Arial Nova" w:cs="Arial Nova"/>
        </w:rPr>
        <w:t xml:space="preserve"> truthful answers through ritual speech and offering</w:t>
      </w:r>
      <w:r w:rsidRPr="678C35A9" w:rsidR="26E22219">
        <w:rPr>
          <w:rFonts w:ascii="Arial Nova" w:hAnsi="Arial Nova" w:eastAsia="Arial Nova" w:cs="Arial Nova"/>
        </w:rPr>
        <w:t xml:space="preserve"> (Faraone &amp; Graf, 1991).</w:t>
      </w:r>
    </w:p>
    <w:p w:rsidR="536089F0" w:rsidP="678C35A9" w:rsidRDefault="536089F0" w14:paraId="2B6FEB69" w14:textId="5E2978AF">
      <w:pPr>
        <w:pStyle w:val="NoSpacing"/>
        <w:spacing w:line="360" w:lineRule="auto"/>
        <w:jc w:val="both"/>
        <w:rPr>
          <w:rFonts w:ascii="Arial Nova" w:hAnsi="Arial Nova" w:eastAsia="Arial Nova" w:cs="Arial Nova"/>
          <w:b w:val="0"/>
          <w:bCs w:val="0"/>
          <w:sz w:val="24"/>
          <w:szCs w:val="24"/>
        </w:rPr>
      </w:pPr>
      <w:r w:rsidRPr="678C35A9" w:rsidR="536089F0">
        <w:rPr>
          <w:rFonts w:ascii="Arial Nova" w:hAnsi="Arial Nova" w:eastAsia="Arial Nova" w:cs="Arial Nova"/>
        </w:rPr>
        <w:t>Implicit within this necromantic technique is a theory of cosmic permeability: divine truth does not descend solely from celestial spheres, but ascends from chthonic realms. The orientation toward underworld knowledge suggests a reversal of normative epistemologies, where light and heaven are not the only sources of wisdom. Ritual action becomes a dialogue with marginal, hidden, and transgressive forces — yet still situated within a cosmological order that validates their participation in divination.</w:t>
      </w:r>
    </w:p>
    <w:p w:rsidR="536089F0" w:rsidP="678C35A9" w:rsidRDefault="536089F0" w14:paraId="5D03EBB4" w14:textId="001BEABA">
      <w:pPr>
        <w:pStyle w:val="NoSpacing"/>
        <w:spacing w:line="360" w:lineRule="auto"/>
        <w:jc w:val="both"/>
        <w:rPr>
          <w:rFonts w:ascii="Arial Nova" w:hAnsi="Arial Nova" w:eastAsia="Arial Nova" w:cs="Arial Nova"/>
          <w:b w:val="0"/>
          <w:bCs w:val="0"/>
          <w:sz w:val="24"/>
          <w:szCs w:val="24"/>
        </w:rPr>
      </w:pPr>
      <w:r w:rsidRPr="678C35A9" w:rsidR="536089F0">
        <w:rPr>
          <w:rFonts w:ascii="Arial Nova" w:hAnsi="Arial Nova" w:eastAsia="Arial Nova" w:cs="Arial Nova"/>
        </w:rPr>
        <w:t>Furthermore, the PGM texts, especially this rite, reflect a hybrid religious identity, where Greek theological structures are refracted through Egyptian funerary ideology. The role of Osiris in particular, as a lord of the dead and guarantor of truth, points to a culturally translated cosmology in which divination emerges from the myths of judgment, resurrection, and cosmic balance.</w:t>
      </w:r>
      <w:r w:rsidRPr="678C35A9" w:rsidR="2CECCE6F">
        <w:rPr>
          <w:rFonts w:ascii="Arial Nova" w:hAnsi="Arial Nova" w:eastAsia="Arial Nova" w:cs="Arial Nova"/>
        </w:rPr>
        <w:t xml:space="preserve"> Osiris functions both as a mythic figure and a cosmological gatekeeper (Smith, 1995).</w:t>
      </w:r>
    </w:p>
    <w:p w:rsidR="7213E6B5" w:rsidP="678C35A9" w:rsidRDefault="7213E6B5" w14:paraId="222B293C" w14:textId="72993CA0">
      <w:pPr>
        <w:pStyle w:val="NoSpacing"/>
        <w:spacing w:line="360" w:lineRule="auto"/>
        <w:jc w:val="both"/>
        <w:rPr>
          <w:rFonts w:ascii="Arial Nova" w:hAnsi="Arial Nova" w:eastAsia="Arial Nova" w:cs="Arial Nova"/>
          <w:b w:val="0"/>
          <w:bCs w:val="0"/>
          <w:sz w:val="24"/>
          <w:szCs w:val="24"/>
        </w:rPr>
      </w:pPr>
      <w:r w:rsidRPr="678C35A9" w:rsidR="7213E6B5">
        <w:rPr>
          <w:rFonts w:ascii="Arial Nova" w:hAnsi="Arial Nova" w:eastAsia="Arial Nova" w:cs="Arial Nova"/>
        </w:rPr>
        <w:t xml:space="preserve">PGM IV.1928–2144 </w:t>
      </w:r>
      <w:r w:rsidRPr="678C35A9" w:rsidR="7213E6B5">
        <w:rPr>
          <w:rFonts w:ascii="Arial Nova" w:hAnsi="Arial Nova" w:eastAsia="Arial Nova" w:cs="Arial Nova"/>
        </w:rPr>
        <w:t>demonstrates</w:t>
      </w:r>
      <w:r w:rsidRPr="678C35A9" w:rsidR="7213E6B5">
        <w:rPr>
          <w:rFonts w:ascii="Arial Nova" w:hAnsi="Arial Nova" w:eastAsia="Arial Nova" w:cs="Arial Nova"/>
        </w:rPr>
        <w:t xml:space="preserve"> how ritual specialists understood divination not simply as a prediction of fate but as a ritual science, as a method of divination deeply grounded in cosmological logic—a systematic interaction with the cosmological realms through precise magical performance. The skull and the corpse are not relics but thresholds; the spoken word is not descriptive but transformative. The dead are not silent relics but voices of knowledge; the skull is not inert but a vessel of revelation. This ritual embodies a worldview in which the cosmos—both celestial and chthonic—is open to interaction, interpretation, and influence. </w:t>
      </w:r>
    </w:p>
    <w:p w:rsidR="678C35A9" w:rsidP="678C35A9" w:rsidRDefault="678C35A9" w14:paraId="1CF5FE31" w14:textId="21B588CE">
      <w:pPr>
        <w:pStyle w:val="NoSpacing"/>
        <w:spacing w:line="360" w:lineRule="auto"/>
        <w:jc w:val="both"/>
        <w:rPr>
          <w:rFonts w:ascii="Arial Nova" w:hAnsi="Arial Nova" w:eastAsia="Arial Nova" w:cs="Arial Nova"/>
        </w:rPr>
      </w:pPr>
    </w:p>
    <w:p w:rsidR="771F3B29" w:rsidP="678C35A9" w:rsidRDefault="771F3B29" w14:paraId="3107D30F" w14:textId="65E64061">
      <w:pPr>
        <w:pStyle w:val="NoSpacing"/>
        <w:spacing w:line="360" w:lineRule="auto"/>
        <w:jc w:val="center"/>
        <w:rPr>
          <w:rFonts w:ascii="Arial Nova" w:hAnsi="Arial Nova" w:eastAsia="Arial Nova" w:cs="Arial Nova"/>
          <w:b w:val="1"/>
          <w:bCs w:val="1"/>
          <w:sz w:val="32"/>
          <w:szCs w:val="32"/>
        </w:rPr>
      </w:pPr>
      <w:r w:rsidRPr="678C35A9" w:rsidR="771F3B29">
        <w:rPr>
          <w:rFonts w:ascii="Arial Nova" w:hAnsi="Arial Nova" w:eastAsia="Arial Nova" w:cs="Arial Nova"/>
          <w:b w:val="1"/>
          <w:bCs w:val="1"/>
          <w:sz w:val="32"/>
          <w:szCs w:val="32"/>
        </w:rPr>
        <w:t>Divination in Ancient Greek Medicine: Between Prognosis and Prophecy</w:t>
      </w:r>
    </w:p>
    <w:p w:rsidR="678C35A9" w:rsidP="678C35A9" w:rsidRDefault="678C35A9" w14:paraId="68E59A2A" w14:textId="524EFB6C">
      <w:pPr>
        <w:pStyle w:val="NoSpacing"/>
        <w:spacing w:line="360" w:lineRule="auto"/>
        <w:jc w:val="left"/>
        <w:rPr>
          <w:rFonts w:ascii="Arial Nova" w:hAnsi="Arial Nova" w:eastAsia="Arial Nova" w:cs="Arial Nova"/>
          <w:b w:val="1"/>
          <w:bCs w:val="1"/>
          <w:sz w:val="32"/>
          <w:szCs w:val="32"/>
        </w:rPr>
      </w:pPr>
    </w:p>
    <w:p w:rsidR="54711816" w:rsidP="678C35A9" w:rsidRDefault="54711816" w14:paraId="53899739" w14:textId="0F7630BC">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Divination occupied a complex and integral position within ancient Greek medical thought. Far from being merely extraneous to rational treatment, divinatory practices were woven into theories of diagnosis, prognosis, and healing — sometimes complementing, sometimes contesting the principles outlined in the Hippocratic corpus. This confluence of medical empiricism and religious cosmology reflects the broader Hellenistic worldview, in which nature and the divine </w:t>
      </w:r>
      <w:bookmarkStart w:name="_Int_67PPXs5t" w:id="189764422"/>
      <w:r w:rsidRPr="678C35A9" w:rsidR="54711816">
        <w:rPr>
          <w:rFonts w:ascii="Arial Nova" w:hAnsi="Arial Nova" w:eastAsia="Arial Nova" w:cs="Arial Nova"/>
          <w:b w:val="0"/>
          <w:bCs w:val="0"/>
          <w:sz w:val="24"/>
          <w:szCs w:val="24"/>
        </w:rPr>
        <w:t>operated</w:t>
      </w:r>
      <w:bookmarkEnd w:id="189764422"/>
      <w:r w:rsidRPr="678C35A9" w:rsidR="54711816">
        <w:rPr>
          <w:rFonts w:ascii="Arial Nova" w:hAnsi="Arial Nova" w:eastAsia="Arial Nova" w:cs="Arial Nova"/>
          <w:b w:val="0"/>
          <w:bCs w:val="0"/>
          <w:sz w:val="24"/>
          <w:szCs w:val="24"/>
        </w:rPr>
        <w:t xml:space="preserve"> in tandem rather than in opposition.</w:t>
      </w:r>
    </w:p>
    <w:p w:rsidR="54711816" w:rsidP="678C35A9" w:rsidRDefault="54711816" w14:paraId="49597C47" w14:textId="66C3ABC8">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In the Hippocratic treatise Regimen IV (traditionally known as On Dreams), dreams are presented as meaningful reflections of bodily imbalance — images that </w:t>
      </w:r>
      <w:r w:rsidRPr="678C35A9" w:rsidR="54711816">
        <w:rPr>
          <w:rFonts w:ascii="Arial Nova" w:hAnsi="Arial Nova" w:eastAsia="Arial Nova" w:cs="Arial Nova"/>
          <w:b w:val="0"/>
          <w:bCs w:val="0"/>
          <w:sz w:val="24"/>
          <w:szCs w:val="24"/>
        </w:rPr>
        <w:t>emerge</w:t>
      </w:r>
      <w:r w:rsidRPr="678C35A9" w:rsidR="54711816">
        <w:rPr>
          <w:rFonts w:ascii="Arial Nova" w:hAnsi="Arial Nova" w:eastAsia="Arial Nova" w:cs="Arial Nova"/>
          <w:b w:val="0"/>
          <w:bCs w:val="0"/>
          <w:sz w:val="24"/>
          <w:szCs w:val="24"/>
        </w:rPr>
        <w:t xml:space="preserve"> from the physiological condition of the sleeper (Hippocrates, Hippocratic Writings, trans. J. Chadwick and W.N. Mann, 1978). For instance, dreams of fire or flight might signal an excess of bile or a disturbed temperament, revealing the body's hidden states in symbolic form. Yet the text also preserves traces of divinatory logic: dreams are not purely mechanistic outputs but intermediaries between bodily and spiritual realms. Thus, the dream functions both diagnostically and prognostically, with interpretation becoming a medical and semiotic act.</w:t>
      </w:r>
    </w:p>
    <w:p w:rsidR="54711816" w:rsidP="678C35A9" w:rsidRDefault="54711816" w14:paraId="0C14D691" w14:textId="2F2D5890">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Even the foundational Hippocratic text On the Sacred Disease (on epilepsy) </w:t>
      </w:r>
      <w:r w:rsidRPr="678C35A9" w:rsidR="54711816">
        <w:rPr>
          <w:rFonts w:ascii="Arial Nova" w:hAnsi="Arial Nova" w:eastAsia="Arial Nova" w:cs="Arial Nova"/>
          <w:b w:val="0"/>
          <w:bCs w:val="0"/>
          <w:sz w:val="24"/>
          <w:szCs w:val="24"/>
        </w:rPr>
        <w:t>exhibits</w:t>
      </w:r>
      <w:r w:rsidRPr="678C35A9" w:rsidR="54711816">
        <w:rPr>
          <w:rFonts w:ascii="Arial Nova" w:hAnsi="Arial Nova" w:eastAsia="Arial Nova" w:cs="Arial Nova"/>
          <w:b w:val="0"/>
          <w:bCs w:val="0"/>
          <w:sz w:val="24"/>
          <w:szCs w:val="24"/>
        </w:rPr>
        <w:t xml:space="preserve"> a careful engagement with divinatory traditions. While it critiques the attribution of illness to divine punishment or possession, it does not reject the possibility of cosmic causality. Instead, the treatise argues for naturalistic explanations of divine action, proposing that the regularities of the body reveal how </w:t>
      </w:r>
      <w:r w:rsidRPr="678C35A9" w:rsidR="6F9C097C">
        <w:rPr>
          <w:rFonts w:ascii="Arial Nova" w:hAnsi="Arial Nova" w:eastAsia="Arial Nova" w:cs="Arial Nova"/>
          <w:b w:val="0"/>
          <w:bCs w:val="0"/>
          <w:sz w:val="24"/>
          <w:szCs w:val="24"/>
        </w:rPr>
        <w:t>God</w:t>
      </w:r>
      <w:r w:rsidRPr="678C35A9" w:rsidR="54711816">
        <w:rPr>
          <w:rFonts w:ascii="Arial Nova" w:hAnsi="Arial Nova" w:eastAsia="Arial Nova" w:cs="Arial Nova"/>
          <w:b w:val="0"/>
          <w:bCs w:val="0"/>
          <w:sz w:val="24"/>
          <w:szCs w:val="24"/>
        </w:rPr>
        <w:t xml:space="preserve"> acts consistently through nature rather than arbitrarily through supernatural signs (Hippocrates, On the Sacred Disease, in Hippocratic Writings, ed. G.E.R. Lloyd, trans. W.H.S. Jones, 1995). This view illustrates Hippocratic medicine's attempt to reframe divination within the bounds of rational observation, rather than discard it entirely.</w:t>
      </w:r>
    </w:p>
    <w:p w:rsidR="54711816" w:rsidP="678C35A9" w:rsidRDefault="54711816" w14:paraId="5036BDE4" w14:textId="24D21517">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Outside the Hippocratic corpus, divination flourished most visibly in the cult of Asclepius, the god of healing. In sanctuaries such as Epidaurus, Kos, and Pergamon, patients </w:t>
      </w:r>
      <w:r w:rsidRPr="678C35A9" w:rsidR="54711816">
        <w:rPr>
          <w:rFonts w:ascii="Arial Nova" w:hAnsi="Arial Nova" w:eastAsia="Arial Nova" w:cs="Arial Nova"/>
          <w:b w:val="0"/>
          <w:bCs w:val="0"/>
          <w:sz w:val="24"/>
          <w:szCs w:val="24"/>
        </w:rPr>
        <w:t>participated</w:t>
      </w:r>
      <w:r w:rsidRPr="678C35A9" w:rsidR="54711816">
        <w:rPr>
          <w:rFonts w:ascii="Arial Nova" w:hAnsi="Arial Nova" w:eastAsia="Arial Nova" w:cs="Arial Nova"/>
          <w:b w:val="0"/>
          <w:bCs w:val="0"/>
          <w:sz w:val="24"/>
          <w:szCs w:val="24"/>
        </w:rPr>
        <w:t xml:space="preserve"> in incubation rituals (</w:t>
      </w:r>
      <w:r w:rsidRPr="678C35A9" w:rsidR="54711816">
        <w:rPr>
          <w:rFonts w:ascii="Arial Nova" w:hAnsi="Arial Nova" w:eastAsia="Arial Nova" w:cs="Arial Nova"/>
          <w:b w:val="0"/>
          <w:bCs w:val="0"/>
          <w:sz w:val="24"/>
          <w:szCs w:val="24"/>
        </w:rPr>
        <w:t>enkoimesis</w:t>
      </w:r>
      <w:r w:rsidRPr="678C35A9" w:rsidR="54711816">
        <w:rPr>
          <w:rFonts w:ascii="Arial Nova" w:hAnsi="Arial Nova" w:eastAsia="Arial Nova" w:cs="Arial Nova"/>
          <w:b w:val="0"/>
          <w:bCs w:val="0"/>
          <w:sz w:val="24"/>
          <w:szCs w:val="24"/>
        </w:rPr>
        <w:t>), sleeping within the temple precinct (abaton) in hope of receiving a curative or diagnostic dream. Preparatory rites involved purification, offerings, and sometimes written petitions. Reports from the sanctuary at Epidaurus describe Asclepius appearing in dreams, diagnosing ailments, or performing miraculous cures in a liminal, symbolic space (Renberg, 2017). These accounts underscore how healing in Greek culture was not restricted to bodily restoration but involved divinatory revelation, ritual engagement, and a cosmology that included gods and daemons as agents of therapeutic knowledge.</w:t>
      </w:r>
    </w:p>
    <w:p w:rsidR="54711816" w:rsidP="678C35A9" w:rsidRDefault="54711816" w14:paraId="7F28935B" w14:textId="347DBA3F">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Astrological medicine also reflects this integration of divination into medical theory. </w:t>
      </w:r>
      <w:r w:rsidRPr="678C35A9" w:rsidR="54711816">
        <w:rPr>
          <w:rFonts w:ascii="Arial Nova" w:hAnsi="Arial Nova" w:eastAsia="Arial Nova" w:cs="Arial Nova"/>
          <w:b w:val="0"/>
          <w:bCs w:val="0"/>
          <w:sz w:val="24"/>
          <w:szCs w:val="24"/>
        </w:rPr>
        <w:t>Decumbiture</w:t>
      </w:r>
      <w:r w:rsidRPr="678C35A9" w:rsidR="54711816">
        <w:rPr>
          <w:rFonts w:ascii="Arial Nova" w:hAnsi="Arial Nova" w:eastAsia="Arial Nova" w:cs="Arial Nova"/>
          <w:b w:val="0"/>
          <w:bCs w:val="0"/>
          <w:sz w:val="24"/>
          <w:szCs w:val="24"/>
        </w:rPr>
        <w:t xml:space="preserve"> astrology (Latin </w:t>
      </w:r>
      <w:r w:rsidRPr="678C35A9" w:rsidR="54711816">
        <w:rPr>
          <w:rFonts w:ascii="Arial Nova" w:hAnsi="Arial Nova" w:eastAsia="Arial Nova" w:cs="Arial Nova"/>
          <w:b w:val="0"/>
          <w:bCs w:val="0"/>
          <w:sz w:val="24"/>
          <w:szCs w:val="24"/>
        </w:rPr>
        <w:t>decumbere</w:t>
      </w:r>
      <w:r w:rsidRPr="678C35A9" w:rsidR="54711816">
        <w:rPr>
          <w:rFonts w:ascii="Arial Nova" w:hAnsi="Arial Nova" w:eastAsia="Arial Nova" w:cs="Arial Nova"/>
          <w:b w:val="0"/>
          <w:bCs w:val="0"/>
          <w:sz w:val="24"/>
          <w:szCs w:val="24"/>
        </w:rPr>
        <w:t xml:space="preserve">, to lie down), a technique in which a chart is cast for the moment a patient falls ill, was practiced </w:t>
      </w:r>
      <w:bookmarkStart w:name="_Int_ZkVk1XEs" w:id="1370446086"/>
      <w:r w:rsidRPr="678C35A9" w:rsidR="54711816">
        <w:rPr>
          <w:rFonts w:ascii="Arial Nova" w:hAnsi="Arial Nova" w:eastAsia="Arial Nova" w:cs="Arial Nova"/>
          <w:b w:val="0"/>
          <w:bCs w:val="0"/>
          <w:sz w:val="24"/>
          <w:szCs w:val="24"/>
        </w:rPr>
        <w:t>to determine</w:t>
      </w:r>
      <w:bookmarkEnd w:id="1370446086"/>
      <w:r w:rsidRPr="678C35A9" w:rsidR="54711816">
        <w:rPr>
          <w:rFonts w:ascii="Arial Nova" w:hAnsi="Arial Nova" w:eastAsia="Arial Nova" w:cs="Arial Nova"/>
          <w:b w:val="0"/>
          <w:bCs w:val="0"/>
          <w:sz w:val="24"/>
          <w:szCs w:val="24"/>
        </w:rPr>
        <w:t xml:space="preserve"> prognosis, suitable treatment, and </w:t>
      </w:r>
      <w:bookmarkStart w:name="_Int_qqBzhtzf" w:id="1555425260"/>
      <w:r w:rsidRPr="678C35A9" w:rsidR="54711816">
        <w:rPr>
          <w:rFonts w:ascii="Arial Nova" w:hAnsi="Arial Nova" w:eastAsia="Arial Nova" w:cs="Arial Nova"/>
          <w:b w:val="0"/>
          <w:bCs w:val="0"/>
          <w:sz w:val="24"/>
          <w:szCs w:val="24"/>
        </w:rPr>
        <w:t>likely duration</w:t>
      </w:r>
      <w:bookmarkEnd w:id="1555425260"/>
      <w:r w:rsidRPr="678C35A9" w:rsidR="54711816">
        <w:rPr>
          <w:rFonts w:ascii="Arial Nova" w:hAnsi="Arial Nova" w:eastAsia="Arial Nova" w:cs="Arial Nova"/>
          <w:b w:val="0"/>
          <w:bCs w:val="0"/>
          <w:sz w:val="24"/>
          <w:szCs w:val="24"/>
        </w:rPr>
        <w:t xml:space="preserve"> of affliction. The roots of this method can be traced to </w:t>
      </w:r>
      <w:r w:rsidRPr="678C35A9" w:rsidR="54711816">
        <w:rPr>
          <w:rFonts w:ascii="Arial Nova" w:hAnsi="Arial Nova" w:eastAsia="Arial Nova" w:cs="Arial Nova"/>
          <w:b w:val="0"/>
          <w:bCs w:val="0"/>
          <w:sz w:val="24"/>
          <w:szCs w:val="24"/>
        </w:rPr>
        <w:t>katarchic</w:t>
      </w:r>
      <w:r w:rsidRPr="678C35A9" w:rsidR="54711816">
        <w:rPr>
          <w:rFonts w:ascii="Arial Nova" w:hAnsi="Arial Nova" w:eastAsia="Arial Nova" w:cs="Arial Nova"/>
          <w:b w:val="0"/>
          <w:bCs w:val="0"/>
          <w:sz w:val="24"/>
          <w:szCs w:val="24"/>
        </w:rPr>
        <w:t xml:space="preserve"> astrology and Hellenistic systems described by authors such as Dorotheus of Sidon and later synthesized by Renaissance physicians (Greenbaum, 1996). Dorian Greenbaum </w:t>
      </w:r>
      <w:r w:rsidRPr="678C35A9" w:rsidR="54711816">
        <w:rPr>
          <w:rFonts w:ascii="Arial Nova" w:hAnsi="Arial Nova" w:eastAsia="Arial Nova" w:cs="Arial Nova"/>
          <w:b w:val="0"/>
          <w:bCs w:val="0"/>
          <w:sz w:val="24"/>
          <w:szCs w:val="24"/>
        </w:rPr>
        <w:t>identifies</w:t>
      </w:r>
      <w:r w:rsidRPr="678C35A9" w:rsidR="54711816">
        <w:rPr>
          <w:rFonts w:ascii="Arial Nova" w:hAnsi="Arial Nova" w:eastAsia="Arial Nova" w:cs="Arial Nova"/>
          <w:b w:val="0"/>
          <w:bCs w:val="0"/>
          <w:sz w:val="24"/>
          <w:szCs w:val="24"/>
        </w:rPr>
        <w:t xml:space="preserve"> this practice as part of a broader framework where cosmological timing and planetary configuration directly inform clinical decisions (Greenbaum, 2016).</w:t>
      </w:r>
    </w:p>
    <w:p w:rsidR="54711816" w:rsidP="678C35A9" w:rsidRDefault="54711816" w14:paraId="42C4D9E1" w14:textId="1E75F308">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This persistent presence of divination within medical practice suggests a worldview in which knowledge was multi-layered: empirical, symbolic, and spiritual. The gods may not dictate every affliction, but their signs — whether in dreams, stars, or ritual enactments — remained valid sources of insight. As Johnston </w:t>
      </w:r>
      <w:r w:rsidRPr="678C35A9" w:rsidR="54711816">
        <w:rPr>
          <w:rFonts w:ascii="Arial Nova" w:hAnsi="Arial Nova" w:eastAsia="Arial Nova" w:cs="Arial Nova"/>
          <w:b w:val="0"/>
          <w:bCs w:val="0"/>
          <w:sz w:val="24"/>
          <w:szCs w:val="24"/>
        </w:rPr>
        <w:t>observes</w:t>
      </w:r>
      <w:r w:rsidRPr="678C35A9" w:rsidR="54711816">
        <w:rPr>
          <w:rFonts w:ascii="Arial Nova" w:hAnsi="Arial Nova" w:eastAsia="Arial Nova" w:cs="Arial Nova"/>
          <w:b w:val="0"/>
          <w:bCs w:val="0"/>
          <w:sz w:val="24"/>
          <w:szCs w:val="24"/>
        </w:rPr>
        <w:t>, Greek culture did not sharply separate rational and irrational ways of knowing, but cultivated a plural epistemology where divination was “a practical response to uncertainty (Johnston, 2008).</w:t>
      </w:r>
    </w:p>
    <w:p w:rsidR="54711816" w:rsidP="678C35A9" w:rsidRDefault="54711816" w14:paraId="395E29C8" w14:textId="6499C0EF">
      <w:pPr>
        <w:pStyle w:val="NoSpacing"/>
        <w:spacing w:line="360" w:lineRule="auto"/>
        <w:jc w:val="both"/>
        <w:rPr>
          <w:rFonts w:ascii="Arial Nova" w:hAnsi="Arial Nova" w:eastAsia="Arial Nova" w:cs="Arial Nova"/>
          <w:b w:val="0"/>
          <w:bCs w:val="0"/>
          <w:sz w:val="24"/>
          <w:szCs w:val="24"/>
        </w:rPr>
      </w:pPr>
      <w:r w:rsidRPr="678C35A9" w:rsidR="54711816">
        <w:rPr>
          <w:rFonts w:ascii="Arial Nova" w:hAnsi="Arial Nova" w:eastAsia="Arial Nova" w:cs="Arial Nova"/>
          <w:b w:val="0"/>
          <w:bCs w:val="0"/>
          <w:sz w:val="24"/>
          <w:szCs w:val="24"/>
        </w:rPr>
        <w:t xml:space="preserve">In conclusion, the role of divination in Greek medicine reflects a blended epistemology: therapeutic knowledge </w:t>
      </w:r>
      <w:r w:rsidRPr="678C35A9" w:rsidR="54711816">
        <w:rPr>
          <w:rFonts w:ascii="Arial Nova" w:hAnsi="Arial Nova" w:eastAsia="Arial Nova" w:cs="Arial Nova"/>
          <w:b w:val="0"/>
          <w:bCs w:val="0"/>
          <w:sz w:val="24"/>
          <w:szCs w:val="24"/>
        </w:rPr>
        <w:t>emerged</w:t>
      </w:r>
      <w:r w:rsidRPr="678C35A9" w:rsidR="54711816">
        <w:rPr>
          <w:rFonts w:ascii="Arial Nova" w:hAnsi="Arial Nova" w:eastAsia="Arial Nova" w:cs="Arial Nova"/>
          <w:b w:val="0"/>
          <w:bCs w:val="0"/>
          <w:sz w:val="24"/>
          <w:szCs w:val="24"/>
        </w:rPr>
        <w:t xml:space="preserve"> not only from observable symptoms but also from divine signs, ritual interpretation, and cosmological belief. Whether through </w:t>
      </w:r>
      <w:r w:rsidRPr="678C35A9" w:rsidR="54711816">
        <w:rPr>
          <w:rFonts w:ascii="Arial Nova" w:hAnsi="Arial Nova" w:eastAsia="Arial Nova" w:cs="Arial Nova"/>
          <w:b w:val="0"/>
          <w:bCs w:val="0"/>
          <w:sz w:val="24"/>
          <w:szCs w:val="24"/>
        </w:rPr>
        <w:t>Asclepian</w:t>
      </w:r>
      <w:r w:rsidRPr="678C35A9" w:rsidR="54711816">
        <w:rPr>
          <w:rFonts w:ascii="Arial Nova" w:hAnsi="Arial Nova" w:eastAsia="Arial Nova" w:cs="Arial Nova"/>
          <w:b w:val="0"/>
          <w:bCs w:val="0"/>
          <w:sz w:val="24"/>
          <w:szCs w:val="24"/>
        </w:rPr>
        <w:t xml:space="preserve"> incubation, dream symbolism, or astrological timing, Greek healers practiced medicine within a universe that was intelligible — and responsive — to both the senses and the gods.</w:t>
      </w:r>
    </w:p>
    <w:p w:rsidR="678C35A9" w:rsidP="678C35A9" w:rsidRDefault="678C35A9" w14:paraId="756069E9" w14:textId="56B0594B">
      <w:pPr>
        <w:pStyle w:val="NoSpacing"/>
        <w:spacing w:line="360" w:lineRule="auto"/>
        <w:jc w:val="both"/>
        <w:rPr>
          <w:rFonts w:ascii="Arial Nova" w:hAnsi="Arial Nova" w:eastAsia="Arial Nova" w:cs="Arial Nova"/>
          <w:b w:val="0"/>
          <w:bCs w:val="0"/>
          <w:sz w:val="24"/>
          <w:szCs w:val="24"/>
        </w:rPr>
      </w:pPr>
    </w:p>
    <w:p w:rsidR="73B5E456" w:rsidP="678C35A9" w:rsidRDefault="73B5E456" w14:paraId="65947FBA" w14:textId="63454D33">
      <w:pPr>
        <w:pStyle w:val="NoSpacing"/>
        <w:spacing w:line="360" w:lineRule="auto"/>
        <w:jc w:val="center"/>
        <w:rPr>
          <w:rFonts w:ascii="Arial Nova" w:hAnsi="Arial Nova" w:eastAsia="Arial Nova" w:cs="Arial Nova"/>
          <w:b w:val="1"/>
          <w:bCs w:val="1"/>
          <w:sz w:val="32"/>
          <w:szCs w:val="32"/>
        </w:rPr>
      </w:pPr>
      <w:r w:rsidRPr="678C35A9" w:rsidR="73B5E456">
        <w:rPr>
          <w:rFonts w:ascii="Arial Nova" w:hAnsi="Arial Nova" w:eastAsia="Arial Nova" w:cs="Arial Nova"/>
          <w:b w:val="1"/>
          <w:bCs w:val="1"/>
          <w:sz w:val="32"/>
          <w:szCs w:val="32"/>
        </w:rPr>
        <w:t>Can the theory and practice of divination help distinguish between magic and religion?</w:t>
      </w:r>
    </w:p>
    <w:p w:rsidR="678C35A9" w:rsidP="678C35A9" w:rsidRDefault="678C35A9" w14:paraId="249238BB" w14:textId="01EB3A4B">
      <w:pPr>
        <w:pStyle w:val="NoSpacing"/>
        <w:spacing w:line="360" w:lineRule="auto"/>
        <w:jc w:val="left"/>
        <w:rPr>
          <w:rFonts w:ascii="Arial Nova" w:hAnsi="Arial Nova" w:eastAsia="Arial Nova" w:cs="Arial Nova"/>
          <w:b w:val="1"/>
          <w:bCs w:val="1"/>
          <w:sz w:val="32"/>
          <w:szCs w:val="32"/>
        </w:rPr>
      </w:pPr>
    </w:p>
    <w:p w:rsidR="408A0801" w:rsidP="678C35A9" w:rsidRDefault="408A0801" w14:paraId="2E279B8D" w14:textId="2829086C">
      <w:pPr>
        <w:pStyle w:val="NoSpacing"/>
        <w:spacing w:line="360" w:lineRule="auto"/>
        <w:jc w:val="both"/>
        <w:rPr>
          <w:rFonts w:ascii="Arial Nova" w:hAnsi="Arial Nova" w:eastAsia="Arial Nova" w:cs="Arial Nova"/>
          <w:b w:val="0"/>
          <w:bCs w:val="0"/>
          <w:sz w:val="24"/>
          <w:szCs w:val="24"/>
        </w:rPr>
      </w:pPr>
      <w:r w:rsidRPr="678C35A9" w:rsidR="408A0801">
        <w:rPr>
          <w:rFonts w:ascii="Arial Nova" w:hAnsi="Arial Nova" w:eastAsia="Arial Nova" w:cs="Arial Nova"/>
          <w:b w:val="0"/>
          <w:bCs w:val="0"/>
          <w:sz w:val="24"/>
          <w:szCs w:val="24"/>
        </w:rPr>
        <w:t xml:space="preserve">The longstanding scholarly debate over the boundary between magic and religion has often turned to divination as a key site of analysis. Divination, as both theory and practice, occupies a liminal space — it is ritualistic, symbolic, and epistemic, yet its orientation toward knowledge and control has led some to classify it as magical, while others see it as religious. This chapter explores whether divination can help clarify the distinction, or whether it </w:t>
      </w:r>
      <w:bookmarkStart w:name="_Int_nwfLrJlr" w:id="900259142"/>
      <w:r w:rsidRPr="678C35A9" w:rsidR="408A0801">
        <w:rPr>
          <w:rFonts w:ascii="Arial Nova" w:hAnsi="Arial Nova" w:eastAsia="Arial Nova" w:cs="Arial Nova"/>
          <w:b w:val="0"/>
          <w:bCs w:val="0"/>
          <w:sz w:val="24"/>
          <w:szCs w:val="24"/>
        </w:rPr>
        <w:t>ultimately reveals</w:t>
      </w:r>
      <w:bookmarkEnd w:id="900259142"/>
      <w:r w:rsidRPr="678C35A9" w:rsidR="408A0801">
        <w:rPr>
          <w:rFonts w:ascii="Arial Nova" w:hAnsi="Arial Nova" w:eastAsia="Arial Nova" w:cs="Arial Nova"/>
          <w:b w:val="0"/>
          <w:bCs w:val="0"/>
          <w:sz w:val="24"/>
          <w:szCs w:val="24"/>
        </w:rPr>
        <w:t xml:space="preserve"> the artificiality of that binary.</w:t>
      </w:r>
    </w:p>
    <w:p w:rsidR="7811B712" w:rsidP="678C35A9" w:rsidRDefault="7811B712" w14:paraId="571C4337" w14:textId="7AEAA8D3">
      <w:pPr>
        <w:pStyle w:val="NoSpacing"/>
        <w:spacing w:line="360" w:lineRule="auto"/>
        <w:jc w:val="both"/>
        <w:rPr>
          <w:rFonts w:ascii="Arial Nova" w:hAnsi="Arial Nova" w:eastAsia="Arial Nova" w:cs="Arial Nova"/>
          <w:b w:val="1"/>
          <w:bCs w:val="1"/>
          <w:sz w:val="24"/>
          <w:szCs w:val="24"/>
        </w:rPr>
      </w:pPr>
      <w:r w:rsidRPr="678C35A9" w:rsidR="7811B712">
        <w:rPr>
          <w:rFonts w:ascii="Arial Nova" w:hAnsi="Arial Nova" w:eastAsia="Arial Nova" w:cs="Arial Nova"/>
          <w:b w:val="1"/>
          <w:bCs w:val="1"/>
          <w:sz w:val="24"/>
          <w:szCs w:val="24"/>
        </w:rPr>
        <w:t>Functional and Intentional Distinctions</w:t>
      </w:r>
    </w:p>
    <w:p w:rsidR="7811B712" w:rsidP="678C35A9" w:rsidRDefault="7811B712" w14:paraId="7B0DC010" w14:textId="196C4879">
      <w:pPr>
        <w:pStyle w:val="NoSpacing"/>
        <w:spacing w:line="360" w:lineRule="auto"/>
        <w:jc w:val="both"/>
      </w:pPr>
      <w:r w:rsidRPr="678C35A9" w:rsidR="7811B712">
        <w:rPr>
          <w:rFonts w:ascii="Arial Nova" w:hAnsi="Arial Nova" w:eastAsia="Arial Nova" w:cs="Arial Nova"/>
          <w:b w:val="0"/>
          <w:bCs w:val="0"/>
          <w:sz w:val="24"/>
          <w:szCs w:val="24"/>
        </w:rPr>
        <w:t xml:space="preserve">Anthropologists such as Marcel Mauss and Henri Hubert proposed that religion is a public, communal system oriented toward </w:t>
      </w:r>
      <w:r w:rsidRPr="678C35A9" w:rsidR="7811B712">
        <w:rPr>
          <w:rFonts w:ascii="Arial Nova" w:hAnsi="Arial Nova" w:eastAsia="Arial Nova" w:cs="Arial Nova"/>
          <w:b w:val="0"/>
          <w:bCs w:val="0"/>
          <w:sz w:val="24"/>
          <w:szCs w:val="24"/>
        </w:rPr>
        <w:t>maintaining</w:t>
      </w:r>
      <w:r w:rsidRPr="678C35A9" w:rsidR="7811B712">
        <w:rPr>
          <w:rFonts w:ascii="Arial Nova" w:hAnsi="Arial Nova" w:eastAsia="Arial Nova" w:cs="Arial Nova"/>
          <w:b w:val="0"/>
          <w:bCs w:val="0"/>
          <w:sz w:val="24"/>
          <w:szCs w:val="24"/>
        </w:rPr>
        <w:t xml:space="preserve"> social cohesion, while magic is private, individualistic, and instrumental (Mauss &amp; </w:t>
      </w:r>
      <w:bookmarkStart w:name="_Int_A7O6K4ew" w:id="1612071541"/>
      <w:r w:rsidRPr="678C35A9" w:rsidR="7811B712">
        <w:rPr>
          <w:rFonts w:ascii="Arial Nova" w:hAnsi="Arial Nova" w:eastAsia="Arial Nova" w:cs="Arial Nova"/>
          <w:b w:val="0"/>
          <w:bCs w:val="0"/>
          <w:sz w:val="24"/>
          <w:szCs w:val="24"/>
        </w:rPr>
        <w:t>Hubert,  2001</w:t>
      </w:r>
      <w:bookmarkEnd w:id="1612071541"/>
      <w:r w:rsidRPr="678C35A9" w:rsidR="7811B712">
        <w:rPr>
          <w:rFonts w:ascii="Arial Nova" w:hAnsi="Arial Nova" w:eastAsia="Arial Nova" w:cs="Arial Nova"/>
          <w:b w:val="0"/>
          <w:bCs w:val="0"/>
          <w:sz w:val="24"/>
          <w:szCs w:val="24"/>
        </w:rPr>
        <w:t>). In this framework, divination may appear magical when used for personal gain (</w:t>
      </w:r>
      <w:r w:rsidRPr="678C35A9" w:rsidR="0A532EF5">
        <w:rPr>
          <w:rFonts w:ascii="Arial Nova" w:hAnsi="Arial Nova" w:eastAsia="Arial Nova" w:cs="Arial Nova"/>
          <w:b w:val="0"/>
          <w:bCs w:val="0"/>
          <w:sz w:val="24"/>
          <w:szCs w:val="24"/>
        </w:rPr>
        <w:t>e.g.,</w:t>
      </w:r>
      <w:r w:rsidRPr="678C35A9" w:rsidR="7811B712">
        <w:rPr>
          <w:rFonts w:ascii="Arial Nova" w:hAnsi="Arial Nova" w:eastAsia="Arial Nova" w:cs="Arial Nova"/>
          <w:b w:val="0"/>
          <w:bCs w:val="0"/>
          <w:sz w:val="24"/>
          <w:szCs w:val="24"/>
        </w:rPr>
        <w:t xml:space="preserve"> interrogating the future for one’s own benefit), and religious when embedded in communal ritual or cosmological alignment.</w:t>
      </w:r>
    </w:p>
    <w:p w:rsidR="105DEB24" w:rsidP="678C35A9" w:rsidRDefault="105DEB24" w14:paraId="3DC94755" w14:textId="25520FD4">
      <w:pPr>
        <w:pStyle w:val="NoSpacing"/>
        <w:spacing w:line="360" w:lineRule="auto"/>
        <w:jc w:val="both"/>
        <w:rPr>
          <w:rFonts w:ascii="Arial Nova" w:hAnsi="Arial Nova" w:eastAsia="Arial Nova" w:cs="Arial Nova"/>
          <w:b w:val="0"/>
          <w:bCs w:val="0"/>
          <w:sz w:val="24"/>
          <w:szCs w:val="24"/>
        </w:rPr>
      </w:pPr>
      <w:r w:rsidRPr="678C35A9" w:rsidR="105DEB24">
        <w:rPr>
          <w:rFonts w:ascii="Arial Nova" w:hAnsi="Arial Nova" w:eastAsia="Arial Nova" w:cs="Arial Nova"/>
          <w:b w:val="1"/>
          <w:bCs w:val="1"/>
          <w:sz w:val="24"/>
          <w:szCs w:val="24"/>
        </w:rPr>
        <w:t xml:space="preserve">Henk </w:t>
      </w:r>
      <w:r w:rsidRPr="678C35A9" w:rsidR="105DEB24">
        <w:rPr>
          <w:rFonts w:ascii="Arial Nova" w:hAnsi="Arial Nova" w:eastAsia="Arial Nova" w:cs="Arial Nova"/>
          <w:b w:val="1"/>
          <w:bCs w:val="1"/>
          <w:sz w:val="24"/>
          <w:szCs w:val="24"/>
        </w:rPr>
        <w:t>Versnel</w:t>
      </w:r>
      <w:r w:rsidRPr="678C35A9" w:rsidR="105DEB24">
        <w:rPr>
          <w:rFonts w:ascii="Arial Nova" w:hAnsi="Arial Nova" w:eastAsia="Arial Nova" w:cs="Arial Nova"/>
          <w:b w:val="0"/>
          <w:bCs w:val="0"/>
          <w:sz w:val="24"/>
          <w:szCs w:val="24"/>
        </w:rPr>
        <w:t xml:space="preserve"> (</w:t>
      </w:r>
      <w:r w:rsidRPr="678C35A9" w:rsidR="105DEB24">
        <w:rPr>
          <w:rFonts w:ascii="Arial Nova" w:hAnsi="Arial Nova" w:eastAsia="Arial Nova" w:cs="Arial Nova"/>
          <w:b w:val="0"/>
          <w:bCs w:val="0"/>
          <w:sz w:val="24"/>
          <w:szCs w:val="24"/>
        </w:rPr>
        <w:t>Versnel</w:t>
      </w:r>
      <w:r w:rsidRPr="678C35A9" w:rsidR="105DEB24">
        <w:rPr>
          <w:rFonts w:ascii="Arial Nova" w:hAnsi="Arial Nova" w:eastAsia="Arial Nova" w:cs="Arial Nova"/>
          <w:b w:val="0"/>
          <w:bCs w:val="0"/>
          <w:sz w:val="24"/>
          <w:szCs w:val="24"/>
        </w:rPr>
        <w:t xml:space="preserve">, 1991) refines this by </w:t>
      </w:r>
      <w:r w:rsidRPr="678C35A9" w:rsidR="105DEB24">
        <w:rPr>
          <w:rFonts w:ascii="Arial Nova" w:hAnsi="Arial Nova" w:eastAsia="Arial Nova" w:cs="Arial Nova"/>
          <w:b w:val="0"/>
          <w:bCs w:val="0"/>
          <w:sz w:val="24"/>
          <w:szCs w:val="24"/>
        </w:rPr>
        <w:t>identifying</w:t>
      </w:r>
      <w:r w:rsidRPr="678C35A9" w:rsidR="105DEB24">
        <w:rPr>
          <w:rFonts w:ascii="Arial Nova" w:hAnsi="Arial Nova" w:eastAsia="Arial Nova" w:cs="Arial Nova"/>
          <w:b w:val="0"/>
          <w:bCs w:val="0"/>
          <w:sz w:val="24"/>
          <w:szCs w:val="24"/>
        </w:rPr>
        <w:t xml:space="preserve"> four axes of differentiation:</w:t>
      </w:r>
    </w:p>
    <w:p w:rsidR="105DEB24" w:rsidP="678C35A9" w:rsidRDefault="105DEB24" w14:paraId="4162FD5B" w14:textId="7A628D5D">
      <w:pPr>
        <w:pStyle w:val="NoSpacing"/>
        <w:spacing w:line="360" w:lineRule="auto"/>
        <w:jc w:val="both"/>
      </w:pPr>
      <w:r w:rsidRPr="678C35A9" w:rsidR="105DEB24">
        <w:rPr>
          <w:rFonts w:ascii="Arial Nova" w:hAnsi="Arial Nova" w:eastAsia="Arial Nova" w:cs="Arial Nova"/>
          <w:b w:val="1"/>
          <w:bCs w:val="1"/>
          <w:sz w:val="24"/>
          <w:szCs w:val="24"/>
        </w:rPr>
        <w:t>- Intention:</w:t>
      </w:r>
      <w:r w:rsidRPr="678C35A9" w:rsidR="105DEB24">
        <w:rPr>
          <w:rFonts w:ascii="Arial Nova" w:hAnsi="Arial Nova" w:eastAsia="Arial Nova" w:cs="Arial Nova"/>
          <w:b w:val="0"/>
          <w:bCs w:val="0"/>
          <w:sz w:val="24"/>
          <w:szCs w:val="24"/>
        </w:rPr>
        <w:t xml:space="preserve"> Magic </w:t>
      </w:r>
      <w:r w:rsidRPr="678C35A9" w:rsidR="105DEB24">
        <w:rPr>
          <w:rFonts w:ascii="Arial Nova" w:hAnsi="Arial Nova" w:eastAsia="Arial Nova" w:cs="Arial Nova"/>
          <w:b w:val="0"/>
          <w:bCs w:val="0"/>
          <w:sz w:val="24"/>
          <w:szCs w:val="24"/>
        </w:rPr>
        <w:t>seeks</w:t>
      </w:r>
      <w:r w:rsidRPr="678C35A9" w:rsidR="105DEB24">
        <w:rPr>
          <w:rFonts w:ascii="Arial Nova" w:hAnsi="Arial Nova" w:eastAsia="Arial Nova" w:cs="Arial Nova"/>
          <w:b w:val="0"/>
          <w:bCs w:val="0"/>
          <w:sz w:val="24"/>
          <w:szCs w:val="24"/>
        </w:rPr>
        <w:t xml:space="preserve"> immediate, specific outcomes; religion pursues long-term spiritual or moral goals.</w:t>
      </w:r>
    </w:p>
    <w:p w:rsidR="105DEB24" w:rsidP="678C35A9" w:rsidRDefault="105DEB24" w14:paraId="41334DF6" w14:textId="4BADA634">
      <w:pPr>
        <w:pStyle w:val="NoSpacing"/>
        <w:spacing w:line="360" w:lineRule="auto"/>
        <w:jc w:val="both"/>
      </w:pPr>
      <w:r w:rsidRPr="678C35A9" w:rsidR="105DEB24">
        <w:rPr>
          <w:rFonts w:ascii="Arial Nova" w:hAnsi="Arial Nova" w:eastAsia="Arial Nova" w:cs="Arial Nova"/>
          <w:b w:val="1"/>
          <w:bCs w:val="1"/>
          <w:sz w:val="24"/>
          <w:szCs w:val="24"/>
        </w:rPr>
        <w:t>- Attitude</w:t>
      </w:r>
      <w:r w:rsidRPr="678C35A9" w:rsidR="105DEB24">
        <w:rPr>
          <w:rFonts w:ascii="Arial Nova" w:hAnsi="Arial Nova" w:eastAsia="Arial Nova" w:cs="Arial Nova"/>
          <w:b w:val="0"/>
          <w:bCs w:val="0"/>
          <w:sz w:val="24"/>
          <w:szCs w:val="24"/>
        </w:rPr>
        <w:t>: Magic manipulates; religion supplicates.</w:t>
      </w:r>
    </w:p>
    <w:p w:rsidR="105DEB24" w:rsidP="678C35A9" w:rsidRDefault="105DEB24" w14:paraId="5362727D" w14:textId="21160E68">
      <w:pPr>
        <w:pStyle w:val="NoSpacing"/>
        <w:spacing w:line="360" w:lineRule="auto"/>
        <w:jc w:val="both"/>
      </w:pPr>
      <w:r w:rsidRPr="678C35A9" w:rsidR="105DEB24">
        <w:rPr>
          <w:rFonts w:ascii="Arial Nova" w:hAnsi="Arial Nova" w:eastAsia="Arial Nova" w:cs="Arial Nova"/>
          <w:b w:val="1"/>
          <w:bCs w:val="1"/>
          <w:sz w:val="24"/>
          <w:szCs w:val="24"/>
        </w:rPr>
        <w:t>- Action:</w:t>
      </w:r>
      <w:r w:rsidRPr="678C35A9" w:rsidR="105DEB24">
        <w:rPr>
          <w:rFonts w:ascii="Arial Nova" w:hAnsi="Arial Nova" w:eastAsia="Arial Nova" w:cs="Arial Nova"/>
          <w:b w:val="0"/>
          <w:bCs w:val="0"/>
          <w:sz w:val="24"/>
          <w:szCs w:val="24"/>
        </w:rPr>
        <w:t xml:space="preserve"> Magic is technical and coercive; religion is devotional and negotiated.</w:t>
      </w:r>
    </w:p>
    <w:p w:rsidR="105DEB24" w:rsidP="678C35A9" w:rsidRDefault="105DEB24" w14:paraId="7C4AB6DA" w14:textId="689D45FF">
      <w:pPr>
        <w:pStyle w:val="NoSpacing"/>
        <w:spacing w:line="360" w:lineRule="auto"/>
        <w:jc w:val="both"/>
      </w:pPr>
      <w:r w:rsidRPr="678C35A9" w:rsidR="105DEB24">
        <w:rPr>
          <w:rFonts w:ascii="Arial Nova" w:hAnsi="Arial Nova" w:eastAsia="Arial Nova" w:cs="Arial Nova"/>
          <w:b w:val="1"/>
          <w:bCs w:val="1"/>
          <w:sz w:val="24"/>
          <w:szCs w:val="24"/>
        </w:rPr>
        <w:t>- Social Function:</w:t>
      </w:r>
      <w:r w:rsidRPr="678C35A9" w:rsidR="105DEB24">
        <w:rPr>
          <w:rFonts w:ascii="Arial Nova" w:hAnsi="Arial Nova" w:eastAsia="Arial Nova" w:cs="Arial Nova"/>
          <w:b w:val="0"/>
          <w:bCs w:val="0"/>
          <w:sz w:val="24"/>
          <w:szCs w:val="24"/>
        </w:rPr>
        <w:t xml:space="preserve"> Magic may disrupt social equilibrium; religion reinforces it.</w:t>
      </w:r>
    </w:p>
    <w:p w:rsidR="5CC9673A" w:rsidP="678C35A9" w:rsidRDefault="5CC9673A" w14:paraId="6C1D3A91" w14:textId="76F95ED9">
      <w:pPr>
        <w:pStyle w:val="NoSpacing"/>
        <w:spacing w:line="360" w:lineRule="auto"/>
        <w:jc w:val="both"/>
        <w:rPr>
          <w:rFonts w:ascii="Arial Nova" w:hAnsi="Arial Nova" w:eastAsia="Arial Nova" w:cs="Arial Nova"/>
          <w:b w:val="0"/>
          <w:bCs w:val="0"/>
          <w:sz w:val="24"/>
          <w:szCs w:val="24"/>
        </w:rPr>
      </w:pPr>
      <w:r w:rsidRPr="678C35A9" w:rsidR="5CC9673A">
        <w:rPr>
          <w:rFonts w:ascii="Arial Nova" w:hAnsi="Arial Nova" w:eastAsia="Arial Nova" w:cs="Arial Nova"/>
          <w:b w:val="0"/>
          <w:bCs w:val="0"/>
          <w:sz w:val="24"/>
          <w:szCs w:val="24"/>
        </w:rPr>
        <w:t xml:space="preserve">Divination, however, often straddles these categories. A necromantic rite in the PGM may be manipulative and </w:t>
      </w:r>
      <w:bookmarkStart w:name="_Int_o1Is4PTn" w:id="802717108"/>
      <w:r w:rsidRPr="678C35A9" w:rsidR="5CC9673A">
        <w:rPr>
          <w:rFonts w:ascii="Arial Nova" w:hAnsi="Arial Nova" w:eastAsia="Arial Nova" w:cs="Arial Nova"/>
          <w:b w:val="0"/>
          <w:bCs w:val="0"/>
          <w:sz w:val="24"/>
          <w:szCs w:val="24"/>
        </w:rPr>
        <w:t>private, yet</w:t>
      </w:r>
      <w:bookmarkEnd w:id="802717108"/>
      <w:r w:rsidRPr="678C35A9" w:rsidR="5CC9673A">
        <w:rPr>
          <w:rFonts w:ascii="Arial Nova" w:hAnsi="Arial Nova" w:eastAsia="Arial Nova" w:cs="Arial Nova"/>
          <w:b w:val="0"/>
          <w:bCs w:val="0"/>
          <w:sz w:val="24"/>
          <w:szCs w:val="24"/>
        </w:rPr>
        <w:t xml:space="preserve"> framed within a cosmology that invokes gods and daemons. An </w:t>
      </w:r>
      <w:r w:rsidRPr="678C35A9" w:rsidR="5CC9673A">
        <w:rPr>
          <w:rFonts w:ascii="Arial Nova" w:hAnsi="Arial Nova" w:eastAsia="Arial Nova" w:cs="Arial Nova"/>
          <w:b w:val="0"/>
          <w:bCs w:val="0"/>
          <w:sz w:val="24"/>
          <w:szCs w:val="24"/>
        </w:rPr>
        <w:t>Asclepian</w:t>
      </w:r>
      <w:r w:rsidRPr="678C35A9" w:rsidR="5CC9673A">
        <w:rPr>
          <w:rFonts w:ascii="Arial Nova" w:hAnsi="Arial Nova" w:eastAsia="Arial Nova" w:cs="Arial Nova"/>
          <w:b w:val="0"/>
          <w:bCs w:val="0"/>
          <w:sz w:val="24"/>
          <w:szCs w:val="24"/>
        </w:rPr>
        <w:t xml:space="preserve"> incubation may be devotional, yet also diagnostic and predictive. Thus, divination complicates </w:t>
      </w:r>
      <w:bookmarkStart w:name="_Int_8Hck03xn" w:id="146625795"/>
      <w:r w:rsidRPr="678C35A9" w:rsidR="5CC9673A">
        <w:rPr>
          <w:rFonts w:ascii="Arial Nova" w:hAnsi="Arial Nova" w:eastAsia="Arial Nova" w:cs="Arial Nova"/>
          <w:b w:val="0"/>
          <w:bCs w:val="0"/>
          <w:sz w:val="24"/>
          <w:szCs w:val="24"/>
        </w:rPr>
        <w:t>the neat</w:t>
      </w:r>
      <w:bookmarkEnd w:id="146625795"/>
      <w:r w:rsidRPr="678C35A9" w:rsidR="5CC9673A">
        <w:rPr>
          <w:rFonts w:ascii="Arial Nova" w:hAnsi="Arial Nova" w:eastAsia="Arial Nova" w:cs="Arial Nova"/>
          <w:b w:val="0"/>
          <w:bCs w:val="0"/>
          <w:sz w:val="24"/>
          <w:szCs w:val="24"/>
        </w:rPr>
        <w:t xml:space="preserve"> separation.</w:t>
      </w:r>
    </w:p>
    <w:p w:rsidR="1DAB4821" w:rsidP="678C35A9" w:rsidRDefault="1DAB4821" w14:paraId="31F9D830" w14:textId="78B003CD">
      <w:pPr>
        <w:pStyle w:val="NoSpacing"/>
        <w:spacing w:line="360" w:lineRule="auto"/>
        <w:jc w:val="both"/>
        <w:rPr>
          <w:rFonts w:ascii="Arial Nova" w:hAnsi="Arial Nova" w:eastAsia="Arial Nova" w:cs="Arial Nova"/>
          <w:b w:val="0"/>
          <w:bCs w:val="0"/>
          <w:sz w:val="24"/>
          <w:szCs w:val="24"/>
        </w:rPr>
      </w:pPr>
      <w:r w:rsidRPr="678C35A9" w:rsidR="1DAB4821">
        <w:rPr>
          <w:rFonts w:ascii="Arial Nova" w:hAnsi="Arial Nova" w:eastAsia="Arial Nova" w:cs="Arial Nova"/>
          <w:b w:val="1"/>
          <w:bCs w:val="1"/>
          <w:sz w:val="24"/>
          <w:szCs w:val="24"/>
        </w:rPr>
        <w:t>Epistemological and Ontological Considerations</w:t>
      </w:r>
    </w:p>
    <w:p w:rsidR="1DAB4821" w:rsidP="678C35A9" w:rsidRDefault="1DAB4821" w14:paraId="5981ADA4" w14:textId="54CCF1C5">
      <w:pPr>
        <w:pStyle w:val="NoSpacing"/>
        <w:spacing w:line="360" w:lineRule="auto"/>
        <w:jc w:val="both"/>
      </w:pPr>
      <w:r w:rsidRPr="678C35A9" w:rsidR="1DAB4821">
        <w:rPr>
          <w:rFonts w:ascii="Arial Nova" w:hAnsi="Arial Nova" w:eastAsia="Arial Nova" w:cs="Arial Nova"/>
          <w:b w:val="0"/>
          <w:bCs w:val="0"/>
          <w:sz w:val="24"/>
          <w:szCs w:val="24"/>
        </w:rPr>
        <w:t>Divination is fundamentally a mode of knowing — it seeks to access hidden truths through ritualized means. In this sense, it shares epistemic features with both magic and religion:</w:t>
      </w:r>
    </w:p>
    <w:p w:rsidR="1DAB4821" w:rsidP="678C35A9" w:rsidRDefault="1DAB4821" w14:paraId="49786F81" w14:textId="21F63B8A">
      <w:pPr>
        <w:pStyle w:val="NoSpacing"/>
        <w:spacing w:line="360" w:lineRule="auto"/>
        <w:jc w:val="both"/>
      </w:pPr>
      <w:r w:rsidRPr="678C35A9" w:rsidR="1DAB4821">
        <w:rPr>
          <w:rFonts w:ascii="Arial Nova" w:hAnsi="Arial Nova" w:eastAsia="Arial Nova" w:cs="Arial Nova"/>
          <w:b w:val="1"/>
          <w:bCs w:val="1"/>
          <w:sz w:val="24"/>
          <w:szCs w:val="24"/>
        </w:rPr>
        <w:t>- Like magic</w:t>
      </w:r>
      <w:r w:rsidRPr="678C35A9" w:rsidR="1DAB4821">
        <w:rPr>
          <w:rFonts w:ascii="Arial Nova" w:hAnsi="Arial Nova" w:eastAsia="Arial Nova" w:cs="Arial Nova"/>
          <w:b w:val="0"/>
          <w:bCs w:val="0"/>
          <w:sz w:val="24"/>
          <w:szCs w:val="24"/>
        </w:rPr>
        <w:t xml:space="preserve">, it assumes symbolic causality — signs are meaningful, and </w:t>
      </w:r>
      <w:r w:rsidRPr="678C35A9" w:rsidR="2031A2F1">
        <w:rPr>
          <w:rFonts w:ascii="Arial Nova" w:hAnsi="Arial Nova" w:eastAsia="Arial Nova" w:cs="Arial Nova"/>
          <w:b w:val="0"/>
          <w:bCs w:val="0"/>
          <w:sz w:val="24"/>
          <w:szCs w:val="24"/>
        </w:rPr>
        <w:t>rituals</w:t>
      </w:r>
      <w:r w:rsidRPr="678C35A9" w:rsidR="1DAB4821">
        <w:rPr>
          <w:rFonts w:ascii="Arial Nova" w:hAnsi="Arial Nova" w:eastAsia="Arial Nova" w:cs="Arial Nova"/>
          <w:b w:val="0"/>
          <w:bCs w:val="0"/>
          <w:sz w:val="24"/>
          <w:szCs w:val="24"/>
        </w:rPr>
        <w:t xml:space="preserve"> can reveal or shape outcomes.</w:t>
      </w:r>
    </w:p>
    <w:p w:rsidR="1DAB4821" w:rsidP="678C35A9" w:rsidRDefault="1DAB4821" w14:paraId="3C8F9D96" w14:textId="5F51BFB1">
      <w:pPr>
        <w:pStyle w:val="NoSpacing"/>
        <w:spacing w:line="360" w:lineRule="auto"/>
        <w:jc w:val="both"/>
      </w:pPr>
      <w:r w:rsidRPr="678C35A9" w:rsidR="1DAB4821">
        <w:rPr>
          <w:rFonts w:ascii="Arial Nova" w:hAnsi="Arial Nova" w:eastAsia="Arial Nova" w:cs="Arial Nova"/>
          <w:b w:val="1"/>
          <w:bCs w:val="1"/>
          <w:sz w:val="24"/>
          <w:szCs w:val="24"/>
        </w:rPr>
        <w:t>- Like religion</w:t>
      </w:r>
      <w:r w:rsidRPr="678C35A9" w:rsidR="1DAB4821">
        <w:rPr>
          <w:rFonts w:ascii="Arial Nova" w:hAnsi="Arial Nova" w:eastAsia="Arial Nova" w:cs="Arial Nova"/>
          <w:b w:val="0"/>
          <w:bCs w:val="0"/>
          <w:sz w:val="24"/>
          <w:szCs w:val="24"/>
        </w:rPr>
        <w:t>, it presupposes a structured cosmos governed by divine or spiritual intelligences.</w:t>
      </w:r>
    </w:p>
    <w:p w:rsidR="1DAB4821" w:rsidP="678C35A9" w:rsidRDefault="1DAB4821" w14:paraId="05702D9A" w14:textId="32131CEB">
      <w:pPr>
        <w:pStyle w:val="NoSpacing"/>
        <w:spacing w:line="360" w:lineRule="auto"/>
        <w:jc w:val="both"/>
      </w:pPr>
      <w:r w:rsidRPr="678C35A9" w:rsidR="1DAB4821">
        <w:rPr>
          <w:rFonts w:ascii="Arial Nova" w:hAnsi="Arial Nova" w:eastAsia="Arial Nova" w:cs="Arial Nova"/>
          <w:b w:val="0"/>
          <w:bCs w:val="0"/>
          <w:sz w:val="24"/>
          <w:szCs w:val="24"/>
        </w:rPr>
        <w:t xml:space="preserve">As Jesper Sørensen argues, divination is not merely a </w:t>
      </w:r>
      <w:r w:rsidRPr="678C35A9" w:rsidR="4F1290D5">
        <w:rPr>
          <w:rFonts w:ascii="Arial Nova" w:hAnsi="Arial Nova" w:eastAsia="Arial Nova" w:cs="Arial Nova"/>
          <w:b w:val="0"/>
          <w:bCs w:val="0"/>
          <w:sz w:val="24"/>
          <w:szCs w:val="24"/>
        </w:rPr>
        <w:t>technique,</w:t>
      </w:r>
      <w:r w:rsidRPr="678C35A9" w:rsidR="1DAB4821">
        <w:rPr>
          <w:rFonts w:ascii="Arial Nova" w:hAnsi="Arial Nova" w:eastAsia="Arial Nova" w:cs="Arial Nova"/>
          <w:b w:val="0"/>
          <w:bCs w:val="0"/>
          <w:sz w:val="24"/>
          <w:szCs w:val="24"/>
        </w:rPr>
        <w:t xml:space="preserve"> but a cognitive and cultural system that reflects how societies conceptualize uncertainty, agency, and the divine (Sørensen, 2007). Its practice reveals ontological commitments: whether the universe is responsive, whether gods speak through signs, whether fate is fixed or negotiable.</w:t>
      </w:r>
    </w:p>
    <w:p w:rsidR="4677C0DC" w:rsidP="678C35A9" w:rsidRDefault="4677C0DC" w14:paraId="6760836F" w14:textId="2CB6E9A5">
      <w:pPr>
        <w:pStyle w:val="NoSpacing"/>
        <w:spacing w:line="360" w:lineRule="auto"/>
        <w:jc w:val="both"/>
        <w:rPr>
          <w:rFonts w:ascii="Arial Nova" w:hAnsi="Arial Nova" w:eastAsia="Arial Nova" w:cs="Arial Nova"/>
          <w:b w:val="0"/>
          <w:bCs w:val="0"/>
          <w:sz w:val="24"/>
          <w:szCs w:val="24"/>
        </w:rPr>
      </w:pPr>
      <w:r w:rsidRPr="678C35A9" w:rsidR="4677C0DC">
        <w:rPr>
          <w:rFonts w:ascii="Arial Nova" w:hAnsi="Arial Nova" w:eastAsia="Arial Nova" w:cs="Arial Nova"/>
          <w:b w:val="1"/>
          <w:bCs w:val="1"/>
          <w:sz w:val="24"/>
          <w:szCs w:val="24"/>
        </w:rPr>
        <w:t>Historical Fluidity and Cultural Translation</w:t>
      </w:r>
    </w:p>
    <w:p w:rsidR="4677C0DC" w:rsidP="678C35A9" w:rsidRDefault="4677C0DC" w14:paraId="056F5B44" w14:textId="1F4A9734">
      <w:pPr>
        <w:pStyle w:val="NoSpacing"/>
        <w:spacing w:line="360" w:lineRule="auto"/>
        <w:jc w:val="both"/>
      </w:pPr>
      <w:r w:rsidRPr="678C35A9" w:rsidR="4677C0DC">
        <w:rPr>
          <w:rFonts w:ascii="Arial Nova" w:hAnsi="Arial Nova" w:eastAsia="Arial Nova" w:cs="Arial Nova"/>
          <w:b w:val="0"/>
          <w:bCs w:val="0"/>
          <w:sz w:val="24"/>
          <w:szCs w:val="24"/>
        </w:rPr>
        <w:t>In antiquity, the boundary between magic and religion was porous. Greek and Roman sources often viewed foreign rites as “magical” when they fell outside sanctioned religious norms (Stratton, 2007). Pliny the Elder and Cicero both grappled with this ambiguity, sometimes treating diviners as priests, other times as charlatans (Cicero, De Divinatione).</w:t>
      </w:r>
    </w:p>
    <w:p w:rsidR="4677C0DC" w:rsidP="678C35A9" w:rsidRDefault="4677C0DC" w14:paraId="1D99CC53" w14:textId="56A19C68">
      <w:pPr>
        <w:pStyle w:val="NoSpacing"/>
        <w:spacing w:line="360" w:lineRule="auto"/>
        <w:jc w:val="both"/>
      </w:pPr>
      <w:r w:rsidRPr="678C35A9" w:rsidR="4677C0DC">
        <w:rPr>
          <w:rFonts w:ascii="Arial Nova" w:hAnsi="Arial Nova" w:eastAsia="Arial Nova" w:cs="Arial Nova"/>
          <w:b w:val="0"/>
          <w:bCs w:val="0"/>
          <w:sz w:val="24"/>
          <w:szCs w:val="24"/>
        </w:rPr>
        <w:t xml:space="preserve">In Egyptian cosmology, the concept of </w:t>
      </w:r>
      <w:r w:rsidRPr="678C35A9" w:rsidR="4677C0DC">
        <w:rPr>
          <w:rFonts w:ascii="Arial Nova" w:hAnsi="Arial Nova" w:eastAsia="Arial Nova" w:cs="Arial Nova"/>
          <w:b w:val="0"/>
          <w:bCs w:val="0"/>
          <w:sz w:val="24"/>
          <w:szCs w:val="24"/>
        </w:rPr>
        <w:t>heka</w:t>
      </w:r>
      <w:r w:rsidRPr="678C35A9" w:rsidR="4677C0DC">
        <w:rPr>
          <w:rFonts w:ascii="Arial Nova" w:hAnsi="Arial Nova" w:eastAsia="Arial Nova" w:cs="Arial Nova"/>
          <w:b w:val="0"/>
          <w:bCs w:val="0"/>
          <w:sz w:val="24"/>
          <w:szCs w:val="24"/>
        </w:rPr>
        <w:t xml:space="preserve"> (often translated as “magic”) was morally neutral and foundational to both temple ritual and private healing — suggesting that what modern scholars call “magic” was integral to religious practice (Dieleman, 2005).</w:t>
      </w:r>
    </w:p>
    <w:p w:rsidR="4677C0DC" w:rsidP="678C35A9" w:rsidRDefault="4677C0DC" w14:paraId="5C6B3F55" w14:textId="1C947678">
      <w:pPr>
        <w:pStyle w:val="NoSpacing"/>
        <w:spacing w:line="360" w:lineRule="auto"/>
        <w:jc w:val="both"/>
        <w:rPr>
          <w:rFonts w:ascii="Arial Nova" w:hAnsi="Arial Nova" w:eastAsia="Arial Nova" w:cs="Arial Nova"/>
          <w:b w:val="0"/>
          <w:bCs w:val="0"/>
          <w:sz w:val="24"/>
          <w:szCs w:val="24"/>
        </w:rPr>
      </w:pPr>
      <w:r w:rsidRPr="678C35A9" w:rsidR="4677C0DC">
        <w:rPr>
          <w:rFonts w:ascii="Arial Nova" w:hAnsi="Arial Nova" w:eastAsia="Arial Nova" w:cs="Arial Nova"/>
          <w:b w:val="0"/>
          <w:bCs w:val="0"/>
          <w:sz w:val="24"/>
          <w:szCs w:val="24"/>
        </w:rPr>
        <w:t>Thus, divination does not merely reflect the boundary between magic and religion — it challenges and reconfigures it, revealing that the distinction is often a product of cultural translation, ideological framing, or scholarly taxonomy.</w:t>
      </w:r>
    </w:p>
    <w:p w:rsidR="678C35A9" w:rsidP="678C35A9" w:rsidRDefault="678C35A9" w14:paraId="2B1CE8B4" w14:textId="2D6BEF34">
      <w:pPr>
        <w:pStyle w:val="NoSpacing"/>
        <w:spacing w:line="360" w:lineRule="auto"/>
        <w:jc w:val="both"/>
        <w:rPr>
          <w:rFonts w:ascii="Arial Nova" w:hAnsi="Arial Nova" w:eastAsia="Arial Nova" w:cs="Arial Nova"/>
          <w:b w:val="0"/>
          <w:bCs w:val="0"/>
          <w:sz w:val="24"/>
          <w:szCs w:val="24"/>
        </w:rPr>
      </w:pPr>
    </w:p>
    <w:p w:rsidR="3514E40F" w:rsidP="678C35A9" w:rsidRDefault="3514E40F" w14:paraId="7922B236" w14:textId="32A8DD57">
      <w:pPr>
        <w:pStyle w:val="NoSpacing"/>
        <w:spacing w:line="360" w:lineRule="auto"/>
        <w:jc w:val="center"/>
        <w:rPr>
          <w:rFonts w:ascii="Arial Nova" w:hAnsi="Arial Nova" w:eastAsia="Arial Nova" w:cs="Arial Nova"/>
          <w:b w:val="1"/>
          <w:bCs w:val="1"/>
          <w:sz w:val="32"/>
          <w:szCs w:val="32"/>
        </w:rPr>
      </w:pPr>
      <w:r w:rsidRPr="678C35A9" w:rsidR="3514E40F">
        <w:rPr>
          <w:rFonts w:ascii="Arial Nova" w:hAnsi="Arial Nova" w:eastAsia="Arial Nova" w:cs="Arial Nova"/>
          <w:b w:val="1"/>
          <w:bCs w:val="1"/>
          <w:sz w:val="32"/>
          <w:szCs w:val="32"/>
        </w:rPr>
        <w:t xml:space="preserve">What relevance </w:t>
      </w:r>
      <w:r w:rsidRPr="678C35A9" w:rsidR="3514E40F">
        <w:rPr>
          <w:rFonts w:ascii="Arial Nova" w:hAnsi="Arial Nova" w:eastAsia="Arial Nova" w:cs="Arial Nova"/>
          <w:b w:val="1"/>
          <w:bCs w:val="1"/>
          <w:sz w:val="32"/>
          <w:szCs w:val="32"/>
        </w:rPr>
        <w:t>does</w:t>
      </w:r>
      <w:r w:rsidRPr="678C35A9" w:rsidR="3514E40F">
        <w:rPr>
          <w:rFonts w:ascii="Arial Nova" w:hAnsi="Arial Nova" w:eastAsia="Arial Nova" w:cs="Arial Nova"/>
          <w:b w:val="1"/>
          <w:bCs w:val="1"/>
          <w:sz w:val="32"/>
          <w:szCs w:val="32"/>
        </w:rPr>
        <w:t xml:space="preserve"> anthropological theories and observations have to the study of divination and magic in antiquity?</w:t>
      </w:r>
    </w:p>
    <w:p w:rsidR="678C35A9" w:rsidP="678C35A9" w:rsidRDefault="678C35A9" w14:paraId="0B25B7EF" w14:textId="436E01C7">
      <w:pPr>
        <w:pStyle w:val="NoSpacing"/>
        <w:spacing w:line="360" w:lineRule="auto"/>
        <w:jc w:val="left"/>
        <w:rPr>
          <w:rFonts w:ascii="Arial Nova" w:hAnsi="Arial Nova" w:eastAsia="Arial Nova" w:cs="Arial Nova"/>
          <w:b w:val="1"/>
          <w:bCs w:val="1"/>
          <w:sz w:val="32"/>
          <w:szCs w:val="32"/>
        </w:rPr>
      </w:pPr>
    </w:p>
    <w:p w:rsidR="4D859841" w:rsidP="678C35A9" w:rsidRDefault="4D859841" w14:paraId="2A3668D1" w14:textId="7D5AAF68">
      <w:pPr>
        <w:pStyle w:val="NoSpacing"/>
        <w:spacing w:line="360" w:lineRule="auto"/>
        <w:jc w:val="both"/>
        <w:rPr>
          <w:rFonts w:ascii="Arial Nova" w:hAnsi="Arial Nova" w:eastAsia="Arial Nova" w:cs="Arial Nova"/>
        </w:rPr>
      </w:pPr>
      <w:r w:rsidRPr="678C35A9" w:rsidR="4D859841">
        <w:rPr>
          <w:rFonts w:ascii="Arial Nova" w:hAnsi="Arial Nova" w:eastAsia="Arial Nova" w:cs="Arial Nova"/>
        </w:rPr>
        <w:t>Anthropological theory has long served as a critical lens through which scholars interpret the practices of divination and magic in antiquity. From early functionalist and intellectualist models to more recent symbolic and ontological approaches, anthropology offers not only comparative frameworks but also epistemological insights into how ancient societies constructed knowledge, ritual, and belief. This chapter examines how anthropological perspectives illuminate the logic, function, and cultural embeddedness of ancient magical and divinatory practices — not as irrational residues of superstition, but as ritual technologies and symbolic systems that mediated uncertainty, power, and cosmology.</w:t>
      </w:r>
    </w:p>
    <w:p w:rsidR="2236823D" w:rsidP="678C35A9" w:rsidRDefault="2236823D" w14:paraId="5E0A7B1B" w14:textId="4461C0FA">
      <w:pPr>
        <w:pStyle w:val="NoSpacing"/>
        <w:spacing w:line="360" w:lineRule="auto"/>
        <w:jc w:val="both"/>
        <w:rPr>
          <w:rFonts w:ascii="Arial Nova" w:hAnsi="Arial Nova" w:eastAsia="Arial Nova" w:cs="Arial Nova"/>
        </w:rPr>
      </w:pPr>
      <w:r w:rsidRPr="678C35A9" w:rsidR="2236823D">
        <w:rPr>
          <w:rFonts w:ascii="Arial Nova" w:hAnsi="Arial Nova" w:eastAsia="Arial Nova" w:cs="Arial Nova"/>
          <w:b w:val="1"/>
          <w:bCs w:val="1"/>
        </w:rPr>
        <w:t>Functionalist and Intellectualist Foundations</w:t>
      </w:r>
    </w:p>
    <w:p w:rsidR="2236823D" w:rsidP="678C35A9" w:rsidRDefault="2236823D" w14:paraId="77E12C0F" w14:textId="690C3202">
      <w:pPr>
        <w:pStyle w:val="NoSpacing"/>
        <w:spacing w:line="360" w:lineRule="auto"/>
        <w:jc w:val="both"/>
      </w:pPr>
      <w:r w:rsidRPr="678C35A9" w:rsidR="2236823D">
        <w:rPr>
          <w:rFonts w:ascii="Arial Nova" w:hAnsi="Arial Nova" w:eastAsia="Arial Nova" w:cs="Arial Nova"/>
        </w:rPr>
        <w:t xml:space="preserve">Early anthropologists such as Edward Tylor and James Frazer viewed magic and divination as primitive science — failed attempts to explain causality and control nature through symbolic means (Frazer, 1922). Frazer’s The Golden Bough famously framed magic as a “bastard science,” contrasting it with religion and rationality. While this evolutionary model has been </w:t>
      </w:r>
      <w:r w:rsidRPr="678C35A9" w:rsidR="2A0658FB">
        <w:rPr>
          <w:rFonts w:ascii="Arial Nova" w:hAnsi="Arial Nova" w:eastAsia="Arial Nova" w:cs="Arial Nova"/>
        </w:rPr>
        <w:t>critiqued</w:t>
      </w:r>
      <w:r w:rsidRPr="678C35A9" w:rsidR="2236823D">
        <w:rPr>
          <w:rFonts w:ascii="Arial Nova" w:hAnsi="Arial Nova" w:eastAsia="Arial Nova" w:cs="Arial Nova"/>
        </w:rPr>
        <w:t>, it laid the groundwork for later theorists to explore the instrumental logic of divination.</w:t>
      </w:r>
    </w:p>
    <w:p w:rsidR="4D861D8B" w:rsidP="678C35A9" w:rsidRDefault="4D861D8B" w14:paraId="1A0E04B2" w14:textId="619427B3">
      <w:pPr>
        <w:pStyle w:val="NoSpacing"/>
        <w:spacing w:line="360" w:lineRule="auto"/>
        <w:jc w:val="both"/>
        <w:rPr>
          <w:rFonts w:ascii="Arial Nova" w:hAnsi="Arial Nova" w:eastAsia="Arial Nova" w:cs="Arial Nova"/>
        </w:rPr>
      </w:pPr>
      <w:r w:rsidRPr="678C35A9" w:rsidR="4D861D8B">
        <w:rPr>
          <w:rFonts w:ascii="Arial Nova" w:hAnsi="Arial Nova" w:eastAsia="Arial Nova" w:cs="Arial Nova"/>
        </w:rPr>
        <w:t xml:space="preserve">Bronisław Malinowski, in contrast, emphasized the functional role of magic and divination in managing anxiety and uncertainty. His fieldwork among the Trobriand Islanders revealed that magical rites were not arbitrary but deployed in contexts of risk — such as ocean fishing — where empirical control was limited (Malinowski, 1948). This insight resonates with ancient practices: necromantic rites, </w:t>
      </w:r>
      <w:r w:rsidRPr="678C35A9" w:rsidR="4D861D8B">
        <w:rPr>
          <w:rFonts w:ascii="Arial Nova" w:hAnsi="Arial Nova" w:eastAsia="Arial Nova" w:cs="Arial Nova"/>
        </w:rPr>
        <w:t>katarchic</w:t>
      </w:r>
      <w:r w:rsidRPr="678C35A9" w:rsidR="4D861D8B">
        <w:rPr>
          <w:rFonts w:ascii="Arial Nova" w:hAnsi="Arial Nova" w:eastAsia="Arial Nova" w:cs="Arial Nova"/>
        </w:rPr>
        <w:t xml:space="preserve"> astrology, and dream incubation all </w:t>
      </w:r>
      <w:r w:rsidRPr="678C35A9" w:rsidR="4D861D8B">
        <w:rPr>
          <w:rFonts w:ascii="Arial Nova" w:hAnsi="Arial Nova" w:eastAsia="Arial Nova" w:cs="Arial Nova"/>
        </w:rPr>
        <w:t>emerge</w:t>
      </w:r>
      <w:r w:rsidRPr="678C35A9" w:rsidR="4D861D8B">
        <w:rPr>
          <w:rFonts w:ascii="Arial Nova" w:hAnsi="Arial Nova" w:eastAsia="Arial Nova" w:cs="Arial Nova"/>
        </w:rPr>
        <w:t xml:space="preserve"> in liminal contexts where knowledge is precarious and outcomes uncertain.</w:t>
      </w:r>
    </w:p>
    <w:p w:rsidR="62C2ADC0" w:rsidP="678C35A9" w:rsidRDefault="62C2ADC0" w14:paraId="18783DBF" w14:textId="61134A08">
      <w:pPr>
        <w:pStyle w:val="NoSpacing"/>
        <w:spacing w:line="360" w:lineRule="auto"/>
        <w:jc w:val="both"/>
        <w:rPr>
          <w:rFonts w:ascii="Arial Nova" w:hAnsi="Arial Nova" w:eastAsia="Arial Nova" w:cs="Arial Nova"/>
        </w:rPr>
      </w:pPr>
      <w:r w:rsidRPr="678C35A9" w:rsidR="62C2ADC0">
        <w:rPr>
          <w:rFonts w:ascii="Arial Nova" w:hAnsi="Arial Nova" w:eastAsia="Arial Nova" w:cs="Arial Nova"/>
        </w:rPr>
        <w:t xml:space="preserve">Evans-Pritchard’s study of the Azande further reframed magic and oracular divination as rational within their cultural logic. His analysis of poison oracle rituals </w:t>
      </w:r>
      <w:r w:rsidRPr="678C35A9" w:rsidR="62C2ADC0">
        <w:rPr>
          <w:rFonts w:ascii="Arial Nova" w:hAnsi="Arial Nova" w:eastAsia="Arial Nova" w:cs="Arial Nova"/>
        </w:rPr>
        <w:t>demonstrated</w:t>
      </w:r>
      <w:r w:rsidRPr="678C35A9" w:rsidR="62C2ADC0">
        <w:rPr>
          <w:rFonts w:ascii="Arial Nova" w:hAnsi="Arial Nova" w:eastAsia="Arial Nova" w:cs="Arial Nova"/>
        </w:rPr>
        <w:t xml:space="preserve"> that divination was not merely symbolic but a social mechanism for resolving conflict, </w:t>
      </w:r>
      <w:r w:rsidRPr="678C35A9" w:rsidR="62C2ADC0">
        <w:rPr>
          <w:rFonts w:ascii="Arial Nova" w:hAnsi="Arial Nova" w:eastAsia="Arial Nova" w:cs="Arial Nova"/>
        </w:rPr>
        <w:t>allocating</w:t>
      </w:r>
      <w:r w:rsidRPr="678C35A9" w:rsidR="62C2ADC0">
        <w:rPr>
          <w:rFonts w:ascii="Arial Nova" w:hAnsi="Arial Nova" w:eastAsia="Arial Nova" w:cs="Arial Nova"/>
        </w:rPr>
        <w:t xml:space="preserve"> blame, and restoring order (Evans-Pritchard, 1937). This model is particularly relevant to Greco-Roman necromancy and Greek Magical Papyri (PGM) rites, where ritualized inquiry served both epistemic and juridical functions.</w:t>
      </w:r>
    </w:p>
    <w:p w:rsidR="01361949" w:rsidP="678C35A9" w:rsidRDefault="01361949" w14:paraId="5189DFEA" w14:textId="3C8656CE">
      <w:pPr>
        <w:pStyle w:val="NoSpacing"/>
        <w:spacing w:line="360" w:lineRule="auto"/>
        <w:jc w:val="both"/>
        <w:rPr>
          <w:rFonts w:ascii="Arial Nova" w:hAnsi="Arial Nova" w:eastAsia="Arial Nova" w:cs="Arial Nova"/>
          <w:b w:val="1"/>
          <w:bCs w:val="1"/>
        </w:rPr>
      </w:pPr>
      <w:r w:rsidRPr="678C35A9" w:rsidR="01361949">
        <w:rPr>
          <w:rFonts w:ascii="Arial Nova" w:hAnsi="Arial Nova" w:eastAsia="Arial Nova" w:cs="Arial Nova"/>
          <w:b w:val="1"/>
          <w:bCs w:val="1"/>
        </w:rPr>
        <w:t>Durkheim, Mauss, and the Social Construction of the Sacred</w:t>
      </w:r>
    </w:p>
    <w:p w:rsidR="01361949" w:rsidP="678C35A9" w:rsidRDefault="01361949" w14:paraId="0447685A" w14:textId="587E49BA">
      <w:pPr>
        <w:pStyle w:val="NoSpacing"/>
        <w:spacing w:line="360" w:lineRule="auto"/>
        <w:jc w:val="both"/>
      </w:pPr>
      <w:r w:rsidRPr="678C35A9" w:rsidR="01361949">
        <w:rPr>
          <w:rFonts w:ascii="Arial Nova" w:hAnsi="Arial Nova" w:eastAsia="Arial Nova" w:cs="Arial Nova"/>
        </w:rPr>
        <w:t>Émile Durkheim and Marcel Mauss approached magic and religion as social facts — collective representations that structured moral and symbolic order. Durkheim’s distinction between the sacred and the profane provides a framework for understanding how divinatory rituals in antiquity delineated cosmological boundaries and mediated access to divine knowledge (Durkheim, 1995).</w:t>
      </w:r>
    </w:p>
    <w:p w:rsidR="01361949" w:rsidP="678C35A9" w:rsidRDefault="01361949" w14:paraId="463DDA16" w14:textId="2F6BCFC4">
      <w:pPr>
        <w:pStyle w:val="NoSpacing"/>
        <w:spacing w:line="360" w:lineRule="auto"/>
        <w:jc w:val="both"/>
      </w:pPr>
      <w:r w:rsidRPr="678C35A9" w:rsidR="01361949">
        <w:rPr>
          <w:rFonts w:ascii="Arial Nova" w:hAnsi="Arial Nova" w:eastAsia="Arial Nova" w:cs="Arial Nova"/>
        </w:rPr>
        <w:t xml:space="preserve">Mauss, in A General Theory of Magic, emphasized the ritual efficacy of magical acts, arguing that their power lay not in empirical outcomes but in their symbolic and social legitimacy (Mauss, General Theory of Magic, Routledge, 2001). This perspective helps decode the performative logic of PGM rites, where </w:t>
      </w:r>
      <w:r w:rsidRPr="678C35A9" w:rsidR="01361949">
        <w:rPr>
          <w:rFonts w:ascii="Arial Nova" w:hAnsi="Arial Nova" w:eastAsia="Arial Nova" w:cs="Arial Nova"/>
        </w:rPr>
        <w:t>vo</w:t>
      </w:r>
      <w:r w:rsidRPr="678C35A9" w:rsidR="1E805980">
        <w:rPr>
          <w:rFonts w:ascii="Arial Nova" w:hAnsi="Arial Nova" w:eastAsia="Arial Nova" w:cs="Arial Nova"/>
        </w:rPr>
        <w:t>i</w:t>
      </w:r>
      <w:r w:rsidRPr="678C35A9" w:rsidR="01361949">
        <w:rPr>
          <w:rFonts w:ascii="Arial Nova" w:hAnsi="Arial Nova" w:eastAsia="Arial Nova" w:cs="Arial Nova"/>
        </w:rPr>
        <w:t>ces</w:t>
      </w:r>
      <w:r w:rsidRPr="678C35A9" w:rsidR="01361949">
        <w:rPr>
          <w:rFonts w:ascii="Arial Nova" w:hAnsi="Arial Nova" w:eastAsia="Arial Nova" w:cs="Arial Nova"/>
        </w:rPr>
        <w:t xml:space="preserve"> </w:t>
      </w:r>
      <w:r w:rsidRPr="678C35A9" w:rsidR="01361949">
        <w:rPr>
          <w:rFonts w:ascii="Arial Nova" w:hAnsi="Arial Nova" w:eastAsia="Arial Nova" w:cs="Arial Nova"/>
        </w:rPr>
        <w:t>magicae</w:t>
      </w:r>
      <w:r w:rsidRPr="678C35A9" w:rsidR="01361949">
        <w:rPr>
          <w:rFonts w:ascii="Arial Nova" w:hAnsi="Arial Nova" w:eastAsia="Arial Nova" w:cs="Arial Nova"/>
        </w:rPr>
        <w:t>, ritual gestures, and material objects (</w:t>
      </w:r>
      <w:r w:rsidRPr="678C35A9" w:rsidR="5EAE3854">
        <w:rPr>
          <w:rFonts w:ascii="Arial Nova" w:hAnsi="Arial Nova" w:eastAsia="Arial Nova" w:cs="Arial Nova"/>
        </w:rPr>
        <w:t>e.g.,</w:t>
      </w:r>
      <w:r w:rsidRPr="678C35A9" w:rsidR="01361949">
        <w:rPr>
          <w:rFonts w:ascii="Arial Nova" w:hAnsi="Arial Nova" w:eastAsia="Arial Nova" w:cs="Arial Nova"/>
        </w:rPr>
        <w:t xml:space="preserve"> skulls, lamps, incense) enact a cosmology of influence and invocation.</w:t>
      </w:r>
    </w:p>
    <w:p w:rsidR="73F0A37E" w:rsidP="678C35A9" w:rsidRDefault="73F0A37E" w14:paraId="59C22BE7" w14:textId="5F14E7F6">
      <w:pPr>
        <w:pStyle w:val="NoSpacing"/>
        <w:spacing w:line="360" w:lineRule="auto"/>
        <w:jc w:val="both"/>
        <w:rPr>
          <w:rFonts w:ascii="Arial Nova" w:hAnsi="Arial Nova" w:eastAsia="Arial Nova" w:cs="Arial Nova"/>
          <w:b w:val="1"/>
          <w:bCs w:val="1"/>
        </w:rPr>
      </w:pPr>
      <w:r w:rsidRPr="678C35A9" w:rsidR="73F0A37E">
        <w:rPr>
          <w:rFonts w:ascii="Arial Nova" w:hAnsi="Arial Nova" w:eastAsia="Arial Nova" w:cs="Arial Nova"/>
          <w:b w:val="1"/>
          <w:bCs w:val="1"/>
        </w:rPr>
        <w:t>Symbolic and Interpretive Anthropology</w:t>
      </w:r>
    </w:p>
    <w:p w:rsidR="73F0A37E" w:rsidP="678C35A9" w:rsidRDefault="73F0A37E" w14:paraId="1678FF6C" w14:textId="2A1E0716">
      <w:pPr>
        <w:pStyle w:val="NoSpacing"/>
        <w:spacing w:line="360" w:lineRule="auto"/>
        <w:jc w:val="both"/>
      </w:pPr>
      <w:r w:rsidRPr="678C35A9" w:rsidR="73F0A37E">
        <w:rPr>
          <w:rFonts w:ascii="Arial Nova" w:hAnsi="Arial Nova" w:eastAsia="Arial Nova" w:cs="Arial Nova"/>
        </w:rPr>
        <w:t>Later theorists such as Clifford Geertz and Victor Turner shifted focus to the symbolic dimensions of ritual. Geertz viewed religion and magic as systems of meaning, where symbols mediated existential questions and social tensions (Geertz, 1973). Turner’s concept of ritual process — especially liminality and communitas — offers a powerful lens for interpreting necromantic and theurgical rites as transformative journeys through symbolic thresholds.</w:t>
      </w:r>
    </w:p>
    <w:p w:rsidR="73F0A37E" w:rsidP="678C35A9" w:rsidRDefault="73F0A37E" w14:paraId="19F985E7" w14:textId="7F313824">
      <w:pPr>
        <w:pStyle w:val="NoSpacing"/>
        <w:spacing w:line="360" w:lineRule="auto"/>
        <w:jc w:val="both"/>
      </w:pPr>
      <w:r w:rsidRPr="678C35A9" w:rsidR="73F0A37E">
        <w:rPr>
          <w:rFonts w:ascii="Arial Nova" w:hAnsi="Arial Nova" w:eastAsia="Arial Nova" w:cs="Arial Nova"/>
        </w:rPr>
        <w:t xml:space="preserve">These approaches illuminate how ancient divination was not merely predictive but worldmaking: it constructed cosmological narratives, reconfigured identity, and enacted metaphysical truths. For example, the PGM’s invocation of planetary </w:t>
      </w:r>
      <w:r w:rsidRPr="678C35A9" w:rsidR="70C9D6B5">
        <w:rPr>
          <w:rFonts w:ascii="Arial Nova" w:hAnsi="Arial Nova" w:eastAsia="Arial Nova" w:cs="Arial Nova"/>
        </w:rPr>
        <w:t>demons</w:t>
      </w:r>
      <w:r w:rsidRPr="678C35A9" w:rsidR="73F0A37E">
        <w:rPr>
          <w:rFonts w:ascii="Arial Nova" w:hAnsi="Arial Nova" w:eastAsia="Arial Nova" w:cs="Arial Nova"/>
        </w:rPr>
        <w:t xml:space="preserve"> and underworld spirits reflects not just belief but a ritual ontology — a way of being and knowing through symbolic action.</w:t>
      </w:r>
    </w:p>
    <w:p w:rsidR="6E3110CF" w:rsidP="678C35A9" w:rsidRDefault="6E3110CF" w14:paraId="41BDCAC5" w14:textId="6EC91A19">
      <w:pPr>
        <w:pStyle w:val="NoSpacing"/>
        <w:spacing w:line="360" w:lineRule="auto"/>
        <w:jc w:val="both"/>
        <w:rPr>
          <w:rFonts w:ascii="Arial Nova" w:hAnsi="Arial Nova" w:eastAsia="Arial Nova" w:cs="Arial Nova"/>
          <w:b w:val="1"/>
          <w:bCs w:val="1"/>
        </w:rPr>
      </w:pPr>
      <w:r w:rsidRPr="678C35A9" w:rsidR="6E3110CF">
        <w:rPr>
          <w:rFonts w:ascii="Arial Nova" w:hAnsi="Arial Nova" w:eastAsia="Arial Nova" w:cs="Arial Nova"/>
          <w:b w:val="1"/>
          <w:bCs w:val="1"/>
        </w:rPr>
        <w:t>Ontological and Cognitive Perspectives</w:t>
      </w:r>
    </w:p>
    <w:p w:rsidR="6E3110CF" w:rsidP="678C35A9" w:rsidRDefault="6E3110CF" w14:paraId="17A3712C" w14:textId="4619EBA4">
      <w:pPr>
        <w:pStyle w:val="NoSpacing"/>
        <w:spacing w:line="360" w:lineRule="auto"/>
        <w:jc w:val="both"/>
      </w:pPr>
      <w:r w:rsidRPr="678C35A9" w:rsidR="6E3110CF">
        <w:rPr>
          <w:rFonts w:ascii="Arial Nova" w:hAnsi="Arial Nova" w:eastAsia="Arial Nova" w:cs="Arial Nova"/>
        </w:rPr>
        <w:t xml:space="preserve">Recent anthropological work has explored divination as an epistemic technology — a culturally sanctioned method for accessing hidden knowledge. Scholars such as Pascal Boyer, Jesper Sørensen, and Diana Espírito Santo argue that divination </w:t>
      </w:r>
      <w:r w:rsidRPr="678C35A9" w:rsidR="6E3110CF">
        <w:rPr>
          <w:rFonts w:ascii="Arial Nova" w:hAnsi="Arial Nova" w:eastAsia="Arial Nova" w:cs="Arial Nova"/>
        </w:rPr>
        <w:t>operates</w:t>
      </w:r>
      <w:r w:rsidRPr="678C35A9" w:rsidR="6E3110CF">
        <w:rPr>
          <w:rFonts w:ascii="Arial Nova" w:hAnsi="Arial Nova" w:eastAsia="Arial Nova" w:cs="Arial Nova"/>
        </w:rPr>
        <w:t xml:space="preserve"> through symbolic cognition, embodied performance, and ontological assumptions about the cosmos and agency (Sørensen, </w:t>
      </w:r>
      <w:bookmarkStart w:name="_Int_BbuZGRHY" w:id="364388463"/>
      <w:r w:rsidRPr="678C35A9" w:rsidR="6E3110CF">
        <w:rPr>
          <w:rFonts w:ascii="Arial Nova" w:hAnsi="Arial Nova" w:eastAsia="Arial Nova" w:cs="Arial Nova"/>
        </w:rPr>
        <w:t>2007)(</w:t>
      </w:r>
      <w:bookmarkEnd w:id="364388463"/>
      <w:r w:rsidRPr="678C35A9" w:rsidR="6E3110CF">
        <w:rPr>
          <w:rFonts w:ascii="Arial Nova" w:hAnsi="Arial Nova" w:eastAsia="Arial Nova" w:cs="Arial Nova"/>
        </w:rPr>
        <w:t>Espírito Santo, 2019).</w:t>
      </w:r>
    </w:p>
    <w:p w:rsidR="6E3110CF" w:rsidP="678C35A9" w:rsidRDefault="6E3110CF" w14:paraId="386D1B23" w14:textId="5319BEEE">
      <w:pPr>
        <w:pStyle w:val="NoSpacing"/>
        <w:spacing w:line="360" w:lineRule="auto"/>
        <w:jc w:val="both"/>
      </w:pPr>
      <w:r w:rsidRPr="678C35A9" w:rsidR="6E3110CF">
        <w:rPr>
          <w:rFonts w:ascii="Arial Nova" w:hAnsi="Arial Nova" w:eastAsia="Arial Nova" w:cs="Arial Nova"/>
        </w:rPr>
        <w:t xml:space="preserve">These models are especially relevant to ancient practices, where divination presupposed a responsive universe — one in which gods, daemons, stars, and spirits could be queried, compelled, or interpreted. Whether through astrology, necromancy, or dream incubation, divination enacted a dialogue with </w:t>
      </w:r>
      <w:bookmarkStart w:name="_Int_MeVGP8By" w:id="329174513"/>
      <w:r w:rsidRPr="678C35A9" w:rsidR="6E3110CF">
        <w:rPr>
          <w:rFonts w:ascii="Arial Nova" w:hAnsi="Arial Nova" w:eastAsia="Arial Nova" w:cs="Arial Nova"/>
        </w:rPr>
        <w:t>more-than-human</w:t>
      </w:r>
      <w:bookmarkEnd w:id="329174513"/>
      <w:r w:rsidRPr="678C35A9" w:rsidR="6E3110CF">
        <w:rPr>
          <w:rFonts w:ascii="Arial Nova" w:hAnsi="Arial Nova" w:eastAsia="Arial Nova" w:cs="Arial Nova"/>
        </w:rPr>
        <w:t xml:space="preserve"> agents, structured by ritual form and cosmological belief.</w:t>
      </w:r>
    </w:p>
    <w:p w:rsidR="0FB28498" w:rsidP="678C35A9" w:rsidRDefault="0FB28498" w14:paraId="25C419BE" w14:textId="711889D3">
      <w:pPr>
        <w:pStyle w:val="NoSpacing"/>
        <w:spacing w:line="360" w:lineRule="auto"/>
        <w:jc w:val="both"/>
        <w:rPr>
          <w:rFonts w:ascii="Arial Nova" w:hAnsi="Arial Nova" w:eastAsia="Arial Nova" w:cs="Arial Nova"/>
          <w:b w:val="1"/>
          <w:bCs w:val="1"/>
        </w:rPr>
      </w:pPr>
      <w:r w:rsidRPr="678C35A9" w:rsidR="0FB28498">
        <w:rPr>
          <w:rFonts w:ascii="Arial Nova" w:hAnsi="Arial Nova" w:eastAsia="Arial Nova" w:cs="Arial Nova"/>
          <w:b w:val="1"/>
          <w:bCs w:val="1"/>
        </w:rPr>
        <w:t>Comparative Ethnography and Ancient Practice</w:t>
      </w:r>
    </w:p>
    <w:p w:rsidR="0FB28498" w:rsidP="678C35A9" w:rsidRDefault="0FB28498" w14:paraId="2ED7664E" w14:textId="453D89EB">
      <w:pPr>
        <w:pStyle w:val="NoSpacing"/>
        <w:spacing w:line="360" w:lineRule="auto"/>
        <w:jc w:val="both"/>
      </w:pPr>
      <w:r w:rsidRPr="678C35A9" w:rsidR="0FB28498">
        <w:rPr>
          <w:rFonts w:ascii="Arial Nova" w:hAnsi="Arial Nova" w:eastAsia="Arial Nova" w:cs="Arial Nova"/>
        </w:rPr>
        <w:t xml:space="preserve">Ethnographic parallels — from African poison oracles to Mongolian shamanic trance — offer comparative insights into ancient divination. While caution is needed to avoid </w:t>
      </w:r>
      <w:r w:rsidRPr="678C35A9" w:rsidR="0FB28498">
        <w:rPr>
          <w:rFonts w:ascii="Arial Nova" w:hAnsi="Arial Nova" w:eastAsia="Arial Nova" w:cs="Arial Nova"/>
        </w:rPr>
        <w:t>a</w:t>
      </w:r>
      <w:r w:rsidRPr="678C35A9" w:rsidR="4B317DED">
        <w:rPr>
          <w:rFonts w:ascii="Arial Nova" w:hAnsi="Arial Nova" w:eastAsia="Arial Nova" w:cs="Arial Nova"/>
        </w:rPr>
        <w:t xml:space="preserve"> </w:t>
      </w:r>
      <w:r w:rsidRPr="678C35A9" w:rsidR="0FB28498">
        <w:rPr>
          <w:rFonts w:ascii="Arial Nova" w:hAnsi="Arial Nova" w:eastAsia="Arial Nova" w:cs="Arial Nova"/>
        </w:rPr>
        <w:t>historical</w:t>
      </w:r>
      <w:r w:rsidRPr="678C35A9" w:rsidR="0FB28498">
        <w:rPr>
          <w:rFonts w:ascii="Arial Nova" w:hAnsi="Arial Nova" w:eastAsia="Arial Nova" w:cs="Arial Nova"/>
        </w:rPr>
        <w:t xml:space="preserve"> analogies, such comparisons reveal shared ritual logics: the use of randomness, symbolic media, and embodied performance to generate meaning and resolve uncertainty. Moreover, anthropological critiques of Western rationalism challenge the notion that ancient magic was irrational. As Evans-Pritchard argued, belief systems must be understood on their own terms, not judged by external standards of logic or science. This perspective legitimizes ancient divination as a culturally coherent epistemology, not a deviation from reason.</w:t>
      </w:r>
    </w:p>
    <w:p w:rsidR="678C35A9" w:rsidP="678C35A9" w:rsidRDefault="678C35A9" w14:paraId="1EFDC92D" w14:textId="4E19FA43">
      <w:pPr>
        <w:pStyle w:val="NoSpacing"/>
        <w:spacing w:line="360" w:lineRule="auto"/>
        <w:jc w:val="both"/>
        <w:rPr>
          <w:rFonts w:ascii="Arial Nova" w:hAnsi="Arial Nova" w:eastAsia="Arial Nova" w:cs="Arial Nova"/>
        </w:rPr>
      </w:pPr>
    </w:p>
    <w:p w:rsidR="602FF6BA" w:rsidP="678C35A9" w:rsidRDefault="602FF6BA" w14:paraId="79CDB0D7" w14:textId="1EC30969">
      <w:pPr>
        <w:pStyle w:val="NoSpacing"/>
        <w:spacing w:line="360" w:lineRule="auto"/>
        <w:jc w:val="center"/>
        <w:rPr>
          <w:rFonts w:ascii="Arial Nova" w:hAnsi="Arial Nova" w:eastAsia="Arial Nova" w:cs="Arial Nova"/>
          <w:b w:val="1"/>
          <w:bCs w:val="1"/>
          <w:sz w:val="32"/>
          <w:szCs w:val="32"/>
        </w:rPr>
      </w:pPr>
      <w:r w:rsidRPr="678C35A9" w:rsidR="602FF6BA">
        <w:rPr>
          <w:rFonts w:ascii="Arial Nova" w:hAnsi="Arial Nova" w:eastAsia="Arial Nova" w:cs="Arial Nova"/>
          <w:b w:val="1"/>
          <w:bCs w:val="1"/>
          <w:sz w:val="32"/>
          <w:szCs w:val="32"/>
        </w:rPr>
        <w:t>Evans-Pritchard and the Epistemology of Divination</w:t>
      </w:r>
    </w:p>
    <w:p w:rsidR="678C35A9" w:rsidP="678C35A9" w:rsidRDefault="678C35A9" w14:paraId="31D16533" w14:textId="5AB9569B">
      <w:pPr>
        <w:pStyle w:val="NoSpacing"/>
        <w:spacing w:line="360" w:lineRule="auto"/>
        <w:jc w:val="left"/>
        <w:rPr>
          <w:rFonts w:ascii="Arial Nova" w:hAnsi="Arial Nova" w:eastAsia="Arial Nova" w:cs="Arial Nova"/>
          <w:b w:val="1"/>
          <w:bCs w:val="1"/>
          <w:sz w:val="32"/>
          <w:szCs w:val="32"/>
        </w:rPr>
      </w:pPr>
    </w:p>
    <w:p w:rsidR="602FF6BA" w:rsidP="678C35A9" w:rsidRDefault="602FF6BA" w14:paraId="7D8B1EFE" w14:textId="5E97B639">
      <w:pPr>
        <w:pStyle w:val="NoSpacing"/>
        <w:spacing w:line="360" w:lineRule="auto"/>
        <w:jc w:val="left"/>
        <w:rPr>
          <w:rFonts w:ascii="Arial Nova" w:hAnsi="Arial Nova" w:eastAsia="Arial Nova" w:cs="Arial Nova"/>
          <w:b w:val="1"/>
          <w:bCs w:val="1"/>
          <w:sz w:val="24"/>
          <w:szCs w:val="24"/>
        </w:rPr>
      </w:pPr>
      <w:r w:rsidRPr="678C35A9" w:rsidR="602FF6BA">
        <w:rPr>
          <w:rFonts w:ascii="Arial Nova" w:hAnsi="Arial Nova" w:eastAsia="Arial Nova" w:cs="Arial Nova"/>
          <w:b w:val="1"/>
          <w:bCs w:val="1"/>
          <w:sz w:val="24"/>
          <w:szCs w:val="24"/>
        </w:rPr>
        <w:t>Lessons from the Azande for the Greco-Roman World</w:t>
      </w:r>
    </w:p>
    <w:p w:rsidR="602FF6BA" w:rsidP="678C35A9" w:rsidRDefault="602FF6BA" w14:paraId="2A732CE6" w14:textId="76681435">
      <w:pPr>
        <w:pStyle w:val="NoSpacing"/>
        <w:spacing w:line="360" w:lineRule="auto"/>
        <w:jc w:val="left"/>
        <w:rPr>
          <w:rFonts w:ascii="Arial Nova" w:hAnsi="Arial Nova" w:eastAsia="Arial Nova" w:cs="Arial Nova"/>
          <w:b w:val="0"/>
          <w:bCs w:val="0"/>
          <w:sz w:val="24"/>
          <w:szCs w:val="24"/>
        </w:rPr>
      </w:pPr>
      <w:r w:rsidRPr="678C35A9" w:rsidR="602FF6BA">
        <w:rPr>
          <w:rFonts w:ascii="Arial Nova" w:hAnsi="Arial Nova" w:eastAsia="Arial Nova" w:cs="Arial Nova"/>
          <w:b w:val="0"/>
          <w:bCs w:val="0"/>
          <w:sz w:val="24"/>
          <w:szCs w:val="24"/>
        </w:rPr>
        <w:t xml:space="preserve">E.E. Evans-Pritchard’s seminal study of Witchcraft, Oracles and Magic Among the Azande (1937) </w:t>
      </w:r>
      <w:r w:rsidRPr="678C35A9" w:rsidR="602FF6BA">
        <w:rPr>
          <w:rFonts w:ascii="Arial Nova" w:hAnsi="Arial Nova" w:eastAsia="Arial Nova" w:cs="Arial Nova"/>
          <w:b w:val="0"/>
          <w:bCs w:val="0"/>
          <w:sz w:val="24"/>
          <w:szCs w:val="24"/>
        </w:rPr>
        <w:t>remains</w:t>
      </w:r>
      <w:r w:rsidRPr="678C35A9" w:rsidR="602FF6BA">
        <w:rPr>
          <w:rFonts w:ascii="Arial Nova" w:hAnsi="Arial Nova" w:eastAsia="Arial Nova" w:cs="Arial Nova"/>
          <w:b w:val="0"/>
          <w:bCs w:val="0"/>
          <w:sz w:val="24"/>
          <w:szCs w:val="24"/>
        </w:rPr>
        <w:t xml:space="preserve"> one of the most influential anthropological works on divination, not only for its ethnographic richness but for its epistemological implications. His fieldwork challenged prevailing assumptions about rationality, science, and belief, offering a framework that can be fruitfully applied to the study of divination and religion in the ancient Greco-Roman world.</w:t>
      </w:r>
      <w:r w:rsidRPr="678C35A9" w:rsidR="7B8B8E08">
        <w:rPr>
          <w:rFonts w:ascii="Arial Nova" w:hAnsi="Arial Nova" w:eastAsia="Arial Nova" w:cs="Arial Nova"/>
          <w:b w:val="0"/>
          <w:bCs w:val="0"/>
          <w:sz w:val="24"/>
          <w:szCs w:val="24"/>
        </w:rPr>
        <w:t xml:space="preserve"> Evans-Pritchard reframes rationality and knowledge by arguing that Azande divination – especially the poison oracle – is not irrational, but rational within its own cultural logic. The Azande did not reject empirical observation; rather, they integrated it with symbolic reasoning and ritual performance. He noted that their beliefs were internally coherent and socially functional, even if they conflicted with Western scientific paradigms (Evans-Pritchard, Witchcraft, </w:t>
      </w:r>
      <w:r w:rsidRPr="678C35A9" w:rsidR="23DEC7DC">
        <w:rPr>
          <w:rFonts w:ascii="Arial Nova" w:hAnsi="Arial Nova" w:eastAsia="Arial Nova" w:cs="Arial Nova"/>
          <w:b w:val="0"/>
          <w:bCs w:val="0"/>
          <w:sz w:val="24"/>
          <w:szCs w:val="24"/>
        </w:rPr>
        <w:t>Oracles,</w:t>
      </w:r>
      <w:r w:rsidRPr="678C35A9" w:rsidR="7B8B8E08">
        <w:rPr>
          <w:rFonts w:ascii="Arial Nova" w:hAnsi="Arial Nova" w:eastAsia="Arial Nova" w:cs="Arial Nova"/>
          <w:b w:val="0"/>
          <w:bCs w:val="0"/>
          <w:sz w:val="24"/>
          <w:szCs w:val="24"/>
        </w:rPr>
        <w:t xml:space="preserve"> and Magic Among the Azande, 1937). </w:t>
      </w:r>
    </w:p>
    <w:p w:rsidR="7B8B8E08" w:rsidP="678C35A9" w:rsidRDefault="7B8B8E08" w14:paraId="7A19FB0F" w14:textId="73697552">
      <w:pPr>
        <w:pStyle w:val="NoSpacing"/>
        <w:spacing w:line="360" w:lineRule="auto"/>
        <w:jc w:val="left"/>
        <w:rPr>
          <w:rFonts w:ascii="Arial Nova" w:hAnsi="Arial Nova" w:eastAsia="Arial Nova" w:cs="Arial Nova"/>
          <w:b w:val="0"/>
          <w:bCs w:val="0"/>
          <w:sz w:val="24"/>
          <w:szCs w:val="24"/>
        </w:rPr>
      </w:pPr>
      <w:r w:rsidRPr="678C35A9" w:rsidR="7B8B8E08">
        <w:rPr>
          <w:rFonts w:ascii="Arial Nova" w:hAnsi="Arial Nova" w:eastAsia="Arial Nova" w:cs="Arial Nova"/>
          <w:b w:val="0"/>
          <w:bCs w:val="0"/>
          <w:sz w:val="24"/>
          <w:szCs w:val="24"/>
        </w:rPr>
        <w:t xml:space="preserve">This insight invites a reassessment of Greco-Roman divination, which has often been dismissed as superstition or </w:t>
      </w:r>
      <w:bookmarkStart w:name="_Int_g5fR99mm" w:id="857672806"/>
      <w:r w:rsidRPr="678C35A9" w:rsidR="7B8B8E08">
        <w:rPr>
          <w:rFonts w:ascii="Arial Nova" w:hAnsi="Arial Nova" w:eastAsia="Arial Nova" w:cs="Arial Nova"/>
          <w:b w:val="0"/>
          <w:bCs w:val="0"/>
          <w:sz w:val="24"/>
          <w:szCs w:val="24"/>
        </w:rPr>
        <w:t>proto-science</w:t>
      </w:r>
      <w:bookmarkEnd w:id="857672806"/>
      <w:r w:rsidRPr="678C35A9" w:rsidR="7B8B8E08">
        <w:rPr>
          <w:rFonts w:ascii="Arial Nova" w:hAnsi="Arial Nova" w:eastAsia="Arial Nova" w:cs="Arial Nova"/>
          <w:b w:val="0"/>
          <w:bCs w:val="0"/>
          <w:sz w:val="24"/>
          <w:szCs w:val="24"/>
        </w:rPr>
        <w:t xml:space="preserve">. Practices such as haruspicy, astrology, and necromancy were embedded in cosmological systems that assumed a communicative universe — one in which signs, omens, and divine messages were legible through ritual </w:t>
      </w:r>
      <w:r w:rsidRPr="678C35A9" w:rsidR="7B8B8E08">
        <w:rPr>
          <w:rFonts w:ascii="Arial Nova" w:hAnsi="Arial Nova" w:eastAsia="Arial Nova" w:cs="Arial Nova"/>
          <w:b w:val="0"/>
          <w:bCs w:val="0"/>
          <w:sz w:val="24"/>
          <w:szCs w:val="24"/>
        </w:rPr>
        <w:t>expertise</w:t>
      </w:r>
      <w:r w:rsidRPr="678C35A9" w:rsidR="7B8B8E08">
        <w:rPr>
          <w:rFonts w:ascii="Arial Nova" w:hAnsi="Arial Nova" w:eastAsia="Arial Nova" w:cs="Arial Nova"/>
          <w:b w:val="0"/>
          <w:bCs w:val="0"/>
          <w:sz w:val="24"/>
          <w:szCs w:val="24"/>
        </w:rPr>
        <w:t xml:space="preserve">. Like the Azande, Greco-Roman diviners </w:t>
      </w:r>
      <w:r w:rsidRPr="678C35A9" w:rsidR="7B8B8E08">
        <w:rPr>
          <w:rFonts w:ascii="Arial Nova" w:hAnsi="Arial Nova" w:eastAsia="Arial Nova" w:cs="Arial Nova"/>
          <w:b w:val="0"/>
          <w:bCs w:val="0"/>
          <w:sz w:val="24"/>
          <w:szCs w:val="24"/>
        </w:rPr>
        <w:t>operated</w:t>
      </w:r>
      <w:r w:rsidRPr="678C35A9" w:rsidR="7B8B8E08">
        <w:rPr>
          <w:rFonts w:ascii="Arial Nova" w:hAnsi="Arial Nova" w:eastAsia="Arial Nova" w:cs="Arial Nova"/>
          <w:b w:val="0"/>
          <w:bCs w:val="0"/>
          <w:sz w:val="24"/>
          <w:szCs w:val="24"/>
        </w:rPr>
        <w:t xml:space="preserve"> within a framework that was epistemically valid to their contemporaries.</w:t>
      </w:r>
    </w:p>
    <w:p w:rsidR="267C9C3C" w:rsidP="678C35A9" w:rsidRDefault="267C9C3C" w14:paraId="6DF35E2D" w14:textId="58ADF7EF">
      <w:pPr>
        <w:pStyle w:val="NoSpacing"/>
        <w:spacing w:line="360" w:lineRule="auto"/>
        <w:jc w:val="left"/>
        <w:rPr>
          <w:rFonts w:ascii="Arial Nova" w:hAnsi="Arial Nova" w:eastAsia="Arial Nova" w:cs="Arial Nova"/>
          <w:b w:val="0"/>
          <w:bCs w:val="0"/>
          <w:sz w:val="24"/>
          <w:szCs w:val="24"/>
        </w:rPr>
      </w:pPr>
      <w:r w:rsidRPr="678C35A9" w:rsidR="267C9C3C">
        <w:rPr>
          <w:rFonts w:ascii="Arial Nova" w:hAnsi="Arial Nova" w:eastAsia="Arial Nova" w:cs="Arial Nova"/>
          <w:b w:val="0"/>
          <w:bCs w:val="0"/>
          <w:sz w:val="24"/>
          <w:szCs w:val="24"/>
        </w:rPr>
        <w:t>Evans-Pritchard’s work reframes divination as an epistemic technology — a culturally sanctioned method for accessing hidden knowledge. This concept resonates with Greco-Roman practices, where divination was used to:</w:t>
      </w:r>
    </w:p>
    <w:p w:rsidR="267C9C3C" w:rsidP="678C35A9" w:rsidRDefault="267C9C3C" w14:paraId="71B144D1" w14:textId="56DA8B51">
      <w:pPr>
        <w:pStyle w:val="NoSpacing"/>
        <w:spacing w:line="360" w:lineRule="auto"/>
        <w:jc w:val="left"/>
      </w:pPr>
      <w:r w:rsidRPr="678C35A9" w:rsidR="267C9C3C">
        <w:rPr>
          <w:rFonts w:ascii="Arial Nova" w:hAnsi="Arial Nova" w:eastAsia="Arial Nova" w:cs="Arial Nova"/>
          <w:b w:val="1"/>
          <w:bCs w:val="1"/>
          <w:sz w:val="24"/>
          <w:szCs w:val="24"/>
        </w:rPr>
        <w:t>- Interpret</w:t>
      </w:r>
      <w:r w:rsidRPr="678C35A9" w:rsidR="267C9C3C">
        <w:rPr>
          <w:rFonts w:ascii="Arial Nova" w:hAnsi="Arial Nova" w:eastAsia="Arial Nova" w:cs="Arial Nova"/>
          <w:b w:val="0"/>
          <w:bCs w:val="0"/>
          <w:sz w:val="24"/>
          <w:szCs w:val="24"/>
        </w:rPr>
        <w:t xml:space="preserve"> divine will (</w:t>
      </w:r>
      <w:r w:rsidRPr="678C35A9" w:rsidR="58BF4B98">
        <w:rPr>
          <w:rFonts w:ascii="Arial Nova" w:hAnsi="Arial Nova" w:eastAsia="Arial Nova" w:cs="Arial Nova"/>
          <w:b w:val="0"/>
          <w:bCs w:val="0"/>
          <w:sz w:val="24"/>
          <w:szCs w:val="24"/>
        </w:rPr>
        <w:t>e.g.,</w:t>
      </w:r>
      <w:r w:rsidRPr="678C35A9" w:rsidR="267C9C3C">
        <w:rPr>
          <w:rFonts w:ascii="Arial Nova" w:hAnsi="Arial Nova" w:eastAsia="Arial Nova" w:cs="Arial Nova"/>
          <w:b w:val="0"/>
          <w:bCs w:val="0"/>
          <w:sz w:val="24"/>
          <w:szCs w:val="24"/>
        </w:rPr>
        <w:t xml:space="preserve"> through oracles at Delphi or Dodona)</w:t>
      </w:r>
    </w:p>
    <w:p w:rsidR="267C9C3C" w:rsidP="678C35A9" w:rsidRDefault="267C9C3C" w14:paraId="423EA15F" w14:textId="42D9989E">
      <w:pPr>
        <w:pStyle w:val="NoSpacing"/>
        <w:spacing w:line="360" w:lineRule="auto"/>
        <w:jc w:val="left"/>
      </w:pPr>
      <w:r w:rsidRPr="678C35A9" w:rsidR="267C9C3C">
        <w:rPr>
          <w:rFonts w:ascii="Arial Nova" w:hAnsi="Arial Nova" w:eastAsia="Arial Nova" w:cs="Arial Nova"/>
          <w:b w:val="1"/>
          <w:bCs w:val="1"/>
          <w:sz w:val="24"/>
          <w:szCs w:val="24"/>
        </w:rPr>
        <w:t>- Diagnose</w:t>
      </w:r>
      <w:r w:rsidRPr="678C35A9" w:rsidR="267C9C3C">
        <w:rPr>
          <w:rFonts w:ascii="Arial Nova" w:hAnsi="Arial Nova" w:eastAsia="Arial Nova" w:cs="Arial Nova"/>
          <w:b w:val="0"/>
          <w:bCs w:val="0"/>
          <w:sz w:val="24"/>
          <w:szCs w:val="24"/>
        </w:rPr>
        <w:t xml:space="preserve"> illness or fate (</w:t>
      </w:r>
      <w:r w:rsidRPr="678C35A9" w:rsidR="614F3010">
        <w:rPr>
          <w:rFonts w:ascii="Arial Nova" w:hAnsi="Arial Nova" w:eastAsia="Arial Nova" w:cs="Arial Nova"/>
          <w:b w:val="0"/>
          <w:bCs w:val="0"/>
          <w:sz w:val="24"/>
          <w:szCs w:val="24"/>
        </w:rPr>
        <w:t>e.g.,</w:t>
      </w:r>
      <w:r w:rsidRPr="678C35A9" w:rsidR="267C9C3C">
        <w:rPr>
          <w:rFonts w:ascii="Arial Nova" w:hAnsi="Arial Nova" w:eastAsia="Arial Nova" w:cs="Arial Nova"/>
          <w:b w:val="0"/>
          <w:bCs w:val="0"/>
          <w:sz w:val="24"/>
          <w:szCs w:val="24"/>
        </w:rPr>
        <w:t xml:space="preserve"> through astrology or dream incubation)</w:t>
      </w:r>
    </w:p>
    <w:p w:rsidR="267C9C3C" w:rsidP="678C35A9" w:rsidRDefault="267C9C3C" w14:paraId="35694437" w14:textId="1F5BFE10">
      <w:pPr>
        <w:pStyle w:val="NoSpacing"/>
        <w:spacing w:line="360" w:lineRule="auto"/>
        <w:jc w:val="left"/>
      </w:pPr>
      <w:r w:rsidRPr="678C35A9" w:rsidR="267C9C3C">
        <w:rPr>
          <w:rFonts w:ascii="Arial Nova" w:hAnsi="Arial Nova" w:eastAsia="Arial Nova" w:cs="Arial Nova"/>
          <w:b w:val="1"/>
          <w:bCs w:val="1"/>
          <w:sz w:val="24"/>
          <w:szCs w:val="24"/>
        </w:rPr>
        <w:t>- Resolve</w:t>
      </w:r>
      <w:r w:rsidRPr="678C35A9" w:rsidR="267C9C3C">
        <w:rPr>
          <w:rFonts w:ascii="Arial Nova" w:hAnsi="Arial Nova" w:eastAsia="Arial Nova" w:cs="Arial Nova"/>
          <w:b w:val="0"/>
          <w:bCs w:val="0"/>
          <w:sz w:val="24"/>
          <w:szCs w:val="24"/>
        </w:rPr>
        <w:t xml:space="preserve"> uncertainty in political or military decisions (</w:t>
      </w:r>
      <w:r w:rsidRPr="678C35A9" w:rsidR="457D2500">
        <w:rPr>
          <w:rFonts w:ascii="Arial Nova" w:hAnsi="Arial Nova" w:eastAsia="Arial Nova" w:cs="Arial Nova"/>
          <w:b w:val="0"/>
          <w:bCs w:val="0"/>
          <w:sz w:val="24"/>
          <w:szCs w:val="24"/>
        </w:rPr>
        <w:t>e.g.,</w:t>
      </w:r>
      <w:r w:rsidRPr="678C35A9" w:rsidR="267C9C3C">
        <w:rPr>
          <w:rFonts w:ascii="Arial Nova" w:hAnsi="Arial Nova" w:eastAsia="Arial Nova" w:cs="Arial Nova"/>
          <w:b w:val="0"/>
          <w:bCs w:val="0"/>
          <w:sz w:val="24"/>
          <w:szCs w:val="24"/>
        </w:rPr>
        <w:t xml:space="preserve"> augury before battle)</w:t>
      </w:r>
    </w:p>
    <w:p w:rsidR="267C9C3C" w:rsidP="678C35A9" w:rsidRDefault="267C9C3C" w14:paraId="7BE2A633" w14:textId="11A3F738">
      <w:pPr>
        <w:pStyle w:val="NoSpacing"/>
        <w:spacing w:line="360" w:lineRule="auto"/>
        <w:jc w:val="left"/>
      </w:pPr>
      <w:r w:rsidRPr="678C35A9" w:rsidR="267C9C3C">
        <w:rPr>
          <w:rFonts w:ascii="Arial Nova" w:hAnsi="Arial Nova" w:eastAsia="Arial Nova" w:cs="Arial Nova"/>
          <w:b w:val="0"/>
          <w:bCs w:val="0"/>
          <w:sz w:val="24"/>
          <w:szCs w:val="24"/>
        </w:rPr>
        <w:t>In both contexts, divination was not merely predictive but interpretive — a way of navigating ambiguity through ritualized inquiry. The poison oracle and the Delphic oracle may differ in form, but both function as ritualized systems of truth production, grounded in cosmological assumptions and social authority.</w:t>
      </w:r>
    </w:p>
    <w:p w:rsidR="7A753C30" w:rsidP="678C35A9" w:rsidRDefault="7A753C30" w14:paraId="789DE692" w14:textId="7A49AE22">
      <w:pPr>
        <w:pStyle w:val="NoSpacing"/>
        <w:spacing w:line="360" w:lineRule="auto"/>
        <w:jc w:val="left"/>
        <w:rPr>
          <w:rFonts w:ascii="Arial Nova" w:hAnsi="Arial Nova" w:eastAsia="Arial Nova" w:cs="Arial Nova"/>
          <w:b w:val="1"/>
          <w:bCs w:val="1"/>
          <w:sz w:val="24"/>
          <w:szCs w:val="24"/>
        </w:rPr>
      </w:pPr>
      <w:r w:rsidRPr="678C35A9" w:rsidR="7A753C30">
        <w:rPr>
          <w:rFonts w:ascii="Arial Nova" w:hAnsi="Arial Nova" w:eastAsia="Arial Nova" w:cs="Arial Nova"/>
          <w:b w:val="1"/>
          <w:bCs w:val="1"/>
          <w:sz w:val="24"/>
          <w:szCs w:val="24"/>
        </w:rPr>
        <w:t>Challenging the Magic–Religion–Science Divide</w:t>
      </w:r>
    </w:p>
    <w:p w:rsidR="7A753C30" w:rsidP="678C35A9" w:rsidRDefault="7A753C30" w14:paraId="73428FF3" w14:textId="5E869A21">
      <w:pPr>
        <w:pStyle w:val="NoSpacing"/>
        <w:spacing w:line="360" w:lineRule="auto"/>
        <w:jc w:val="left"/>
      </w:pPr>
      <w:r w:rsidRPr="678C35A9" w:rsidR="7A753C30">
        <w:rPr>
          <w:rFonts w:ascii="Arial Nova" w:hAnsi="Arial Nova" w:eastAsia="Arial Nova" w:cs="Arial Nova"/>
          <w:b w:val="0"/>
          <w:bCs w:val="0"/>
          <w:sz w:val="24"/>
          <w:szCs w:val="24"/>
        </w:rPr>
        <w:t>Evans-Pritchard’s critique of Western categories — particularly the rigid separation of magic, religion, and science — is especially relevant to Greco-Roman studies. Ancient thinkers did not draw sharp lines between these domains. For example:</w:t>
      </w:r>
    </w:p>
    <w:p w:rsidR="7A753C30" w:rsidP="678C35A9" w:rsidRDefault="7A753C30" w14:paraId="1EEB34A0" w14:textId="7F9894CA">
      <w:pPr>
        <w:pStyle w:val="NoSpacing"/>
        <w:spacing w:line="360" w:lineRule="auto"/>
        <w:jc w:val="left"/>
      </w:pPr>
      <w:r w:rsidRPr="678C35A9" w:rsidR="7A753C30">
        <w:rPr>
          <w:rFonts w:ascii="Arial Nova" w:hAnsi="Arial Nova" w:eastAsia="Arial Nova" w:cs="Arial Nova"/>
          <w:b w:val="1"/>
          <w:bCs w:val="1"/>
          <w:sz w:val="24"/>
          <w:szCs w:val="24"/>
        </w:rPr>
        <w:t>- Astrology</w:t>
      </w:r>
      <w:r w:rsidRPr="678C35A9" w:rsidR="7A753C30">
        <w:rPr>
          <w:rFonts w:ascii="Arial Nova" w:hAnsi="Arial Nova" w:eastAsia="Arial Nova" w:cs="Arial Nova"/>
          <w:b w:val="0"/>
          <w:bCs w:val="0"/>
          <w:sz w:val="24"/>
          <w:szCs w:val="24"/>
        </w:rPr>
        <w:t xml:space="preserve"> was both </w:t>
      </w:r>
      <w:r w:rsidRPr="678C35A9" w:rsidR="7A753C30">
        <w:rPr>
          <w:rFonts w:ascii="Arial Nova" w:hAnsi="Arial Nova" w:eastAsia="Arial Nova" w:cs="Arial Nova"/>
          <w:b w:val="0"/>
          <w:bCs w:val="0"/>
          <w:sz w:val="24"/>
          <w:szCs w:val="24"/>
        </w:rPr>
        <w:t>a mathematical</w:t>
      </w:r>
      <w:r w:rsidRPr="678C35A9" w:rsidR="7A753C30">
        <w:rPr>
          <w:rFonts w:ascii="Arial Nova" w:hAnsi="Arial Nova" w:eastAsia="Arial Nova" w:cs="Arial Nova"/>
          <w:b w:val="0"/>
          <w:bCs w:val="0"/>
          <w:sz w:val="24"/>
          <w:szCs w:val="24"/>
        </w:rPr>
        <w:t xml:space="preserve"> science, and a spiritual discipline.</w:t>
      </w:r>
    </w:p>
    <w:p w:rsidR="7A753C30" w:rsidP="678C35A9" w:rsidRDefault="7A753C30" w14:paraId="3B0423B0" w14:textId="5EEFF8BA">
      <w:pPr>
        <w:pStyle w:val="NoSpacing"/>
        <w:spacing w:line="360" w:lineRule="auto"/>
        <w:jc w:val="left"/>
      </w:pPr>
      <w:r w:rsidRPr="678C35A9" w:rsidR="7A753C30">
        <w:rPr>
          <w:rFonts w:ascii="Arial Nova" w:hAnsi="Arial Nova" w:eastAsia="Arial Nova" w:cs="Arial Nova"/>
          <w:b w:val="1"/>
          <w:bCs w:val="1"/>
          <w:sz w:val="24"/>
          <w:szCs w:val="24"/>
        </w:rPr>
        <w:t>- Theurgy</w:t>
      </w:r>
      <w:r w:rsidRPr="678C35A9" w:rsidR="7A753C30">
        <w:rPr>
          <w:rFonts w:ascii="Arial Nova" w:hAnsi="Arial Nova" w:eastAsia="Arial Nova" w:cs="Arial Nova"/>
          <w:b w:val="0"/>
          <w:bCs w:val="0"/>
          <w:sz w:val="24"/>
          <w:szCs w:val="24"/>
        </w:rPr>
        <w:t xml:space="preserve"> combined magical ritual with religious ascent.</w:t>
      </w:r>
    </w:p>
    <w:p w:rsidR="7A753C30" w:rsidP="678C35A9" w:rsidRDefault="7A753C30" w14:paraId="631EFA50" w14:textId="0698F7BF">
      <w:pPr>
        <w:pStyle w:val="NoSpacing"/>
        <w:spacing w:line="360" w:lineRule="auto"/>
        <w:jc w:val="left"/>
      </w:pPr>
      <w:r w:rsidRPr="678C35A9" w:rsidR="7A753C30">
        <w:rPr>
          <w:rFonts w:ascii="Arial Nova" w:hAnsi="Arial Nova" w:eastAsia="Arial Nova" w:cs="Arial Nova"/>
          <w:b w:val="1"/>
          <w:bCs w:val="1"/>
          <w:sz w:val="24"/>
          <w:szCs w:val="24"/>
        </w:rPr>
        <w:t>- Healing</w:t>
      </w:r>
      <w:r w:rsidRPr="678C35A9" w:rsidR="7A753C30">
        <w:rPr>
          <w:rFonts w:ascii="Arial Nova" w:hAnsi="Arial Nova" w:eastAsia="Arial Nova" w:cs="Arial Nova"/>
          <w:b w:val="0"/>
          <w:bCs w:val="0"/>
          <w:sz w:val="24"/>
          <w:szCs w:val="24"/>
        </w:rPr>
        <w:t xml:space="preserve"> temples like those of Asclepius used dream divination alongside herbal medicine.</w:t>
      </w:r>
    </w:p>
    <w:p w:rsidR="7A753C30" w:rsidP="678C35A9" w:rsidRDefault="7A753C30" w14:paraId="06C486DB" w14:textId="3BE639B7">
      <w:pPr>
        <w:pStyle w:val="NoSpacing"/>
        <w:spacing w:line="360" w:lineRule="auto"/>
        <w:jc w:val="left"/>
      </w:pPr>
      <w:r w:rsidRPr="678C35A9" w:rsidR="7A753C30">
        <w:rPr>
          <w:rFonts w:ascii="Arial Nova" w:hAnsi="Arial Nova" w:eastAsia="Arial Nova" w:cs="Arial Nova"/>
          <w:b w:val="0"/>
          <w:bCs w:val="0"/>
          <w:sz w:val="24"/>
          <w:szCs w:val="24"/>
        </w:rPr>
        <w:t xml:space="preserve">Evans-Pritchard’s insistence that anthropology must translate rather than judge belief systems </w:t>
      </w:r>
      <w:r w:rsidRPr="678C35A9" w:rsidR="01E1C742">
        <w:rPr>
          <w:rFonts w:ascii="Arial Nova" w:hAnsi="Arial Nova" w:eastAsia="Arial Nova" w:cs="Arial Nova"/>
          <w:b w:val="0"/>
          <w:bCs w:val="0"/>
          <w:sz w:val="24"/>
          <w:szCs w:val="24"/>
        </w:rPr>
        <w:t>allow</w:t>
      </w:r>
      <w:r w:rsidRPr="678C35A9" w:rsidR="7A753C30">
        <w:rPr>
          <w:rFonts w:ascii="Arial Nova" w:hAnsi="Arial Nova" w:eastAsia="Arial Nova" w:cs="Arial Nova"/>
          <w:b w:val="0"/>
          <w:bCs w:val="0"/>
          <w:sz w:val="24"/>
          <w:szCs w:val="24"/>
        </w:rPr>
        <w:t xml:space="preserve"> us to approach Greco-Roman divination on its own terms — as a coherent worldview, not a failed precursor to modern science (Evans-Pritchard, Theories of Primitive Religion, 1965).</w:t>
      </w:r>
    </w:p>
    <w:p w:rsidR="01C740BC" w:rsidP="678C35A9" w:rsidRDefault="01C740BC" w14:paraId="2EEDF158" w14:textId="2F8D4D83">
      <w:pPr>
        <w:pStyle w:val="NoSpacing"/>
        <w:spacing w:line="360" w:lineRule="auto"/>
        <w:jc w:val="left"/>
        <w:rPr>
          <w:rFonts w:ascii="Arial Nova" w:hAnsi="Arial Nova" w:eastAsia="Arial Nova" w:cs="Arial Nova"/>
          <w:b w:val="1"/>
          <w:bCs w:val="1"/>
          <w:sz w:val="24"/>
          <w:szCs w:val="24"/>
        </w:rPr>
      </w:pPr>
      <w:r w:rsidRPr="678C35A9" w:rsidR="01C740BC">
        <w:rPr>
          <w:rFonts w:ascii="Arial Nova" w:hAnsi="Arial Nova" w:eastAsia="Arial Nova" w:cs="Arial Nova"/>
          <w:b w:val="1"/>
          <w:bCs w:val="1"/>
          <w:sz w:val="24"/>
          <w:szCs w:val="24"/>
        </w:rPr>
        <w:t>Comparative Epistemology and Cultural Logic</w:t>
      </w:r>
    </w:p>
    <w:p w:rsidR="01C740BC" w:rsidP="678C35A9" w:rsidRDefault="01C740BC" w14:paraId="49FF277B" w14:textId="1A28603C">
      <w:pPr>
        <w:pStyle w:val="NoSpacing"/>
        <w:spacing w:line="360" w:lineRule="auto"/>
        <w:jc w:val="left"/>
      </w:pPr>
      <w:r w:rsidRPr="678C35A9" w:rsidR="01C740BC">
        <w:rPr>
          <w:rFonts w:ascii="Arial Nova" w:hAnsi="Arial Nova" w:eastAsia="Arial Nova" w:cs="Arial Nova"/>
          <w:b w:val="0"/>
          <w:bCs w:val="0"/>
          <w:sz w:val="24"/>
          <w:szCs w:val="24"/>
        </w:rPr>
        <w:t>Evans-Pritchard’s notion of cultural logic — that beliefs must be understood within their own symbolic and social systems — provides a methodological bridge between ethnography and classical studies. It encourages us to:</w:t>
      </w:r>
    </w:p>
    <w:p w:rsidR="01C740BC" w:rsidP="678C35A9" w:rsidRDefault="01C740BC" w14:paraId="219CC2BA" w14:textId="139090B8">
      <w:pPr>
        <w:pStyle w:val="NoSpacing"/>
        <w:spacing w:line="360" w:lineRule="auto"/>
        <w:jc w:val="left"/>
      </w:pPr>
      <w:r w:rsidRPr="678C35A9" w:rsidR="01C740BC">
        <w:rPr>
          <w:rFonts w:ascii="Arial Nova" w:hAnsi="Arial Nova" w:eastAsia="Arial Nova" w:cs="Arial Nova"/>
          <w:b w:val="1"/>
          <w:bCs w:val="1"/>
          <w:sz w:val="24"/>
          <w:szCs w:val="24"/>
        </w:rPr>
        <w:t>- Read</w:t>
      </w:r>
      <w:r w:rsidRPr="678C35A9" w:rsidR="01C740BC">
        <w:rPr>
          <w:rFonts w:ascii="Arial Nova" w:hAnsi="Arial Nova" w:eastAsia="Arial Nova" w:cs="Arial Nova"/>
          <w:b w:val="0"/>
          <w:bCs w:val="0"/>
          <w:sz w:val="24"/>
          <w:szCs w:val="24"/>
        </w:rPr>
        <w:t xml:space="preserve"> ancient texts (</w:t>
      </w:r>
      <w:r w:rsidRPr="678C35A9" w:rsidR="6AEBF327">
        <w:rPr>
          <w:rFonts w:ascii="Arial Nova" w:hAnsi="Arial Nova" w:eastAsia="Arial Nova" w:cs="Arial Nova"/>
          <w:b w:val="0"/>
          <w:bCs w:val="0"/>
          <w:sz w:val="24"/>
          <w:szCs w:val="24"/>
        </w:rPr>
        <w:t>e.g.,</w:t>
      </w:r>
      <w:r w:rsidRPr="678C35A9" w:rsidR="01C740BC">
        <w:rPr>
          <w:rFonts w:ascii="Arial Nova" w:hAnsi="Arial Nova" w:eastAsia="Arial Nova" w:cs="Arial Nova"/>
          <w:b w:val="0"/>
          <w:bCs w:val="0"/>
          <w:sz w:val="24"/>
          <w:szCs w:val="24"/>
        </w:rPr>
        <w:t xml:space="preserve"> Cicero’s De </w:t>
      </w:r>
      <w:r w:rsidRPr="678C35A9" w:rsidR="01C740BC">
        <w:rPr>
          <w:rFonts w:ascii="Arial Nova" w:hAnsi="Arial Nova" w:eastAsia="Arial Nova" w:cs="Arial Nova"/>
          <w:b w:val="0"/>
          <w:bCs w:val="0"/>
          <w:sz w:val="24"/>
          <w:szCs w:val="24"/>
        </w:rPr>
        <w:t>Divinatione</w:t>
      </w:r>
      <w:r w:rsidRPr="678C35A9" w:rsidR="01C740BC">
        <w:rPr>
          <w:rFonts w:ascii="Arial Nova" w:hAnsi="Arial Nova" w:eastAsia="Arial Nova" w:cs="Arial Nova"/>
          <w:b w:val="0"/>
          <w:bCs w:val="0"/>
          <w:sz w:val="24"/>
          <w:szCs w:val="24"/>
        </w:rPr>
        <w:t xml:space="preserve">, PGM rituals, Ptolemy’s </w:t>
      </w:r>
      <w:r w:rsidRPr="678C35A9" w:rsidR="01C740BC">
        <w:rPr>
          <w:rFonts w:ascii="Arial Nova" w:hAnsi="Arial Nova" w:eastAsia="Arial Nova" w:cs="Arial Nova"/>
          <w:b w:val="0"/>
          <w:bCs w:val="0"/>
          <w:sz w:val="24"/>
          <w:szCs w:val="24"/>
        </w:rPr>
        <w:t>Tetrabiblos</w:t>
      </w:r>
      <w:r w:rsidRPr="678C35A9" w:rsidR="01C740BC">
        <w:rPr>
          <w:rFonts w:ascii="Arial Nova" w:hAnsi="Arial Nova" w:eastAsia="Arial Nova" w:cs="Arial Nova"/>
          <w:b w:val="0"/>
          <w:bCs w:val="0"/>
          <w:sz w:val="24"/>
          <w:szCs w:val="24"/>
        </w:rPr>
        <w:t>) as expressions of culturally embedded reasoning.</w:t>
      </w:r>
    </w:p>
    <w:p w:rsidR="01C740BC" w:rsidP="678C35A9" w:rsidRDefault="01C740BC" w14:paraId="268093EA" w14:textId="73F28932">
      <w:pPr>
        <w:pStyle w:val="NoSpacing"/>
        <w:spacing w:line="360" w:lineRule="auto"/>
        <w:jc w:val="left"/>
      </w:pPr>
      <w:r w:rsidRPr="678C35A9" w:rsidR="01C740BC">
        <w:rPr>
          <w:rFonts w:ascii="Arial Nova" w:hAnsi="Arial Nova" w:eastAsia="Arial Nova" w:cs="Arial Nova"/>
          <w:b w:val="1"/>
          <w:bCs w:val="1"/>
          <w:sz w:val="24"/>
          <w:szCs w:val="24"/>
        </w:rPr>
        <w:t>- Recognize</w:t>
      </w:r>
      <w:r w:rsidRPr="678C35A9" w:rsidR="01C740BC">
        <w:rPr>
          <w:rFonts w:ascii="Arial Nova" w:hAnsi="Arial Nova" w:eastAsia="Arial Nova" w:cs="Arial Nova"/>
          <w:b w:val="0"/>
          <w:bCs w:val="0"/>
          <w:sz w:val="24"/>
          <w:szCs w:val="24"/>
        </w:rPr>
        <w:t xml:space="preserve"> that divinatory practices were not irrational but ritually structured responses to uncertainty.</w:t>
      </w:r>
    </w:p>
    <w:p w:rsidR="01C740BC" w:rsidP="678C35A9" w:rsidRDefault="01C740BC" w14:paraId="2F89482D" w14:textId="1C4AE11F">
      <w:pPr>
        <w:pStyle w:val="NoSpacing"/>
        <w:spacing w:line="360" w:lineRule="auto"/>
        <w:jc w:val="left"/>
      </w:pPr>
      <w:r w:rsidRPr="678C35A9" w:rsidR="01C740BC">
        <w:rPr>
          <w:rFonts w:ascii="Arial Nova" w:hAnsi="Arial Nova" w:eastAsia="Arial Nova" w:cs="Arial Nova"/>
          <w:b w:val="1"/>
          <w:bCs w:val="1"/>
          <w:sz w:val="24"/>
          <w:szCs w:val="24"/>
        </w:rPr>
        <w:t>- Avoid</w:t>
      </w:r>
      <w:r w:rsidRPr="678C35A9" w:rsidR="01C740BC">
        <w:rPr>
          <w:rFonts w:ascii="Arial Nova" w:hAnsi="Arial Nova" w:eastAsia="Arial Nova" w:cs="Arial Nova"/>
          <w:b w:val="0"/>
          <w:bCs w:val="0"/>
          <w:sz w:val="24"/>
          <w:szCs w:val="24"/>
        </w:rPr>
        <w:t xml:space="preserve"> anachronistic judgments that impose modern scientific standards on ancient epistemologies.</w:t>
      </w:r>
    </w:p>
    <w:p w:rsidR="01C740BC" w:rsidP="678C35A9" w:rsidRDefault="01C740BC" w14:paraId="39D5F5D2" w14:textId="01132D5E">
      <w:pPr>
        <w:pStyle w:val="NoSpacing"/>
        <w:spacing w:line="360" w:lineRule="auto"/>
        <w:jc w:val="left"/>
      </w:pPr>
      <w:r w:rsidRPr="678C35A9" w:rsidR="01C740BC">
        <w:rPr>
          <w:rFonts w:ascii="Arial Nova" w:hAnsi="Arial Nova" w:eastAsia="Arial Nova" w:cs="Arial Nova"/>
          <w:b w:val="0"/>
          <w:bCs w:val="0"/>
          <w:sz w:val="24"/>
          <w:szCs w:val="24"/>
        </w:rPr>
        <w:t xml:space="preserve">In this light, Greco-Roman divination becomes legible not as superstition, but as ritualized reasoning — a way of knowing </w:t>
      </w:r>
      <w:bookmarkStart w:name="_Int_H9t1GBQy" w:id="1398277419"/>
      <w:r w:rsidRPr="678C35A9" w:rsidR="01C740BC">
        <w:rPr>
          <w:rFonts w:ascii="Arial Nova" w:hAnsi="Arial Nova" w:eastAsia="Arial Nova" w:cs="Arial Nova"/>
          <w:b w:val="0"/>
          <w:bCs w:val="0"/>
          <w:sz w:val="24"/>
          <w:szCs w:val="24"/>
        </w:rPr>
        <w:t>that</w:t>
      </w:r>
      <w:bookmarkEnd w:id="1398277419"/>
      <w:r w:rsidRPr="678C35A9" w:rsidR="01C740BC">
        <w:rPr>
          <w:rFonts w:ascii="Arial Nova" w:hAnsi="Arial Nova" w:eastAsia="Arial Nova" w:cs="Arial Nova"/>
          <w:b w:val="0"/>
          <w:bCs w:val="0"/>
          <w:sz w:val="24"/>
          <w:szCs w:val="24"/>
        </w:rPr>
        <w:t xml:space="preserve"> is symbolic, embodied, and cosmologically grounded.</w:t>
      </w:r>
    </w:p>
    <w:p w:rsidR="678C35A9" w:rsidP="678C35A9" w:rsidRDefault="678C35A9" w14:paraId="4CA67D14" w14:textId="0E76D5E6">
      <w:pPr>
        <w:pStyle w:val="NoSpacing"/>
        <w:spacing w:line="360" w:lineRule="auto"/>
        <w:jc w:val="left"/>
        <w:rPr>
          <w:rFonts w:ascii="Arial Nova" w:hAnsi="Arial Nova" w:eastAsia="Arial Nova" w:cs="Arial Nova"/>
          <w:b w:val="0"/>
          <w:bCs w:val="0"/>
          <w:sz w:val="24"/>
          <w:szCs w:val="24"/>
        </w:rPr>
      </w:pPr>
    </w:p>
    <w:p w:rsidR="2A04089B" w:rsidP="678C35A9" w:rsidRDefault="2A04089B" w14:paraId="001648D9" w14:textId="40E36709">
      <w:pPr>
        <w:pStyle w:val="NoSpacing"/>
        <w:spacing w:line="360" w:lineRule="auto"/>
        <w:jc w:val="center"/>
        <w:rPr>
          <w:rFonts w:ascii="Arial Nova" w:hAnsi="Arial Nova" w:eastAsia="Arial Nova" w:cs="Arial Nova"/>
          <w:b w:val="1"/>
          <w:bCs w:val="1"/>
          <w:sz w:val="32"/>
          <w:szCs w:val="32"/>
        </w:rPr>
      </w:pPr>
      <w:r w:rsidRPr="678C35A9" w:rsidR="2A04089B">
        <w:rPr>
          <w:rFonts w:ascii="Arial Nova" w:hAnsi="Arial Nova" w:eastAsia="Arial Nova" w:cs="Arial Nova"/>
          <w:b w:val="1"/>
          <w:bCs w:val="1"/>
          <w:sz w:val="32"/>
          <w:szCs w:val="32"/>
        </w:rPr>
        <w:t>Reflective Synthesis: Knowledge, Rituals, and the Structure of the Cosmos</w:t>
      </w:r>
    </w:p>
    <w:p w:rsidR="678C35A9" w:rsidP="678C35A9" w:rsidRDefault="678C35A9" w14:paraId="478756C8" w14:textId="367694F8">
      <w:pPr>
        <w:pStyle w:val="NoSpacing"/>
        <w:spacing w:line="360" w:lineRule="auto"/>
        <w:jc w:val="left"/>
        <w:rPr>
          <w:rFonts w:ascii="Arial Nova" w:hAnsi="Arial Nova" w:eastAsia="Arial Nova" w:cs="Arial Nova"/>
          <w:b w:val="1"/>
          <w:bCs w:val="1"/>
          <w:sz w:val="32"/>
          <w:szCs w:val="32"/>
        </w:rPr>
      </w:pPr>
    </w:p>
    <w:p w:rsidR="4074C2C7" w:rsidP="678C35A9" w:rsidRDefault="4074C2C7" w14:paraId="7500B57B" w14:textId="353FBAE6">
      <w:pPr>
        <w:pStyle w:val="NoSpacing"/>
        <w:spacing w:line="360" w:lineRule="auto"/>
        <w:jc w:val="both"/>
        <w:rPr>
          <w:rFonts w:ascii="Arial Nova" w:hAnsi="Arial Nova" w:eastAsia="Arial Nova" w:cs="Arial Nova"/>
          <w:b w:val="0"/>
          <w:bCs w:val="0"/>
          <w:sz w:val="24"/>
          <w:szCs w:val="24"/>
        </w:rPr>
      </w:pPr>
      <w:r w:rsidRPr="678C35A9" w:rsidR="4074C2C7">
        <w:rPr>
          <w:rFonts w:ascii="Arial Nova" w:hAnsi="Arial Nova" w:eastAsia="Arial Nova" w:cs="Arial Nova"/>
          <w:b w:val="0"/>
          <w:bCs w:val="0"/>
          <w:sz w:val="24"/>
          <w:szCs w:val="24"/>
        </w:rPr>
        <w:t xml:space="preserve">Across the domains of astrology, necromancy, and medicine, a consistent thread runs through the divinatory practices of the ancient Hellenistic and Greco-Roman worlds: the universe is read as a system of signs, and divination is the process of decoding its grammar. Whether mediated through dreams in the healing sanctuaries of Asclepius, planetary configurations in a natal chart, or ritual communication with the dead in </w:t>
      </w:r>
      <w:r w:rsidRPr="678C35A9" w:rsidR="4074C2C7">
        <w:rPr>
          <w:rFonts w:ascii="Arial Nova" w:hAnsi="Arial Nova" w:eastAsia="Arial Nova" w:cs="Arial Nova"/>
          <w:b w:val="0"/>
          <w:bCs w:val="0"/>
          <w:sz w:val="24"/>
          <w:szCs w:val="24"/>
        </w:rPr>
        <w:t>tombside</w:t>
      </w:r>
      <w:r w:rsidRPr="678C35A9" w:rsidR="4074C2C7">
        <w:rPr>
          <w:rFonts w:ascii="Arial Nova" w:hAnsi="Arial Nova" w:eastAsia="Arial Nova" w:cs="Arial Nova"/>
          <w:b w:val="0"/>
          <w:bCs w:val="0"/>
          <w:sz w:val="24"/>
          <w:szCs w:val="24"/>
        </w:rPr>
        <w:t xml:space="preserve"> necromancy, the seeker stands before a cosmology that is not inert but responsive, intelligible, and symbolically expressive.</w:t>
      </w:r>
    </w:p>
    <w:p w:rsidR="4074C2C7" w:rsidP="678C35A9" w:rsidRDefault="4074C2C7" w14:paraId="44B2D09F" w14:textId="70ED7698">
      <w:pPr>
        <w:pStyle w:val="NoSpacing"/>
        <w:spacing w:line="360" w:lineRule="auto"/>
        <w:jc w:val="both"/>
        <w:rPr>
          <w:rFonts w:ascii="Arial Nova" w:hAnsi="Arial Nova" w:eastAsia="Arial Nova" w:cs="Arial Nova"/>
          <w:b w:val="0"/>
          <w:bCs w:val="0"/>
          <w:sz w:val="24"/>
          <w:szCs w:val="24"/>
        </w:rPr>
      </w:pPr>
      <w:r w:rsidRPr="678C35A9" w:rsidR="4074C2C7">
        <w:rPr>
          <w:rFonts w:ascii="Arial Nova" w:hAnsi="Arial Nova" w:eastAsia="Arial Nova" w:cs="Arial Nova"/>
          <w:b w:val="0"/>
          <w:bCs w:val="0"/>
          <w:sz w:val="24"/>
          <w:szCs w:val="24"/>
        </w:rPr>
        <w:t xml:space="preserve">This worldview resists any sharp division between empirical observation and symbolic reasoning. As Hippocratic medicine shows, bodily states and cosmic rhythms are not isolated phenomena, but interlinked indicators — pulses of a greater system (Hippocrates, Hippocratic Writings, trans. J. Chadwick and W.N. Mann, 1978). Similarly, in texts such as PGM IV.1928–2144, the material (a skull, a spoken name) is never mere object; it is a threshold device, anchoring the practitioner in a liminal space between mortal knowledge and divine truth (Betz, 1996). In astrology, time itself becomes qualitative — </w:t>
      </w:r>
      <w:r w:rsidRPr="678C35A9" w:rsidR="4074C2C7">
        <w:rPr>
          <w:rFonts w:ascii="Arial Nova" w:hAnsi="Arial Nova" w:eastAsia="Arial Nova" w:cs="Arial Nova"/>
          <w:b w:val="0"/>
          <w:bCs w:val="0"/>
          <w:sz w:val="24"/>
          <w:szCs w:val="24"/>
        </w:rPr>
        <w:t>kairos</w:t>
      </w:r>
      <w:r w:rsidRPr="678C35A9" w:rsidR="4074C2C7">
        <w:rPr>
          <w:rFonts w:ascii="Arial Nova" w:hAnsi="Arial Nova" w:eastAsia="Arial Nova" w:cs="Arial Nova"/>
          <w:b w:val="0"/>
          <w:bCs w:val="0"/>
          <w:sz w:val="24"/>
          <w:szCs w:val="24"/>
        </w:rPr>
        <w:t xml:space="preserve"> rather than </w:t>
      </w:r>
      <w:r w:rsidRPr="678C35A9" w:rsidR="4074C2C7">
        <w:rPr>
          <w:rFonts w:ascii="Arial Nova" w:hAnsi="Arial Nova" w:eastAsia="Arial Nova" w:cs="Arial Nova"/>
          <w:b w:val="0"/>
          <w:bCs w:val="0"/>
          <w:sz w:val="24"/>
          <w:szCs w:val="24"/>
        </w:rPr>
        <w:t>chronos</w:t>
      </w:r>
      <w:r w:rsidRPr="678C35A9" w:rsidR="4074C2C7">
        <w:rPr>
          <w:rFonts w:ascii="Arial Nova" w:hAnsi="Arial Nova" w:eastAsia="Arial Nova" w:cs="Arial Nova"/>
          <w:b w:val="0"/>
          <w:bCs w:val="0"/>
          <w:sz w:val="24"/>
          <w:szCs w:val="24"/>
        </w:rPr>
        <w:t xml:space="preserve"> — and the horoscope is not simply a chart, but a map of </w:t>
      </w:r>
      <w:bookmarkStart w:name="_Int_TQIFZeYa" w:id="1544556213"/>
      <w:r w:rsidRPr="678C35A9" w:rsidR="4074C2C7">
        <w:rPr>
          <w:rFonts w:ascii="Arial Nova" w:hAnsi="Arial Nova" w:eastAsia="Arial Nova" w:cs="Arial Nova"/>
          <w:b w:val="0"/>
          <w:bCs w:val="0"/>
          <w:sz w:val="24"/>
          <w:szCs w:val="24"/>
        </w:rPr>
        <w:t>possible meaning</w:t>
      </w:r>
      <w:bookmarkEnd w:id="1544556213"/>
      <w:r w:rsidRPr="678C35A9" w:rsidR="4074C2C7">
        <w:rPr>
          <w:rFonts w:ascii="Arial Nova" w:hAnsi="Arial Nova" w:eastAsia="Arial Nova" w:cs="Arial Nova"/>
          <w:b w:val="0"/>
          <w:bCs w:val="0"/>
          <w:sz w:val="24"/>
          <w:szCs w:val="24"/>
        </w:rPr>
        <w:t xml:space="preserve"> (Brennan, 2017).</w:t>
      </w:r>
    </w:p>
    <w:p w:rsidR="4074C2C7" w:rsidP="678C35A9" w:rsidRDefault="4074C2C7" w14:paraId="793F3B8F" w14:textId="6851C383">
      <w:pPr>
        <w:pStyle w:val="NoSpacing"/>
        <w:spacing w:line="360" w:lineRule="auto"/>
        <w:jc w:val="both"/>
        <w:rPr>
          <w:rFonts w:ascii="Arial Nova" w:hAnsi="Arial Nova" w:eastAsia="Arial Nova" w:cs="Arial Nova"/>
          <w:b w:val="0"/>
          <w:bCs w:val="0"/>
          <w:sz w:val="24"/>
          <w:szCs w:val="24"/>
        </w:rPr>
      </w:pPr>
      <w:r w:rsidRPr="678C35A9" w:rsidR="4074C2C7">
        <w:rPr>
          <w:rFonts w:ascii="Arial Nova" w:hAnsi="Arial Nova" w:eastAsia="Arial Nova" w:cs="Arial Nova"/>
          <w:b w:val="0"/>
          <w:bCs w:val="0"/>
          <w:sz w:val="24"/>
          <w:szCs w:val="24"/>
        </w:rPr>
        <w:t xml:space="preserve">Philosophically, these practices can be understood as ritual epistemologies: disciplined ways of knowing that do not reject </w:t>
      </w:r>
      <w:r w:rsidRPr="678C35A9" w:rsidR="3EA3E39D">
        <w:rPr>
          <w:rFonts w:ascii="Arial Nova" w:hAnsi="Arial Nova" w:eastAsia="Arial Nova" w:cs="Arial Nova"/>
          <w:b w:val="0"/>
          <w:bCs w:val="0"/>
          <w:sz w:val="24"/>
          <w:szCs w:val="24"/>
        </w:rPr>
        <w:t>reason but</w:t>
      </w:r>
      <w:r w:rsidRPr="678C35A9" w:rsidR="4074C2C7">
        <w:rPr>
          <w:rFonts w:ascii="Arial Nova" w:hAnsi="Arial Nova" w:eastAsia="Arial Nova" w:cs="Arial Nova"/>
          <w:b w:val="0"/>
          <w:bCs w:val="0"/>
          <w:sz w:val="24"/>
          <w:szCs w:val="24"/>
        </w:rPr>
        <w:t xml:space="preserve"> expand it to include symbolic and cosmological dimensions. They rely on analogical thinking, performative utterance, and structured interaction with invisible agents — whether stars, gods, or daemons. As anthropologists such as Evans-Pritchard and Johnston have argued, divination in ancient contexts is not a retreat from logic, but a response to uncertainty within a meaningful universe (Evans-Pritchard, 1965; Johnston, 2008).</w:t>
      </w:r>
    </w:p>
    <w:p w:rsidR="4074C2C7" w:rsidP="678C35A9" w:rsidRDefault="4074C2C7" w14:paraId="7BDD735E" w14:textId="08885539">
      <w:pPr>
        <w:pStyle w:val="NoSpacing"/>
        <w:spacing w:line="360" w:lineRule="auto"/>
        <w:jc w:val="both"/>
        <w:rPr>
          <w:rFonts w:ascii="Arial Nova" w:hAnsi="Arial Nova" w:eastAsia="Arial Nova" w:cs="Arial Nova"/>
          <w:b w:val="0"/>
          <w:bCs w:val="0"/>
          <w:sz w:val="24"/>
          <w:szCs w:val="24"/>
        </w:rPr>
      </w:pPr>
      <w:r w:rsidRPr="678C35A9" w:rsidR="4074C2C7">
        <w:rPr>
          <w:rFonts w:ascii="Arial Nova" w:hAnsi="Arial Nova" w:eastAsia="Arial Nova" w:cs="Arial Nova"/>
          <w:b w:val="0"/>
          <w:bCs w:val="0"/>
          <w:sz w:val="24"/>
          <w:szCs w:val="24"/>
        </w:rPr>
        <w:t xml:space="preserve">In this sense, cosmology provides both the infrastructure and the license for divination. Without a shared belief in a structured cosmos, divinatory acts would lose their legitimacy. But with that belief — whether Stoic, Hermetic, or Hippocratic — they become not only credible but essential: tools for navigating fate, interpreting disruption, and restoring balance between the individual and the universe. Divination is thus not marginal to culture; it is a lens through which culture conceives knowledge, power, and the limits of human </w:t>
      </w:r>
      <w:r w:rsidRPr="678C35A9" w:rsidR="4074C2C7">
        <w:rPr>
          <w:rFonts w:ascii="Arial Nova" w:hAnsi="Arial Nova" w:eastAsia="Arial Nova" w:cs="Arial Nova"/>
          <w:b w:val="0"/>
          <w:bCs w:val="0"/>
          <w:sz w:val="24"/>
          <w:szCs w:val="24"/>
        </w:rPr>
        <w:t>perception</w:t>
      </w:r>
      <w:r w:rsidRPr="678C35A9" w:rsidR="4074C2C7">
        <w:rPr>
          <w:rFonts w:ascii="Arial Nova" w:hAnsi="Arial Nova" w:eastAsia="Arial Nova" w:cs="Arial Nova"/>
          <w:b w:val="0"/>
          <w:bCs w:val="0"/>
          <w:sz w:val="24"/>
          <w:szCs w:val="24"/>
        </w:rPr>
        <w:t xml:space="preserve"> (</w:t>
      </w:r>
      <w:bookmarkStart w:name="_Int_zZ095GgM" w:id="1573025293"/>
      <w:r w:rsidRPr="678C35A9" w:rsidR="4074C2C7">
        <w:rPr>
          <w:rFonts w:ascii="Arial Nova" w:hAnsi="Arial Nova" w:eastAsia="Arial Nova" w:cs="Arial Nova"/>
          <w:b w:val="0"/>
          <w:bCs w:val="0"/>
          <w:sz w:val="24"/>
          <w:szCs w:val="24"/>
        </w:rPr>
        <w:t>Faraone, &amp;</w:t>
      </w:r>
      <w:bookmarkEnd w:id="1573025293"/>
      <w:r w:rsidRPr="678C35A9" w:rsidR="4074C2C7">
        <w:rPr>
          <w:rFonts w:ascii="Arial Nova" w:hAnsi="Arial Nova" w:eastAsia="Arial Nova" w:cs="Arial Nova"/>
          <w:b w:val="0"/>
          <w:bCs w:val="0"/>
          <w:sz w:val="24"/>
          <w:szCs w:val="24"/>
        </w:rPr>
        <w:t xml:space="preserve"> Graf, 1991).</w:t>
      </w:r>
    </w:p>
    <w:p w:rsidR="678C35A9" w:rsidP="678C35A9" w:rsidRDefault="678C35A9" w14:paraId="7CFC1D17" w14:textId="46D9F0DC">
      <w:pPr>
        <w:pStyle w:val="NoSpacing"/>
        <w:spacing w:line="360" w:lineRule="auto"/>
        <w:jc w:val="both"/>
        <w:rPr>
          <w:rFonts w:ascii="Arial Nova" w:hAnsi="Arial Nova" w:eastAsia="Arial Nova" w:cs="Arial Nova"/>
          <w:b w:val="0"/>
          <w:bCs w:val="0"/>
          <w:sz w:val="24"/>
          <w:szCs w:val="24"/>
        </w:rPr>
      </w:pPr>
    </w:p>
    <w:p w:rsidR="4074C2C7" w:rsidP="678C35A9" w:rsidRDefault="4074C2C7" w14:paraId="4CE12B1F" w14:textId="50525D3C">
      <w:pPr>
        <w:pStyle w:val="NoSpacing"/>
        <w:spacing w:line="360" w:lineRule="auto"/>
        <w:jc w:val="center"/>
        <w:rPr>
          <w:rFonts w:ascii="Arial Nova" w:hAnsi="Arial Nova" w:eastAsia="Arial Nova" w:cs="Arial Nova"/>
          <w:b w:val="1"/>
          <w:bCs w:val="1"/>
          <w:sz w:val="32"/>
          <w:szCs w:val="32"/>
        </w:rPr>
      </w:pPr>
      <w:r w:rsidRPr="678C35A9" w:rsidR="4074C2C7">
        <w:rPr>
          <w:rFonts w:ascii="Arial Nova" w:hAnsi="Arial Nova" w:eastAsia="Arial Nova" w:cs="Arial Nova"/>
          <w:b w:val="1"/>
          <w:bCs w:val="1"/>
          <w:sz w:val="32"/>
          <w:szCs w:val="32"/>
        </w:rPr>
        <w:t>Conclusion</w:t>
      </w:r>
    </w:p>
    <w:p w:rsidR="678C35A9" w:rsidP="678C35A9" w:rsidRDefault="678C35A9" w14:paraId="7AC34D54" w14:textId="5B2A8284">
      <w:pPr>
        <w:pStyle w:val="NoSpacing"/>
        <w:spacing w:line="360" w:lineRule="auto"/>
        <w:jc w:val="left"/>
        <w:rPr>
          <w:rFonts w:ascii="Arial Nova" w:hAnsi="Arial Nova" w:eastAsia="Arial Nova" w:cs="Arial Nova"/>
          <w:b w:val="1"/>
          <w:bCs w:val="1"/>
          <w:sz w:val="32"/>
          <w:szCs w:val="32"/>
        </w:rPr>
      </w:pPr>
    </w:p>
    <w:p w:rsidR="1DC2C46E" w:rsidP="678C35A9" w:rsidRDefault="1DC2C46E" w14:paraId="5D6BC9A4" w14:textId="389E2E4C">
      <w:pPr>
        <w:pStyle w:val="NoSpacing"/>
        <w:spacing w:line="360" w:lineRule="auto"/>
        <w:jc w:val="both"/>
        <w:rPr>
          <w:rFonts w:ascii="Arial Nova" w:hAnsi="Arial Nova" w:eastAsia="Arial Nova" w:cs="Arial Nova"/>
          <w:b w:val="0"/>
          <w:bCs w:val="0"/>
          <w:sz w:val="24"/>
          <w:szCs w:val="24"/>
        </w:rPr>
      </w:pPr>
      <w:r w:rsidRPr="678C35A9" w:rsidR="1DC2C46E">
        <w:rPr>
          <w:rFonts w:ascii="Arial Nova" w:hAnsi="Arial Nova" w:eastAsia="Arial Nova" w:cs="Arial Nova"/>
          <w:b w:val="0"/>
          <w:bCs w:val="0"/>
          <w:sz w:val="24"/>
          <w:szCs w:val="24"/>
        </w:rPr>
        <w:t xml:space="preserve">The persistence of divination practices and astrology over millennia attests to their remarkable adaptability and cultural resonance. From Babylonian omen texts to Ptolemaic horoscopes, and from temple rituals to smartphone apps, astrology has continually reinvented itself while </w:t>
      </w:r>
      <w:r w:rsidRPr="678C35A9" w:rsidR="1DC2C46E">
        <w:rPr>
          <w:rFonts w:ascii="Arial Nova" w:hAnsi="Arial Nova" w:eastAsia="Arial Nova" w:cs="Arial Nova"/>
          <w:b w:val="0"/>
          <w:bCs w:val="0"/>
          <w:sz w:val="24"/>
          <w:szCs w:val="24"/>
        </w:rPr>
        <w:t>maintaining</w:t>
      </w:r>
      <w:r w:rsidRPr="678C35A9" w:rsidR="1DC2C46E">
        <w:rPr>
          <w:rFonts w:ascii="Arial Nova" w:hAnsi="Arial Nova" w:eastAsia="Arial Nova" w:cs="Arial Nova"/>
          <w:b w:val="0"/>
          <w:bCs w:val="0"/>
          <w:sz w:val="24"/>
          <w:szCs w:val="24"/>
        </w:rPr>
        <w:t xml:space="preserve"> its core premise: that celestial patterns reflect human experience. In the contemporary context, astrology serves not only as a symbolic language of destiny and personality, but also as a tool for introspection, relational insight, and existential orientation. Astrology </w:t>
      </w:r>
      <w:r w:rsidRPr="678C35A9" w:rsidR="1DC2C46E">
        <w:rPr>
          <w:rFonts w:ascii="Arial Nova" w:hAnsi="Arial Nova" w:eastAsia="Arial Nova" w:cs="Arial Nova"/>
          <w:b w:val="0"/>
          <w:bCs w:val="0"/>
          <w:sz w:val="24"/>
          <w:szCs w:val="24"/>
        </w:rPr>
        <w:t>remains</w:t>
      </w:r>
      <w:r w:rsidRPr="678C35A9" w:rsidR="1DC2C46E">
        <w:rPr>
          <w:rFonts w:ascii="Arial Nova" w:hAnsi="Arial Nova" w:eastAsia="Arial Nova" w:cs="Arial Nova"/>
          <w:b w:val="0"/>
          <w:bCs w:val="0"/>
          <w:sz w:val="24"/>
          <w:szCs w:val="24"/>
        </w:rPr>
        <w:t xml:space="preserve"> a living system of meaning-making, capable of transcending temporal boundaries and speaking to the uncertainties of both ancient and modern life.</w:t>
      </w:r>
    </w:p>
    <w:p w:rsidR="678C35A9" w:rsidP="678C35A9" w:rsidRDefault="678C35A9" w14:paraId="42371686" w14:textId="57352B49">
      <w:pPr>
        <w:pStyle w:val="NoSpacing"/>
        <w:spacing w:line="360" w:lineRule="auto"/>
        <w:jc w:val="both"/>
        <w:rPr>
          <w:rFonts w:ascii="Arial Nova" w:hAnsi="Arial Nova" w:eastAsia="Arial Nova" w:cs="Arial Nova"/>
        </w:rPr>
      </w:pPr>
    </w:p>
    <w:p w:rsidR="678C35A9" w:rsidP="678C35A9" w:rsidRDefault="678C35A9" w14:paraId="4150150B" w14:textId="35B3FE9C">
      <w:pPr>
        <w:pStyle w:val="NoSpacing"/>
        <w:spacing w:line="360" w:lineRule="auto"/>
        <w:jc w:val="both"/>
        <w:rPr>
          <w:rFonts w:ascii="Arial Nova" w:hAnsi="Arial Nova" w:eastAsia="Arial Nova" w:cs="Arial Nova"/>
        </w:rPr>
      </w:pPr>
    </w:p>
    <w:p w:rsidR="11F99160" w:rsidP="678C35A9" w:rsidRDefault="11F99160" w14:paraId="1DC50323" w14:textId="00C5E7B5">
      <w:pPr>
        <w:pStyle w:val="Normal"/>
        <w:jc w:val="left"/>
        <w:rPr>
          <w:rFonts w:ascii="Arial Nova" w:hAnsi="Arial Nova" w:eastAsia="Arial Nova" w:cs="Arial Nova"/>
          <w:b w:val="0"/>
          <w:bCs w:val="0"/>
          <w:sz w:val="28"/>
          <w:szCs w:val="28"/>
        </w:rPr>
      </w:pPr>
    </w:p>
    <w:p w:rsidR="11F99160" w:rsidP="5B365DAE" w:rsidRDefault="11F99160" w14:paraId="7F8EA74E" w14:textId="759B62FD">
      <w:pPr>
        <w:jc w:val="center"/>
        <w:rPr>
          <w:rFonts w:ascii="Arial Nova" w:hAnsi="Arial Nova" w:eastAsia="Arial Nova" w:cs="Arial Nova"/>
          <w:b w:val="1"/>
          <w:bCs w:val="1"/>
          <w:sz w:val="36"/>
          <w:szCs w:val="36"/>
        </w:rPr>
      </w:pPr>
      <w:r w:rsidRPr="5B365DAE" w:rsidR="4553A1DC">
        <w:rPr>
          <w:rFonts w:ascii="Arial Nova" w:hAnsi="Arial Nova" w:eastAsia="Arial Nova" w:cs="Arial Nova"/>
          <w:b w:val="1"/>
          <w:bCs w:val="1"/>
          <w:sz w:val="32"/>
          <w:szCs w:val="32"/>
        </w:rPr>
        <w:t>References</w:t>
      </w:r>
    </w:p>
    <w:p w:rsidR="5B365DAE" w:rsidP="5B365DAE" w:rsidRDefault="5B365DAE" w14:paraId="580C95C1" w14:textId="5CE2F2C2">
      <w:pPr>
        <w:jc w:val="left"/>
        <w:rPr>
          <w:rFonts w:ascii="Arial Nova" w:hAnsi="Arial Nova" w:eastAsia="Arial Nova" w:cs="Arial Nova"/>
          <w:b w:val="0"/>
          <w:bCs w:val="0"/>
          <w:sz w:val="28"/>
          <w:szCs w:val="28"/>
        </w:rPr>
      </w:pPr>
    </w:p>
    <w:p w:rsidR="07115105" w:rsidP="7D068618" w:rsidRDefault="07115105" w14:paraId="50131D93" w14:textId="7E752B1F">
      <w:pPr>
        <w:pStyle w:val="NoSpacing"/>
        <w:numPr>
          <w:ilvl w:val="0"/>
          <w:numId w:val="4"/>
        </w:numPr>
        <w:spacing w:line="360" w:lineRule="auto"/>
        <w:jc w:val="both"/>
        <w:rPr>
          <w:rFonts w:ascii="Arial Nova" w:hAnsi="Arial Nova" w:eastAsia="Arial Nova" w:cs="Arial Nova"/>
          <w:sz w:val="24"/>
          <w:szCs w:val="24"/>
        </w:rPr>
      </w:pPr>
      <w:r w:rsidRPr="7D068618" w:rsidR="07115105">
        <w:rPr>
          <w:rFonts w:ascii="Arial Nova" w:hAnsi="Arial Nova" w:eastAsia="Arial Nova" w:cs="Arial Nova"/>
          <w:sz w:val="24"/>
          <w:szCs w:val="24"/>
        </w:rPr>
        <w:t>Betz, H.D. (ed.) (1986) The Greek Magical Papyri in Translation Including the Demotic Texts. Chicago: University of Chicago Press.</w:t>
      </w:r>
    </w:p>
    <w:p w:rsidR="07115105" w:rsidP="7D068618" w:rsidRDefault="07115105" w14:paraId="5B894E62" w14:textId="39693041">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Brennan, C. (2017) Hellenistic Astrology: The Study of </w:t>
      </w:r>
      <w:r w:rsidRPr="7D068618" w:rsidR="07115105">
        <w:rPr>
          <w:rFonts w:ascii="Arial Nova" w:hAnsi="Arial Nova" w:eastAsia="Arial Nova" w:cs="Arial Nova"/>
          <w:sz w:val="24"/>
          <w:szCs w:val="24"/>
        </w:rPr>
        <w:t>Fate</w:t>
      </w:r>
      <w:r w:rsidRPr="7D068618" w:rsidR="07115105">
        <w:rPr>
          <w:rFonts w:ascii="Arial Nova" w:hAnsi="Arial Nova" w:eastAsia="Arial Nova" w:cs="Arial Nova"/>
          <w:sz w:val="24"/>
          <w:szCs w:val="24"/>
        </w:rPr>
        <w:t xml:space="preserve"> and Fortune. Denver: Amor Fati Publications.</w:t>
      </w:r>
    </w:p>
    <w:p w:rsidR="07115105" w:rsidP="7D068618" w:rsidRDefault="07115105" w14:paraId="6B539C29" w14:textId="6B4592EA">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Cicero (1923) De </w:t>
      </w:r>
      <w:r w:rsidRPr="7D068618" w:rsidR="07115105">
        <w:rPr>
          <w:rFonts w:ascii="Arial Nova" w:hAnsi="Arial Nova" w:eastAsia="Arial Nova" w:cs="Arial Nova"/>
          <w:sz w:val="24"/>
          <w:szCs w:val="24"/>
        </w:rPr>
        <w:t>Divinatione</w:t>
      </w:r>
      <w:r w:rsidRPr="7D068618" w:rsidR="07115105">
        <w:rPr>
          <w:rFonts w:ascii="Arial Nova" w:hAnsi="Arial Nova" w:eastAsia="Arial Nova" w:cs="Arial Nova"/>
          <w:sz w:val="24"/>
          <w:szCs w:val="24"/>
        </w:rPr>
        <w:t>. Translated by W.A. Falconer. Cambridge, MA: Harvard University Press (Loeb Classical Library).</w:t>
      </w:r>
    </w:p>
    <w:p w:rsidR="07115105" w:rsidP="7D068618" w:rsidRDefault="07115105" w14:paraId="79B7F2BA" w14:textId="0B2E22FF">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Cicero (1933) De Natura </w:t>
      </w:r>
      <w:r w:rsidRPr="7D068618" w:rsidR="07115105">
        <w:rPr>
          <w:rFonts w:ascii="Arial Nova" w:hAnsi="Arial Nova" w:eastAsia="Arial Nova" w:cs="Arial Nova"/>
          <w:sz w:val="24"/>
          <w:szCs w:val="24"/>
        </w:rPr>
        <w:t>Deorum</w:t>
      </w:r>
      <w:r w:rsidRPr="7D068618" w:rsidR="07115105">
        <w:rPr>
          <w:rFonts w:ascii="Arial Nova" w:hAnsi="Arial Nova" w:eastAsia="Arial Nova" w:cs="Arial Nova"/>
          <w:sz w:val="24"/>
          <w:szCs w:val="24"/>
        </w:rPr>
        <w:t>. Translated by H. Rackham. Cambridge, MA: Harvard University Press (Loeb Classical Library).</w:t>
      </w:r>
    </w:p>
    <w:p w:rsidR="07115105" w:rsidP="7D068618" w:rsidRDefault="07115105" w14:paraId="175C778F" w14:textId="00B3590E">
      <w:pPr>
        <w:pStyle w:val="NoSpacing"/>
        <w:numPr>
          <w:ilvl w:val="0"/>
          <w:numId w:val="4"/>
        </w:numPr>
        <w:spacing w:line="360" w:lineRule="auto"/>
        <w:jc w:val="both"/>
        <w:rPr/>
      </w:pPr>
      <w:r w:rsidRPr="7D068618" w:rsidR="07115105">
        <w:rPr>
          <w:rFonts w:ascii="Arial Nova" w:hAnsi="Arial Nova" w:eastAsia="Arial Nova" w:cs="Arial Nova"/>
          <w:sz w:val="24"/>
          <w:szCs w:val="24"/>
        </w:rPr>
        <w:t>Dieleman, J. (2005) Priests, Tongues, and Rites: Magic and Religion in Graeco-Roman Egypt. Leiden: Brill.</w:t>
      </w:r>
    </w:p>
    <w:p w:rsidR="07115105" w:rsidP="7D068618" w:rsidRDefault="07115105" w14:paraId="0AD0FA7C" w14:textId="7AB2D0C5">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Durkheim, É. (1995) The Elementary Forms of Religious Life. Translated by K. Fields. New York: </w:t>
      </w:r>
      <w:r w:rsidRPr="7D068618" w:rsidR="07115105">
        <w:rPr>
          <w:rFonts w:ascii="Arial Nova" w:hAnsi="Arial Nova" w:eastAsia="Arial Nova" w:cs="Arial Nova"/>
          <w:sz w:val="24"/>
          <w:szCs w:val="24"/>
        </w:rPr>
        <w:t>Free</w:t>
      </w:r>
      <w:r w:rsidRPr="7D068618" w:rsidR="07115105">
        <w:rPr>
          <w:rFonts w:ascii="Arial Nova" w:hAnsi="Arial Nova" w:eastAsia="Arial Nova" w:cs="Arial Nova"/>
          <w:sz w:val="24"/>
          <w:szCs w:val="24"/>
        </w:rPr>
        <w:t xml:space="preserve"> Press.</w:t>
      </w:r>
    </w:p>
    <w:p w:rsidR="07115105" w:rsidP="7D068618" w:rsidRDefault="07115105" w14:paraId="48D3098F" w14:textId="79576550">
      <w:pPr>
        <w:pStyle w:val="NoSpacing"/>
        <w:numPr>
          <w:ilvl w:val="0"/>
          <w:numId w:val="4"/>
        </w:numPr>
        <w:spacing w:line="360" w:lineRule="auto"/>
        <w:jc w:val="both"/>
        <w:rPr/>
      </w:pPr>
      <w:r w:rsidRPr="7D068618" w:rsidR="07115105">
        <w:rPr>
          <w:rFonts w:ascii="Arial Nova" w:hAnsi="Arial Nova" w:eastAsia="Arial Nova" w:cs="Arial Nova"/>
          <w:sz w:val="24"/>
          <w:szCs w:val="24"/>
        </w:rPr>
        <w:t>Evans-Pritchard, E.E. (1937) Witchcraft, Oracles and Magic Among the Azande. Oxford: Clarendon Press.</w:t>
      </w:r>
    </w:p>
    <w:p w:rsidR="07115105" w:rsidP="7D068618" w:rsidRDefault="07115105" w14:paraId="67775F65" w14:textId="175E1845">
      <w:pPr>
        <w:pStyle w:val="NoSpacing"/>
        <w:numPr>
          <w:ilvl w:val="0"/>
          <w:numId w:val="4"/>
        </w:numPr>
        <w:spacing w:line="360" w:lineRule="auto"/>
        <w:jc w:val="both"/>
        <w:rPr/>
      </w:pPr>
      <w:r w:rsidRPr="7D068618" w:rsidR="07115105">
        <w:rPr>
          <w:rFonts w:ascii="Arial Nova" w:hAnsi="Arial Nova" w:eastAsia="Arial Nova" w:cs="Arial Nova"/>
          <w:sz w:val="24"/>
          <w:szCs w:val="24"/>
        </w:rPr>
        <w:t>Evans-Pritchard, E.E. (1965) Theories of Primitive Religion. Oxford: Oxford University Press.</w:t>
      </w:r>
    </w:p>
    <w:p w:rsidR="07115105" w:rsidP="7D068618" w:rsidRDefault="07115105" w14:paraId="3B432350" w14:textId="5CD9163B">
      <w:pPr>
        <w:pStyle w:val="NoSpacing"/>
        <w:numPr>
          <w:ilvl w:val="0"/>
          <w:numId w:val="4"/>
        </w:numPr>
        <w:spacing w:line="360" w:lineRule="auto"/>
        <w:jc w:val="both"/>
        <w:rPr/>
      </w:pPr>
      <w:r w:rsidRPr="7D068618" w:rsidR="07115105">
        <w:rPr>
          <w:rFonts w:ascii="Arial Nova" w:hAnsi="Arial Nova" w:eastAsia="Arial Nova" w:cs="Arial Nova"/>
          <w:sz w:val="24"/>
          <w:szCs w:val="24"/>
        </w:rPr>
        <w:t>Faraone, C.A. and Graf, F. (1991) Magicians and Pagans in the Ancient World. Princeton: Princeton University Press.</w:t>
      </w:r>
    </w:p>
    <w:p w:rsidR="07115105" w:rsidP="7D068618" w:rsidRDefault="07115105" w14:paraId="10CD952A" w14:textId="2E703E5C">
      <w:pPr>
        <w:pStyle w:val="NoSpacing"/>
        <w:numPr>
          <w:ilvl w:val="0"/>
          <w:numId w:val="4"/>
        </w:numPr>
        <w:spacing w:line="360" w:lineRule="auto"/>
        <w:jc w:val="both"/>
        <w:rPr/>
      </w:pPr>
      <w:r w:rsidRPr="7D068618" w:rsidR="07115105">
        <w:rPr>
          <w:rFonts w:ascii="Arial Nova" w:hAnsi="Arial Nova" w:eastAsia="Arial Nova" w:cs="Arial Nova"/>
          <w:sz w:val="24"/>
          <w:szCs w:val="24"/>
        </w:rPr>
        <w:t>Frazer, J.G. (1922) The Golden Bough. London: Macmillan.</w:t>
      </w:r>
    </w:p>
    <w:p w:rsidR="07115105" w:rsidP="7D068618" w:rsidRDefault="07115105" w14:paraId="41C02130" w14:textId="78066D76">
      <w:pPr>
        <w:pStyle w:val="NoSpacing"/>
        <w:numPr>
          <w:ilvl w:val="0"/>
          <w:numId w:val="4"/>
        </w:numPr>
        <w:spacing w:line="360" w:lineRule="auto"/>
        <w:jc w:val="both"/>
        <w:rPr/>
      </w:pPr>
      <w:r w:rsidRPr="7D068618" w:rsidR="07115105">
        <w:rPr>
          <w:rFonts w:ascii="Arial Nova" w:hAnsi="Arial Nova" w:eastAsia="Arial Nova" w:cs="Arial Nova"/>
          <w:sz w:val="24"/>
          <w:szCs w:val="24"/>
        </w:rPr>
        <w:t>Geertz, C. (1973) The Interpretation of Cultures. New York: Basic Books.</w:t>
      </w:r>
    </w:p>
    <w:p w:rsidR="07115105" w:rsidP="7D068618" w:rsidRDefault="07115105" w14:paraId="3C2A7CDC" w14:textId="097B2E7D">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Gordon, R. (2002) ‘Imagining Greek and Roman Magic’, in </w:t>
      </w:r>
      <w:r w:rsidRPr="7D068618" w:rsidR="07115105">
        <w:rPr>
          <w:rFonts w:ascii="Arial Nova" w:hAnsi="Arial Nova" w:eastAsia="Arial Nova" w:cs="Arial Nova"/>
          <w:sz w:val="24"/>
          <w:szCs w:val="24"/>
        </w:rPr>
        <w:t>Ankarloo</w:t>
      </w:r>
      <w:r w:rsidRPr="7D068618" w:rsidR="07115105">
        <w:rPr>
          <w:rFonts w:ascii="Arial Nova" w:hAnsi="Arial Nova" w:eastAsia="Arial Nova" w:cs="Arial Nova"/>
          <w:sz w:val="24"/>
          <w:szCs w:val="24"/>
        </w:rPr>
        <w:t>, B. and Clark, S. (eds.) Witchcraft and Magic in Europe: Ancient Greece and Rome. Philadelphia: University of Pennsylvania Press.</w:t>
      </w:r>
    </w:p>
    <w:p w:rsidR="07115105" w:rsidP="7D068618" w:rsidRDefault="07115105" w14:paraId="1842CF7C" w14:textId="733FB38D">
      <w:pPr>
        <w:pStyle w:val="NoSpacing"/>
        <w:numPr>
          <w:ilvl w:val="0"/>
          <w:numId w:val="4"/>
        </w:numPr>
        <w:spacing w:line="360" w:lineRule="auto"/>
        <w:jc w:val="both"/>
        <w:rPr/>
      </w:pPr>
      <w:r w:rsidRPr="7D068618" w:rsidR="07115105">
        <w:rPr>
          <w:rFonts w:ascii="Arial Nova" w:hAnsi="Arial Nova" w:eastAsia="Arial Nova" w:cs="Arial Nova"/>
          <w:sz w:val="24"/>
          <w:szCs w:val="24"/>
        </w:rPr>
        <w:t>Greenbaum, D. (1996) Astrology and the Seventeenth Century Mind: William Lilly and the Language of the Stars. London: Warburg Institute.</w:t>
      </w:r>
    </w:p>
    <w:p w:rsidR="07115105" w:rsidP="7D068618" w:rsidRDefault="07115105" w14:paraId="56314599" w14:textId="54E2B5EE">
      <w:pPr>
        <w:pStyle w:val="NoSpacing"/>
        <w:numPr>
          <w:ilvl w:val="0"/>
          <w:numId w:val="4"/>
        </w:numPr>
        <w:spacing w:line="360" w:lineRule="auto"/>
        <w:jc w:val="both"/>
        <w:rPr/>
      </w:pPr>
      <w:r w:rsidRPr="7D068618" w:rsidR="07115105">
        <w:rPr>
          <w:rFonts w:ascii="Arial Nova" w:hAnsi="Arial Nova" w:eastAsia="Arial Nova" w:cs="Arial Nova"/>
          <w:sz w:val="24"/>
          <w:szCs w:val="24"/>
        </w:rPr>
        <w:t>Greenbaum, D. (2016) The Daimon in Hellenistic Astrology: Origins and Influence. Leiden: Brill.</w:t>
      </w:r>
    </w:p>
    <w:p w:rsidR="07115105" w:rsidP="7D068618" w:rsidRDefault="07115105" w14:paraId="0FAFBBDB" w14:textId="2364AF62">
      <w:pPr>
        <w:pStyle w:val="NoSpacing"/>
        <w:numPr>
          <w:ilvl w:val="0"/>
          <w:numId w:val="4"/>
        </w:numPr>
        <w:spacing w:line="360" w:lineRule="auto"/>
        <w:jc w:val="both"/>
        <w:rPr/>
      </w:pPr>
      <w:r w:rsidRPr="7D068618" w:rsidR="07115105">
        <w:rPr>
          <w:rFonts w:ascii="Arial Nova" w:hAnsi="Arial Nova" w:eastAsia="Arial Nova" w:cs="Arial Nova"/>
          <w:sz w:val="24"/>
          <w:szCs w:val="24"/>
        </w:rPr>
        <w:t>Hermetica</w:t>
      </w:r>
      <w:r w:rsidRPr="7D068618" w:rsidR="07115105">
        <w:rPr>
          <w:rFonts w:ascii="Arial Nova" w:hAnsi="Arial Nova" w:eastAsia="Arial Nova" w:cs="Arial Nova"/>
          <w:sz w:val="24"/>
          <w:szCs w:val="24"/>
        </w:rPr>
        <w:t xml:space="preserve"> (1992) Corpus </w:t>
      </w:r>
      <w:r w:rsidRPr="7D068618" w:rsidR="07115105">
        <w:rPr>
          <w:rFonts w:ascii="Arial Nova" w:hAnsi="Arial Nova" w:eastAsia="Arial Nova" w:cs="Arial Nova"/>
          <w:sz w:val="24"/>
          <w:szCs w:val="24"/>
        </w:rPr>
        <w:t>Hermeticum</w:t>
      </w:r>
      <w:r w:rsidRPr="7D068618" w:rsidR="07115105">
        <w:rPr>
          <w:rFonts w:ascii="Arial Nova" w:hAnsi="Arial Nova" w:eastAsia="Arial Nova" w:cs="Arial Nova"/>
          <w:sz w:val="24"/>
          <w:szCs w:val="24"/>
        </w:rPr>
        <w:t>. Translated by B.P. Copenhaver. Cambridge: Cambridge University Press.</w:t>
      </w:r>
    </w:p>
    <w:p w:rsidR="07115105" w:rsidP="7D068618" w:rsidRDefault="07115105" w14:paraId="72D47787" w14:textId="443F0D27">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Hippocrates (1995) On </w:t>
      </w:r>
      <w:r w:rsidRPr="7D068618" w:rsidR="07115105">
        <w:rPr>
          <w:rFonts w:ascii="Arial Nova" w:hAnsi="Arial Nova" w:eastAsia="Arial Nova" w:cs="Arial Nova"/>
          <w:sz w:val="24"/>
          <w:szCs w:val="24"/>
        </w:rPr>
        <w:t>the Sacred</w:t>
      </w:r>
      <w:r w:rsidRPr="7D068618" w:rsidR="07115105">
        <w:rPr>
          <w:rFonts w:ascii="Arial Nova" w:hAnsi="Arial Nova" w:eastAsia="Arial Nova" w:cs="Arial Nova"/>
          <w:sz w:val="24"/>
          <w:szCs w:val="24"/>
        </w:rPr>
        <w:t xml:space="preserve"> Disease. In Lloyd, G.E.R. (ed.) Hippocratic Writings. Translated by W.H.S. Jones. Oxford: Oxford University Press.</w:t>
      </w:r>
    </w:p>
    <w:p w:rsidR="07115105" w:rsidP="7D068618" w:rsidRDefault="07115105" w14:paraId="00545983" w14:textId="38E519D6">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Hippocrates (1978) Regimen IV. In Chadwick, </w:t>
      </w:r>
      <w:r w:rsidRPr="7D068618" w:rsidR="07115105">
        <w:rPr>
          <w:rFonts w:ascii="Arial Nova" w:hAnsi="Arial Nova" w:eastAsia="Arial Nova" w:cs="Arial Nova"/>
          <w:sz w:val="24"/>
          <w:szCs w:val="24"/>
        </w:rPr>
        <w:t>J.</w:t>
      </w:r>
      <w:r w:rsidRPr="7D068618" w:rsidR="07115105">
        <w:rPr>
          <w:rFonts w:ascii="Arial Nova" w:hAnsi="Arial Nova" w:eastAsia="Arial Nova" w:cs="Arial Nova"/>
          <w:sz w:val="24"/>
          <w:szCs w:val="24"/>
        </w:rPr>
        <w:t xml:space="preserve"> and Mann, W.N. (eds.) Hippocratic Writings. London: Penguin Classics.</w:t>
      </w:r>
    </w:p>
    <w:p w:rsidR="07115105" w:rsidP="7D068618" w:rsidRDefault="07115105" w14:paraId="100C8418" w14:textId="407AC01A">
      <w:pPr>
        <w:pStyle w:val="NoSpacing"/>
        <w:numPr>
          <w:ilvl w:val="0"/>
          <w:numId w:val="4"/>
        </w:numPr>
        <w:spacing w:line="360" w:lineRule="auto"/>
        <w:jc w:val="both"/>
        <w:rPr/>
      </w:pPr>
      <w:r w:rsidRPr="7D068618" w:rsidR="07115105">
        <w:rPr>
          <w:rFonts w:ascii="Arial Nova" w:hAnsi="Arial Nova" w:eastAsia="Arial Nova" w:cs="Arial Nova"/>
          <w:sz w:val="24"/>
          <w:szCs w:val="24"/>
        </w:rPr>
        <w:t>Johnston, S.I. (2008) Ancient Greek Divination. Oxford: Wiley-Blackwell.</w:t>
      </w:r>
    </w:p>
    <w:p w:rsidR="07115105" w:rsidP="7D068618" w:rsidRDefault="07115105" w14:paraId="4FECD4DA" w14:textId="52468B44">
      <w:pPr>
        <w:pStyle w:val="NoSpacing"/>
        <w:numPr>
          <w:ilvl w:val="0"/>
          <w:numId w:val="4"/>
        </w:numPr>
        <w:spacing w:line="360" w:lineRule="auto"/>
        <w:jc w:val="both"/>
        <w:rPr/>
      </w:pPr>
      <w:r w:rsidRPr="7D068618" w:rsidR="07115105">
        <w:rPr>
          <w:rFonts w:ascii="Arial Nova" w:hAnsi="Arial Nova" w:eastAsia="Arial Nova" w:cs="Arial Nova"/>
          <w:sz w:val="24"/>
          <w:szCs w:val="24"/>
        </w:rPr>
        <w:t>Malinowski, B. (1948)</w:t>
      </w:r>
      <w:r w:rsidRPr="7D068618" w:rsidR="07115105">
        <w:rPr>
          <w:rFonts w:ascii="Arial Nova" w:hAnsi="Arial Nova" w:eastAsia="Arial Nova" w:cs="Arial Nova"/>
          <w:sz w:val="24"/>
          <w:szCs w:val="24"/>
        </w:rPr>
        <w:t xml:space="preserve"> Magic</w:t>
      </w:r>
      <w:r w:rsidRPr="7D068618" w:rsidR="07115105">
        <w:rPr>
          <w:rFonts w:ascii="Arial Nova" w:hAnsi="Arial Nova" w:eastAsia="Arial Nova" w:cs="Arial Nova"/>
          <w:sz w:val="24"/>
          <w:szCs w:val="24"/>
        </w:rPr>
        <w:t>, Science and Religion. Boston: Beacon Press.</w:t>
      </w:r>
    </w:p>
    <w:p w:rsidR="07115105" w:rsidP="7D068618" w:rsidRDefault="07115105" w14:paraId="45879D7F" w14:textId="7B319AB7">
      <w:pPr>
        <w:pStyle w:val="NoSpacing"/>
        <w:numPr>
          <w:ilvl w:val="0"/>
          <w:numId w:val="4"/>
        </w:numPr>
        <w:spacing w:line="360" w:lineRule="auto"/>
        <w:jc w:val="both"/>
        <w:rPr/>
      </w:pPr>
      <w:r w:rsidRPr="7D068618" w:rsidR="07115105">
        <w:rPr>
          <w:rFonts w:ascii="Arial Nova" w:hAnsi="Arial Nova" w:eastAsia="Arial Nova" w:cs="Arial Nova"/>
          <w:sz w:val="24"/>
          <w:szCs w:val="24"/>
        </w:rPr>
        <w:t>Manilius</w:t>
      </w:r>
      <w:r w:rsidRPr="7D068618" w:rsidR="07115105">
        <w:rPr>
          <w:rFonts w:ascii="Arial Nova" w:hAnsi="Arial Nova" w:eastAsia="Arial Nova" w:cs="Arial Nova"/>
          <w:sz w:val="24"/>
          <w:szCs w:val="24"/>
        </w:rPr>
        <w:t xml:space="preserve"> (1977) Astronomica. Translated by G.P. Goold. Cambridge, MA: Harvard University Press (Loeb Classical Library).</w:t>
      </w:r>
    </w:p>
    <w:p w:rsidR="07115105" w:rsidP="7D068618" w:rsidRDefault="07115105" w14:paraId="26458BE5" w14:textId="20DF815F">
      <w:pPr>
        <w:pStyle w:val="NoSpacing"/>
        <w:numPr>
          <w:ilvl w:val="0"/>
          <w:numId w:val="4"/>
        </w:numPr>
        <w:spacing w:line="360" w:lineRule="auto"/>
        <w:jc w:val="both"/>
        <w:rPr/>
      </w:pPr>
      <w:r w:rsidRPr="7D068618" w:rsidR="07115105">
        <w:rPr>
          <w:rFonts w:ascii="Arial Nova" w:hAnsi="Arial Nova" w:eastAsia="Arial Nova" w:cs="Arial Nova"/>
          <w:sz w:val="24"/>
          <w:szCs w:val="24"/>
        </w:rPr>
        <w:t>Mauss, M. and Hubert, H. (2001) A General Theory of Magic. London: Routledge.</w:t>
      </w:r>
    </w:p>
    <w:p w:rsidR="07115105" w:rsidP="7D068618" w:rsidRDefault="07115105" w14:paraId="59A10E53" w14:textId="579CB465">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Ptolemy, C. (1940) </w:t>
      </w:r>
      <w:r w:rsidRPr="7D068618" w:rsidR="07115105">
        <w:rPr>
          <w:rFonts w:ascii="Arial Nova" w:hAnsi="Arial Nova" w:eastAsia="Arial Nova" w:cs="Arial Nova"/>
          <w:sz w:val="24"/>
          <w:szCs w:val="24"/>
        </w:rPr>
        <w:t>Tetrabiblos</w:t>
      </w:r>
      <w:r w:rsidRPr="7D068618" w:rsidR="07115105">
        <w:rPr>
          <w:rFonts w:ascii="Arial Nova" w:hAnsi="Arial Nova" w:eastAsia="Arial Nova" w:cs="Arial Nova"/>
          <w:sz w:val="24"/>
          <w:szCs w:val="24"/>
        </w:rPr>
        <w:t>. Translated by F.E. Robbins. Cambridge, MA: Harvard University Press (Loeb Classical Library).</w:t>
      </w:r>
    </w:p>
    <w:p w:rsidR="07115105" w:rsidP="7D068618" w:rsidRDefault="07115105" w14:paraId="025DF746" w14:textId="732E23AD">
      <w:pPr>
        <w:pStyle w:val="NoSpacing"/>
        <w:numPr>
          <w:ilvl w:val="0"/>
          <w:numId w:val="4"/>
        </w:numPr>
        <w:spacing w:line="360" w:lineRule="auto"/>
        <w:jc w:val="both"/>
        <w:rPr/>
      </w:pPr>
      <w:r w:rsidRPr="7D068618" w:rsidR="07115105">
        <w:rPr>
          <w:rFonts w:ascii="Arial Nova" w:hAnsi="Arial Nova" w:eastAsia="Arial Nova" w:cs="Arial Nova"/>
          <w:sz w:val="24"/>
          <w:szCs w:val="24"/>
        </w:rPr>
        <w:t>Renberg, G.H. (2017) Where Dreams May Come: Incubation Sanctuaries in the Greco-Roman World, vol. 1. Leiden: Brill.</w:t>
      </w:r>
    </w:p>
    <w:p w:rsidR="07115105" w:rsidP="7D068618" w:rsidRDefault="07115105" w14:paraId="63D4E89A" w14:textId="5A2D57F5">
      <w:pPr>
        <w:pStyle w:val="NoSpacing"/>
        <w:numPr>
          <w:ilvl w:val="0"/>
          <w:numId w:val="4"/>
        </w:numPr>
        <w:spacing w:line="360" w:lineRule="auto"/>
        <w:jc w:val="both"/>
        <w:rPr/>
      </w:pPr>
      <w:r w:rsidRPr="7D068618" w:rsidR="07115105">
        <w:rPr>
          <w:rFonts w:ascii="Arial Nova" w:hAnsi="Arial Nova" w:eastAsia="Arial Nova" w:cs="Arial Nova"/>
          <w:sz w:val="24"/>
          <w:szCs w:val="24"/>
        </w:rPr>
        <w:t>Rochberg</w:t>
      </w:r>
      <w:r w:rsidRPr="7D068618" w:rsidR="07115105">
        <w:rPr>
          <w:rFonts w:ascii="Arial Nova" w:hAnsi="Arial Nova" w:eastAsia="Arial Nova" w:cs="Arial Nova"/>
          <w:sz w:val="24"/>
          <w:szCs w:val="24"/>
        </w:rPr>
        <w:t>, F. (2010) In the Path of the Moon: Babylonian Celestial Divination and Its Legacy. Leiden: Brill.</w:t>
      </w:r>
    </w:p>
    <w:p w:rsidR="07115105" w:rsidP="7D068618" w:rsidRDefault="07115105" w14:paraId="5EF13CFA" w14:textId="07B67616">
      <w:pPr>
        <w:pStyle w:val="NoSpacing"/>
        <w:numPr>
          <w:ilvl w:val="0"/>
          <w:numId w:val="4"/>
        </w:numPr>
        <w:spacing w:line="360" w:lineRule="auto"/>
        <w:jc w:val="both"/>
        <w:rPr/>
      </w:pPr>
      <w:r w:rsidRPr="7D068618" w:rsidR="07115105">
        <w:rPr>
          <w:rFonts w:ascii="Arial Nova" w:hAnsi="Arial Nova" w:eastAsia="Arial Nova" w:cs="Arial Nova"/>
          <w:sz w:val="24"/>
          <w:szCs w:val="24"/>
        </w:rPr>
        <w:t>Santo, D.E. (2019) ‘</w:t>
      </w:r>
      <w:r w:rsidRPr="7D068618" w:rsidR="07115105">
        <w:rPr>
          <w:rFonts w:ascii="Arial Nova" w:hAnsi="Arial Nova" w:eastAsia="Arial Nova" w:cs="Arial Nova"/>
          <w:sz w:val="24"/>
          <w:szCs w:val="24"/>
        </w:rPr>
        <w:t>Divination’,</w:t>
      </w:r>
      <w:r w:rsidRPr="7D068618" w:rsidR="07115105">
        <w:rPr>
          <w:rFonts w:ascii="Arial Nova" w:hAnsi="Arial Nova" w:eastAsia="Arial Nova" w:cs="Arial Nova"/>
          <w:sz w:val="24"/>
          <w:szCs w:val="24"/>
        </w:rPr>
        <w:t xml:space="preserve"> Open Encyclopedia of Anthropology. Available at: </w:t>
      </w:r>
      <w:r w:rsidRPr="7D068618" w:rsidR="07115105">
        <w:rPr>
          <w:rFonts w:ascii="Arial Nova" w:hAnsi="Arial Nova" w:eastAsia="Arial Nova" w:cs="Arial Nova"/>
          <w:sz w:val="24"/>
          <w:szCs w:val="24"/>
        </w:rPr>
        <w:t>https://www.anthroencyclopedia.com/entry/divination</w:t>
      </w:r>
      <w:r w:rsidRPr="7D068618" w:rsidR="07115105">
        <w:rPr>
          <w:rFonts w:ascii="Arial Nova" w:hAnsi="Arial Nova" w:eastAsia="Arial Nova" w:cs="Arial Nova"/>
          <w:sz w:val="24"/>
          <w:szCs w:val="24"/>
        </w:rPr>
        <w:t xml:space="preserve"> - (Accessed: 20 July 2025).</w:t>
      </w:r>
    </w:p>
    <w:p w:rsidR="07115105" w:rsidP="7D068618" w:rsidRDefault="07115105" w14:paraId="4C9EDC01" w14:textId="298E0046">
      <w:pPr>
        <w:pStyle w:val="NoSpacing"/>
        <w:numPr>
          <w:ilvl w:val="0"/>
          <w:numId w:val="4"/>
        </w:numPr>
        <w:spacing w:line="360" w:lineRule="auto"/>
        <w:jc w:val="both"/>
        <w:rPr/>
      </w:pPr>
      <w:r w:rsidRPr="7D068618" w:rsidR="07115105">
        <w:rPr>
          <w:rFonts w:ascii="Arial Nova" w:hAnsi="Arial Nova" w:eastAsia="Arial Nova" w:cs="Arial Nova"/>
          <w:sz w:val="24"/>
          <w:szCs w:val="24"/>
        </w:rPr>
        <w:t>Smith, J.Z. (1995) ‘Trading Places: Exchanges and Sacred Space in PGM IV’</w:t>
      </w:r>
      <w:r w:rsidRPr="7D068618" w:rsidR="07115105">
        <w:rPr>
          <w:rFonts w:ascii="Arial Nova" w:hAnsi="Arial Nova" w:eastAsia="Arial Nova" w:cs="Arial Nova"/>
          <w:sz w:val="24"/>
          <w:szCs w:val="24"/>
        </w:rPr>
        <w:t>, in</w:t>
      </w:r>
      <w:r w:rsidRPr="7D068618" w:rsidR="07115105">
        <w:rPr>
          <w:rFonts w:ascii="Arial Nova" w:hAnsi="Arial Nova" w:eastAsia="Arial Nova" w:cs="Arial Nova"/>
          <w:sz w:val="24"/>
          <w:szCs w:val="24"/>
        </w:rPr>
        <w:t xml:space="preserve"> Smith, J.Z. Relating Religion. Chicago: University of Chicago Press.</w:t>
      </w:r>
    </w:p>
    <w:p w:rsidR="07115105" w:rsidP="7D068618" w:rsidRDefault="07115105" w14:paraId="192AE629" w14:textId="6914F57A">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Sørensen, J. (2007) A Cognitive Theory of Magic. Walnut Creek: </w:t>
      </w:r>
      <w:r w:rsidRPr="7D068618" w:rsidR="07115105">
        <w:rPr>
          <w:rFonts w:ascii="Arial Nova" w:hAnsi="Arial Nova" w:eastAsia="Arial Nova" w:cs="Arial Nova"/>
          <w:sz w:val="24"/>
          <w:szCs w:val="24"/>
        </w:rPr>
        <w:t>AltaMira</w:t>
      </w:r>
      <w:r w:rsidRPr="7D068618" w:rsidR="07115105">
        <w:rPr>
          <w:rFonts w:ascii="Arial Nova" w:hAnsi="Arial Nova" w:eastAsia="Arial Nova" w:cs="Arial Nova"/>
          <w:sz w:val="24"/>
          <w:szCs w:val="24"/>
        </w:rPr>
        <w:t xml:space="preserve"> Press.</w:t>
      </w:r>
    </w:p>
    <w:p w:rsidR="07115105" w:rsidP="7D068618" w:rsidRDefault="07115105" w14:paraId="5D2F44E0" w14:textId="38D26AA1">
      <w:pPr>
        <w:pStyle w:val="NoSpacing"/>
        <w:numPr>
          <w:ilvl w:val="0"/>
          <w:numId w:val="4"/>
        </w:numPr>
        <w:spacing w:line="360" w:lineRule="auto"/>
        <w:jc w:val="both"/>
        <w:rPr/>
      </w:pPr>
      <w:r w:rsidRPr="7D068618" w:rsidR="07115105">
        <w:rPr>
          <w:rFonts w:ascii="Arial Nova" w:hAnsi="Arial Nova" w:eastAsia="Arial Nova" w:cs="Arial Nova"/>
          <w:sz w:val="24"/>
          <w:szCs w:val="24"/>
        </w:rPr>
        <w:t>Stratton, K.B. (2007) Naming the Witch: Magic, Ideology, and Stereotype in the Ancient World. New York: Columbia University Press.</w:t>
      </w:r>
    </w:p>
    <w:p w:rsidR="07115105" w:rsidP="7D068618" w:rsidRDefault="07115105" w14:paraId="066B44D9" w14:textId="466350AD">
      <w:pPr>
        <w:pStyle w:val="NoSpacing"/>
        <w:numPr>
          <w:ilvl w:val="0"/>
          <w:numId w:val="4"/>
        </w:numPr>
        <w:spacing w:line="360" w:lineRule="auto"/>
        <w:jc w:val="both"/>
        <w:rPr/>
      </w:pPr>
      <w:r w:rsidRPr="7D068618" w:rsidR="07115105">
        <w:rPr>
          <w:rFonts w:ascii="Arial Nova" w:hAnsi="Arial Nova" w:eastAsia="Arial Nova" w:cs="Arial Nova"/>
          <w:sz w:val="24"/>
          <w:szCs w:val="24"/>
        </w:rPr>
        <w:t xml:space="preserve">Valens, V. (n.d.) Anthology. Translated by Mark Riley. Available at: </w:t>
      </w:r>
      <w:r w:rsidRPr="7D068618" w:rsidR="07115105">
        <w:rPr>
          <w:rFonts w:ascii="Arial Nova" w:hAnsi="Arial Nova" w:eastAsia="Arial Nova" w:cs="Arial Nova"/>
          <w:sz w:val="24"/>
          <w:szCs w:val="24"/>
        </w:rPr>
        <w:t>https://www.csus.edu/indiv/r/rileymt/VettiusValens.pdf</w:t>
      </w:r>
      <w:r w:rsidRPr="7D068618" w:rsidR="07115105">
        <w:rPr>
          <w:rFonts w:ascii="Arial Nova" w:hAnsi="Arial Nova" w:eastAsia="Arial Nova" w:cs="Arial Nova"/>
          <w:sz w:val="24"/>
          <w:szCs w:val="24"/>
        </w:rPr>
        <w:t xml:space="preserve"> (Accessed: 20 July 2025).</w:t>
      </w:r>
    </w:p>
    <w:p w:rsidR="07115105" w:rsidP="7D068618" w:rsidRDefault="07115105" w14:paraId="7C74A354" w14:textId="2272CCF3">
      <w:pPr>
        <w:pStyle w:val="NoSpacing"/>
        <w:numPr>
          <w:ilvl w:val="0"/>
          <w:numId w:val="4"/>
        </w:numPr>
        <w:spacing w:line="360" w:lineRule="auto"/>
        <w:jc w:val="both"/>
        <w:rPr/>
      </w:pPr>
      <w:r w:rsidRPr="7D068618" w:rsidR="07115105">
        <w:rPr>
          <w:rFonts w:ascii="Arial Nova" w:hAnsi="Arial Nova" w:eastAsia="Arial Nova" w:cs="Arial Nova"/>
          <w:sz w:val="24"/>
          <w:szCs w:val="24"/>
        </w:rPr>
        <w:t>Versnel</w:t>
      </w:r>
      <w:r w:rsidRPr="7D068618" w:rsidR="07115105">
        <w:rPr>
          <w:rFonts w:ascii="Arial Nova" w:hAnsi="Arial Nova" w:eastAsia="Arial Nova" w:cs="Arial Nova"/>
          <w:sz w:val="24"/>
          <w:szCs w:val="24"/>
        </w:rPr>
        <w:t>, H. (1991) ‘Some Reflections on the Relationship Magic–Religion’, Numen, 38(2), pp. 177–197.</w:t>
      </w:r>
    </w:p>
    <w:p w:rsidR="07115105" w:rsidP="7D068618" w:rsidRDefault="07115105" w14:paraId="5816DBC7" w14:textId="160ACBCA">
      <w:pPr>
        <w:pStyle w:val="NoSpacing"/>
        <w:numPr>
          <w:ilvl w:val="0"/>
          <w:numId w:val="4"/>
        </w:numPr>
        <w:spacing w:line="360" w:lineRule="auto"/>
        <w:jc w:val="both"/>
        <w:rPr/>
      </w:pPr>
      <w:r w:rsidRPr="7D068618" w:rsidR="07115105">
        <w:rPr>
          <w:rFonts w:ascii="Arial Nova" w:hAnsi="Arial Nova" w:eastAsia="Arial Nova" w:cs="Arial Nova"/>
          <w:sz w:val="24"/>
          <w:szCs w:val="24"/>
        </w:rPr>
        <w:t>Walbank, F.W. (2017) The Hellenistic World. Available at: https://www.everand.com/book/362365028/The-Hellenistic-World (Accessed: 20 March 2024).</w:t>
      </w:r>
    </w:p>
    <w:p w:rsidR="678C35A9" w:rsidP="678C35A9" w:rsidRDefault="678C35A9" w14:paraId="31ED4CFB" w14:textId="67B688A2">
      <w:pPr>
        <w:pStyle w:val="NoSpacing"/>
        <w:spacing w:line="276" w:lineRule="auto"/>
        <w:ind w:left="720"/>
        <w:jc w:val="both"/>
        <w:rPr>
          <w:rFonts w:ascii="Arial Nova" w:hAnsi="Arial Nova" w:eastAsia="Arial Nova" w:cs="Arial Nova"/>
          <w:sz w:val="28"/>
          <w:szCs w:val="28"/>
        </w:rPr>
      </w:pPr>
    </w:p>
    <w:p w:rsidR="678C35A9" w:rsidP="678C35A9" w:rsidRDefault="678C35A9" w14:paraId="64BC1CE7" w14:textId="24E9AE44">
      <w:pPr>
        <w:pStyle w:val="NoSpacing"/>
        <w:spacing w:line="276" w:lineRule="auto"/>
        <w:jc w:val="both"/>
        <w:rPr>
          <w:rFonts w:ascii="Arial Nova" w:hAnsi="Arial Nova" w:eastAsia="Arial Nova" w:cs="Arial Nova"/>
          <w:sz w:val="28"/>
          <w:szCs w:val="28"/>
        </w:rPr>
      </w:pPr>
    </w:p>
    <w:sectPr>
      <w:pgSz w:w="12240" w:h="15840" w:orient="portrait"/>
      <w:pgMar w:top="1440" w:right="1440" w:bottom="1440" w:left="1440" w:header="720" w:footer="720" w:gutter="0"/>
      <w:cols w:space="720"/>
      <w:docGrid w:linePitch="360"/>
      <w:headerReference w:type="default" r:id="R8a7b105bcc264e3c"/>
      <w:footerReference w:type="default" r:id="R80e0022f6b1541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8C35A9" w:rsidTr="678C35A9" w14:paraId="3E222436">
      <w:trPr>
        <w:trHeight w:val="300"/>
      </w:trPr>
      <w:tc>
        <w:tcPr>
          <w:tcW w:w="3120" w:type="dxa"/>
          <w:tcMar/>
        </w:tcPr>
        <w:p w:rsidR="678C35A9" w:rsidP="678C35A9" w:rsidRDefault="678C35A9" w14:paraId="53864C44" w14:textId="744E5D33">
          <w:pPr>
            <w:pStyle w:val="Header"/>
            <w:bidi w:val="0"/>
            <w:ind w:left="-115"/>
            <w:jc w:val="left"/>
          </w:pPr>
        </w:p>
      </w:tc>
      <w:tc>
        <w:tcPr>
          <w:tcW w:w="3120" w:type="dxa"/>
          <w:tcMar/>
        </w:tcPr>
        <w:p w:rsidR="678C35A9" w:rsidP="678C35A9" w:rsidRDefault="678C35A9" w14:paraId="26BB8DCD" w14:textId="48A03BB5">
          <w:pPr>
            <w:pStyle w:val="Header"/>
            <w:bidi w:val="0"/>
            <w:jc w:val="center"/>
          </w:pPr>
        </w:p>
      </w:tc>
      <w:tc>
        <w:tcPr>
          <w:tcW w:w="3120" w:type="dxa"/>
          <w:tcMar/>
        </w:tcPr>
        <w:p w:rsidR="678C35A9" w:rsidP="678C35A9" w:rsidRDefault="678C35A9" w14:paraId="6D8AF4F3" w14:textId="74545015">
          <w:pPr>
            <w:pStyle w:val="Header"/>
            <w:bidi w:val="0"/>
            <w:ind w:right="-115"/>
            <w:jc w:val="right"/>
          </w:pPr>
          <w:r>
            <w:fldChar w:fldCharType="begin"/>
          </w:r>
          <w:r>
            <w:instrText xml:space="preserve">PAGE</w:instrText>
          </w:r>
          <w:r>
            <w:fldChar w:fldCharType="separate"/>
          </w:r>
          <w:r>
            <w:fldChar w:fldCharType="end"/>
          </w:r>
        </w:p>
      </w:tc>
    </w:tr>
  </w:tbl>
  <w:p w:rsidR="678C35A9" w:rsidP="678C35A9" w:rsidRDefault="678C35A9" w14:paraId="11723E93" w14:textId="3E931C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8C35A9" w:rsidTr="678C35A9" w14:paraId="2D10A99D">
      <w:trPr>
        <w:trHeight w:val="300"/>
      </w:trPr>
      <w:tc>
        <w:tcPr>
          <w:tcW w:w="3120" w:type="dxa"/>
          <w:tcMar/>
        </w:tcPr>
        <w:p w:rsidR="678C35A9" w:rsidP="678C35A9" w:rsidRDefault="678C35A9" w14:paraId="7248E0F4" w14:textId="0F4E11A1">
          <w:pPr>
            <w:pStyle w:val="Header"/>
            <w:bidi w:val="0"/>
            <w:ind w:left="-115"/>
            <w:jc w:val="left"/>
          </w:pPr>
        </w:p>
      </w:tc>
      <w:tc>
        <w:tcPr>
          <w:tcW w:w="3120" w:type="dxa"/>
          <w:tcMar/>
        </w:tcPr>
        <w:p w:rsidR="678C35A9" w:rsidP="678C35A9" w:rsidRDefault="678C35A9" w14:paraId="79972A79" w14:textId="210B9EC2">
          <w:pPr>
            <w:pStyle w:val="Header"/>
            <w:bidi w:val="0"/>
            <w:jc w:val="center"/>
          </w:pPr>
        </w:p>
      </w:tc>
      <w:tc>
        <w:tcPr>
          <w:tcW w:w="3120" w:type="dxa"/>
          <w:tcMar/>
        </w:tcPr>
        <w:p w:rsidR="678C35A9" w:rsidP="678C35A9" w:rsidRDefault="678C35A9" w14:paraId="2EC0668F" w14:textId="6BB5CF1B">
          <w:pPr>
            <w:pStyle w:val="Header"/>
            <w:bidi w:val="0"/>
            <w:ind w:right="-115"/>
            <w:jc w:val="right"/>
          </w:pPr>
        </w:p>
      </w:tc>
    </w:tr>
  </w:tbl>
  <w:p w:rsidR="678C35A9" w:rsidP="678C35A9" w:rsidRDefault="678C35A9" w14:paraId="67ADA934" w14:textId="6B0C613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S5QjTmTzzROH4D" int2:id="e8dzMEbG">
      <int2:state int2:type="spell" int2:value="Rejected"/>
    </int2:textHash>
    <int2:textHash int2:hashCode="08fWryM3dYnV6B" int2:id="dTXg9GgX">
      <int2:state int2:type="spell" int2:value="Rejected"/>
    </int2:textHash>
    <int2:textHash int2:hashCode="UVMeP9YSSEewnk" int2:id="H8bxUklf">
      <int2:state int2:type="spell" int2:value="Rejected"/>
    </int2:textHash>
    <int2:textHash int2:hashCode="OiO8iEE74wECXE" int2:id="S6Z8U4xz">
      <int2:state int2:type="spell" int2:value="Rejected"/>
    </int2:textHash>
    <int2:textHash int2:hashCode="5OEcwO5fcJlQpt" int2:id="xb5DvFvK">
      <int2:state int2:type="spell" int2:value="Rejected"/>
    </int2:textHash>
    <int2:textHash int2:hashCode="m34/rzDO3Xclwn" int2:id="PdNEHBsf">
      <int2:state int2:type="spell" int2:value="Rejected"/>
    </int2:textHash>
    <int2:textHash int2:hashCode="5ghaMCfWrgI85m" int2:id="kozpznZn">
      <int2:state int2:type="spell" int2:value="Rejected"/>
    </int2:textHash>
    <int2:textHash int2:hashCode="0jWhC8LamurGmb" int2:id="ciKxjeMg">
      <int2:state int2:type="spell" int2:value="Rejected"/>
    </int2:textHash>
    <int2:textHash int2:hashCode="OYKRE2VqAv7zjX" int2:id="SZF5qJRn">
      <int2:state int2:type="spell" int2:value="Rejected"/>
    </int2:textHash>
    <int2:textHash int2:hashCode="M7gwUzUMHCmjMF" int2:id="guuNC0YG">
      <int2:state int2:type="spell" int2:value="Rejected"/>
    </int2:textHash>
    <int2:textHash int2:hashCode="06dnwdNM9hSGXp" int2:id="JK3s4g4t">
      <int2:state int2:type="spell" int2:value="Rejected"/>
    </int2:textHash>
    <int2:textHash int2:hashCode="ij+gKx3LDac4NO" int2:id="BfwGNpMA">
      <int2:state int2:type="spell" int2:value="Rejected"/>
    </int2:textHash>
    <int2:textHash int2:hashCode="s+JId5ieAsURgE" int2:id="RqFKeJ8x">
      <int2:state int2:type="spell" int2:value="Rejected"/>
    </int2:textHash>
    <int2:textHash int2:hashCode="nLpVtkSczLJEnS" int2:id="Qg3vr90K">
      <int2:state int2:type="spell" int2:value="Rejected"/>
    </int2:textHash>
    <int2:textHash int2:hashCode="mrMNiJZMfF7kPX" int2:id="tLzKXc5f">
      <int2:state int2:type="spell" int2:value="Rejected"/>
    </int2:textHash>
    <int2:textHash int2:hashCode="uxRLWLgMJ2hjDH" int2:id="FF7Qq3RP">
      <int2:state int2:type="spell" int2:value="Rejected"/>
    </int2:textHash>
    <int2:textHash int2:hashCode="oxtsEwvPJuDjNF" int2:id="QE67VRl6">
      <int2:state int2:type="spell" int2:value="Rejected"/>
    </int2:textHash>
    <int2:textHash int2:hashCode="Vxpa96RZo4I9zU" int2:id="wzjxXWHF">
      <int2:state int2:type="spell" int2:value="Rejected"/>
    </int2:textHash>
    <int2:textHash int2:hashCode="ntTAw/kfZa/zWt" int2:id="Au56bTeF">
      <int2:state int2:type="spell" int2:value="Rejected"/>
    </int2:textHash>
    <int2:textHash int2:hashCode="N3kLkN+l0tLL4W" int2:id="pHP8FXpG">
      <int2:state int2:type="spell" int2:value="Rejected"/>
    </int2:textHash>
    <int2:textHash int2:hashCode="xBCKaDXeq6DN6P" int2:id="eezDmLb0">
      <int2:state int2:type="spell" int2:value="Rejected"/>
    </int2:textHash>
    <int2:bookmark int2:bookmarkName="_Int_kuDkdERf" int2:invalidationBookmarkName="" int2:hashCode="rpVNxJk8taBH5Q" int2:id="YjaiHHNO">
      <int2:state int2:type="similarity" int2:value="Rejected"/>
      <int2:extLst>
        <oel:ext uri="426473B9-03D8-482F-96C9-C2C85392BACA">
          <int2:similarityCritique int2:version="1" int2:context="In the Path of the Moon: Babylonian Celestial Divination and Its Legacy.">
            <int2:source int2:sourceType="Online" int2:sourceTitle="In the Path of the Moon: Babylonian Celestial Divination and Its Legacy ..." int2:sourceUrl="https://www.thefreelibrary.com/In+the+Path+of+the+Moon%3a+Babylonian+Celestial+Divination+and+Its...-a0344518647" int2:sourceSnippet="In the Path of the Moon: Babylonian Celestial Divination and Its Legacy. By FRANCESCA ROCHBERG. Studies in Ancient Magic and Divination, vol. 6. Leiden: BRILL, 2010. Pp. xxii + 445, frontispiece. $216. In the late eighties Francesca Rochberg published her first monograph, Aspects of Babylonian Celestial Divination: The Lunar Eclipse Tablets of Enuma Anu Enlil (Horn: Ferdinand Berger und Sohne ...">
              <int2:suggestions int2:citationType="Inline">
                <int2:suggestion int2:citationStyle="Mla" int2:isIdentical="1">
                  <int2:citationText>(“In the Path of the Moon: Babylonian Celestial Divination and Its Legacy ...”)</int2:citationText>
                </int2:suggestion>
                <int2:suggestion int2:citationStyle="Apa" int2:isIdentical="1">
                  <int2:citationText>(“In the Path of the Moon: Babylonian Celestial Divination and Its Legacy ...”)</int2:citationText>
                </int2:suggestion>
                <int2:suggestion int2:citationStyle="Chicago" int2:isIdentical="1">
                  <int2:citationText>(“In the Path of the Moon: Babylonian Celestial Divination and Its Legacy ...”)</int2:citationText>
                </int2:suggestion>
              </int2:suggestions>
              <int2:suggestions int2:citationType="Full">
                <int2:suggestion int2:citationStyle="Mla" int2:isIdentical="1">
                  <int2:citationText>&lt;i&gt;In the Path of the Moon: Babylonian Celestial Divination and Its Legacy ...&lt;/i&gt;, https://www.thefreelibrary.com/In+the+Path+of+the+Moon%3a+Babylonian+Celestial+Divination+and+Its...-a0344518647.</int2:citationText>
                </int2:suggestion>
                <int2:suggestion int2:citationStyle="Apa" int2:isIdentical="1">
                  <int2:citationText>&lt;i&gt;In the Path of the Moon: Babylonian Celestial Divination and Its Legacy ...&lt;/i&gt;. (n.d.). Retrieved from https://www.thefreelibrary.com/In+the+Path+of+the+Moon%3a+Babylonian+Celestial+Divination+and+Its...-a0344518647</int2:citationText>
                </int2:suggestion>
                <int2:suggestion int2:citationStyle="Chicago" int2:isIdentical="1">
                  <int2:citationText>“In the Path of the Moon: Babylonian Celestial Divination and Its Legacy ...” n.d., https://www.thefreelibrary.com/In+the+Path+of+the+Moon%3a+Babylonian+Celestial+Divination+and+Its...-a0344518647.</int2:citationText>
                </int2:suggestion>
              </int2:suggestions>
            </int2:source>
            <int2:source int2:sourceType="Online" int2:sourceTitle="Francesca Rochberg. In the Path of the Moon: Babylonian Celestial ..." int2:sourceUrl="https://www.journals.uchicago.edu/doi/full/10.1086/664848" int2:sourceSnippet="In the Path of the Moon: Babylonian Celestial Divination and Its Legacy. (Studies in Ancient Magic and Divination, 6.) xxii + 445 pp., illus., tables, bibl., index.">
              <int2:suggestions int2:citationType="Inline">
                <int2:suggestion int2:citationStyle="Mla" int2:isIdentical="1">
                  <int2:citationText>(“Francesca Rochberg. In the Path of the Moon: Babylonian Celestial ...”)</int2:citationText>
                </int2:suggestion>
                <int2:suggestion int2:citationStyle="Apa" int2:isIdentical="1">
                  <int2:citationText>(“Francesca Rochberg. In the Path of the Moon: Babylonian Celestial ...”)</int2:citationText>
                </int2:suggestion>
                <int2:suggestion int2:citationStyle="Chicago" int2:isIdentical="1">
                  <int2:citationText>(“Francesca Rochberg. In the Path of the Moon: Babylonian Celestial ...”)</int2:citationText>
                </int2:suggestion>
              </int2:suggestions>
              <int2:suggestions int2:citationType="Full">
                <int2:suggestion int2:citationStyle="Mla" int2:isIdentical="1">
                  <int2:citationText>&lt;i&gt;Francesca Rochberg. In the Path of the Moon: Babylonian Celestial ...&lt;/i&gt;, https://www.journals.uchicago.edu/doi/full/10.1086/664848.</int2:citationText>
                </int2:suggestion>
                <int2:suggestion int2:citationStyle="Apa" int2:isIdentical="1">
                  <int2:citationText>&lt;i&gt;Francesca Rochberg. In the Path of the Moon: Babylonian Celestial ...&lt;/i&gt;. (n.d.). Retrieved from https://www.journals.uchicago.edu/doi/full/10.1086/664848</int2:citationText>
                </int2:suggestion>
                <int2:suggestion int2:citationStyle="Chicago" int2:isIdentical="1">
                  <int2:citationText>“Francesca Rochberg. In the Path of the Moon: Babylonian Celestial ...” n.d., https://www.journals.uchicago.edu/doi/full/10.1086/664848.</int2:citationText>
                </int2:suggestion>
              </int2:suggestions>
            </int2:source>
            <int2:source int2:sourceType="Online" int2:sourceTitle="In the Path of the Moon: Babylonian Celestial Divination and Its Legacy ..." int2:sourceUrl="https://www.amazon.com/Path-Moon-Babylonian-Celestial-Divination/dp/9004183892" int2:sourceSnippet="Amazon.com: In the Path of the Moon: Babylonian Celestial Divination and Its Legacy (Studies in Ancient Magic and Divination, 6): 9789004183896: Rochberg, Francesca: BooksCelestial divination, in the form of omens from lunar, planetary, astral, and meteorological phenomena, was central to Mesopotamian cuneiform scholarship and science from the late second millennium BCE into the Hellenistic ...">
              <int2:suggestions int2:citationType="Inline">
                <int2:suggestion int2:citationStyle="Mla" int2:isIdentical="0">
                  <int2:citationText>(“In the Path of the Moon: Babylonian Celestial Divination and Its Legacy ...”)</int2:citationText>
                </int2:suggestion>
                <int2:suggestion int2:citationStyle="Apa" int2:isIdentical="0">
                  <int2:citationText>(“In the Path of the Moon: Babylonian Celestial Divination and Its Legacy ...”)</int2:citationText>
                </int2:suggestion>
                <int2:suggestion int2:citationStyle="Chicago" int2:isIdentical="0">
                  <int2:citationText>(“In the Path of the Moon: Babylonian Celestial Divination and Its Legacy ...”)</int2:citationText>
                </int2:suggestion>
              </int2:suggestions>
              <int2:suggestions int2:citationType="Full">
                <int2:suggestion int2:citationStyle="Mla" int2:isIdentical="0">
                  <int2:citationText>&lt;i&gt;In the Path of the Moon: Babylonian Celestial Divination and Its Legacy ...&lt;/i&gt;, https://www.amazon.com/Path-Moon-Babylonian-Celestial-Divination/dp/9004183892.</int2:citationText>
                </int2:suggestion>
                <int2:suggestion int2:citationStyle="Apa" int2:isIdentical="0">
                  <int2:citationText>&lt;i&gt;In the Path of the Moon: Babylonian Celestial Divination and Its Legacy ...&lt;/i&gt;. (n.d.). Retrieved from https://www.amazon.com/Path-Moon-Babylonian-Celestial-Divination/dp/9004183892</int2:citationText>
                </int2:suggestion>
                <int2:suggestion int2:citationStyle="Chicago" int2:isIdentical="0">
                  <int2:citationText>“In the Path of the Moon: Babylonian Celestial Divination and Its Legacy ...” n.d., https://www.amazon.com/Path-Moon-Babylonian-Celestial-Divination/dp/9004183892.</int2:citationText>
                </int2:suggestion>
              </int2:suggestions>
            </int2:source>
          </int2:similarityCritique>
        </oel:ext>
      </int2:extLst>
    </int2:bookmark>
    <int2:bookmark int2:bookmarkName="_Int_4QUf2jqA" int2:invalidationBookmarkName="" int2:hashCode="y8gsBT4T82S6tt" int2:id="tpZgQ6n7">
      <int2:state int2:type="similarity" int2:value="Rejected"/>
      <int2:extLst>
        <oel:ext uri="426473B9-03D8-482F-96C9-C2C85392BACA">
          <int2:similarityCritique int2:version="1" int2:context="Renberg, G.H. Where Dreams May Come: Incubation Sanctuaries in the Greco-Roman World.">
            <int2:source int2:sourceType="Online" int2:sourceTitle="THE PHENOMENON OF INCUBATION IN ANTIQUITY - (G.H.) Renberg Where Dreams ..." int2:sourceUrl="https://www.cambridge.org/core/journals/classical-review/article/abs/phenomenon-of-incubation-in-antiquity-gh-renberg-where-dreams-may-come-incubation-sanctuaries-in-the-grecoroman-world-in-two-volumes-religions-in-the-graecoroman-world-184-pp-lxx-xiv-1046-bw-colour-ills-bw-colour-maps-leiden-and-boston-brill-2017-cased-243-us292-isbn-9789004346215-vol-1-9789004346222-vol-2-9789004299764-set/4F3244B6BBBCCB2B6064B038C5167938" int2:sourceSnippet="THE PHENOMENON OF INCUBATION IN ANTIQUITY - (G.H.) Renberg Where Dreams May Come. Incubation Sanctuaries in the Greco-Roman World. In two volumes. (Religions in the Graeco-Roman World 184.) Pp. lxx + xiv + 1046, b/w &amp; colour ills, b/w &amp; colour maps. Leiden and Boston: Brill, 2017. Cased, €243, US$292.">
              <int2:suggestions int2:citationType="Inline">
                <int2:suggestion int2:citationStyle="Mla" int2:isIdentical="0">
                  <int2:citationText>(“THE PHENOMENON OF INCUBATION IN ANTIQUITY - (G.H.) Renberg Where Dreams ...”)</int2:citationText>
                </int2:suggestion>
                <int2:suggestion int2:citationStyle="Apa" int2:isIdentical="0">
                  <int2:citationText>(“THE PHENOMENON OF INCUBATION IN ANTIQUITY - (G.H.) Renberg Where Dreams ...”)</int2:citationText>
                </int2:suggestion>
                <int2:suggestion int2:citationStyle="Chicago" int2:isIdentical="0">
                  <int2:citationText>(“THE PHENOMENON OF INCUBATION IN ANTIQUITY - (G.H.) Renberg Where Dreams ...”)</int2:citationText>
                </int2:suggestion>
              </int2:suggestions>
              <int2:suggestions int2:citationType="Full">
                <int2:suggestion int2:citationStyle="Mla" int2:isIdentical="0">
                  <int2:citationText>&lt;i&gt;THE PHENOMENON OF INCUBATION IN ANTIQUITY - (G.H.) Renberg Where Dreams ...&lt;/i&gt;, https://www.cambridge.org/core/journals/classical-review/article/abs/phenomenon-of-incubation-in-antiquity-gh-renberg-where-dreams-may-come-incubation-sanctuaries-in-the-grecoroman-world-in-two-volumes-religions-in-the-graecoroman-world-184-pp-lxx-xiv-1046-bw-colour-ills-bw-colour-maps-leiden-and-boston-brill-2017-cased-243-us292-isbn-9789004346215-vol-1-9789004346222-vol-2-9789004299764-set/4F3244B6BBBCCB2B6064B038C5167938.</int2:citationText>
                </int2:suggestion>
                <int2:suggestion int2:citationStyle="Apa" int2:isIdentical="0">
                  <int2:citationText>&lt;i&gt;THE PHENOMENON OF INCUBATION IN ANTIQUITY - (G.H.) Renberg Where Dreams ...&lt;/i&gt;. (n.d.). Retrieved from https://www.cambridge.org/core/journals/classical-review/article/abs/phenomenon-of-incubation-in-antiquity-gh-renberg-where-dreams-may-come-incubation-sanctuaries-in-the-grecoroman-world-in-two-volumes-religions-in-the-graecoroman-world-184-pp-lxx-xiv-1046-bw-colour-ills-bw-colour-maps-leiden-and-boston-brill-2017-cased-243-us292-isbn-9789004346215-vol-1-9789004346222-vol-2-9789004299764-set/4F3244B6BBBCCB2B6064B038C5167938</int2:citationText>
                </int2:suggestion>
                <int2:suggestion int2:citationStyle="Chicago" int2:isIdentical="0">
                  <int2:citationText>“THE PHENOMENON OF INCUBATION IN ANTIQUITY - (G.H.) Renberg Where Dreams ...” n.d., https://www.cambridge.org/core/journals/classical-review/article/abs/phenomenon-of-incubation-in-antiquity-gh-renberg-where-dreams-may-come-incubation-sanctuaries-in-the-grecoroman-world-in-two-volumes-religions-in-the-graecoroman-world-184-pp-lxx-xiv-1046-bw-colour-ills-bw-colour-maps-leiden-and-boston-brill-2017-cased-243-us292-isbn-9789004346215-vol-1-9789004346222-vol-2-9789004299764-set/4F3244B6BBBCCB2B6064B038C5167938.</int2:citationText>
                </int2:suggestion>
              </int2:suggestions>
            </int2:source>
          </int2:similarityCritique>
        </oel:ext>
      </int2:extLst>
    </int2:bookmark>
    <int2:bookmark int2:bookmarkName="_Int_uL7rQOkE" int2:invalidationBookmarkName="" int2:hashCode="SrGcX5pbKBhpAh" int2:id="5o94sjYo">
      <int2:state int2:type="similarity" int2:value="Rejected"/>
      <int2:extLst>
        <oel:ext uri="426473B9-03D8-482F-96C9-C2C85392BACA">
          <int2:similarityCritique int2:version="1" int2:context="In Witchcraft and Magic in Europe: Ancient Greece and Rome.">
            <int2:source int2:sourceType="Online" int2:sourceTitle="Magic, Greek - repository.brynmawr.edu" int2:sourceUrl="https://repository.brynmawr.edu/cgi/viewcontent.cgi?article=1126&amp;context=classics_pubs" int2:sourceSnippet="In Witchcraft and Magic in Europe: Ancient Greece and Rome. Edited by Bengt Ankarloo and Stuart Clark, 159–275. Philadelphia: University of Pennsylvania Press, 1999. Graf, Fritz. “Prayer in Magic and Religious Ritual.” In Magika Hiera: Ancient Greek Magic and Religion. Edited by Christopher Faraone and Dirk Obbink, 188–213.">
              <int2:suggestions int2:citationType="Inline">
                <int2:suggestion int2:citationStyle="Mla" int2:isIdentical="1">
                  <int2:citationText>(“Magic, Greek - repository.brynmawr.edu”)</int2:citationText>
                </int2:suggestion>
                <int2:suggestion int2:citationStyle="Apa" int2:isIdentical="1">
                  <int2:citationText>(“Magic, Greek - repository.brynmawr.edu”)</int2:citationText>
                </int2:suggestion>
                <int2:suggestion int2:citationStyle="Chicago" int2:isIdentical="1">
                  <int2:citationText>(“Magic, Greek - repository.brynmawr.edu”)</int2:citationText>
                </int2:suggestion>
              </int2:suggestions>
              <int2:suggestions int2:citationType="Full">
                <int2:suggestion int2:citationStyle="Mla" int2:isIdentical="1">
                  <int2:citationText>&lt;i&gt;Magic, Greek - repository.brynmawr.edu&lt;/i&gt;, https://repository.brynmawr.edu/cgi/viewcontent.cgi?article=1126&amp;context=classics_pubs.</int2:citationText>
                </int2:suggestion>
                <int2:suggestion int2:citationStyle="Apa" int2:isIdentical="1">
                  <int2:citationText>&lt;i&gt;Magic, Greek - repository.brynmawr.edu&lt;/i&gt;. (n.d.). Retrieved from https://repository.brynmawr.edu/cgi/viewcontent.cgi?article=1126&amp;context=classics_pubs</int2:citationText>
                </int2:suggestion>
                <int2:suggestion int2:citationStyle="Chicago" int2:isIdentical="1">
                  <int2:citationText>“Magic, Greek - repository.brynmawr.edu” n.d., https://repository.brynmawr.edu/cgi/viewcontent.cgi?article=1126&amp;context=classics_pubs.</int2:citationText>
                </int2:suggestion>
              </int2:suggestions>
            </int2:source>
            <int2:source int2:sourceType="Online" int2:sourceTitle="The Age of Magicians: Periodization in the History of European Magic" int2:sourceUrl="https://dr.lib.iastate.edu/bitstreams/b772191d-c66b-4d52-8be3-0d86299591cd/download" int2:sourceSnippet="Overview in Valerie Flint, ‘‘The Demonisation of Magic and Sorcery in Late Antiquity: Christian Redefinitions of Pagan Religions,’’ in Witchcraft and Magic in Europe: Ancient Greece and Rome, ed. Bengt Ankarloo and Stuart Clark (Philadelphia: University of Pennsylvania Press, 1999), 277–348; also Flint, The Rise of Magic in Early ...">
              <int2:suggestions int2:citationType="Inline">
                <int2:suggestion int2:citationStyle="Mla" int2:isIdentical="0">
                  <int2:citationText>(“The Age of Magicians: Periodization in the History of European Magic”)</int2:citationText>
                </int2:suggestion>
                <int2:suggestion int2:citationStyle="Apa" int2:isIdentical="0">
                  <int2:citationText>(“The Age of Magicians: Periodization in the History of European Magic”)</int2:citationText>
                </int2:suggestion>
                <int2:suggestion int2:citationStyle="Chicago" int2:isIdentical="0">
                  <int2:citationText>(“The Age of Magicians: Periodization in the History of European Magic”)</int2:citationText>
                </int2:suggestion>
              </int2:suggestions>
              <int2:suggestions int2:citationType="Full">
                <int2:suggestion int2:citationStyle="Mla" int2:isIdentical="0">
                  <int2:citationText>&lt;i&gt;The Age of Magicians: Periodization in the History of European Magic&lt;/i&gt;, https://dr.lib.iastate.edu/bitstreams/b772191d-c66b-4d52-8be3-0d86299591cd/download.</int2:citationText>
                </int2:suggestion>
                <int2:suggestion int2:citationStyle="Apa" int2:isIdentical="0">
                  <int2:citationText>&lt;i&gt;The Age of Magicians: Periodization in the History of European Magic&lt;/i&gt;. (n.d.). Retrieved from https://dr.lib.iastate.edu/bitstreams/b772191d-c66b-4d52-8be3-0d86299591cd/download</int2:citationText>
                </int2:suggestion>
                <int2:suggestion int2:citationStyle="Chicago" int2:isIdentical="0">
                  <int2:citationText>“The Age of Magicians: Periodization in the History of European Magic” n.d., https://dr.lib.iastate.edu/bitstreams/b772191d-c66b-4d52-8be3-0d86299591cd/download.</int2:citationText>
                </int2:suggestion>
              </int2:suggestions>
            </int2:source>
            <int2:source int2:sourceType="Online" int2:sourceTitle="Clerical Conceptions of Magic in the Later Middle Ages" int2:sourceUrl="https://www.jstor.org/stable/2903617?ab_segments=0%2Fbasic_search_gsv2%2Fcontrol" int2:sourceSnippet="7 See Georg Luck, &quot;Witches and Sorcerers in Classical Literature,&quot; in Witchcraft and Magic in Europe: Ancient Greece and Rome, ed. Bengt Ankarloo and Stuart Clark (Philadelphia, 1999), pp. 91-158, esp. pp. 110-13 and 137-38 for the particular women mentioned here.">
              <int2:suggestions int2:citationType="Inline">
                <int2:suggestion int2:citationStyle="Mla" int2:isIdentical="0">
                  <int2:citationText>(“Clerical Conceptions of Magic in the Later Middle Ages”)</int2:citationText>
                </int2:suggestion>
                <int2:suggestion int2:citationStyle="Apa" int2:isIdentical="0">
                  <int2:citationText>(“Clerical Conceptions of Magic in the Later Middle Ages”)</int2:citationText>
                </int2:suggestion>
                <int2:suggestion int2:citationStyle="Chicago" int2:isIdentical="0">
                  <int2:citationText>(“Clerical Conceptions of Magic in the Later Middle Ages”)</int2:citationText>
                </int2:suggestion>
              </int2:suggestions>
              <int2:suggestions int2:citationType="Full">
                <int2:suggestion int2:citationStyle="Mla" int2:isIdentical="0">
                  <int2:citationText>&lt;i&gt;Clerical Conceptions of Magic in the Later Middle Ages&lt;/i&gt;, https://www.jstor.org/stable/2903617?ab_segments=0%2Fbasic_search_gsv2%2Fcontrol.</int2:citationText>
                </int2:suggestion>
                <int2:suggestion int2:citationStyle="Apa" int2:isIdentical="0">
                  <int2:citationText>&lt;i&gt;Clerical Conceptions of Magic in the Later Middle Ages&lt;/i&gt;. (n.d.). Retrieved from https://www.jstor.org/stable/2903617?ab_segments=0%2Fbasic_search_gsv2%2Fcontrol</int2:citationText>
                </int2:suggestion>
                <int2:suggestion int2:citationStyle="Chicago" int2:isIdentical="0">
                  <int2:citationText>“Clerical Conceptions of Magic in the Later Middle Ages” n.d., https://www.jstor.org/stable/2903617?ab_segments=0%2Fbasic_search_gsv2%2Fcontrol.</int2:citationText>
                </int2:suggestion>
              </int2:suggestions>
            </int2:source>
          </int2:similarityCritique>
        </oel:ext>
      </int2:extLst>
    </int2:bookmark>
    <int2:bookmark int2:bookmarkName="_Int_BAtWlTM2" int2:invalidationBookmarkName="" int2:hashCode="8dN6X1G4wN5Sob" int2:id="rRt21k7i">
      <int2:state int2:type="similarity" int2:value="Rejected"/>
      <int2:extLst>
        <oel:ext uri="426473B9-03D8-482F-96C9-C2C85392BACA">
          <int2:similarityCritique int2:version="1" int2:context="Betz, H. D. (ed.) (1986) The Greek Magical Papyri in Translation Including the Demotic Texts.">
            <int2:source int2:sourceType="Online" int2:sourceTitle="Mirror in Mythology: An Extensive Review of the Role of Mirrors in ..." int2:sourceUrl="https://www.academia.edu/130470236/Mirror_in_Mythology_An_Extensive_Review_of_the_Role_of_Mirrors_in_Magic_and_Mythology" int2:sourceSnippet="Betz, H. D. (Ed.). (1986). The Greek Magical Papyri in Translation, Including the Demotic Spells. University of Chicago Press. Carroll, L. (1871). Through the Looking-Glass, and What Alice Found There. Macmillan. Davoudpour, A. R., &amp; Amiri Ghadi, N. (2024). The Legend of Zahhak: An Examination of Iranian Mythology and Its Impact on Modern ...">
              <int2:suggestions int2:citationType="Inline">
                <int2:suggestion int2:citationStyle="Mla" int2:isIdentical="0">
                  <int2:citationText>(“Mirror in Mythology: An Extensive Review of the Role of Mirrors in ...”)</int2:citationText>
                </int2:suggestion>
                <int2:suggestion int2:citationStyle="Apa" int2:isIdentical="0">
                  <int2:citationText>(“Mirror in Mythology: An Extensive Review of the Role of Mirrors in ...”)</int2:citationText>
                </int2:suggestion>
                <int2:suggestion int2:citationStyle="Chicago" int2:isIdentical="0">
                  <int2:citationText>(“Mirror in Mythology: An Extensive Review of the Role of Mirrors in ...”)</int2:citationText>
                </int2:suggestion>
              </int2:suggestions>
              <int2:suggestions int2:citationType="Full">
                <int2:suggestion int2:citationStyle="Mla" int2:isIdentical="0">
                  <int2:citationText>&lt;i&gt;Mirror in Mythology: An Extensive Review of the Role of Mirrors in ...&lt;/i&gt;, https://www.academia.edu/130470236/Mirror_in_Mythology_An_Extensive_Review_of_the_Role_of_Mirrors_in_Magic_and_Mythology.</int2:citationText>
                </int2:suggestion>
                <int2:suggestion int2:citationStyle="Apa" int2:isIdentical="0">
                  <int2:citationText>&lt;i&gt;Mirror in Mythology: An Extensive Review of the Role of Mirrors in ...&lt;/i&gt;. (n.d.). Retrieved from https://www.academia.edu/130470236/Mirror_in_Mythology_An_Extensive_Review_of_the_Role_of_Mirrors_in_Magic_and_Mythology</int2:citationText>
                </int2:suggestion>
                <int2:suggestion int2:citationStyle="Chicago" int2:isIdentical="0">
                  <int2:citationText>“Mirror in Mythology: An Extensive Review of the Role of Mirrors in ...” n.d., https://www.academia.edu/130470236/Mirror_in_Mythology_An_Extensive_Review_of_the_Role_of_Mirrors_in_Magic_and_Mythology.</int2:citationText>
                </int2:suggestion>
              </int2:suggestions>
            </int2:source>
            <int2:source int2:sourceType="Online" int2:sourceTitle="The Little Known Language of Biblical Colors: The Example of melas in ..." int2:sourceUrl="https://journals.sagepub.com/doi/pdf/10.1177/01461079231177692" int2:sourceSnippet="Betz, H. D., ed. 1986. The Greek Magical Papyri in Translation Including the Demotic Spells. Chicago, MI – London, UK: The University of Chicago Press.">
              <int2:suggestions int2:citationType="Inline">
                <int2:suggestion int2:citationStyle="Mla" int2:isIdentical="0">
                  <int2:citationText>(“The Little Known Language of Biblical Colors: The Example of melas in ...”)</int2:citationText>
                </int2:suggestion>
                <int2:suggestion int2:citationStyle="Apa" int2:isIdentical="0">
                  <int2:citationText>(“The Little Known Language of Biblical Colors: The Example of melas in ...”)</int2:citationText>
                </int2:suggestion>
                <int2:suggestion int2:citationStyle="Chicago" int2:isIdentical="0">
                  <int2:citationText>(“The Little Known Language of Biblical Colors: The Example of melas in ...”)</int2:citationText>
                </int2:suggestion>
              </int2:suggestions>
              <int2:suggestions int2:citationType="Full">
                <int2:suggestion int2:citationStyle="Mla" int2:isIdentical="0">
                  <int2:citationText>&lt;i&gt;The Little Known Language of Biblical Colors: The Example of melas in ...&lt;/i&gt;, https://journals.sagepub.com/doi/pdf/10.1177/01461079231177692.</int2:citationText>
                </int2:suggestion>
                <int2:suggestion int2:citationStyle="Apa" int2:isIdentical="0">
                  <int2:citationText>&lt;i&gt;The Little Known Language of Biblical Colors: The Example of melas in ...&lt;/i&gt;. (n.d.). Retrieved from https://journals.sagepub.com/doi/pdf/10.1177/01461079231177692</int2:citationText>
                </int2:suggestion>
                <int2:suggestion int2:citationStyle="Chicago" int2:isIdentical="0">
                  <int2:citationText>“The Little Known Language of Biblical Colors: The Example of melas in ...” n.d., https://journals.sagepub.com/doi/pdf/10.1177/01461079231177692.</int2:citationText>
                </int2:suggestion>
              </int2:suggestions>
            </int2:source>
          </int2:similarityCritique>
        </oel:ext>
      </int2:extLst>
    </int2:bookmark>
    <int2:bookmark int2:bookmarkName="_Int_KyUG4ns1" int2:invalidationBookmarkName="" int2:hashCode="uJzsfDmWfPQt8g" int2:id="STWpkyJ6">
      <int2:state int2:type="similarity" int2:value="Rejected"/>
      <int2:extLst>
        <oel:ext uri="426473B9-03D8-482F-96C9-C2C85392BACA">
          <int2:similarityCritique int2:version="1" int2:context="NB. All marks are provisional until confirmed by the Final Examination Board.">
            <int2:source int2:sourceType="Online" int2:sourceTitle="Postgraduate Dissertation coversheet &amp; feedback form:" int2:sourceUrl="https://repository.uwtsd.ac.uk/id/eprint/346/1/Owen%20Watkin.pdf" int2:sourceSnippet="Comments (for completion by the internal markers which indicate how the agreed internal mark has been arrived at): NB. All marks are provisional until confirmed by the final examination board.">
              <int2:suggestions int2:citationType="Inline">
                <int2:suggestion int2:citationStyle="Mla" int2:isIdentical="1">
                  <int2:citationText>(“Postgraduate Dissertation coversheet &amp; feedback form:”)</int2:citationText>
                </int2:suggestion>
                <int2:suggestion int2:citationStyle="Apa" int2:isIdentical="1">
                  <int2:citationText>(“Postgraduate Dissertation coversheet &amp; feedback form:”)</int2:citationText>
                </int2:suggestion>
                <int2:suggestion int2:citationStyle="Chicago" int2:isIdentical="1">
                  <int2:citationText>(“Postgraduate Dissertation coversheet &amp; feedback form:”)</int2:citationText>
                </int2:suggestion>
              </int2:suggestions>
              <int2:suggestions int2:citationType="Full">
                <int2:suggestion int2:citationStyle="Mla" int2:isIdentical="1">
                  <int2:citationText>&lt;i&gt;Postgraduate Dissertation coversheet &amp; feedback form:&lt;/i&gt;, https://repository.uwtsd.ac.uk/id/eprint/346/1/Owen%20Watkin.pdf.</int2:citationText>
                </int2:suggestion>
                <int2:suggestion int2:citationStyle="Apa" int2:isIdentical="1">
                  <int2:citationText>&lt;i&gt;Postgraduate Dissertation coversheet &amp; feedback form:&lt;/i&gt;. (n.d.). Retrieved from https://repository.uwtsd.ac.uk/id/eprint/346/1/Owen%20Watkin.pdf</int2:citationText>
                </int2:suggestion>
                <int2:suggestion int2:citationStyle="Chicago" int2:isIdentical="1">
                  <int2:citationText>“Postgraduate Dissertation coversheet &amp; feedback form:” n.d., https://repository.uwtsd.ac.uk/id/eprint/346/1/Owen%20Watkin.pdf.</int2:citationText>
                </int2:suggestion>
              </int2:suggestions>
            </int2:source>
            <int2:source int2:sourceType="Online" int2:sourceTitle="Shades of emptiness. A comparison between Mādhyamaka and Yogācāra" int2:sourceUrl="https://www.academia.edu/124876106/Shades_of_emptiness_A_comparison_between_M%C4%81dhyamaka_and_Yog%C4%81c%C4%81ra" int2:sourceSnippet="Name: Stefano Corsi Assignment Mark 1st Marker’s Provisional mark 2nd Marker’s/Moderator’s provisional mark External Examiner mark (if relevant) Final Mark NB. All marks are provisional until confirmed by the Final Examination Board 1 fFor completion by Marker 1: Comments: Marker 1 signature: Date: For completion by Marker 2 / Moderator ...">
              <int2:suggestions int2:citationType="Inline">
                <int2:suggestion int2:citationStyle="Mla" int2:isIdentical="0">
                  <int2:citationText>(“Shades of emptiness. A comparison between Mādhyamaka and Yogācāra”)</int2:citationText>
                </int2:suggestion>
                <int2:suggestion int2:citationStyle="Apa" int2:isIdentical="0">
                  <int2:citationText>(“Shades of emptiness. A comparison between Mādhyamaka and Yogācāra”)</int2:citationText>
                </int2:suggestion>
                <int2:suggestion int2:citationStyle="Chicago" int2:isIdentical="0">
                  <int2:citationText>(“Shades of emptiness. A comparison between Mādhyamaka and Yogācāra”)</int2:citationText>
                </int2:suggestion>
              </int2:suggestions>
              <int2:suggestions int2:citationType="Full">
                <int2:suggestion int2:citationStyle="Mla" int2:isIdentical="0">
                  <int2:citationText>&lt;i&gt;Shades of emptiness. A comparison between Mādhyamaka and Yogācāra&lt;/i&gt;, https://www.academia.edu/124876106/Shades_of_emptiness_A_comparison_between_M%C4%81dhyamaka_and_Yog%C4%81c%C4%81ra.</int2:citationText>
                </int2:suggestion>
                <int2:suggestion int2:citationStyle="Apa" int2:isIdentical="0">
                  <int2:citationText>&lt;i&gt;Shades of emptiness. A comparison between Mādhyamaka and Yogācāra&lt;/i&gt;. (n.d.). Retrieved from https://www.academia.edu/124876106/Shades_of_emptiness_A_comparison_between_M%C4%81dhyamaka_and_Yog%C4%81c%C4%81ra</int2:citationText>
                </int2:suggestion>
                <int2:suggestion int2:citationStyle="Chicago" int2:isIdentical="0">
                  <int2:citationText>“Shades of emptiness. A comparison between Mādhyamaka and Yogācāra” n.d., https://www.academia.edu/124876106/Shades_of_emptiness_A_comparison_between_M%C4%81dhyamaka_and_Yog%C4%81c%C4%81ra.</int2:citationText>
                </int2:suggestion>
              </int2:suggestions>
            </int2:source>
          </int2:similarityCritique>
        </oel:ext>
      </int2:extLst>
    </int2:bookmark>
    <int2:bookmark int2:bookmarkName="_Int_Ivu7MY3h" int2:invalidationBookmarkName="" int2:hashCode="+UUDWGbx3IcySy" int2:id="uBmtTBmO">
      <int2:state int2:type="similarity" int2:value="Rejected"/>
      <int2:extLst>
        <oel:ext uri="426473B9-03D8-482F-96C9-C2C85392BACA">
          <int2:similarityCritique int2:version="1" int2:context="(as a substitute for your signature) to confirm that you agree to the above declaration.">
            <int2:source int2:sourceType="Online" int2:sourceTitle="Paid staff model application form" int2:sourceUrl="https://www.hullandeastridingcab.org.uk/wp-content/uploads/2025/07/Application-Form-Feeding-Britain-Adviser.docx" int2:sourceSnippet="If you are sending your application form by email, please mark this box ☐(as a substitute for your signature) to confirm that you agree to the above declaration.">
              <int2:suggestions int2:citationType="Inline">
                <int2:suggestion int2:citationStyle="Mla" int2:isIdentical="1">
                  <int2:citationText>(“Paid staff model application form”)</int2:citationText>
                </int2:suggestion>
                <int2:suggestion int2:citationStyle="Apa" int2:isIdentical="1">
                  <int2:citationText>(“Paid staff model application form”)</int2:citationText>
                </int2:suggestion>
                <int2:suggestion int2:citationStyle="Chicago" int2:isIdentical="1">
                  <int2:citationText>(“Paid staff model application form”)</int2:citationText>
                </int2:suggestion>
              </int2:suggestions>
              <int2:suggestions int2:citationType="Full">
                <int2:suggestion int2:citationStyle="Mla" int2:isIdentical="1">
                  <int2:citationText>&lt;i&gt;Paid staff model application form&lt;/i&gt;, https://www.hullandeastridingcab.org.uk/wp-content/uploads/2025/07/Application-Form-Feeding-Britain-Adviser.docx.</int2:citationText>
                </int2:suggestion>
                <int2:suggestion int2:citationStyle="Apa" int2:isIdentical="1">
                  <int2:citationText>&lt;i&gt;Paid staff model application form&lt;/i&gt;. (n.d.). Retrieved from https://www.hullandeastridingcab.org.uk/wp-content/uploads/2025/07/Application-Form-Feeding-Britain-Adviser.docx</int2:citationText>
                </int2:suggestion>
                <int2:suggestion int2:citationStyle="Chicago" int2:isIdentical="1">
                  <int2:citationText>“Paid staff model application form” n.d., https://www.hullandeastridingcab.org.uk/wp-content/uploads/2025/07/Application-Form-Feeding-Britain-Adviser.docx.</int2:citationText>
                </int2:suggestion>
              </int2:suggestions>
            </int2:source>
            <int2:source int2:sourceType="Online" int2:sourceTitle="Durham Christian Partnership: Volunteer Application Form" int2:sourceUrl="https://www.vonne.org.uk/civicrm/file?id=3071&amp;eid=171636&amp;fcs=b2fabe5bf1a20dc8ea4cad63bd7b9b72846e78092c0e346ead4e4ee680c95a1e_1753347441_168&amp;reset=1" int2:sourceSnippet="Providing ongoing support to applicants Addressing problems or complaints If you are sending your application form by email, please mark this box (as a substitute for your signature) to confirm that you agree to the above declaration. Signature: Date: Please return the form">
              <int2:suggestions int2:citationType="Inline">
                <int2:suggestion int2:citationStyle="Mla" int2:isIdentical="1">
                  <int2:citationText>(“Durham Christian Partnership: Volunteer Application Form”)</int2:citationText>
                </int2:suggestion>
                <int2:suggestion int2:citationStyle="Apa" int2:isIdentical="1">
                  <int2:citationText>(“Durham Christian Partnership: Volunteer Application Form”)</int2:citationText>
                </int2:suggestion>
                <int2:suggestion int2:citationStyle="Chicago" int2:isIdentical="1">
                  <int2:citationText>(“Durham Christian Partnership: Volunteer Application Form”)</int2:citationText>
                </int2:suggestion>
              </int2:suggestions>
              <int2:suggestions int2:citationType="Full">
                <int2:suggestion int2:citationStyle="Mla" int2:isIdentical="1">
                  <int2:citationText>&lt;i&gt;Durham Christian Partnership: Volunteer Application Form&lt;/i&gt;, https://www.vonne.org.uk/civicrm/file?id=3071&amp;eid=171636&amp;fcs=b2fabe5bf1a20dc8ea4cad63bd7b9b72846e78092c0e346ead4e4ee680c95a1e_1753347441_168&amp;reset=1.</int2:citationText>
                </int2:suggestion>
                <int2:suggestion int2:citationStyle="Apa" int2:isIdentical="1">
                  <int2:citationText>&lt;i&gt;Durham Christian Partnership: Volunteer Application Form&lt;/i&gt;. (n.d.). Retrieved from https://www.vonne.org.uk/civicrm/file?id=3071&amp;eid=171636&amp;fcs=b2fabe5bf1a20dc8ea4cad63bd7b9b72846e78092c0e346ead4e4ee680c95a1e_1753347441_168&amp;reset=1</int2:citationText>
                </int2:suggestion>
                <int2:suggestion int2:citationStyle="Chicago" int2:isIdentical="1">
                  <int2:citationText>“Durham Christian Partnership: Volunteer Application Form” n.d., https://www.vonne.org.uk/civicrm/file?id=3071&amp;eid=171636&amp;fcs=b2fabe5bf1a20dc8ea4cad63bd7b9b72846e78092c0e346ead4e4ee680c95a1e_1753347441_168&amp;reset=1.</int2:citationText>
                </int2:suggestion>
              </int2:suggestions>
            </int2:source>
            <int2:source int2:sourceType="Online" int2:sourceTitle="downloads.charityjob.co.uk" int2:sourceUrl="https://downloads.charityjob.co.uk/attachments/blank_citizens_advice_sandwell_walsall_application_form_master_copy_july_25__2025_07_24_02_22_34_pm.docx" int2:sourceSnippet="If you are sending your application form by email, please mark this box ☐(as a substitute for your signature) to confirm that you agree to the above declaration.">
              <int2:suggestions int2:citationType="Inline">
                <int2:suggestion int2:citationStyle="Mla" int2:isIdentical="1">
                  <int2:citationText>(“downloads.charityjob.co.uk”)</int2:citationText>
                </int2:suggestion>
                <int2:suggestion int2:citationStyle="Apa" int2:isIdentical="1">
                  <int2:citationText>(“downloads.charityjob.co.uk”)</int2:citationText>
                </int2:suggestion>
                <int2:suggestion int2:citationStyle="Chicago" int2:isIdentical="1">
                  <int2:citationText>(“downloads.charityjob.co.uk”)</int2:citationText>
                </int2:suggestion>
              </int2:suggestions>
              <int2:suggestions int2:citationType="Full">
                <int2:suggestion int2:citationStyle="Mla" int2:isIdentical="1">
                  <int2:citationText>&lt;i&gt;downloads.charityjob.co.uk&lt;/i&gt;, https://downloads.charityjob.co.uk/attachments/blank_citizens_advice_sandwell_walsall_application_form_master_copy_july_25__2025_07_24_02_22_34_pm.docx.</int2:citationText>
                </int2:suggestion>
                <int2:suggestion int2:citationStyle="Apa" int2:isIdentical="1">
                  <int2:citationText>&lt;i&gt;downloads.charityjob.co.uk&lt;/i&gt;. (n.d.). Retrieved from https://downloads.charityjob.co.uk/attachments/blank_citizens_advice_sandwell_walsall_application_form_master_copy_july_25__2025_07_24_02_22_34_pm.docx</int2:citationText>
                </int2:suggestion>
                <int2:suggestion int2:citationStyle="Chicago" int2:isIdentical="1">
                  <int2:citationText>“downloads.charityjob.co.uk” n.d., https://downloads.charityjob.co.uk/attachments/blank_citizens_advice_sandwell_walsall_application_form_master_copy_july_25__2025_07_24_02_22_34_pm.docx.</int2:citationText>
                </int2:suggestion>
              </int2:suggestions>
            </int2:source>
          </int2:similarityCritique>
        </oel:ext>
      </int2:extLst>
    </int2:bookmark>
    <int2:bookmark int2:bookmarkName="_Int_mmhmwdhw" int2:invalidationBookmarkName="" int2:hashCode="4zhwEbyVkRUi6y" int2:id="JuQIy6in">
      <int2:state int2:type="spell" int2:value="Rejected"/>
    </int2:bookmark>
    <int2:bookmark int2:bookmarkName="_Int_771dJtVN" int2:invalidationBookmarkName="" int2:hashCode="dHs6jVcgFj6xo/" int2:id="8xMs18B0">
      <int2:state int2:type="spell" int2:value="Rejected"/>
    </int2:bookmark>
    <int2:bookmark int2:bookmarkName="_Int_qqBzhtzf" int2:invalidationBookmarkName="" int2:hashCode="ghOZ40jpLjsnUU" int2:id="CHM3lWrx">
      <int2:state int2:type="style" int2:value="Rejected"/>
    </int2:bookmark>
    <int2:bookmark int2:bookmarkName="_Int_nwfLrJlr" int2:invalidationBookmarkName="" int2:hashCode="nTZRu89mcX4Uyh" int2:id="sBObWYWk">
      <int2:state int2:type="style" int2:value="Rejected"/>
    </int2:bookmark>
    <int2:bookmark int2:bookmarkName="_Int_TQIFZeYa" int2:invalidationBookmarkName="" int2:hashCode="6ufAvXkfqX5E0Q" int2:id="adBTPVok">
      <int2:state int2:type="style" int2:value="Rejected"/>
    </int2:bookmark>
    <int2:bookmark int2:bookmarkName="_Int_8Hck03xn" int2:invalidationBookmarkName="" int2:hashCode="i/MhjE5KqdD8cJ" int2:id="NMda84g6">
      <int2:state int2:type="gram" int2:value="Rejected"/>
    </int2:bookmark>
    <int2:bookmark int2:bookmarkName="_Int_OWIBTemS" int2:invalidationBookmarkName="" int2:hashCode="5OEcwO5fcJlQpt" int2:id="WiKEBpCa">
      <int2:state int2:type="spell" int2:value="Rejected"/>
    </int2:bookmark>
    <int2:bookmark int2:bookmarkName="_Int_zZ095GgM" int2:invalidationBookmarkName="" int2:hashCode="boBlq+jaAEHwrW" int2:id="Xh22tAMQ">
      <int2:state int2:type="gram" int2:value="Rejected"/>
    </int2:bookmark>
    <int2:bookmark int2:bookmarkName="_Int_H9t1GBQy" int2:invalidationBookmarkName="" int2:hashCode="M7giAQgex8Q4y1" int2:id="mOZT4XRb">
      <int2:state int2:type="gram" int2:value="Rejected"/>
    </int2:bookmark>
    <int2:bookmark int2:bookmarkName="_Int_g5fR99mm" int2:invalidationBookmarkName="" int2:hashCode="OFZxCxa1QNC/Z/" int2:id="o6dO9dVI">
      <int2:state int2:type="gram" int2:value="Rejected"/>
    </int2:bookmark>
    <int2:bookmark int2:bookmarkName="_Int_MeVGP8By" int2:invalidationBookmarkName="" int2:hashCode="an6YgkHExXcf6W" int2:id="V65Utcmi">
      <int2:state int2:type="gram" int2:value="Rejected"/>
    </int2:bookmark>
    <int2:bookmark int2:bookmarkName="_Int_BbuZGRHY" int2:invalidationBookmarkName="" int2:hashCode="SONYLdhuJn3A+8" int2:id="iHmeBu6u">
      <int2:state int2:type="gram" int2:value="Rejected"/>
    </int2:bookmark>
    <int2:bookmark int2:bookmarkName="_Int_o1Is4PTn" int2:invalidationBookmarkName="" int2:hashCode="ytpf2AudeKN1/y" int2:id="1JNEkzdu">
      <int2:state int2:type="gram" int2:value="Rejected"/>
    </int2:bookmark>
    <int2:bookmark int2:bookmarkName="_Int_A7O6K4ew" int2:invalidationBookmarkName="" int2:hashCode="bQqDmo/sgI7ZMC" int2:id="Ixa0ErOH">
      <int2:state int2:type="gram" int2:value="Rejected"/>
    </int2:bookmark>
    <int2:bookmark int2:bookmarkName="_Int_ZkVk1XEs" int2:invalidationBookmarkName="" int2:hashCode="466iu1mRM9gQJT" int2:id="1WF0KZsy">
      <int2:state int2:type="gram" int2:value="Rejected"/>
    </int2:bookmark>
    <int2:bookmark int2:bookmarkName="_Int_67PPXs5t" int2:invalidationBookmarkName="" int2:hashCode="VV6vbCZNDfnRV7" int2:id="LZ8gDZAF">
      <int2:state int2:type="gram" int2:value="Rejected"/>
    </int2:bookmark>
    <int2:bookmark int2:bookmarkName="_Int_wPyC1H48" int2:invalidationBookmarkName="" int2:hashCode="5nkb5+7XhlxuqP" int2:id="f53p1ghZ">
      <int2:state int2:type="AugLoop_Text_Critique" int2:value="Rejected"/>
    </int2:bookmark>
    <int2:entireDocument int2:id="8TBPGNXq">
      <int2:extLst>
        <oel:ext uri="E302BA01-7950-474C-9AD3-286E660C40A8">
          <int2:similaritySummary int2:version="1" int2:runId="1753372000130" int2:tilesCheckedInThisRun="162" int2:totalNumOfTiles="162" int2:similarityAnnotationCount="6" int2:numWords="4796" int2:numFlaggedWords="76"/>
        </oel:ext>
      </int2:extLst>
    </int2:entireDocument>
  </int2:observations>
  <int2:intelligenceSettings/>
  <int2:onDemandWorkflows>
    <int2:onDemandWorkflow int2:type="SimilarityCheck" int2:paragraphVersions="3C44CD20-68856F68 6F0FB4B7-294C5C7B 7A2D2A74-391A4BB1 18B19D9F-5A6931AD 6D35ED47-2A95D527 40A4E238-38CE6248 4024893E-71DC73D7 7AD1E261-098D41AA 4A585F21-47319E9E 281539FF-6914C6E9 73128B4A-24941F45 0A0F99C7-5D883FE4 37D1A530-11327447 00A3E359-54A6DD85 45EBA9EE-450859F5 1B8AA660-7AF139EE 6492AB13-4149CFB8 3A54DED6-1CC0F220 176BED5D-349B9D0B 0A985229-4FB7CF74 27DC859B-18A04B5B 4C68612A-21EC7249 6E710EA7-24941C8B 610683D2-6A7B726F 34BE7E6B-18C268AC 269283B9-281B158D 02DEECF4-067E3F84 6E365AEB-77938F68 770D9600-3F78E4EE 70D86242-14BD5DE4 20BAE1C6-7C77B553 142EA547-72253921 17652B1E-0DA10CAC 38F24C2B-66D508A9 74110284-112042C7 2AEB6777-1F7F46AF 0D771E0D-542F4CDF 1995081E-6F5D22D2 16B61046-7ED5C7D0 3BE4D571-50F8135B 7625960F-62FB3A2C 6ABD6479-65BCE007 0F3EC310-594E4DE8 004289F2-3F376835 47FD84F6-481E3FD7 58F625BE-171F990C 626B4F1F-013D48D3 00DAC2AA-0E3FC8B4 52648957-4EC8BF1D 5454B192-710C1D5B 0124D9AD-66096529 484513A6-665CFE78 7D6E38F2-62C9E7C5 49A24D19-72A72253 52017C5E-3D289497 1388123F-457BC177 329014D9-403A9AC6 466F0949-6504034D 0349EA19-356C222D 14B5CEBB-19384AB3 67E135BD-04F046A2 11D2DEBA-3D0350DF 2F1955F2-2B2BF51C 402B196E-0224BF48 4604239B-4CBEA13D 73745A74-6ECC7F81 610D6798-55A9C794 4E026F9A-09297A78 088CC469-123C146B 4C33E011-5B69A526 40C12206-2360A119 1A00EC74-0871F648 5A9C5351-7E01B932 7EA61A88-1DA05381 698530DD-444922A4 7263F440-16F441B6 5DD82A50-68066073 2936D46F-13E77B22 674647B7-565D34A8 2B3F8EEA-1430054E 07F2D19E-686FE4B3 1BE3569F-0992A316 5FA13CF7-1476050D 7B62450B-3D1C59ED 35D4B8E8-12EC401D 6F692BC8-7C4417B7 2AA2117B-42BE4F4A 08940A4F-4F0CE24D 7D636255-3D059E52 2C078E63-6F04B939 2E54A282-549D144D 6E7FA2BA-756256D7 21478517-360C0C2B 47CE279F-26817540 2691E146-7BBD9BA7 4A781017-3CED7FCA 63D28963-648F4820 7ADEE8F4-2718D06D 6F4B5C71-4CC7EC39 0B9420E1-5CE1777B 0266B524-515209CF 43995FAE-733FF7F3 5AD899BC-561BBB2A 03B80475-05DF1BEA 1D1B9490-3B9C79B6 6814B188-1DAFB0E1 75062979-10AD7F1F 4BDE7C7B-580A0F90 198DA530-5080863E 54B089DB-668A7A78 5FEF4DD5-3D27416F 60F1DE57-328E13C0 731ED0F7-194FA0DC 35359C27-3BAB5C67 1231A082-72F35542 2B6FEB69-5E2978AF 5D03EBB4-001BEABA 222B293C-72993CA0 1CF5FE31-21B588CE 3107D30F-65E64061 68E59A2A-524EFB6C 53899739-0F7630BC 49597C47-66C3ABC8 0C14D691-2F2D5890 5036BDE4-24D21517 7F28935B-347DBA3F 42C4D9E1-1E75F308 395E29C8-6499C0EF 756069E9-56B0594B 65947FBA-63454D33 249238BB-01EB3A4B 2E279B8D-2829086C 571C4337-7AEAA8D3 7B0DC010-196C4879 3DC94755-25520FD4 4162FD5B-7A628D5D 41334DF6-4BADA634 5362727D-21160E68 7C4AB6DA-689D45FF 6C1D3A91-76F95ED9 31F9D830-78B003CD 5981ADA4-54CCF1C5 49786F81-21F63B8A 3C8F9D96-5F51BFB1 05702D9A-32131CEB 6760836F-2CB6E9A5 056F5B44-1F4A9734 1D99CC53-56A19C68 5C6B3F55-1C947678 2B1CE8B4-2D6BEF34 7922B236-32A8DD57 0B25B7EF-436E01C7 2A3668D1-7D5AAF68 5E0A7B1B-4461C0FA 77E12C0F-690C3202 1A0E04B2-619427B3 18783DBF-61134A08 5189DFEA-3C8656CE 0447685A-587E49BA 463DDA16-2F6BCFC4 59C22BE7-5F14E7F6 1678FF6C-2A1E0716 19F985E7-7F313824 41BDCAC5-6EC91A19 17A3712C-4619EBA4 386D1B23-5319BEEE 25C419BE-711889D3 2ED7664E-453D89EB 1EFDC92D-4E19FA43 79CDB0D7-1EC30969 31D16533-5AB9569B 7D8B1EFE-5E97B639 2A732CE6-76681435 7A19FB0F-73697552 6DF35E2D-58ADF7EF 71B144D1-56DA8B51 423EA15F-42D9989E 35694437-1F5BFE10 7BE2A633-11A3F738 789DE692-7A49AE22 73428FF3-5E869A21 1EEB34A0-7F9894CA 3B0423B0-5EEFF8BA 631EFA50-0698F7BF 06C486DB-3BE639B7 2EEDF158-2F8D4D83 49FF277B-1A28603C 219CC2BA-139090B8 268093EA-73F28932 2F89482D-1C4AE11F 39D5F5D2-01132D5E 4CA67D14-0E76D5E6 001648D9-40E36709 478756C8-367694F8 7500B57B-353FBAE6 44B2D09F-70ED7698 793F3B8F-6851C383 7BDD735E-08885539 7CFC1D17-46D9F0DC 4CE12B1F-50525D3C 7AC34D54-5B2A8284 5D6BC9A4-389E2E4C 42371686-57352B49 4150150B-35B3FE9C 1DC50323-00C5E7B5 7F8EA74E-759B62FD 580C95C1-5CE2F2C2 6D350A81-2D13511C 1B854CB6-34D54635 7760DD8E-412B1366 68072E90-392064E9 35D6DEE8-43DCC1B0 489F5178-1F23A6FF 533F9BBE-73735389 6935208C-270E8246 0E8DC7FE-2DB524C7 4791A47B-2A0AAE04 4DED30E1-4B4C8326 7E3A8124-5254608E 465BD11F-6FA68A9D 16A90A97-6BE6A5C5 3FFC64A2-1C53CEBF 358E9A63-5C35B851 5641FA2F-341F5BC2 14B522D9-68BD0590 3416286A-6FB900CA 65B1B81B-679F2BB1 46B0D650-772D297D 1065DD9F-238D0BEF 2EFC434F-6D1D5817 29DDB181-3423700B 66D8F2BC-0432C2E3 28122419-39D8FC6D 69C6CBE0-74370681 0CB6442A-741E7E9B 0A2EE28E-018F7F54 7E9C1F0E-16E22033 2B1CDA0B-3D473271 07115BBF-33D1B286 03661A73-0B0EC14D 31ED4CFB-67B688A2 64BC1CE7-24E9AE44 7248E0F4-0F4E11A1 79972A79-210B9EC2 2EC0668F-6BB5CF1B 67ADA934-6B0C6135 53864C44-744E5D33 26BB8DCD-48A03BB5 6D8AF4F3-74545015 11723E93-3E931C90"/>
  </int2:onDemandWorkflows>
</int2:intelligence>
</file>

<file path=word/numbering.xml><?xml version="1.0" encoding="utf-8"?>
<w:numbering xmlns:w="http://schemas.openxmlformats.org/wordprocessingml/2006/main">
  <w:abstractNum xmlns:w="http://schemas.openxmlformats.org/wordprocessingml/2006/main" w:abstractNumId="4">
    <w:nsid w:val="2ad94b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4765c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e5f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8846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AAB634"/>
    <w:rsid w:val="00A37DDD"/>
    <w:rsid w:val="00F3DE06"/>
    <w:rsid w:val="01361949"/>
    <w:rsid w:val="01617A14"/>
    <w:rsid w:val="0173B1AD"/>
    <w:rsid w:val="01C740BC"/>
    <w:rsid w:val="01E1C742"/>
    <w:rsid w:val="03644430"/>
    <w:rsid w:val="0399E603"/>
    <w:rsid w:val="04D25D9A"/>
    <w:rsid w:val="06598F36"/>
    <w:rsid w:val="0696C43F"/>
    <w:rsid w:val="07115105"/>
    <w:rsid w:val="0749F08B"/>
    <w:rsid w:val="07F7487D"/>
    <w:rsid w:val="08E498AC"/>
    <w:rsid w:val="0945F6D8"/>
    <w:rsid w:val="09EBEF10"/>
    <w:rsid w:val="0A532EF5"/>
    <w:rsid w:val="0B13836E"/>
    <w:rsid w:val="0BF5CCB2"/>
    <w:rsid w:val="0DFB2A4A"/>
    <w:rsid w:val="0E11D94C"/>
    <w:rsid w:val="0F225A84"/>
    <w:rsid w:val="0FB28498"/>
    <w:rsid w:val="0FB7B62A"/>
    <w:rsid w:val="0FF33587"/>
    <w:rsid w:val="105DEB24"/>
    <w:rsid w:val="105EE591"/>
    <w:rsid w:val="10775088"/>
    <w:rsid w:val="109CA120"/>
    <w:rsid w:val="10A7DB55"/>
    <w:rsid w:val="111D1E58"/>
    <w:rsid w:val="11272F38"/>
    <w:rsid w:val="11959AC3"/>
    <w:rsid w:val="11F99160"/>
    <w:rsid w:val="128E00FB"/>
    <w:rsid w:val="146EE583"/>
    <w:rsid w:val="14EB3C50"/>
    <w:rsid w:val="150765B4"/>
    <w:rsid w:val="158A5560"/>
    <w:rsid w:val="161400DA"/>
    <w:rsid w:val="16AAB634"/>
    <w:rsid w:val="16C43D21"/>
    <w:rsid w:val="1715B00C"/>
    <w:rsid w:val="18DC28EA"/>
    <w:rsid w:val="1949625A"/>
    <w:rsid w:val="198E6BF6"/>
    <w:rsid w:val="1ACD87BF"/>
    <w:rsid w:val="1CD4C8E6"/>
    <w:rsid w:val="1DAB4821"/>
    <w:rsid w:val="1DBF1B0C"/>
    <w:rsid w:val="1DC2C46E"/>
    <w:rsid w:val="1E14E98B"/>
    <w:rsid w:val="1E805980"/>
    <w:rsid w:val="1ED1243A"/>
    <w:rsid w:val="1F11A329"/>
    <w:rsid w:val="1F3215AB"/>
    <w:rsid w:val="1F3AC9D9"/>
    <w:rsid w:val="1F3EA9B0"/>
    <w:rsid w:val="1FBE7F57"/>
    <w:rsid w:val="2031A2F1"/>
    <w:rsid w:val="20D03A60"/>
    <w:rsid w:val="2236823D"/>
    <w:rsid w:val="227407B6"/>
    <w:rsid w:val="2328976E"/>
    <w:rsid w:val="239618B6"/>
    <w:rsid w:val="23DEC7DC"/>
    <w:rsid w:val="24E4BA50"/>
    <w:rsid w:val="255521C8"/>
    <w:rsid w:val="25CEA15A"/>
    <w:rsid w:val="26042BB6"/>
    <w:rsid w:val="267C9C3C"/>
    <w:rsid w:val="26C90512"/>
    <w:rsid w:val="26E22219"/>
    <w:rsid w:val="27AC2D1B"/>
    <w:rsid w:val="292B526B"/>
    <w:rsid w:val="29E8F417"/>
    <w:rsid w:val="29EA1666"/>
    <w:rsid w:val="2A04089B"/>
    <w:rsid w:val="2A0658FB"/>
    <w:rsid w:val="2A46AC59"/>
    <w:rsid w:val="2A548809"/>
    <w:rsid w:val="2A5D8901"/>
    <w:rsid w:val="2BFBF1C4"/>
    <w:rsid w:val="2CECCE6F"/>
    <w:rsid w:val="2D6B0970"/>
    <w:rsid w:val="2DBBFA7B"/>
    <w:rsid w:val="2DF9AA03"/>
    <w:rsid w:val="2E731065"/>
    <w:rsid w:val="2FA664BB"/>
    <w:rsid w:val="300313A0"/>
    <w:rsid w:val="307DD0CE"/>
    <w:rsid w:val="31D62DEC"/>
    <w:rsid w:val="3213E2CF"/>
    <w:rsid w:val="329791A1"/>
    <w:rsid w:val="33716C20"/>
    <w:rsid w:val="340B49AC"/>
    <w:rsid w:val="3514E40F"/>
    <w:rsid w:val="3689C72C"/>
    <w:rsid w:val="37F941F1"/>
    <w:rsid w:val="39F284BF"/>
    <w:rsid w:val="3A658281"/>
    <w:rsid w:val="3A8BDB95"/>
    <w:rsid w:val="3A91DEBF"/>
    <w:rsid w:val="3AA57F29"/>
    <w:rsid w:val="3B244F76"/>
    <w:rsid w:val="3C0E206A"/>
    <w:rsid w:val="3D1A00F6"/>
    <w:rsid w:val="3D95A040"/>
    <w:rsid w:val="3EA3E39D"/>
    <w:rsid w:val="3ED9FD76"/>
    <w:rsid w:val="3EE99F04"/>
    <w:rsid w:val="401FC06E"/>
    <w:rsid w:val="4074C2C7"/>
    <w:rsid w:val="408A0801"/>
    <w:rsid w:val="40F46C38"/>
    <w:rsid w:val="41F621A2"/>
    <w:rsid w:val="42F022A0"/>
    <w:rsid w:val="4443B393"/>
    <w:rsid w:val="4553A1DC"/>
    <w:rsid w:val="457D2500"/>
    <w:rsid w:val="4677C0DC"/>
    <w:rsid w:val="469D528E"/>
    <w:rsid w:val="4A01AD0A"/>
    <w:rsid w:val="4ADC8BC4"/>
    <w:rsid w:val="4B317DED"/>
    <w:rsid w:val="4B5E7C43"/>
    <w:rsid w:val="4C3DBAB7"/>
    <w:rsid w:val="4C48ACDC"/>
    <w:rsid w:val="4D859841"/>
    <w:rsid w:val="4D861D8B"/>
    <w:rsid w:val="4D9B3862"/>
    <w:rsid w:val="4E92D8A8"/>
    <w:rsid w:val="4EB1C9CE"/>
    <w:rsid w:val="4F1290D5"/>
    <w:rsid w:val="5061E20E"/>
    <w:rsid w:val="512F2A2C"/>
    <w:rsid w:val="51A8C3FE"/>
    <w:rsid w:val="51AD76FB"/>
    <w:rsid w:val="521F0E38"/>
    <w:rsid w:val="5230CF83"/>
    <w:rsid w:val="526D8F58"/>
    <w:rsid w:val="52F7D277"/>
    <w:rsid w:val="536089F0"/>
    <w:rsid w:val="539BD92E"/>
    <w:rsid w:val="540039F7"/>
    <w:rsid w:val="54711816"/>
    <w:rsid w:val="564BE578"/>
    <w:rsid w:val="569C1221"/>
    <w:rsid w:val="57F00135"/>
    <w:rsid w:val="585F8E89"/>
    <w:rsid w:val="58744981"/>
    <w:rsid w:val="58871BB5"/>
    <w:rsid w:val="58BF4B98"/>
    <w:rsid w:val="58D41A31"/>
    <w:rsid w:val="59874D97"/>
    <w:rsid w:val="59D6FC65"/>
    <w:rsid w:val="5AD26F95"/>
    <w:rsid w:val="5AE9A142"/>
    <w:rsid w:val="5B365DAE"/>
    <w:rsid w:val="5B8FD7DC"/>
    <w:rsid w:val="5C33B058"/>
    <w:rsid w:val="5CC9673A"/>
    <w:rsid w:val="5EACB0E4"/>
    <w:rsid w:val="5EAE3854"/>
    <w:rsid w:val="5F2A54F7"/>
    <w:rsid w:val="6014D9E6"/>
    <w:rsid w:val="602FF6BA"/>
    <w:rsid w:val="60D9FF80"/>
    <w:rsid w:val="60E3EF34"/>
    <w:rsid w:val="614F3010"/>
    <w:rsid w:val="620B3EB8"/>
    <w:rsid w:val="620EE28B"/>
    <w:rsid w:val="621FDFBF"/>
    <w:rsid w:val="62C2ADC0"/>
    <w:rsid w:val="639D2B12"/>
    <w:rsid w:val="63DCB7D6"/>
    <w:rsid w:val="63F5B087"/>
    <w:rsid w:val="64253C01"/>
    <w:rsid w:val="6670F634"/>
    <w:rsid w:val="668FE209"/>
    <w:rsid w:val="675A14CA"/>
    <w:rsid w:val="678C35A9"/>
    <w:rsid w:val="685F4BDE"/>
    <w:rsid w:val="68805B63"/>
    <w:rsid w:val="68A1649D"/>
    <w:rsid w:val="6A75008C"/>
    <w:rsid w:val="6AE1ADBE"/>
    <w:rsid w:val="6AEBF327"/>
    <w:rsid w:val="6C802DE5"/>
    <w:rsid w:val="6CC7999D"/>
    <w:rsid w:val="6CC7BD1B"/>
    <w:rsid w:val="6D06120B"/>
    <w:rsid w:val="6D0A7578"/>
    <w:rsid w:val="6D785E94"/>
    <w:rsid w:val="6D8501F2"/>
    <w:rsid w:val="6E3110CF"/>
    <w:rsid w:val="6E7F1C00"/>
    <w:rsid w:val="6EA45FA8"/>
    <w:rsid w:val="6F781E59"/>
    <w:rsid w:val="6F9C097C"/>
    <w:rsid w:val="6FEA86CF"/>
    <w:rsid w:val="7051550E"/>
    <w:rsid w:val="708414A5"/>
    <w:rsid w:val="70972E61"/>
    <w:rsid w:val="70C9D6B5"/>
    <w:rsid w:val="717CD4B1"/>
    <w:rsid w:val="71AFA015"/>
    <w:rsid w:val="7213E6B5"/>
    <w:rsid w:val="726448F5"/>
    <w:rsid w:val="737190E8"/>
    <w:rsid w:val="73B5E456"/>
    <w:rsid w:val="73F0A37E"/>
    <w:rsid w:val="74F33CA9"/>
    <w:rsid w:val="74F33CA9"/>
    <w:rsid w:val="75A9FD9F"/>
    <w:rsid w:val="75ABE7F2"/>
    <w:rsid w:val="765D1092"/>
    <w:rsid w:val="769E87B3"/>
    <w:rsid w:val="771F3B29"/>
    <w:rsid w:val="7811B712"/>
    <w:rsid w:val="7A5E96CB"/>
    <w:rsid w:val="7A753C30"/>
    <w:rsid w:val="7B56B769"/>
    <w:rsid w:val="7B8B8E08"/>
    <w:rsid w:val="7C5ED556"/>
    <w:rsid w:val="7D068618"/>
    <w:rsid w:val="7D10C086"/>
    <w:rsid w:val="7D31C345"/>
    <w:rsid w:val="7D4EE124"/>
    <w:rsid w:val="7E204B43"/>
    <w:rsid w:val="7E9FDE1E"/>
    <w:rsid w:val="7EA41A95"/>
    <w:rsid w:val="7F2343EF"/>
    <w:rsid w:val="7F739CD7"/>
    <w:rsid w:val="7FBDE1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AB634"/>
  <w15:chartTrackingRefBased/>
  <w15:docId w15:val="{2F6BC338-773C-4166-A9D2-2B7CD405EC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5B365DAE"/>
    <w:pPr>
      <w:spacing w:after="0"/>
    </w:pPr>
  </w:style>
  <w:style w:type="paragraph" w:styleId="Header">
    <w:uiPriority w:val="99"/>
    <w:name w:val="header"/>
    <w:basedOn w:val="Normal"/>
    <w:unhideWhenUsed/>
    <w:rsid w:val="678C35A9"/>
    <w:pPr>
      <w:tabs>
        <w:tab w:val="center" w:leader="none" w:pos="4680"/>
        <w:tab w:val="right" w:leader="none" w:pos="9360"/>
      </w:tabs>
      <w:spacing w:after="0" w:line="240" w:lineRule="auto"/>
    </w:pPr>
  </w:style>
  <w:style w:type="paragraph" w:styleId="Footer">
    <w:uiPriority w:val="99"/>
    <w:name w:val="footer"/>
    <w:basedOn w:val="Normal"/>
    <w:unhideWhenUsed/>
    <w:rsid w:val="678C35A9"/>
    <w:pPr>
      <w:tabs>
        <w:tab w:val="center" w:leader="none" w:pos="4680"/>
        <w:tab w:val="right" w:leader="none" w:pos="9360"/>
      </w:tabs>
      <w:spacing w:after="0" w:line="240" w:lineRule="auto"/>
    </w:pPr>
  </w:style>
  <w:style w:type="paragraph" w:styleId="ListParagraph">
    <w:uiPriority w:val="34"/>
    <w:name w:val="List Paragraph"/>
    <w:basedOn w:val="Normal"/>
    <w:qFormat/>
    <w:rsid w:val="678C35A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03ac89f837f4a85" /><Relationship Type="http://schemas.microsoft.com/office/2020/10/relationships/intelligence" Target="intelligence2.xml" Id="R8901a90beb404297" /><Relationship Type="http://schemas.openxmlformats.org/officeDocument/2006/relationships/header" Target="header.xml" Id="R8a7b105bcc264e3c" /><Relationship Type="http://schemas.openxmlformats.org/officeDocument/2006/relationships/footer" Target="footer.xml" Id="R80e0022f6b1541ce" /><Relationship Type="http://schemas.openxmlformats.org/officeDocument/2006/relationships/numbering" Target="numbering.xml" Id="R79344da5f14247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2025-03-23T14:46:51.3989767Z</dcterms:created>
  <dcterms:modified xsi:type="dcterms:W3CDTF">2025-07-24T16:06:07.4771064Z</dcterms:modified>
  <dc:creator>Yoanna Koleva Uzunova (2124312)</dc:creator>
  <lastModifiedBy>Yoanna Koleva Uzunova (2124312)</lastModifiedBy>
</coreProperties>
</file>