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536DE9" w14:textId="6CD19DD4" w:rsidR="00860D45" w:rsidRDefault="00860D45" w:rsidP="00FA2B0F">
      <w:pPr>
        <w:jc w:val="center"/>
        <w:rPr>
          <w:rFonts w:ascii="Arial" w:hAnsi="Arial" w:cs="Arial"/>
          <w:b/>
          <w:bCs/>
          <w:sz w:val="72"/>
          <w:szCs w:val="72"/>
        </w:rPr>
      </w:pPr>
    </w:p>
    <w:p w14:paraId="40A0C288" w14:textId="7253A043" w:rsidR="00B90BF6" w:rsidRDefault="00B90BF6" w:rsidP="00FA2B0F">
      <w:pPr>
        <w:jc w:val="center"/>
        <w:rPr>
          <w:rFonts w:ascii="Arial" w:hAnsi="Arial" w:cs="Arial"/>
          <w:b/>
          <w:bCs/>
          <w:sz w:val="72"/>
          <w:szCs w:val="72"/>
        </w:rPr>
      </w:pPr>
    </w:p>
    <w:p w14:paraId="0D3827C6" w14:textId="3E5A8D1A" w:rsidR="00B90BF6" w:rsidRDefault="00B90BF6" w:rsidP="00FA2B0F">
      <w:pPr>
        <w:jc w:val="center"/>
        <w:rPr>
          <w:rFonts w:ascii="Arial" w:hAnsi="Arial" w:cs="Arial"/>
          <w:b/>
          <w:bCs/>
          <w:sz w:val="72"/>
          <w:szCs w:val="72"/>
        </w:rPr>
      </w:pPr>
    </w:p>
    <w:p w14:paraId="3566F944" w14:textId="77777777" w:rsidR="00B90BF6" w:rsidRDefault="00B90BF6" w:rsidP="00FA2B0F">
      <w:pPr>
        <w:jc w:val="center"/>
        <w:rPr>
          <w:rFonts w:ascii="Arial" w:hAnsi="Arial" w:cs="Arial"/>
          <w:b/>
          <w:bCs/>
          <w:sz w:val="72"/>
          <w:szCs w:val="72"/>
        </w:rPr>
      </w:pPr>
    </w:p>
    <w:p w14:paraId="32E404CC" w14:textId="5125E249" w:rsidR="00B90BF6" w:rsidRDefault="00B90BF6" w:rsidP="00FA2B0F">
      <w:pPr>
        <w:jc w:val="center"/>
        <w:rPr>
          <w:rFonts w:ascii="Arial" w:hAnsi="Arial" w:cs="Arial"/>
          <w:bCs/>
          <w:sz w:val="72"/>
          <w:szCs w:val="72"/>
        </w:rPr>
      </w:pPr>
      <w:r>
        <w:rPr>
          <w:rFonts w:ascii="Arial" w:hAnsi="Arial" w:cs="Arial"/>
          <w:b/>
          <w:bCs/>
          <w:sz w:val="72"/>
          <w:szCs w:val="72"/>
        </w:rPr>
        <w:t xml:space="preserve">Tort Law – Assignment 2: </w:t>
      </w:r>
      <w:r w:rsidRPr="00B90BF6">
        <w:rPr>
          <w:rFonts w:ascii="Arial" w:hAnsi="Arial" w:cs="Arial"/>
          <w:bCs/>
          <w:sz w:val="72"/>
          <w:szCs w:val="72"/>
        </w:rPr>
        <w:t>Case Study; occupiers liability and psychiatric harm</w:t>
      </w:r>
    </w:p>
    <w:p w14:paraId="27E46725" w14:textId="6396F9F8" w:rsidR="00B90BF6" w:rsidRDefault="00B90BF6" w:rsidP="00FA2B0F">
      <w:pPr>
        <w:jc w:val="center"/>
        <w:rPr>
          <w:rFonts w:ascii="Arial" w:hAnsi="Arial" w:cs="Arial"/>
          <w:sz w:val="36"/>
          <w:szCs w:val="36"/>
        </w:rPr>
      </w:pPr>
      <w:r>
        <w:rPr>
          <w:rFonts w:ascii="Arial" w:hAnsi="Arial" w:cs="Arial"/>
          <w:sz w:val="36"/>
          <w:szCs w:val="36"/>
        </w:rPr>
        <w:t>By George Lovering</w:t>
      </w:r>
    </w:p>
    <w:p w14:paraId="320079C2" w14:textId="77777777" w:rsidR="00B90BF6" w:rsidRDefault="00B90BF6">
      <w:pPr>
        <w:rPr>
          <w:rFonts w:ascii="Arial" w:hAnsi="Arial" w:cs="Arial"/>
          <w:sz w:val="36"/>
          <w:szCs w:val="36"/>
        </w:rPr>
      </w:pPr>
      <w:r>
        <w:rPr>
          <w:rFonts w:ascii="Arial" w:hAnsi="Arial" w:cs="Arial"/>
          <w:sz w:val="36"/>
          <w:szCs w:val="36"/>
        </w:rPr>
        <w:br w:type="page"/>
      </w:r>
    </w:p>
    <w:p w14:paraId="15972C9B" w14:textId="50A3B41E" w:rsidR="00B90BF6" w:rsidRDefault="00B90BF6" w:rsidP="00B90BF6">
      <w:pPr>
        <w:rPr>
          <w:rFonts w:ascii="Arial" w:hAnsi="Arial" w:cs="Arial"/>
          <w:sz w:val="24"/>
          <w:szCs w:val="24"/>
        </w:rPr>
      </w:pPr>
    </w:p>
    <w:p w14:paraId="42673244" w14:textId="3F9F7987" w:rsidR="00D66719" w:rsidRDefault="007A4E38" w:rsidP="004879C4">
      <w:pPr>
        <w:spacing w:line="480" w:lineRule="auto"/>
        <w:rPr>
          <w:rFonts w:ascii="Arial" w:hAnsi="Arial" w:cs="Arial"/>
          <w:sz w:val="24"/>
          <w:szCs w:val="24"/>
        </w:rPr>
      </w:pPr>
      <w:r>
        <w:rPr>
          <w:rFonts w:ascii="Arial" w:hAnsi="Arial" w:cs="Arial"/>
          <w:sz w:val="24"/>
          <w:szCs w:val="24"/>
        </w:rPr>
        <w:t xml:space="preserve">To begin analysing CPL’s liability </w:t>
      </w:r>
      <w:r w:rsidR="00E93C77">
        <w:rPr>
          <w:rFonts w:ascii="Arial" w:hAnsi="Arial" w:cs="Arial"/>
          <w:sz w:val="24"/>
          <w:szCs w:val="24"/>
        </w:rPr>
        <w:t>regarding</w:t>
      </w:r>
      <w:r>
        <w:rPr>
          <w:rFonts w:ascii="Arial" w:hAnsi="Arial" w:cs="Arial"/>
          <w:sz w:val="24"/>
          <w:szCs w:val="24"/>
        </w:rPr>
        <w:t xml:space="preserve"> these various cases, the facts in the cases of Leo, Millie, Nia and Owen will be considered alongside the Occupier’s Liability Act (OLA) 1957 and OLA 1984</w:t>
      </w:r>
      <w:r w:rsidR="00E16149">
        <w:rPr>
          <w:rFonts w:ascii="Arial" w:hAnsi="Arial" w:cs="Arial"/>
          <w:sz w:val="24"/>
          <w:szCs w:val="24"/>
        </w:rPr>
        <w:t xml:space="preserve"> and how these acts have been interpreted by the courts in the past</w:t>
      </w:r>
      <w:r>
        <w:rPr>
          <w:rFonts w:ascii="Arial" w:hAnsi="Arial" w:cs="Arial"/>
          <w:sz w:val="24"/>
          <w:szCs w:val="24"/>
        </w:rPr>
        <w:t xml:space="preserve">. Firstly, </w:t>
      </w:r>
      <w:r w:rsidR="00351B35">
        <w:rPr>
          <w:rFonts w:ascii="Arial" w:hAnsi="Arial" w:cs="Arial"/>
          <w:sz w:val="24"/>
          <w:szCs w:val="24"/>
        </w:rPr>
        <w:t>because</w:t>
      </w:r>
      <w:r w:rsidR="00CB2989">
        <w:rPr>
          <w:rFonts w:ascii="Arial" w:hAnsi="Arial" w:cs="Arial"/>
          <w:sz w:val="24"/>
          <w:szCs w:val="24"/>
        </w:rPr>
        <w:t xml:space="preserve"> Leo is an </w:t>
      </w:r>
      <w:r w:rsidR="002A0B90">
        <w:rPr>
          <w:rFonts w:ascii="Arial" w:hAnsi="Arial" w:cs="Arial"/>
          <w:sz w:val="24"/>
          <w:szCs w:val="24"/>
        </w:rPr>
        <w:t>eight-year-old</w:t>
      </w:r>
      <w:r w:rsidR="00CB2989">
        <w:rPr>
          <w:rFonts w:ascii="Arial" w:hAnsi="Arial" w:cs="Arial"/>
          <w:sz w:val="24"/>
          <w:szCs w:val="24"/>
        </w:rPr>
        <w:t xml:space="preserve"> child, OLA 1957 section 2</w:t>
      </w:r>
      <w:r w:rsidR="00351B35">
        <w:rPr>
          <w:rFonts w:ascii="Arial" w:hAnsi="Arial" w:cs="Arial"/>
          <w:sz w:val="24"/>
          <w:szCs w:val="24"/>
        </w:rPr>
        <w:t xml:space="preserve">(3)(a) is relevant as it </w:t>
      </w:r>
      <w:r w:rsidR="00B67AE2">
        <w:rPr>
          <w:rFonts w:ascii="Arial" w:hAnsi="Arial" w:cs="Arial"/>
          <w:sz w:val="24"/>
          <w:szCs w:val="24"/>
        </w:rPr>
        <w:t>establishes</w:t>
      </w:r>
      <w:r w:rsidR="00351B35">
        <w:rPr>
          <w:rFonts w:ascii="Arial" w:hAnsi="Arial" w:cs="Arial"/>
          <w:sz w:val="24"/>
          <w:szCs w:val="24"/>
        </w:rPr>
        <w:t xml:space="preserve"> that the occupier must be prepared for lawful visitors who are children to be less skilled than adults, the probability in Leo’s case that </w:t>
      </w:r>
      <w:r w:rsidR="00FC48DE">
        <w:rPr>
          <w:rFonts w:ascii="Arial" w:hAnsi="Arial" w:cs="Arial"/>
          <w:sz w:val="24"/>
          <w:szCs w:val="24"/>
        </w:rPr>
        <w:t>CPL</w:t>
      </w:r>
      <w:r w:rsidR="00351B35">
        <w:rPr>
          <w:rFonts w:ascii="Arial" w:hAnsi="Arial" w:cs="Arial"/>
          <w:sz w:val="24"/>
          <w:szCs w:val="24"/>
        </w:rPr>
        <w:t xml:space="preserve"> will be liable is highly likely due to the duty of care they owed being the same as it would be in common law negligence.</w:t>
      </w:r>
      <w:r w:rsidR="00130376">
        <w:rPr>
          <w:rFonts w:ascii="Arial" w:hAnsi="Arial" w:cs="Arial"/>
          <w:sz w:val="24"/>
          <w:szCs w:val="24"/>
        </w:rPr>
        <w:t xml:space="preserve"> Focusing on OLA 1957 section2(3)(a)</w:t>
      </w:r>
      <w:r w:rsidR="003D72B6">
        <w:rPr>
          <w:rFonts w:ascii="Arial" w:hAnsi="Arial" w:cs="Arial"/>
          <w:sz w:val="24"/>
          <w:szCs w:val="24"/>
        </w:rPr>
        <w:t xml:space="preserve"> is key in assessing </w:t>
      </w:r>
      <w:r w:rsidR="00885C98">
        <w:rPr>
          <w:rFonts w:ascii="Arial" w:hAnsi="Arial" w:cs="Arial"/>
          <w:sz w:val="24"/>
          <w:szCs w:val="24"/>
        </w:rPr>
        <w:t>CPL’s</w:t>
      </w:r>
      <w:r w:rsidR="003D72B6">
        <w:rPr>
          <w:rFonts w:ascii="Arial" w:hAnsi="Arial" w:cs="Arial"/>
          <w:sz w:val="24"/>
          <w:szCs w:val="24"/>
        </w:rPr>
        <w:t xml:space="preserve"> liability</w:t>
      </w:r>
      <w:r w:rsidR="00F64DC9">
        <w:rPr>
          <w:rFonts w:ascii="Arial" w:hAnsi="Arial" w:cs="Arial"/>
          <w:sz w:val="24"/>
          <w:szCs w:val="24"/>
        </w:rPr>
        <w:t xml:space="preserve">, </w:t>
      </w:r>
      <w:r w:rsidR="002C37F3">
        <w:rPr>
          <w:rFonts w:ascii="Arial" w:hAnsi="Arial" w:cs="Arial"/>
          <w:sz w:val="24"/>
          <w:szCs w:val="24"/>
        </w:rPr>
        <w:t>as a defence</w:t>
      </w:r>
      <w:r w:rsidR="003D72B6">
        <w:rPr>
          <w:rFonts w:ascii="Arial" w:hAnsi="Arial" w:cs="Arial"/>
          <w:sz w:val="24"/>
          <w:szCs w:val="24"/>
        </w:rPr>
        <w:t xml:space="preserve"> in this case as you could potentially point to Wheat v </w:t>
      </w:r>
      <w:proofErr w:type="spellStart"/>
      <w:r w:rsidR="003D72B6">
        <w:rPr>
          <w:rFonts w:ascii="Arial" w:hAnsi="Arial" w:cs="Arial"/>
          <w:sz w:val="24"/>
          <w:szCs w:val="24"/>
        </w:rPr>
        <w:t>Lacon</w:t>
      </w:r>
      <w:proofErr w:type="spellEnd"/>
      <w:r w:rsidR="003D72B6">
        <w:rPr>
          <w:rFonts w:ascii="Arial" w:hAnsi="Arial" w:cs="Arial"/>
          <w:sz w:val="24"/>
          <w:szCs w:val="24"/>
        </w:rPr>
        <w:t xml:space="preserve"> (1966) judgement where the court determined that the occupier was not liable</w:t>
      </w:r>
      <w:r w:rsidR="00A50B0C">
        <w:rPr>
          <w:rFonts w:ascii="Arial" w:hAnsi="Arial" w:cs="Arial"/>
          <w:sz w:val="24"/>
          <w:szCs w:val="24"/>
        </w:rPr>
        <w:t xml:space="preserve"> and also the same case with Tomlinson v </w:t>
      </w:r>
      <w:proofErr w:type="spellStart"/>
      <w:r w:rsidR="00A50B0C">
        <w:rPr>
          <w:rFonts w:ascii="Arial" w:hAnsi="Arial" w:cs="Arial"/>
          <w:sz w:val="24"/>
          <w:szCs w:val="24"/>
        </w:rPr>
        <w:t>Cong</w:t>
      </w:r>
      <w:r w:rsidR="00793168">
        <w:rPr>
          <w:rFonts w:ascii="Arial" w:hAnsi="Arial" w:cs="Arial"/>
          <w:sz w:val="24"/>
          <w:szCs w:val="24"/>
        </w:rPr>
        <w:t>leton</w:t>
      </w:r>
      <w:proofErr w:type="spellEnd"/>
      <w:r w:rsidR="00793168">
        <w:rPr>
          <w:rFonts w:ascii="Arial" w:hAnsi="Arial" w:cs="Arial"/>
          <w:sz w:val="24"/>
          <w:szCs w:val="24"/>
        </w:rPr>
        <w:t xml:space="preserve"> Borough Council (2003)</w:t>
      </w:r>
      <w:r w:rsidR="003D72B6">
        <w:rPr>
          <w:rFonts w:ascii="Arial" w:hAnsi="Arial" w:cs="Arial"/>
          <w:sz w:val="24"/>
          <w:szCs w:val="24"/>
        </w:rPr>
        <w:t>.</w:t>
      </w:r>
      <w:r w:rsidR="00BA587A">
        <w:rPr>
          <w:rFonts w:ascii="Arial" w:hAnsi="Arial" w:cs="Arial"/>
          <w:sz w:val="24"/>
          <w:szCs w:val="24"/>
        </w:rPr>
        <w:t xml:space="preserve"> </w:t>
      </w:r>
      <w:r w:rsidR="003D72B6">
        <w:rPr>
          <w:rFonts w:ascii="Arial" w:hAnsi="Arial" w:cs="Arial"/>
          <w:sz w:val="24"/>
          <w:szCs w:val="24"/>
        </w:rPr>
        <w:t xml:space="preserve">However, </w:t>
      </w:r>
      <w:r w:rsidR="005B7DBE">
        <w:rPr>
          <w:rFonts w:ascii="Arial" w:hAnsi="Arial" w:cs="Arial"/>
          <w:sz w:val="24"/>
          <w:szCs w:val="24"/>
        </w:rPr>
        <w:t>i</w:t>
      </w:r>
      <w:r w:rsidR="00351B35">
        <w:rPr>
          <w:rFonts w:ascii="Arial" w:hAnsi="Arial" w:cs="Arial"/>
          <w:sz w:val="24"/>
          <w:szCs w:val="24"/>
        </w:rPr>
        <w:t>t is arguable that C</w:t>
      </w:r>
      <w:r w:rsidR="00885C98">
        <w:rPr>
          <w:rFonts w:ascii="Arial" w:hAnsi="Arial" w:cs="Arial"/>
          <w:sz w:val="24"/>
          <w:szCs w:val="24"/>
        </w:rPr>
        <w:t>PL</w:t>
      </w:r>
      <w:r w:rsidR="00351B35">
        <w:rPr>
          <w:rFonts w:ascii="Arial" w:hAnsi="Arial" w:cs="Arial"/>
          <w:sz w:val="24"/>
          <w:szCs w:val="24"/>
        </w:rPr>
        <w:t xml:space="preserve"> breached their duty of care by not ensuring that the structural integrity of the fence</w:t>
      </w:r>
      <w:r w:rsidR="003B4649">
        <w:rPr>
          <w:rFonts w:ascii="Arial" w:hAnsi="Arial" w:cs="Arial"/>
          <w:sz w:val="24"/>
          <w:szCs w:val="24"/>
        </w:rPr>
        <w:t xml:space="preserve"> and even though they couldn’t foresee the danger</w:t>
      </w:r>
      <w:r w:rsidR="00EF4384">
        <w:rPr>
          <w:rFonts w:ascii="Arial" w:hAnsi="Arial" w:cs="Arial"/>
          <w:sz w:val="24"/>
          <w:szCs w:val="24"/>
        </w:rPr>
        <w:t xml:space="preserve">, </w:t>
      </w:r>
      <w:r w:rsidR="003B4649">
        <w:rPr>
          <w:rFonts w:ascii="Arial" w:hAnsi="Arial" w:cs="Arial"/>
          <w:sz w:val="24"/>
          <w:szCs w:val="24"/>
        </w:rPr>
        <w:t>they were ignorant to the risk of the leaking water from the funhouse roof</w:t>
      </w:r>
      <w:r w:rsidR="0047229E">
        <w:rPr>
          <w:rFonts w:ascii="Arial" w:hAnsi="Arial" w:cs="Arial"/>
          <w:sz w:val="24"/>
          <w:szCs w:val="24"/>
        </w:rPr>
        <w:t xml:space="preserve"> as nothing was done about the issue for an extended period of time</w:t>
      </w:r>
      <w:r w:rsidR="003B4649">
        <w:rPr>
          <w:rFonts w:ascii="Arial" w:hAnsi="Arial" w:cs="Arial"/>
          <w:sz w:val="24"/>
          <w:szCs w:val="24"/>
        </w:rPr>
        <w:t xml:space="preserve">, a similar determination can be </w:t>
      </w:r>
      <w:r w:rsidR="00EF4384">
        <w:rPr>
          <w:rFonts w:ascii="Arial" w:hAnsi="Arial" w:cs="Arial"/>
          <w:sz w:val="24"/>
          <w:szCs w:val="24"/>
        </w:rPr>
        <w:t>seen in Harris v Birkenhead (1976)</w:t>
      </w:r>
      <w:r w:rsidR="003B4649">
        <w:rPr>
          <w:rFonts w:ascii="Arial" w:hAnsi="Arial" w:cs="Arial"/>
          <w:sz w:val="24"/>
          <w:szCs w:val="24"/>
        </w:rPr>
        <w:t>.</w:t>
      </w:r>
      <w:r w:rsidR="00351B35">
        <w:rPr>
          <w:rFonts w:ascii="Arial" w:hAnsi="Arial" w:cs="Arial"/>
          <w:sz w:val="24"/>
          <w:szCs w:val="24"/>
        </w:rPr>
        <w:t xml:space="preserve"> was sound as </w:t>
      </w:r>
      <w:r w:rsidR="00DC366F">
        <w:rPr>
          <w:rFonts w:ascii="Arial" w:hAnsi="Arial" w:cs="Arial"/>
          <w:sz w:val="24"/>
          <w:szCs w:val="24"/>
        </w:rPr>
        <w:t>they should have foreseen</w:t>
      </w:r>
      <w:r w:rsidR="00351B35">
        <w:rPr>
          <w:rFonts w:ascii="Arial" w:hAnsi="Arial" w:cs="Arial"/>
          <w:sz w:val="24"/>
          <w:szCs w:val="24"/>
        </w:rPr>
        <w:t xml:space="preserve"> that a visitor, especially a child, would lean against the</w:t>
      </w:r>
      <w:r w:rsidR="00272F46">
        <w:rPr>
          <w:rFonts w:ascii="Arial" w:hAnsi="Arial" w:cs="Arial"/>
          <w:sz w:val="24"/>
          <w:szCs w:val="24"/>
        </w:rPr>
        <w:t xml:space="preserve"> </w:t>
      </w:r>
      <w:r w:rsidR="00351B35">
        <w:rPr>
          <w:rFonts w:ascii="Arial" w:hAnsi="Arial" w:cs="Arial"/>
          <w:sz w:val="24"/>
          <w:szCs w:val="24"/>
        </w:rPr>
        <w:t>fence</w:t>
      </w:r>
      <w:r w:rsidR="00F012B3">
        <w:rPr>
          <w:rFonts w:ascii="Arial" w:hAnsi="Arial" w:cs="Arial"/>
          <w:sz w:val="24"/>
          <w:szCs w:val="24"/>
        </w:rPr>
        <w:t xml:space="preserve"> being completely</w:t>
      </w:r>
      <w:r w:rsidR="00272F46">
        <w:rPr>
          <w:rFonts w:ascii="Arial" w:hAnsi="Arial" w:cs="Arial"/>
          <w:sz w:val="24"/>
          <w:szCs w:val="24"/>
        </w:rPr>
        <w:t xml:space="preserve"> unaware that it was rotten</w:t>
      </w:r>
      <w:r w:rsidR="00351B35">
        <w:rPr>
          <w:rFonts w:ascii="Arial" w:hAnsi="Arial" w:cs="Arial"/>
          <w:sz w:val="24"/>
          <w:szCs w:val="24"/>
        </w:rPr>
        <w:t>, if C</w:t>
      </w:r>
      <w:r w:rsidR="00885C98">
        <w:rPr>
          <w:rFonts w:ascii="Arial" w:hAnsi="Arial" w:cs="Arial"/>
          <w:sz w:val="24"/>
          <w:szCs w:val="24"/>
        </w:rPr>
        <w:t>PL</w:t>
      </w:r>
      <w:r w:rsidR="00351B35">
        <w:rPr>
          <w:rFonts w:ascii="Arial" w:hAnsi="Arial" w:cs="Arial"/>
          <w:sz w:val="24"/>
          <w:szCs w:val="24"/>
        </w:rPr>
        <w:t xml:space="preserve"> took this measure of precaution </w:t>
      </w:r>
      <w:r w:rsidR="00CB0951">
        <w:rPr>
          <w:rFonts w:ascii="Arial" w:hAnsi="Arial" w:cs="Arial"/>
          <w:sz w:val="24"/>
          <w:szCs w:val="24"/>
        </w:rPr>
        <w:t xml:space="preserve">and been more careful then </w:t>
      </w:r>
      <w:r w:rsidR="006C6DC7">
        <w:rPr>
          <w:rFonts w:ascii="Arial" w:hAnsi="Arial" w:cs="Arial"/>
          <w:sz w:val="24"/>
          <w:szCs w:val="24"/>
        </w:rPr>
        <w:t xml:space="preserve">Leo wouldn’t have sustained these injuries. </w:t>
      </w:r>
    </w:p>
    <w:p w14:paraId="782A9102" w14:textId="2F0E57D9" w:rsidR="0068394B" w:rsidRDefault="00BB2973" w:rsidP="004879C4">
      <w:pPr>
        <w:spacing w:line="480" w:lineRule="auto"/>
        <w:rPr>
          <w:rFonts w:ascii="Arial" w:hAnsi="Arial" w:cs="Arial"/>
          <w:sz w:val="24"/>
          <w:szCs w:val="24"/>
        </w:rPr>
      </w:pPr>
      <w:r>
        <w:rPr>
          <w:rFonts w:ascii="Arial" w:hAnsi="Arial" w:cs="Arial"/>
          <w:sz w:val="24"/>
          <w:szCs w:val="24"/>
        </w:rPr>
        <w:t xml:space="preserve">Now, moving on and assessing the course of events that occurred in Millie’s case, </w:t>
      </w:r>
      <w:r w:rsidR="00BA11F2">
        <w:rPr>
          <w:rFonts w:ascii="Arial" w:hAnsi="Arial" w:cs="Arial"/>
          <w:sz w:val="24"/>
          <w:szCs w:val="24"/>
        </w:rPr>
        <w:t xml:space="preserve">OLA 1984 </w:t>
      </w:r>
      <w:r w:rsidR="000A7140">
        <w:rPr>
          <w:rFonts w:ascii="Arial" w:hAnsi="Arial" w:cs="Arial"/>
          <w:sz w:val="24"/>
          <w:szCs w:val="24"/>
        </w:rPr>
        <w:t xml:space="preserve">specifically </w:t>
      </w:r>
      <w:r w:rsidR="00BA11F2">
        <w:rPr>
          <w:rFonts w:ascii="Arial" w:hAnsi="Arial" w:cs="Arial"/>
          <w:sz w:val="24"/>
          <w:szCs w:val="24"/>
        </w:rPr>
        <w:t>is</w:t>
      </w:r>
      <w:r w:rsidR="000A7140">
        <w:rPr>
          <w:rFonts w:ascii="Arial" w:hAnsi="Arial" w:cs="Arial"/>
          <w:sz w:val="24"/>
          <w:szCs w:val="24"/>
        </w:rPr>
        <w:t xml:space="preserve"> relevant here with the particular reason for this being the action Millie took in climbing over the fence</w:t>
      </w:r>
      <w:r w:rsidR="00B94787">
        <w:rPr>
          <w:rFonts w:ascii="Arial" w:hAnsi="Arial" w:cs="Arial"/>
          <w:sz w:val="24"/>
          <w:szCs w:val="24"/>
        </w:rPr>
        <w:t xml:space="preserve"> and not paying the entrance fee</w:t>
      </w:r>
      <w:r w:rsidR="000A7140">
        <w:rPr>
          <w:rFonts w:ascii="Arial" w:hAnsi="Arial" w:cs="Arial"/>
          <w:sz w:val="24"/>
          <w:szCs w:val="24"/>
        </w:rPr>
        <w:t xml:space="preserve">. </w:t>
      </w:r>
      <w:r w:rsidR="005650F0">
        <w:rPr>
          <w:rFonts w:ascii="Arial" w:hAnsi="Arial" w:cs="Arial"/>
          <w:sz w:val="24"/>
          <w:szCs w:val="24"/>
        </w:rPr>
        <w:t xml:space="preserve">OLA 1984 was an amendment to the original act that was made to encompass the issue </w:t>
      </w:r>
      <w:r w:rsidR="005650F0">
        <w:rPr>
          <w:rFonts w:ascii="Arial" w:hAnsi="Arial" w:cs="Arial"/>
          <w:sz w:val="24"/>
          <w:szCs w:val="24"/>
        </w:rPr>
        <w:lastRenderedPageBreak/>
        <w:t xml:space="preserve">of trespassers in the act and how occupiers could potentially owe them a duty of care. </w:t>
      </w:r>
      <w:r w:rsidR="0079777B">
        <w:rPr>
          <w:rFonts w:ascii="Arial" w:hAnsi="Arial" w:cs="Arial"/>
          <w:sz w:val="24"/>
          <w:szCs w:val="24"/>
        </w:rPr>
        <w:t>Before OLA 1984 was developed, Lord Pearson stated when overruling the duty of the occupier which was established in Addy and Sons v Dumbreck (1929) in Herrington v British Railway Board (1972)</w:t>
      </w:r>
      <w:r w:rsidR="005D7A45">
        <w:rPr>
          <w:rFonts w:ascii="Arial" w:hAnsi="Arial" w:cs="Arial"/>
          <w:sz w:val="24"/>
          <w:szCs w:val="24"/>
        </w:rPr>
        <w:t>, “In my opinion the Addie v Dumbreck formulation of the duty of the occupier to trespasser is plainly inadequate for modern conditions and its rigid and restrictive character has impeded the proper development of common law in its field.”</w:t>
      </w:r>
      <w:r w:rsidR="0079777B">
        <w:rPr>
          <w:rFonts w:ascii="Arial" w:hAnsi="Arial" w:cs="Arial"/>
          <w:sz w:val="24"/>
          <w:szCs w:val="24"/>
        </w:rPr>
        <w:t xml:space="preserve"> </w:t>
      </w:r>
      <w:r w:rsidR="00A45D7C">
        <w:rPr>
          <w:rFonts w:ascii="Arial" w:hAnsi="Arial" w:cs="Arial"/>
          <w:sz w:val="24"/>
          <w:szCs w:val="24"/>
        </w:rPr>
        <w:t>The main point as to why OLA 1984 could be relevant is that it could be argued that</w:t>
      </w:r>
      <w:r w:rsidR="00101FAD">
        <w:rPr>
          <w:rFonts w:ascii="Arial" w:hAnsi="Arial" w:cs="Arial"/>
          <w:sz w:val="24"/>
          <w:szCs w:val="24"/>
        </w:rPr>
        <w:t xml:space="preserve"> </w:t>
      </w:r>
      <w:r w:rsidR="00885C98">
        <w:rPr>
          <w:rFonts w:ascii="Arial" w:hAnsi="Arial" w:cs="Arial"/>
          <w:sz w:val="24"/>
          <w:szCs w:val="24"/>
        </w:rPr>
        <w:t>CPL</w:t>
      </w:r>
      <w:r w:rsidR="00101FAD">
        <w:rPr>
          <w:rFonts w:ascii="Arial" w:hAnsi="Arial" w:cs="Arial"/>
          <w:sz w:val="24"/>
          <w:szCs w:val="24"/>
        </w:rPr>
        <w:t xml:space="preserve"> could have done more to ensure that the lights and electrics which came loose and fractured Millie’s skull were secure to where they couldn’t fall like this. </w:t>
      </w:r>
      <w:r w:rsidR="002B3DBE">
        <w:rPr>
          <w:rFonts w:ascii="Arial" w:hAnsi="Arial" w:cs="Arial"/>
          <w:sz w:val="24"/>
          <w:szCs w:val="24"/>
        </w:rPr>
        <w:t xml:space="preserve">In order to determine whether or not </w:t>
      </w:r>
      <w:r w:rsidR="00032DF4">
        <w:rPr>
          <w:rFonts w:ascii="Arial" w:hAnsi="Arial" w:cs="Arial"/>
          <w:sz w:val="24"/>
          <w:szCs w:val="24"/>
        </w:rPr>
        <w:t>CPL</w:t>
      </w:r>
      <w:r w:rsidR="002B3DBE">
        <w:rPr>
          <w:rFonts w:ascii="Arial" w:hAnsi="Arial" w:cs="Arial"/>
          <w:sz w:val="24"/>
          <w:szCs w:val="24"/>
        </w:rPr>
        <w:t xml:space="preserve"> owe duty of care to Millie in this scenario, section 1(3) of OLA offers </w:t>
      </w:r>
      <w:r w:rsidR="00970010">
        <w:rPr>
          <w:rFonts w:ascii="Arial" w:hAnsi="Arial" w:cs="Arial"/>
          <w:sz w:val="24"/>
          <w:szCs w:val="24"/>
        </w:rPr>
        <w:t xml:space="preserve">tests in which the court could point to and ask if a duty of care was owed to Millie as a trespasser. </w:t>
      </w:r>
      <w:r w:rsidR="009A6651">
        <w:rPr>
          <w:rFonts w:ascii="Arial" w:hAnsi="Arial" w:cs="Arial"/>
          <w:sz w:val="24"/>
          <w:szCs w:val="24"/>
        </w:rPr>
        <w:t xml:space="preserve">Paraphrasing </w:t>
      </w:r>
      <w:r w:rsidR="003C1AAD">
        <w:rPr>
          <w:rFonts w:ascii="Arial" w:hAnsi="Arial" w:cs="Arial"/>
          <w:sz w:val="24"/>
          <w:szCs w:val="24"/>
        </w:rPr>
        <w:t>S</w:t>
      </w:r>
      <w:r w:rsidR="00005330">
        <w:rPr>
          <w:rFonts w:ascii="Arial" w:hAnsi="Arial" w:cs="Arial"/>
          <w:sz w:val="24"/>
          <w:szCs w:val="24"/>
        </w:rPr>
        <w:t>1(3)</w:t>
      </w:r>
      <w:r w:rsidR="009A6651">
        <w:rPr>
          <w:rFonts w:ascii="Arial" w:hAnsi="Arial" w:cs="Arial"/>
          <w:sz w:val="24"/>
          <w:szCs w:val="24"/>
        </w:rPr>
        <w:t xml:space="preserve"> of the act, </w:t>
      </w:r>
      <w:r w:rsidR="003C1AAD">
        <w:rPr>
          <w:rFonts w:ascii="Arial" w:hAnsi="Arial" w:cs="Arial"/>
          <w:sz w:val="24"/>
          <w:szCs w:val="24"/>
        </w:rPr>
        <w:t>sub</w:t>
      </w:r>
      <w:r w:rsidR="009A6651">
        <w:rPr>
          <w:rFonts w:ascii="Arial" w:hAnsi="Arial" w:cs="Arial"/>
          <w:sz w:val="24"/>
          <w:szCs w:val="24"/>
        </w:rPr>
        <w:t>s</w:t>
      </w:r>
      <w:r w:rsidR="00970010">
        <w:rPr>
          <w:rFonts w:ascii="Arial" w:hAnsi="Arial" w:cs="Arial"/>
          <w:sz w:val="24"/>
          <w:szCs w:val="24"/>
        </w:rPr>
        <w:t xml:space="preserve">ection 1(3)(a) presents the question of </w:t>
      </w:r>
      <w:r w:rsidR="009A6651">
        <w:rPr>
          <w:rFonts w:ascii="Arial" w:hAnsi="Arial" w:cs="Arial"/>
          <w:sz w:val="24"/>
          <w:szCs w:val="24"/>
        </w:rPr>
        <w:t>‘</w:t>
      </w:r>
      <w:r w:rsidR="00970010">
        <w:rPr>
          <w:rFonts w:ascii="Arial" w:hAnsi="Arial" w:cs="Arial"/>
          <w:sz w:val="24"/>
          <w:szCs w:val="24"/>
        </w:rPr>
        <w:t>did the occupier know that the danger existed</w:t>
      </w:r>
      <w:r w:rsidR="009A6651">
        <w:rPr>
          <w:rFonts w:ascii="Arial" w:hAnsi="Arial" w:cs="Arial"/>
          <w:sz w:val="24"/>
          <w:szCs w:val="24"/>
        </w:rPr>
        <w:t>?’</w:t>
      </w:r>
      <w:r w:rsidR="007A68A3">
        <w:rPr>
          <w:rFonts w:ascii="Arial" w:hAnsi="Arial" w:cs="Arial"/>
          <w:sz w:val="24"/>
          <w:szCs w:val="24"/>
        </w:rPr>
        <w:t xml:space="preserve"> and seeks to establish if the occupier had reasonable grounds to believe that the person trespassing was in the vicinity of the danger or that the trespasser may </w:t>
      </w:r>
      <w:r w:rsidR="00847934">
        <w:rPr>
          <w:rFonts w:ascii="Arial" w:hAnsi="Arial" w:cs="Arial"/>
          <w:sz w:val="24"/>
          <w:szCs w:val="24"/>
        </w:rPr>
        <w:t xml:space="preserve">enter in the vicinity of the danger. Applying </w:t>
      </w:r>
      <w:r w:rsidR="00556279">
        <w:rPr>
          <w:rFonts w:ascii="Arial" w:hAnsi="Arial" w:cs="Arial"/>
          <w:sz w:val="24"/>
          <w:szCs w:val="24"/>
        </w:rPr>
        <w:t>sub</w:t>
      </w:r>
      <w:r w:rsidR="00847934">
        <w:rPr>
          <w:rFonts w:ascii="Arial" w:hAnsi="Arial" w:cs="Arial"/>
          <w:sz w:val="24"/>
          <w:szCs w:val="24"/>
        </w:rPr>
        <w:t xml:space="preserve">section 1(3)(a) and (b) to this situation, it should also be said that case law shows that even where </w:t>
      </w:r>
      <w:r w:rsidR="00420205">
        <w:rPr>
          <w:rFonts w:ascii="Arial" w:hAnsi="Arial" w:cs="Arial"/>
          <w:sz w:val="24"/>
          <w:szCs w:val="24"/>
        </w:rPr>
        <w:t xml:space="preserve">the occupier may </w:t>
      </w:r>
      <w:r w:rsidR="007639E6">
        <w:rPr>
          <w:rFonts w:ascii="Arial" w:hAnsi="Arial" w:cs="Arial"/>
          <w:sz w:val="24"/>
          <w:szCs w:val="24"/>
        </w:rPr>
        <w:t>not be completely aware of the danger, but it could be argued should’ve been aware and have taken the precautions necessary, which</w:t>
      </w:r>
      <w:r w:rsidR="003772F3">
        <w:rPr>
          <w:rFonts w:ascii="Arial" w:hAnsi="Arial" w:cs="Arial"/>
          <w:sz w:val="24"/>
          <w:szCs w:val="24"/>
        </w:rPr>
        <w:t xml:space="preserve"> is exactly what</w:t>
      </w:r>
      <w:r w:rsidR="007639E6">
        <w:rPr>
          <w:rFonts w:ascii="Arial" w:hAnsi="Arial" w:cs="Arial"/>
          <w:sz w:val="24"/>
          <w:szCs w:val="24"/>
        </w:rPr>
        <w:t xml:space="preserve"> was </w:t>
      </w:r>
      <w:r w:rsidR="003772F3">
        <w:rPr>
          <w:rFonts w:ascii="Arial" w:hAnsi="Arial" w:cs="Arial"/>
          <w:sz w:val="24"/>
          <w:szCs w:val="24"/>
        </w:rPr>
        <w:t>displayed</w:t>
      </w:r>
      <w:r w:rsidR="007639E6">
        <w:rPr>
          <w:rFonts w:ascii="Arial" w:hAnsi="Arial" w:cs="Arial"/>
          <w:sz w:val="24"/>
          <w:szCs w:val="24"/>
        </w:rPr>
        <w:t xml:space="preserve"> in the outcome of Harris v Birkenhead (1976). </w:t>
      </w:r>
      <w:r w:rsidR="00C163C9">
        <w:rPr>
          <w:rFonts w:ascii="Arial" w:hAnsi="Arial" w:cs="Arial"/>
          <w:sz w:val="24"/>
          <w:szCs w:val="24"/>
        </w:rPr>
        <w:t xml:space="preserve">Advising </w:t>
      </w:r>
      <w:r w:rsidR="00032DF4">
        <w:rPr>
          <w:rFonts w:ascii="Arial" w:hAnsi="Arial" w:cs="Arial"/>
          <w:sz w:val="24"/>
          <w:szCs w:val="24"/>
        </w:rPr>
        <w:t>CPL</w:t>
      </w:r>
      <w:r w:rsidR="00C163C9">
        <w:rPr>
          <w:rFonts w:ascii="Arial" w:hAnsi="Arial" w:cs="Arial"/>
          <w:sz w:val="24"/>
          <w:szCs w:val="24"/>
        </w:rPr>
        <w:t xml:space="preserve"> on their liability regarding </w:t>
      </w:r>
      <w:r w:rsidR="009941C7">
        <w:rPr>
          <w:rFonts w:ascii="Arial" w:hAnsi="Arial" w:cs="Arial"/>
          <w:sz w:val="24"/>
          <w:szCs w:val="24"/>
        </w:rPr>
        <w:t>the injuries that Millie</w:t>
      </w:r>
      <w:r w:rsidR="00C163C9">
        <w:rPr>
          <w:rFonts w:ascii="Arial" w:hAnsi="Arial" w:cs="Arial"/>
          <w:sz w:val="24"/>
          <w:szCs w:val="24"/>
        </w:rPr>
        <w:t xml:space="preserve"> sustained, </w:t>
      </w:r>
      <w:r w:rsidR="00032DF4">
        <w:rPr>
          <w:rFonts w:ascii="Arial" w:hAnsi="Arial" w:cs="Arial"/>
          <w:sz w:val="24"/>
          <w:szCs w:val="24"/>
        </w:rPr>
        <w:t>CPL</w:t>
      </w:r>
      <w:r w:rsidR="009941C7">
        <w:rPr>
          <w:rFonts w:ascii="Arial" w:hAnsi="Arial" w:cs="Arial"/>
          <w:sz w:val="24"/>
          <w:szCs w:val="24"/>
        </w:rPr>
        <w:t xml:space="preserve"> were not aware of the danger of the equipment falling as this was also responsible for the fire which resulted in a number of customers losing their lives and being injured which will be discussed shortly. </w:t>
      </w:r>
      <w:r w:rsidR="00E16292">
        <w:rPr>
          <w:rFonts w:ascii="Arial" w:hAnsi="Arial" w:cs="Arial"/>
          <w:sz w:val="24"/>
          <w:szCs w:val="24"/>
        </w:rPr>
        <w:t xml:space="preserve">But, in terms of the </w:t>
      </w:r>
      <w:r w:rsidR="0073099A">
        <w:rPr>
          <w:rFonts w:ascii="Arial" w:hAnsi="Arial" w:cs="Arial"/>
          <w:sz w:val="24"/>
          <w:szCs w:val="24"/>
        </w:rPr>
        <w:t>equipment</w:t>
      </w:r>
      <w:r w:rsidR="00614A91">
        <w:rPr>
          <w:rFonts w:ascii="Arial" w:hAnsi="Arial" w:cs="Arial"/>
          <w:sz w:val="24"/>
          <w:szCs w:val="24"/>
        </w:rPr>
        <w:t xml:space="preserve"> being the factor in </w:t>
      </w:r>
      <w:r w:rsidR="00E16292">
        <w:rPr>
          <w:rFonts w:ascii="Arial" w:hAnsi="Arial" w:cs="Arial"/>
          <w:sz w:val="24"/>
          <w:szCs w:val="24"/>
        </w:rPr>
        <w:t xml:space="preserve">injuring Millie, this could not have been foreseen by </w:t>
      </w:r>
      <w:r w:rsidR="00032DF4">
        <w:rPr>
          <w:rFonts w:ascii="Arial" w:hAnsi="Arial" w:cs="Arial"/>
          <w:sz w:val="24"/>
          <w:szCs w:val="24"/>
        </w:rPr>
        <w:t>CPL</w:t>
      </w:r>
      <w:r w:rsidR="00E16292">
        <w:rPr>
          <w:rFonts w:ascii="Arial" w:hAnsi="Arial" w:cs="Arial"/>
          <w:sz w:val="24"/>
          <w:szCs w:val="24"/>
        </w:rPr>
        <w:t xml:space="preserve"> as they had already </w:t>
      </w:r>
      <w:r w:rsidR="00E16292">
        <w:rPr>
          <w:rFonts w:ascii="Arial" w:hAnsi="Arial" w:cs="Arial"/>
          <w:sz w:val="24"/>
          <w:szCs w:val="24"/>
        </w:rPr>
        <w:lastRenderedPageBreak/>
        <w:t xml:space="preserve">installed a high perimeter fence in attempt to deter potential trespassers, </w:t>
      </w:r>
      <w:r w:rsidR="00614A91">
        <w:rPr>
          <w:rFonts w:ascii="Arial" w:hAnsi="Arial" w:cs="Arial"/>
          <w:sz w:val="24"/>
          <w:szCs w:val="24"/>
        </w:rPr>
        <w:t xml:space="preserve">so </w:t>
      </w:r>
      <w:r w:rsidR="005330D7">
        <w:rPr>
          <w:rFonts w:ascii="Arial" w:hAnsi="Arial" w:cs="Arial"/>
          <w:sz w:val="24"/>
          <w:szCs w:val="24"/>
        </w:rPr>
        <w:t xml:space="preserve">considering </w:t>
      </w:r>
      <w:r w:rsidR="00614A91">
        <w:rPr>
          <w:rFonts w:ascii="Arial" w:hAnsi="Arial" w:cs="Arial"/>
          <w:sz w:val="24"/>
          <w:szCs w:val="24"/>
        </w:rPr>
        <w:t>the facts of the case</w:t>
      </w:r>
      <w:r w:rsidR="005330D7">
        <w:rPr>
          <w:rFonts w:ascii="Arial" w:hAnsi="Arial" w:cs="Arial"/>
          <w:sz w:val="24"/>
          <w:szCs w:val="24"/>
        </w:rPr>
        <w:t xml:space="preserve"> and weighing it up against the argument</w:t>
      </w:r>
      <w:r w:rsidR="00F31E27">
        <w:rPr>
          <w:rFonts w:ascii="Arial" w:hAnsi="Arial" w:cs="Arial"/>
          <w:sz w:val="24"/>
          <w:szCs w:val="24"/>
        </w:rPr>
        <w:t>s</w:t>
      </w:r>
      <w:r w:rsidR="005330D7">
        <w:rPr>
          <w:rFonts w:ascii="Arial" w:hAnsi="Arial" w:cs="Arial"/>
          <w:sz w:val="24"/>
          <w:szCs w:val="24"/>
        </w:rPr>
        <w:t xml:space="preserve"> OLA 1984 S1(3) offer, </w:t>
      </w:r>
      <w:r w:rsidR="00614A91">
        <w:rPr>
          <w:rFonts w:ascii="Arial" w:hAnsi="Arial" w:cs="Arial"/>
          <w:sz w:val="24"/>
          <w:szCs w:val="24"/>
        </w:rPr>
        <w:t xml:space="preserve">Millie as an adult went to </w:t>
      </w:r>
      <w:r w:rsidR="00571FCA">
        <w:rPr>
          <w:rFonts w:ascii="Arial" w:hAnsi="Arial" w:cs="Arial"/>
          <w:sz w:val="24"/>
          <w:szCs w:val="24"/>
        </w:rPr>
        <w:t>the lengths of climbing over the fence and jumping so there was no way to foresee Millie being positioned where she was and therefor</w:t>
      </w:r>
      <w:r w:rsidR="006C4C1C">
        <w:rPr>
          <w:rFonts w:ascii="Arial" w:hAnsi="Arial" w:cs="Arial"/>
          <w:sz w:val="24"/>
          <w:szCs w:val="24"/>
        </w:rPr>
        <w:t xml:space="preserve">e </w:t>
      </w:r>
      <w:r w:rsidR="00032DF4">
        <w:rPr>
          <w:rFonts w:ascii="Arial" w:hAnsi="Arial" w:cs="Arial"/>
          <w:sz w:val="24"/>
          <w:szCs w:val="24"/>
        </w:rPr>
        <w:t>CPL</w:t>
      </w:r>
      <w:r w:rsidR="006C4C1C">
        <w:rPr>
          <w:rFonts w:ascii="Arial" w:hAnsi="Arial" w:cs="Arial"/>
          <w:sz w:val="24"/>
          <w:szCs w:val="24"/>
        </w:rPr>
        <w:t xml:space="preserve"> </w:t>
      </w:r>
      <w:r w:rsidR="004F52D2">
        <w:rPr>
          <w:rFonts w:ascii="Arial" w:hAnsi="Arial" w:cs="Arial"/>
          <w:sz w:val="24"/>
          <w:szCs w:val="24"/>
        </w:rPr>
        <w:t>cannot be liable as they didn’t owe a duty of care to Millie</w:t>
      </w:r>
      <w:r w:rsidR="00D510AD">
        <w:rPr>
          <w:rFonts w:ascii="Arial" w:hAnsi="Arial" w:cs="Arial"/>
          <w:sz w:val="24"/>
          <w:szCs w:val="24"/>
        </w:rPr>
        <w:t xml:space="preserve"> in the context of this situation when considering all the factors </w:t>
      </w:r>
      <w:r w:rsidR="0068394B">
        <w:rPr>
          <w:rFonts w:ascii="Arial" w:hAnsi="Arial" w:cs="Arial"/>
          <w:sz w:val="24"/>
          <w:szCs w:val="24"/>
        </w:rPr>
        <w:t xml:space="preserve">that have been </w:t>
      </w:r>
      <w:r w:rsidR="00D510AD">
        <w:rPr>
          <w:rFonts w:ascii="Arial" w:hAnsi="Arial" w:cs="Arial"/>
          <w:sz w:val="24"/>
          <w:szCs w:val="24"/>
        </w:rPr>
        <w:t>discussed</w:t>
      </w:r>
      <w:r w:rsidR="0068394B">
        <w:rPr>
          <w:rFonts w:ascii="Arial" w:hAnsi="Arial" w:cs="Arial"/>
          <w:sz w:val="24"/>
          <w:szCs w:val="24"/>
        </w:rPr>
        <w:t xml:space="preserve">. </w:t>
      </w:r>
    </w:p>
    <w:p w14:paraId="05FDB981" w14:textId="22156420" w:rsidR="001F5055" w:rsidRPr="008A4DFF" w:rsidRDefault="0068394B" w:rsidP="004879C4">
      <w:pPr>
        <w:spacing w:line="480" w:lineRule="auto"/>
        <w:rPr>
          <w:rFonts w:ascii="Arial" w:hAnsi="Arial" w:cs="Arial"/>
          <w:bCs/>
          <w:sz w:val="24"/>
          <w:szCs w:val="24"/>
        </w:rPr>
      </w:pPr>
      <w:r>
        <w:rPr>
          <w:rFonts w:ascii="Arial" w:hAnsi="Arial" w:cs="Arial"/>
          <w:sz w:val="24"/>
          <w:szCs w:val="24"/>
        </w:rPr>
        <w:t xml:space="preserve">Addressing the fire caused by equipment falling from above </w:t>
      </w:r>
      <w:r w:rsidR="00CE6404">
        <w:rPr>
          <w:rFonts w:ascii="Arial" w:hAnsi="Arial" w:cs="Arial"/>
          <w:sz w:val="24"/>
          <w:szCs w:val="24"/>
        </w:rPr>
        <w:t>which</w:t>
      </w:r>
      <w:r>
        <w:rPr>
          <w:rFonts w:ascii="Arial" w:hAnsi="Arial" w:cs="Arial"/>
          <w:sz w:val="24"/>
          <w:szCs w:val="24"/>
        </w:rPr>
        <w:t xml:space="preserve"> impacted Nia and Owen </w:t>
      </w:r>
      <w:r w:rsidR="00CE6404">
        <w:rPr>
          <w:rFonts w:ascii="Arial" w:hAnsi="Arial" w:cs="Arial"/>
          <w:sz w:val="24"/>
          <w:szCs w:val="24"/>
        </w:rPr>
        <w:t xml:space="preserve">psychologically, </w:t>
      </w:r>
      <w:r w:rsidR="008A4DFF">
        <w:rPr>
          <w:rFonts w:ascii="Arial" w:hAnsi="Arial" w:cs="Arial"/>
          <w:sz w:val="24"/>
          <w:szCs w:val="24"/>
        </w:rPr>
        <w:t xml:space="preserve">firstly it is important to the status of the victims in terms of who is a ‘primary’ victim and who is a ‘secondary’ victim, this is significant because it impacts </w:t>
      </w:r>
      <w:r w:rsidR="008D4450">
        <w:rPr>
          <w:rFonts w:ascii="Arial" w:hAnsi="Arial" w:cs="Arial"/>
          <w:sz w:val="24"/>
          <w:szCs w:val="24"/>
        </w:rPr>
        <w:t>occupiers’</w:t>
      </w:r>
      <w:r w:rsidR="008A4DFF">
        <w:rPr>
          <w:rFonts w:ascii="Arial" w:hAnsi="Arial" w:cs="Arial"/>
          <w:sz w:val="24"/>
          <w:szCs w:val="24"/>
        </w:rPr>
        <w:t xml:space="preserve"> liability, </w:t>
      </w:r>
      <w:r w:rsidR="004E72B3">
        <w:rPr>
          <w:rFonts w:ascii="Arial" w:hAnsi="Arial" w:cs="Arial"/>
          <w:sz w:val="24"/>
          <w:szCs w:val="24"/>
        </w:rPr>
        <w:t xml:space="preserve">citing </w:t>
      </w:r>
      <w:r w:rsidR="006C3955">
        <w:rPr>
          <w:rFonts w:ascii="Arial" w:hAnsi="Arial" w:cs="Arial"/>
          <w:sz w:val="24"/>
          <w:szCs w:val="24"/>
        </w:rPr>
        <w:t>Lexis PSL (n.d., para.</w:t>
      </w:r>
      <w:r w:rsidR="002F23F8">
        <w:rPr>
          <w:rFonts w:ascii="Arial" w:hAnsi="Arial" w:cs="Arial"/>
          <w:sz w:val="24"/>
          <w:szCs w:val="24"/>
        </w:rPr>
        <w:t xml:space="preserve"> 2)</w:t>
      </w:r>
      <w:r w:rsidR="00F2681A">
        <w:rPr>
          <w:rFonts w:ascii="Arial" w:hAnsi="Arial" w:cs="Arial"/>
          <w:sz w:val="24"/>
          <w:szCs w:val="24"/>
        </w:rPr>
        <w:t xml:space="preserve">, </w:t>
      </w:r>
      <w:r w:rsidR="008A4DFF">
        <w:rPr>
          <w:rFonts w:ascii="Arial" w:hAnsi="Arial" w:cs="Arial"/>
          <w:sz w:val="24"/>
          <w:szCs w:val="24"/>
        </w:rPr>
        <w:t xml:space="preserve">this can be seen in </w:t>
      </w:r>
      <w:r w:rsidR="008A4DFF" w:rsidRPr="007E0CEA">
        <w:rPr>
          <w:rFonts w:ascii="Arial" w:hAnsi="Arial" w:cs="Arial"/>
          <w:bCs/>
          <w:sz w:val="24"/>
          <w:szCs w:val="24"/>
        </w:rPr>
        <w:t>Alcock v CC South Yorkshire (1992)</w:t>
      </w:r>
      <w:r w:rsidR="00EF478C">
        <w:rPr>
          <w:rFonts w:ascii="Arial" w:hAnsi="Arial" w:cs="Arial"/>
          <w:bCs/>
          <w:sz w:val="24"/>
          <w:szCs w:val="24"/>
        </w:rPr>
        <w:t xml:space="preserve"> where examples of primary victims are established</w:t>
      </w:r>
      <w:r w:rsidR="008A4DFF">
        <w:rPr>
          <w:rFonts w:ascii="Arial" w:hAnsi="Arial" w:cs="Arial"/>
          <w:bCs/>
          <w:sz w:val="24"/>
          <w:szCs w:val="24"/>
        </w:rPr>
        <w:t>.</w:t>
      </w:r>
      <w:r w:rsidR="00A14C7B">
        <w:rPr>
          <w:rFonts w:ascii="Arial" w:hAnsi="Arial" w:cs="Arial"/>
          <w:bCs/>
          <w:sz w:val="24"/>
          <w:szCs w:val="24"/>
        </w:rPr>
        <w:t xml:space="preserve"> </w:t>
      </w:r>
      <w:r w:rsidR="00CB0017">
        <w:rPr>
          <w:rFonts w:ascii="Arial" w:hAnsi="Arial" w:cs="Arial"/>
          <w:bCs/>
          <w:sz w:val="24"/>
          <w:szCs w:val="24"/>
        </w:rPr>
        <w:t xml:space="preserve">To </w:t>
      </w:r>
      <w:r w:rsidR="00E1581A">
        <w:rPr>
          <w:rFonts w:ascii="Arial" w:hAnsi="Arial" w:cs="Arial"/>
          <w:bCs/>
          <w:sz w:val="24"/>
          <w:szCs w:val="24"/>
        </w:rPr>
        <w:t xml:space="preserve">quote </w:t>
      </w:r>
      <w:r w:rsidR="00CB0017">
        <w:rPr>
          <w:rFonts w:ascii="Arial" w:hAnsi="Arial" w:cs="Arial"/>
          <w:bCs/>
          <w:sz w:val="24"/>
          <w:szCs w:val="24"/>
        </w:rPr>
        <w:t>Crawford (2019</w:t>
      </w:r>
      <w:r w:rsidR="00CE7931">
        <w:rPr>
          <w:rFonts w:ascii="Arial" w:hAnsi="Arial" w:cs="Arial"/>
          <w:bCs/>
          <w:sz w:val="24"/>
          <w:szCs w:val="24"/>
        </w:rPr>
        <w:t>, para. 3)</w:t>
      </w:r>
      <w:r w:rsidR="00E1581A">
        <w:rPr>
          <w:rFonts w:ascii="Arial" w:hAnsi="Arial" w:cs="Arial"/>
          <w:bCs/>
          <w:sz w:val="24"/>
          <w:szCs w:val="24"/>
        </w:rPr>
        <w:t>, a primary victim can be defined as “involved as an active participant and suffers physical injury (or was at risk of suffering physical injury) due to someone else negligence.”</w:t>
      </w:r>
      <w:r w:rsidR="00116918">
        <w:rPr>
          <w:rFonts w:ascii="Arial" w:hAnsi="Arial" w:cs="Arial"/>
          <w:bCs/>
          <w:sz w:val="24"/>
          <w:szCs w:val="24"/>
        </w:rPr>
        <w:t xml:space="preserve"> And a secondary victim can be defined as someone that “suffers psychiatric injury due to witnessing negligence to a primary victim, but who was not at risk of physical injury themselves.” So, </w:t>
      </w:r>
      <w:r w:rsidR="00D732B3">
        <w:rPr>
          <w:rFonts w:ascii="Arial" w:hAnsi="Arial" w:cs="Arial"/>
          <w:bCs/>
          <w:sz w:val="24"/>
          <w:szCs w:val="24"/>
        </w:rPr>
        <w:t>looking at the facts of the case regarding Nia and Owen, Nia is a primary victim because she was at risk of physical injury due to being on the ride where the fire started and Owen is a secondary victim due to him being on the other side of the park where he was not at risk of physical injury</w:t>
      </w:r>
      <w:r w:rsidR="007F4CF7">
        <w:rPr>
          <w:rFonts w:ascii="Arial" w:hAnsi="Arial" w:cs="Arial"/>
          <w:bCs/>
          <w:sz w:val="24"/>
          <w:szCs w:val="24"/>
        </w:rPr>
        <w:t xml:space="preserve">, </w:t>
      </w:r>
      <w:r w:rsidR="00EA1669">
        <w:rPr>
          <w:rFonts w:ascii="Arial" w:hAnsi="Arial" w:cs="Arial"/>
          <w:bCs/>
          <w:sz w:val="24"/>
          <w:szCs w:val="24"/>
        </w:rPr>
        <w:t>however, what could potential impact this is he</w:t>
      </w:r>
      <w:r w:rsidR="007F4CF7">
        <w:rPr>
          <w:rFonts w:ascii="Arial" w:hAnsi="Arial" w:cs="Arial"/>
          <w:bCs/>
          <w:sz w:val="24"/>
          <w:szCs w:val="24"/>
        </w:rPr>
        <w:t xml:space="preserve"> </w:t>
      </w:r>
      <w:r w:rsidR="00EA1669">
        <w:rPr>
          <w:rFonts w:ascii="Arial" w:hAnsi="Arial" w:cs="Arial"/>
          <w:bCs/>
          <w:sz w:val="24"/>
          <w:szCs w:val="24"/>
        </w:rPr>
        <w:t>witnessed</w:t>
      </w:r>
      <w:r w:rsidR="007F4CF7">
        <w:rPr>
          <w:rFonts w:ascii="Arial" w:hAnsi="Arial" w:cs="Arial"/>
          <w:bCs/>
          <w:sz w:val="24"/>
          <w:szCs w:val="24"/>
        </w:rPr>
        <w:t xml:space="preserve"> the incident </w:t>
      </w:r>
      <w:r w:rsidR="00EA1669">
        <w:rPr>
          <w:rFonts w:ascii="Arial" w:hAnsi="Arial" w:cs="Arial"/>
          <w:bCs/>
          <w:sz w:val="24"/>
          <w:szCs w:val="24"/>
        </w:rPr>
        <w:t>with the knowledge that</w:t>
      </w:r>
      <w:r w:rsidR="007F4CF7">
        <w:rPr>
          <w:rFonts w:ascii="Arial" w:hAnsi="Arial" w:cs="Arial"/>
          <w:bCs/>
          <w:sz w:val="24"/>
          <w:szCs w:val="24"/>
        </w:rPr>
        <w:t xml:space="preserve"> his sister was on the ride which resulted in psychiatric harm</w:t>
      </w:r>
      <w:r w:rsidR="00D732B3">
        <w:rPr>
          <w:rFonts w:ascii="Arial" w:hAnsi="Arial" w:cs="Arial"/>
          <w:bCs/>
          <w:sz w:val="24"/>
          <w:szCs w:val="24"/>
        </w:rPr>
        <w:t xml:space="preserve">. </w:t>
      </w:r>
      <w:r w:rsidR="00EA1669">
        <w:rPr>
          <w:rFonts w:ascii="Arial" w:hAnsi="Arial" w:cs="Arial"/>
          <w:bCs/>
          <w:sz w:val="24"/>
          <w:szCs w:val="24"/>
        </w:rPr>
        <w:t xml:space="preserve">Nia is </w:t>
      </w:r>
      <w:r w:rsidR="00C5157A">
        <w:rPr>
          <w:rFonts w:ascii="Arial" w:hAnsi="Arial" w:cs="Arial"/>
          <w:bCs/>
          <w:sz w:val="24"/>
          <w:szCs w:val="24"/>
        </w:rPr>
        <w:t>undeniably a primary victim in this,</w:t>
      </w:r>
      <w:r w:rsidR="002866C2">
        <w:rPr>
          <w:rFonts w:ascii="Arial" w:hAnsi="Arial" w:cs="Arial"/>
          <w:bCs/>
          <w:sz w:val="24"/>
          <w:szCs w:val="24"/>
        </w:rPr>
        <w:t xml:space="preserve"> so </w:t>
      </w:r>
      <w:r w:rsidR="00FC48DE">
        <w:rPr>
          <w:rFonts w:ascii="Arial" w:hAnsi="Arial" w:cs="Arial"/>
          <w:bCs/>
          <w:sz w:val="24"/>
          <w:szCs w:val="24"/>
        </w:rPr>
        <w:t>CPL</w:t>
      </w:r>
      <w:r w:rsidR="002866C2">
        <w:rPr>
          <w:rFonts w:ascii="Arial" w:hAnsi="Arial" w:cs="Arial"/>
          <w:bCs/>
          <w:sz w:val="24"/>
          <w:szCs w:val="24"/>
        </w:rPr>
        <w:t xml:space="preserve"> would be liable for negligence based on the decision made in Page v Smith (1996), where the victim wasn’t physically injured, but physical injury was foreseeable and along with this, even though it could be argued that psychiatric wasn’t foreseeable, it was irrelevant.</w:t>
      </w:r>
      <w:r w:rsidR="00566E4E">
        <w:rPr>
          <w:rFonts w:ascii="Arial" w:hAnsi="Arial" w:cs="Arial"/>
          <w:bCs/>
          <w:sz w:val="24"/>
          <w:szCs w:val="24"/>
        </w:rPr>
        <w:t xml:space="preserve"> </w:t>
      </w:r>
      <w:r w:rsidR="00566E4E">
        <w:rPr>
          <w:rFonts w:ascii="Arial" w:hAnsi="Arial" w:cs="Arial"/>
          <w:bCs/>
          <w:sz w:val="24"/>
          <w:szCs w:val="24"/>
        </w:rPr>
        <w:lastRenderedPageBreak/>
        <w:t xml:space="preserve">The situation </w:t>
      </w:r>
      <w:proofErr w:type="spellStart"/>
      <w:r w:rsidR="00AF7DBB">
        <w:rPr>
          <w:rFonts w:ascii="Arial" w:hAnsi="Arial" w:cs="Arial"/>
          <w:bCs/>
          <w:sz w:val="24"/>
          <w:szCs w:val="24"/>
        </w:rPr>
        <w:t>Nia</w:t>
      </w:r>
      <w:proofErr w:type="spellEnd"/>
      <w:r w:rsidR="00AF7DBB">
        <w:rPr>
          <w:rFonts w:ascii="Arial" w:hAnsi="Arial" w:cs="Arial"/>
          <w:bCs/>
          <w:sz w:val="24"/>
          <w:szCs w:val="24"/>
        </w:rPr>
        <w:t xml:space="preserve"> found herself in can be</w:t>
      </w:r>
      <w:r w:rsidR="001D13B5">
        <w:rPr>
          <w:rFonts w:ascii="Arial" w:hAnsi="Arial" w:cs="Arial"/>
          <w:bCs/>
          <w:sz w:val="24"/>
          <w:szCs w:val="24"/>
        </w:rPr>
        <w:t xml:space="preserve"> likened to the ‘zone of danger’, where despite being uninjured </w:t>
      </w:r>
      <w:r w:rsidR="00025AA7">
        <w:rPr>
          <w:rFonts w:ascii="Arial" w:hAnsi="Arial" w:cs="Arial"/>
          <w:bCs/>
          <w:sz w:val="24"/>
          <w:szCs w:val="24"/>
        </w:rPr>
        <w:t xml:space="preserve">physically, she was still psychologically harmed due to negligence of CPL. </w:t>
      </w:r>
      <w:r w:rsidR="002866C2">
        <w:rPr>
          <w:rFonts w:ascii="Arial" w:hAnsi="Arial" w:cs="Arial"/>
          <w:bCs/>
          <w:sz w:val="24"/>
          <w:szCs w:val="24"/>
        </w:rPr>
        <w:t xml:space="preserve">Applying the principles from Page v Smith to </w:t>
      </w:r>
      <w:proofErr w:type="spellStart"/>
      <w:r w:rsidR="002866C2">
        <w:rPr>
          <w:rFonts w:ascii="Arial" w:hAnsi="Arial" w:cs="Arial"/>
          <w:bCs/>
          <w:sz w:val="24"/>
          <w:szCs w:val="24"/>
        </w:rPr>
        <w:t>Nia’s</w:t>
      </w:r>
      <w:proofErr w:type="spellEnd"/>
      <w:r w:rsidR="002866C2">
        <w:rPr>
          <w:rFonts w:ascii="Arial" w:hAnsi="Arial" w:cs="Arial"/>
          <w:bCs/>
          <w:sz w:val="24"/>
          <w:szCs w:val="24"/>
        </w:rPr>
        <w:t xml:space="preserve"> case and </w:t>
      </w:r>
      <w:r w:rsidR="00FC48DE">
        <w:rPr>
          <w:rFonts w:ascii="Arial" w:hAnsi="Arial" w:cs="Arial"/>
          <w:bCs/>
          <w:sz w:val="24"/>
          <w:szCs w:val="24"/>
        </w:rPr>
        <w:t>CPL’s</w:t>
      </w:r>
      <w:r w:rsidR="002866C2">
        <w:rPr>
          <w:rFonts w:ascii="Arial" w:hAnsi="Arial" w:cs="Arial"/>
          <w:bCs/>
          <w:sz w:val="24"/>
          <w:szCs w:val="24"/>
        </w:rPr>
        <w:t xml:space="preserve"> liability</w:t>
      </w:r>
      <w:r w:rsidR="000442A2">
        <w:rPr>
          <w:rFonts w:ascii="Arial" w:hAnsi="Arial" w:cs="Arial"/>
          <w:bCs/>
          <w:sz w:val="24"/>
          <w:szCs w:val="24"/>
        </w:rPr>
        <w:t xml:space="preserve"> coupled with the facts of the case</w:t>
      </w:r>
      <w:r w:rsidR="002866C2">
        <w:rPr>
          <w:rFonts w:ascii="Arial" w:hAnsi="Arial" w:cs="Arial"/>
          <w:bCs/>
          <w:sz w:val="24"/>
          <w:szCs w:val="24"/>
        </w:rPr>
        <w:t xml:space="preserve">, </w:t>
      </w:r>
      <w:proofErr w:type="spellStart"/>
      <w:r w:rsidR="006E55DE">
        <w:rPr>
          <w:rFonts w:ascii="Arial" w:hAnsi="Arial" w:cs="Arial"/>
          <w:bCs/>
          <w:sz w:val="24"/>
          <w:szCs w:val="24"/>
        </w:rPr>
        <w:t>Nia</w:t>
      </w:r>
      <w:proofErr w:type="spellEnd"/>
      <w:r w:rsidR="006E55DE">
        <w:rPr>
          <w:rFonts w:ascii="Arial" w:hAnsi="Arial" w:cs="Arial"/>
          <w:bCs/>
          <w:sz w:val="24"/>
          <w:szCs w:val="24"/>
        </w:rPr>
        <w:t xml:space="preserve"> should be awarded damages.</w:t>
      </w:r>
      <w:r w:rsidR="002866C2">
        <w:rPr>
          <w:rFonts w:ascii="Arial" w:hAnsi="Arial" w:cs="Arial"/>
          <w:bCs/>
          <w:sz w:val="24"/>
          <w:szCs w:val="24"/>
        </w:rPr>
        <w:t xml:space="preserve"> </w:t>
      </w:r>
      <w:r w:rsidR="00C5157A">
        <w:rPr>
          <w:rFonts w:ascii="Arial" w:hAnsi="Arial" w:cs="Arial"/>
          <w:bCs/>
          <w:sz w:val="24"/>
          <w:szCs w:val="24"/>
        </w:rPr>
        <w:t>Owen being considered a secondary victim could be argued against as Nia is his sister and he received a text message from her saying that she was on the ride</w:t>
      </w:r>
      <w:r w:rsidR="00666C87">
        <w:rPr>
          <w:rFonts w:ascii="Arial" w:hAnsi="Arial" w:cs="Arial"/>
          <w:bCs/>
          <w:sz w:val="24"/>
          <w:szCs w:val="24"/>
        </w:rPr>
        <w:t xml:space="preserve">, this can be seen in McLoughlin v O’Brian (1983). In McLoughlin v O’Brian, </w:t>
      </w:r>
      <w:r w:rsidR="001A6289">
        <w:rPr>
          <w:rFonts w:ascii="Arial" w:hAnsi="Arial" w:cs="Arial"/>
          <w:bCs/>
          <w:sz w:val="24"/>
          <w:szCs w:val="24"/>
        </w:rPr>
        <w:t>the claimant had depression</w:t>
      </w:r>
      <w:r w:rsidR="001E4CC0">
        <w:rPr>
          <w:rFonts w:ascii="Arial" w:hAnsi="Arial" w:cs="Arial"/>
          <w:bCs/>
          <w:sz w:val="24"/>
          <w:szCs w:val="24"/>
        </w:rPr>
        <w:t xml:space="preserve"> and other issues</w:t>
      </w:r>
      <w:r w:rsidR="001A6289">
        <w:rPr>
          <w:rFonts w:ascii="Arial" w:hAnsi="Arial" w:cs="Arial"/>
          <w:bCs/>
          <w:sz w:val="24"/>
          <w:szCs w:val="24"/>
        </w:rPr>
        <w:t xml:space="preserve"> which </w:t>
      </w:r>
      <w:r w:rsidR="001E4CC0">
        <w:rPr>
          <w:rFonts w:ascii="Arial" w:hAnsi="Arial" w:cs="Arial"/>
          <w:bCs/>
          <w:sz w:val="24"/>
          <w:szCs w:val="24"/>
        </w:rPr>
        <w:t>were</w:t>
      </w:r>
      <w:r w:rsidR="001A6289">
        <w:rPr>
          <w:rFonts w:ascii="Arial" w:hAnsi="Arial" w:cs="Arial"/>
          <w:bCs/>
          <w:sz w:val="24"/>
          <w:szCs w:val="24"/>
        </w:rPr>
        <w:t xml:space="preserve"> considered</w:t>
      </w:r>
      <w:r w:rsidR="001E4CC0">
        <w:rPr>
          <w:rFonts w:ascii="Arial" w:hAnsi="Arial" w:cs="Arial"/>
          <w:bCs/>
          <w:sz w:val="24"/>
          <w:szCs w:val="24"/>
        </w:rPr>
        <w:t xml:space="preserve"> </w:t>
      </w:r>
      <w:r w:rsidR="001A6289">
        <w:rPr>
          <w:rFonts w:ascii="Arial" w:hAnsi="Arial" w:cs="Arial"/>
          <w:bCs/>
          <w:sz w:val="24"/>
          <w:szCs w:val="24"/>
        </w:rPr>
        <w:t>psychiatric injur</w:t>
      </w:r>
      <w:r w:rsidR="001E4CC0">
        <w:rPr>
          <w:rFonts w:ascii="Arial" w:hAnsi="Arial" w:cs="Arial"/>
          <w:bCs/>
          <w:sz w:val="24"/>
          <w:szCs w:val="24"/>
        </w:rPr>
        <w:t>ies</w:t>
      </w:r>
      <w:r w:rsidR="001A6289">
        <w:rPr>
          <w:rFonts w:ascii="Arial" w:hAnsi="Arial" w:cs="Arial"/>
          <w:bCs/>
          <w:sz w:val="24"/>
          <w:szCs w:val="24"/>
        </w:rPr>
        <w:t xml:space="preserve"> due to a car acciden</w:t>
      </w:r>
      <w:r w:rsidR="00F140C0">
        <w:rPr>
          <w:rFonts w:ascii="Arial" w:hAnsi="Arial" w:cs="Arial"/>
          <w:bCs/>
          <w:sz w:val="24"/>
          <w:szCs w:val="24"/>
        </w:rPr>
        <w:t>t involving their family members</w:t>
      </w:r>
      <w:r w:rsidR="00622919">
        <w:rPr>
          <w:rFonts w:ascii="Arial" w:hAnsi="Arial" w:cs="Arial"/>
          <w:bCs/>
          <w:sz w:val="24"/>
          <w:szCs w:val="24"/>
        </w:rPr>
        <w:t xml:space="preserve">, despite not being physically in the accident the claimant was </w:t>
      </w:r>
      <w:r w:rsidR="001E4CC0">
        <w:rPr>
          <w:rFonts w:ascii="Arial" w:hAnsi="Arial" w:cs="Arial"/>
          <w:bCs/>
          <w:sz w:val="24"/>
          <w:szCs w:val="24"/>
        </w:rPr>
        <w:t xml:space="preserve">entitled to recover for the psychiatric injuries, the particular reason for this being that they were in proximity of the immediate aftermath of the incident. McLoughlin v O’Brian could assist Owen when determining </w:t>
      </w:r>
      <w:r w:rsidR="00FC48DE">
        <w:rPr>
          <w:rFonts w:ascii="Arial" w:hAnsi="Arial" w:cs="Arial"/>
          <w:bCs/>
          <w:sz w:val="24"/>
          <w:szCs w:val="24"/>
        </w:rPr>
        <w:t>CPL’s</w:t>
      </w:r>
      <w:r w:rsidR="001E4CC0">
        <w:rPr>
          <w:rFonts w:ascii="Arial" w:hAnsi="Arial" w:cs="Arial"/>
          <w:bCs/>
          <w:sz w:val="24"/>
          <w:szCs w:val="24"/>
        </w:rPr>
        <w:t xml:space="preserve"> liability for his depression brought on by the inciden</w:t>
      </w:r>
      <w:r w:rsidR="0006059C">
        <w:rPr>
          <w:rFonts w:ascii="Arial" w:hAnsi="Arial" w:cs="Arial"/>
          <w:bCs/>
          <w:sz w:val="24"/>
          <w:szCs w:val="24"/>
        </w:rPr>
        <w:t xml:space="preserve">t. </w:t>
      </w:r>
    </w:p>
    <w:p w14:paraId="42DD8E1B" w14:textId="09C34777" w:rsidR="00BB2973" w:rsidRDefault="00BB2973" w:rsidP="004879C4">
      <w:pPr>
        <w:spacing w:line="480" w:lineRule="auto"/>
        <w:rPr>
          <w:rFonts w:ascii="Arial" w:hAnsi="Arial" w:cs="Arial"/>
          <w:sz w:val="24"/>
          <w:szCs w:val="24"/>
        </w:rPr>
      </w:pPr>
    </w:p>
    <w:p w14:paraId="23996624" w14:textId="4EF0389C" w:rsidR="001F5055" w:rsidRDefault="001F5055" w:rsidP="004879C4">
      <w:pPr>
        <w:spacing w:line="480" w:lineRule="auto"/>
        <w:rPr>
          <w:rFonts w:ascii="Arial" w:hAnsi="Arial" w:cs="Arial"/>
          <w:sz w:val="24"/>
          <w:szCs w:val="24"/>
        </w:rPr>
      </w:pPr>
    </w:p>
    <w:p w14:paraId="08DE6D65" w14:textId="03C81BA3" w:rsidR="001F5055" w:rsidRDefault="001F5055" w:rsidP="004879C4">
      <w:pPr>
        <w:spacing w:line="480" w:lineRule="auto"/>
        <w:rPr>
          <w:rFonts w:ascii="Arial" w:hAnsi="Arial" w:cs="Arial"/>
          <w:sz w:val="24"/>
          <w:szCs w:val="24"/>
        </w:rPr>
      </w:pPr>
      <w:r>
        <w:rPr>
          <w:rFonts w:ascii="Arial" w:hAnsi="Arial" w:cs="Arial"/>
          <w:sz w:val="24"/>
          <w:szCs w:val="24"/>
        </w:rPr>
        <w:br w:type="page"/>
      </w:r>
    </w:p>
    <w:p w14:paraId="2ED8F277" w14:textId="6A56CBAB" w:rsidR="001F5055" w:rsidRDefault="001F5055" w:rsidP="004879C4">
      <w:pPr>
        <w:spacing w:line="480" w:lineRule="auto"/>
        <w:rPr>
          <w:rFonts w:ascii="Arial" w:hAnsi="Arial" w:cs="Arial"/>
          <w:sz w:val="24"/>
          <w:szCs w:val="24"/>
          <w:u w:val="single"/>
        </w:rPr>
      </w:pPr>
      <w:r>
        <w:rPr>
          <w:rFonts w:ascii="Arial" w:hAnsi="Arial" w:cs="Arial"/>
          <w:sz w:val="24"/>
          <w:szCs w:val="24"/>
          <w:u w:val="single"/>
        </w:rPr>
        <w:lastRenderedPageBreak/>
        <w:t>References</w:t>
      </w:r>
    </w:p>
    <w:p w14:paraId="7318CD22" w14:textId="22E20F00" w:rsidR="0081656F" w:rsidRDefault="0081656F" w:rsidP="004879C4">
      <w:pPr>
        <w:spacing w:after="0" w:line="480" w:lineRule="auto"/>
        <w:divId w:val="689071367"/>
        <w:rPr>
          <w:rFonts w:ascii="Arial" w:eastAsia="Times New Roman" w:hAnsi="Arial" w:cs="Arial"/>
          <w:color w:val="000000"/>
          <w:sz w:val="24"/>
          <w:szCs w:val="24"/>
          <w:lang w:eastAsia="en-GB"/>
        </w:rPr>
      </w:pPr>
      <w:r w:rsidRPr="0081656F">
        <w:rPr>
          <w:rFonts w:ascii="Arial" w:eastAsia="Times New Roman" w:hAnsi="Arial" w:cs="Arial"/>
          <w:color w:val="000000"/>
          <w:sz w:val="24"/>
          <w:szCs w:val="24"/>
          <w:lang w:eastAsia="en-GB"/>
        </w:rPr>
        <w:t>Crawford, L. (2019). </w:t>
      </w:r>
      <w:r w:rsidRPr="0081656F">
        <w:rPr>
          <w:rFonts w:ascii="Arial" w:eastAsia="Times New Roman" w:hAnsi="Arial" w:cs="Arial"/>
          <w:i/>
          <w:iCs/>
          <w:color w:val="000000"/>
          <w:sz w:val="24"/>
          <w:szCs w:val="24"/>
          <w:lang w:eastAsia="en-GB"/>
        </w:rPr>
        <w:t>When can someone be considered a secondary victim?.</w:t>
      </w:r>
      <w:r w:rsidRPr="0081656F">
        <w:rPr>
          <w:rFonts w:ascii="Arial" w:eastAsia="Times New Roman" w:hAnsi="Arial" w:cs="Arial"/>
          <w:color w:val="000000"/>
          <w:sz w:val="24"/>
          <w:szCs w:val="24"/>
          <w:lang w:eastAsia="en-GB"/>
        </w:rPr>
        <w:t xml:space="preserve"> Available: </w:t>
      </w:r>
      <w:hyperlink r:id="rId4" w:history="1">
        <w:r w:rsidR="003868B2" w:rsidRPr="004B0EA4">
          <w:rPr>
            <w:rStyle w:val="Hyperlink"/>
            <w:rFonts w:ascii="Arial" w:eastAsia="Times New Roman" w:hAnsi="Arial" w:cs="Arial"/>
            <w:sz w:val="24"/>
            <w:szCs w:val="24"/>
            <w:lang w:eastAsia="en-GB"/>
          </w:rPr>
          <w:t>https://www.roydswithyking.com/when-someone-considered-secondary-victim/</w:t>
        </w:r>
      </w:hyperlink>
      <w:r w:rsidRPr="0081656F">
        <w:rPr>
          <w:rFonts w:ascii="Arial" w:eastAsia="Times New Roman" w:hAnsi="Arial" w:cs="Arial"/>
          <w:color w:val="000000"/>
          <w:sz w:val="24"/>
          <w:szCs w:val="24"/>
          <w:lang w:eastAsia="en-GB"/>
        </w:rPr>
        <w:t>.</w:t>
      </w:r>
      <w:r w:rsidR="003868B2">
        <w:rPr>
          <w:rFonts w:ascii="Arial" w:eastAsia="Times New Roman" w:hAnsi="Arial" w:cs="Arial"/>
          <w:color w:val="000000"/>
          <w:sz w:val="24"/>
          <w:szCs w:val="24"/>
          <w:lang w:eastAsia="en-GB"/>
        </w:rPr>
        <w:t xml:space="preserve"> </w:t>
      </w:r>
      <w:r w:rsidRPr="0081656F">
        <w:rPr>
          <w:rFonts w:ascii="Arial" w:eastAsia="Times New Roman" w:hAnsi="Arial" w:cs="Arial"/>
          <w:color w:val="000000"/>
          <w:sz w:val="24"/>
          <w:szCs w:val="24"/>
          <w:lang w:eastAsia="en-GB"/>
        </w:rPr>
        <w:t>Last accessed 14th Dec 202</w:t>
      </w:r>
      <w:r w:rsidR="000A6617">
        <w:rPr>
          <w:rFonts w:ascii="Arial" w:eastAsia="Times New Roman" w:hAnsi="Arial" w:cs="Arial"/>
          <w:color w:val="000000"/>
          <w:sz w:val="24"/>
          <w:szCs w:val="24"/>
          <w:lang w:eastAsia="en-GB"/>
        </w:rPr>
        <w:t xml:space="preserve">1. </w:t>
      </w:r>
    </w:p>
    <w:p w14:paraId="6FB72B36" w14:textId="073B17E1" w:rsidR="00801D24" w:rsidRDefault="00801D24" w:rsidP="004879C4">
      <w:pPr>
        <w:spacing w:after="0" w:line="480" w:lineRule="auto"/>
        <w:divId w:val="689071367"/>
        <w:rPr>
          <w:rFonts w:ascii="Arial" w:eastAsia="Times New Roman" w:hAnsi="Arial" w:cs="Arial"/>
          <w:color w:val="000000"/>
          <w:sz w:val="24"/>
          <w:szCs w:val="24"/>
          <w:lang w:eastAsia="en-GB"/>
        </w:rPr>
      </w:pPr>
    </w:p>
    <w:p w14:paraId="21793C09" w14:textId="7B00D035" w:rsidR="00C56C7A" w:rsidRPr="00C56C7A" w:rsidRDefault="00C56C7A" w:rsidP="004879C4">
      <w:pPr>
        <w:spacing w:before="100" w:beforeAutospacing="1" w:after="100" w:afterAutospacing="1" w:line="480" w:lineRule="auto"/>
        <w:divId w:val="1360669409"/>
        <w:rPr>
          <w:rFonts w:ascii="Arial" w:hAnsi="Arial" w:cs="Arial"/>
          <w:color w:val="000000"/>
          <w:sz w:val="24"/>
          <w:szCs w:val="24"/>
          <w:lang w:eastAsia="en-GB"/>
        </w:rPr>
      </w:pPr>
      <w:r w:rsidRPr="00C56C7A">
        <w:rPr>
          <w:rFonts w:ascii="Arial" w:hAnsi="Arial" w:cs="Arial"/>
          <w:color w:val="000000"/>
          <w:sz w:val="24"/>
          <w:szCs w:val="24"/>
          <w:lang w:eastAsia="en-GB"/>
        </w:rPr>
        <w:t>Lexis PSL. (N.d.). </w:t>
      </w:r>
      <w:r w:rsidRPr="00C56C7A">
        <w:rPr>
          <w:rFonts w:ascii="Arial" w:hAnsi="Arial" w:cs="Arial"/>
          <w:i/>
          <w:iCs/>
          <w:color w:val="000000"/>
          <w:sz w:val="24"/>
          <w:szCs w:val="24"/>
          <w:lang w:eastAsia="en-GB"/>
        </w:rPr>
        <w:t>Psychiatric injury—primary victims.</w:t>
      </w:r>
      <w:r w:rsidRPr="00C56C7A">
        <w:rPr>
          <w:rFonts w:ascii="Arial" w:hAnsi="Arial" w:cs="Arial"/>
          <w:color w:val="000000"/>
          <w:sz w:val="24"/>
          <w:szCs w:val="24"/>
          <w:lang w:eastAsia="en-GB"/>
        </w:rPr>
        <w:t xml:space="preserve"> Available: </w:t>
      </w:r>
      <w:hyperlink r:id="rId5" w:history="1">
        <w:r w:rsidRPr="00C56C7A">
          <w:rPr>
            <w:rStyle w:val="Hyperlink"/>
            <w:rFonts w:ascii="Arial" w:hAnsi="Arial" w:cs="Arial"/>
            <w:sz w:val="24"/>
            <w:szCs w:val="24"/>
            <w:lang w:eastAsia="en-GB"/>
          </w:rPr>
          <w:t>https://www.lexisnexis.co.uk/legal/guidance/psychiatric-injury-primary-victims</w:t>
        </w:r>
      </w:hyperlink>
      <w:r w:rsidRPr="00C56C7A">
        <w:rPr>
          <w:rFonts w:ascii="Arial" w:hAnsi="Arial" w:cs="Arial"/>
          <w:color w:val="000000"/>
          <w:sz w:val="24"/>
          <w:szCs w:val="24"/>
          <w:lang w:eastAsia="en-GB"/>
        </w:rPr>
        <w:t>.</w:t>
      </w:r>
      <w:r>
        <w:rPr>
          <w:rFonts w:ascii="Arial" w:hAnsi="Arial" w:cs="Arial"/>
          <w:color w:val="000000"/>
          <w:sz w:val="24"/>
          <w:szCs w:val="24"/>
          <w:lang w:eastAsia="en-GB"/>
        </w:rPr>
        <w:t xml:space="preserve"> </w:t>
      </w:r>
      <w:r w:rsidRPr="00C56C7A">
        <w:rPr>
          <w:rFonts w:ascii="Arial" w:hAnsi="Arial" w:cs="Arial"/>
          <w:color w:val="000000"/>
          <w:sz w:val="24"/>
          <w:szCs w:val="24"/>
          <w:lang w:eastAsia="en-GB"/>
        </w:rPr>
        <w:t>Last accessed 14 Dec 2021.</w:t>
      </w:r>
    </w:p>
    <w:p w14:paraId="4300EB2E" w14:textId="77777777" w:rsidR="00C56C7A" w:rsidRPr="00C56C7A" w:rsidRDefault="00C56C7A" w:rsidP="004879C4">
      <w:pPr>
        <w:spacing w:after="0" w:line="480" w:lineRule="auto"/>
        <w:divId w:val="1360669409"/>
        <w:rPr>
          <w:rFonts w:ascii="Times New Roman" w:eastAsia="Times New Roman" w:hAnsi="Times New Roman" w:cs="Times New Roman"/>
          <w:sz w:val="24"/>
          <w:szCs w:val="24"/>
          <w:lang w:eastAsia="en-GB"/>
        </w:rPr>
      </w:pPr>
    </w:p>
    <w:p w14:paraId="05CA73AA" w14:textId="23B0C347" w:rsidR="00801D24" w:rsidRDefault="00801D24" w:rsidP="004879C4">
      <w:pPr>
        <w:spacing w:line="480" w:lineRule="auto"/>
        <w:rPr>
          <w:rFonts w:ascii="Arial" w:eastAsia="Times New Roman" w:hAnsi="Arial" w:cs="Arial"/>
          <w:color w:val="000000"/>
          <w:spacing w:val="-5"/>
          <w:sz w:val="24"/>
          <w:szCs w:val="24"/>
          <w:shd w:val="clear" w:color="auto" w:fill="FFFFFF"/>
        </w:rPr>
      </w:pPr>
      <w:r w:rsidRPr="00801D24">
        <w:rPr>
          <w:rFonts w:ascii="Arial" w:eastAsia="Times New Roman" w:hAnsi="Arial" w:cs="Arial"/>
          <w:color w:val="000000"/>
          <w:spacing w:val="-5"/>
          <w:sz w:val="24"/>
          <w:szCs w:val="24"/>
          <w:shd w:val="clear" w:color="auto" w:fill="FFFFFF"/>
        </w:rPr>
        <w:t>Miller, C. J. (1972). Acting with Common Humanity. </w:t>
      </w:r>
      <w:r w:rsidRPr="00801D24">
        <w:rPr>
          <w:rFonts w:ascii="Arial" w:eastAsia="Times New Roman" w:hAnsi="Arial" w:cs="Arial"/>
          <w:i/>
          <w:iCs/>
          <w:color w:val="000000"/>
          <w:spacing w:val="-5"/>
          <w:sz w:val="24"/>
          <w:szCs w:val="24"/>
          <w:shd w:val="clear" w:color="auto" w:fill="FFFFFF"/>
        </w:rPr>
        <w:t>The Modern Law Review</w:t>
      </w:r>
      <w:r w:rsidRPr="00801D24">
        <w:rPr>
          <w:rFonts w:ascii="Arial" w:eastAsia="Times New Roman" w:hAnsi="Arial" w:cs="Arial"/>
          <w:color w:val="000000"/>
          <w:spacing w:val="-5"/>
          <w:sz w:val="24"/>
          <w:szCs w:val="24"/>
          <w:shd w:val="clear" w:color="auto" w:fill="FFFFFF"/>
        </w:rPr>
        <w:t>, </w:t>
      </w:r>
      <w:r w:rsidRPr="00801D24">
        <w:rPr>
          <w:rFonts w:ascii="Arial" w:eastAsia="Times New Roman" w:hAnsi="Arial" w:cs="Arial"/>
          <w:i/>
          <w:iCs/>
          <w:color w:val="000000"/>
          <w:spacing w:val="-5"/>
          <w:sz w:val="24"/>
          <w:szCs w:val="24"/>
          <w:shd w:val="clear" w:color="auto" w:fill="FFFFFF"/>
        </w:rPr>
        <w:t>35</w:t>
      </w:r>
      <w:r w:rsidRPr="00801D24">
        <w:rPr>
          <w:rFonts w:ascii="Arial" w:eastAsia="Times New Roman" w:hAnsi="Arial" w:cs="Arial"/>
          <w:color w:val="000000"/>
          <w:spacing w:val="-5"/>
          <w:sz w:val="24"/>
          <w:szCs w:val="24"/>
          <w:shd w:val="clear" w:color="auto" w:fill="FFFFFF"/>
        </w:rPr>
        <w:t>(4), 409–415.</w:t>
      </w:r>
    </w:p>
    <w:p w14:paraId="7BFA2B3E" w14:textId="2EB9F1F6" w:rsidR="001F5055" w:rsidRDefault="00C14C7D" w:rsidP="004879C4">
      <w:pPr>
        <w:spacing w:line="480" w:lineRule="auto"/>
        <w:rPr>
          <w:rFonts w:ascii="Arial" w:hAnsi="Arial" w:cs="Arial"/>
          <w:sz w:val="24"/>
          <w:szCs w:val="24"/>
        </w:rPr>
      </w:pPr>
      <w:r>
        <w:rPr>
          <w:rFonts w:ascii="Arial" w:eastAsia="Times New Roman" w:hAnsi="Arial" w:cs="Arial"/>
          <w:color w:val="000000"/>
          <w:spacing w:val="-5"/>
          <w:sz w:val="24"/>
          <w:szCs w:val="24"/>
          <w:shd w:val="clear" w:color="auto" w:fill="FFFFFF"/>
        </w:rPr>
        <w:t>Occupiers’ Liability Act 1957</w:t>
      </w:r>
      <w:r w:rsidR="00301135">
        <w:rPr>
          <w:rFonts w:ascii="Arial" w:eastAsia="Times New Roman" w:hAnsi="Arial" w:cs="Arial"/>
          <w:color w:val="000000"/>
          <w:spacing w:val="-5"/>
          <w:sz w:val="24"/>
          <w:szCs w:val="24"/>
          <w:shd w:val="clear" w:color="auto" w:fill="FFFFFF"/>
        </w:rPr>
        <w:t>, c. 31</w:t>
      </w:r>
      <w:r w:rsidR="009C2B0A">
        <w:rPr>
          <w:rFonts w:ascii="Arial" w:eastAsia="Times New Roman" w:hAnsi="Arial" w:cs="Arial"/>
          <w:color w:val="000000"/>
          <w:spacing w:val="-5"/>
          <w:sz w:val="24"/>
          <w:szCs w:val="24"/>
          <w:shd w:val="clear" w:color="auto" w:fill="FFFFFF"/>
        </w:rPr>
        <w:t>.</w:t>
      </w:r>
      <w:r w:rsidR="00FD4D74">
        <w:rPr>
          <w:rFonts w:ascii="Arial" w:eastAsia="Times New Roman" w:hAnsi="Arial" w:cs="Arial"/>
          <w:color w:val="000000"/>
          <w:spacing w:val="-5"/>
          <w:sz w:val="24"/>
          <w:szCs w:val="24"/>
          <w:shd w:val="clear" w:color="auto" w:fill="FFFFFF"/>
        </w:rPr>
        <w:t xml:space="preserve"> Available at: </w:t>
      </w:r>
      <w:hyperlink r:id="rId6" w:history="1">
        <w:r w:rsidR="00FD4D74" w:rsidRPr="004B0EA4">
          <w:rPr>
            <w:rStyle w:val="Hyperlink"/>
            <w:rFonts w:ascii="Arial" w:hAnsi="Arial" w:cs="Arial"/>
            <w:sz w:val="24"/>
            <w:szCs w:val="24"/>
          </w:rPr>
          <w:t>https://www.legislation.gov.uk/ukpga/Eliz2/5-6/31</w:t>
        </w:r>
      </w:hyperlink>
      <w:r w:rsidR="00FD4D74">
        <w:rPr>
          <w:rFonts w:ascii="Arial" w:hAnsi="Arial" w:cs="Arial"/>
          <w:sz w:val="24"/>
          <w:szCs w:val="24"/>
        </w:rPr>
        <w:t xml:space="preserve">. </w:t>
      </w:r>
      <w:r w:rsidR="00AC2FB7">
        <w:rPr>
          <w:rFonts w:ascii="Arial" w:hAnsi="Arial" w:cs="Arial"/>
          <w:sz w:val="24"/>
          <w:szCs w:val="24"/>
        </w:rPr>
        <w:t>Last Accessed 14</w:t>
      </w:r>
      <w:r w:rsidR="00AC2FB7" w:rsidRPr="00AC2FB7">
        <w:rPr>
          <w:rFonts w:ascii="Arial" w:hAnsi="Arial" w:cs="Arial"/>
          <w:sz w:val="24"/>
          <w:szCs w:val="24"/>
          <w:vertAlign w:val="superscript"/>
        </w:rPr>
        <w:t>th</w:t>
      </w:r>
      <w:r w:rsidR="00AC2FB7">
        <w:rPr>
          <w:rFonts w:ascii="Arial" w:hAnsi="Arial" w:cs="Arial"/>
          <w:sz w:val="24"/>
          <w:szCs w:val="24"/>
        </w:rPr>
        <w:t xml:space="preserve"> Dec 2021.</w:t>
      </w:r>
    </w:p>
    <w:p w14:paraId="19FFB217" w14:textId="4EADF5C4" w:rsidR="00E73306" w:rsidRPr="00E73306" w:rsidRDefault="00AC2FB7" w:rsidP="004879C4">
      <w:pPr>
        <w:spacing w:line="480" w:lineRule="auto"/>
        <w:rPr>
          <w:rFonts w:ascii="Arial" w:hAnsi="Arial" w:cs="Arial"/>
          <w:sz w:val="24"/>
          <w:szCs w:val="24"/>
        </w:rPr>
      </w:pPr>
      <w:r>
        <w:rPr>
          <w:rFonts w:ascii="Arial" w:hAnsi="Arial" w:cs="Arial"/>
          <w:sz w:val="24"/>
          <w:szCs w:val="24"/>
        </w:rPr>
        <w:t xml:space="preserve">Occupiers’ Liability Act 1984, </w:t>
      </w:r>
      <w:r w:rsidR="00DE4197">
        <w:rPr>
          <w:rFonts w:ascii="Arial" w:hAnsi="Arial" w:cs="Arial"/>
          <w:sz w:val="24"/>
          <w:szCs w:val="24"/>
        </w:rPr>
        <w:t>c. 3. Available at:</w:t>
      </w:r>
      <w:r w:rsidR="00E23E2C">
        <w:rPr>
          <w:rFonts w:ascii="Arial" w:hAnsi="Arial" w:cs="Arial"/>
          <w:sz w:val="24"/>
          <w:szCs w:val="24"/>
        </w:rPr>
        <w:t xml:space="preserve"> </w:t>
      </w:r>
      <w:hyperlink r:id="rId7" w:history="1">
        <w:r w:rsidR="00E73306" w:rsidRPr="004B0EA4">
          <w:rPr>
            <w:rStyle w:val="Hyperlink"/>
            <w:rFonts w:ascii="Arial" w:hAnsi="Arial" w:cs="Arial"/>
            <w:sz w:val="24"/>
            <w:szCs w:val="24"/>
          </w:rPr>
          <w:t>https://www.legislation.gov.uk/ukpga/1984/3/contents</w:t>
        </w:r>
      </w:hyperlink>
      <w:r w:rsidR="00E73306">
        <w:rPr>
          <w:rFonts w:ascii="Arial" w:hAnsi="Arial" w:cs="Arial"/>
          <w:sz w:val="24"/>
          <w:szCs w:val="24"/>
        </w:rPr>
        <w:t>. Last Accessed 14</w:t>
      </w:r>
      <w:r w:rsidR="00E73306" w:rsidRPr="00E73306">
        <w:rPr>
          <w:rFonts w:ascii="Arial" w:hAnsi="Arial" w:cs="Arial"/>
          <w:sz w:val="24"/>
          <w:szCs w:val="24"/>
          <w:vertAlign w:val="superscript"/>
        </w:rPr>
        <w:t>th</w:t>
      </w:r>
      <w:r w:rsidR="00E73306">
        <w:rPr>
          <w:rFonts w:ascii="Arial" w:hAnsi="Arial" w:cs="Arial"/>
          <w:sz w:val="24"/>
          <w:szCs w:val="24"/>
        </w:rPr>
        <w:t xml:space="preserve"> Dec 2021.</w:t>
      </w:r>
    </w:p>
    <w:p w14:paraId="66F1BA6F" w14:textId="77777777" w:rsidR="00E73306" w:rsidRDefault="00E73306" w:rsidP="004879C4">
      <w:pPr>
        <w:spacing w:line="480" w:lineRule="auto"/>
        <w:rPr>
          <w:rFonts w:ascii="Arial" w:hAnsi="Arial" w:cs="Arial"/>
          <w:sz w:val="24"/>
          <w:szCs w:val="24"/>
          <w:u w:val="single"/>
        </w:rPr>
      </w:pPr>
    </w:p>
    <w:p w14:paraId="5BF5DDF2" w14:textId="1EFDF62E" w:rsidR="001F5055" w:rsidRDefault="001F5055" w:rsidP="004879C4">
      <w:pPr>
        <w:spacing w:line="480" w:lineRule="auto"/>
        <w:rPr>
          <w:rFonts w:ascii="Arial" w:hAnsi="Arial" w:cs="Arial"/>
          <w:sz w:val="24"/>
          <w:szCs w:val="24"/>
          <w:u w:val="single"/>
        </w:rPr>
      </w:pPr>
      <w:r>
        <w:rPr>
          <w:rFonts w:ascii="Arial" w:hAnsi="Arial" w:cs="Arial"/>
          <w:sz w:val="24"/>
          <w:szCs w:val="24"/>
          <w:u w:val="single"/>
        </w:rPr>
        <w:t>Case List</w:t>
      </w:r>
    </w:p>
    <w:p w14:paraId="6AA3A540" w14:textId="2D2156B2" w:rsidR="002E34B6" w:rsidRPr="002E34B6" w:rsidRDefault="000E74F6" w:rsidP="004879C4">
      <w:pPr>
        <w:spacing w:line="480" w:lineRule="auto"/>
        <w:divId w:val="1200242732"/>
        <w:rPr>
          <w:rFonts w:ascii="Times New Roman" w:eastAsia="Times New Roman" w:hAnsi="Times New Roman" w:cs="Times New Roman"/>
          <w:sz w:val="24"/>
          <w:szCs w:val="24"/>
          <w:lang w:eastAsia="en-GB"/>
        </w:rPr>
      </w:pPr>
      <w:r>
        <w:rPr>
          <w:rFonts w:ascii="Arial" w:hAnsi="Arial" w:cs="Arial"/>
          <w:sz w:val="24"/>
          <w:szCs w:val="24"/>
        </w:rPr>
        <w:t>Add</w:t>
      </w:r>
      <w:r w:rsidR="00262703">
        <w:rPr>
          <w:rFonts w:ascii="Arial" w:hAnsi="Arial" w:cs="Arial"/>
          <w:sz w:val="24"/>
          <w:szCs w:val="24"/>
        </w:rPr>
        <w:t>ie</w:t>
      </w:r>
      <w:r>
        <w:rPr>
          <w:rFonts w:ascii="Arial" w:hAnsi="Arial" w:cs="Arial"/>
          <w:sz w:val="24"/>
          <w:szCs w:val="24"/>
        </w:rPr>
        <w:t xml:space="preserve"> and Sons v </w:t>
      </w:r>
      <w:proofErr w:type="spellStart"/>
      <w:r>
        <w:rPr>
          <w:rFonts w:ascii="Arial" w:hAnsi="Arial" w:cs="Arial"/>
          <w:sz w:val="24"/>
          <w:szCs w:val="24"/>
        </w:rPr>
        <w:t>Dumbreck</w:t>
      </w:r>
      <w:proofErr w:type="spellEnd"/>
      <w:r>
        <w:rPr>
          <w:rFonts w:ascii="Arial" w:hAnsi="Arial" w:cs="Arial"/>
          <w:sz w:val="24"/>
          <w:szCs w:val="24"/>
        </w:rPr>
        <w:t xml:space="preserve"> </w:t>
      </w:r>
      <w:r w:rsidR="00841286">
        <w:rPr>
          <w:rFonts w:ascii="Arial" w:hAnsi="Arial" w:cs="Arial"/>
          <w:sz w:val="24"/>
          <w:szCs w:val="24"/>
        </w:rPr>
        <w:t>[</w:t>
      </w:r>
      <w:r>
        <w:rPr>
          <w:rFonts w:ascii="Arial" w:hAnsi="Arial" w:cs="Arial"/>
          <w:sz w:val="24"/>
          <w:szCs w:val="24"/>
        </w:rPr>
        <w:t>1929</w:t>
      </w:r>
      <w:r w:rsidR="00841286">
        <w:rPr>
          <w:rFonts w:ascii="Arial" w:hAnsi="Arial" w:cs="Arial"/>
          <w:sz w:val="24"/>
          <w:szCs w:val="24"/>
        </w:rPr>
        <w:t>]</w:t>
      </w:r>
      <w:r w:rsidR="002E34B6">
        <w:rPr>
          <w:rFonts w:ascii="Arial" w:hAnsi="Arial" w:cs="Arial"/>
          <w:sz w:val="24"/>
          <w:szCs w:val="24"/>
        </w:rPr>
        <w:t xml:space="preserve"> </w:t>
      </w:r>
      <w:r w:rsidR="002E34B6" w:rsidRPr="002E34B6">
        <w:rPr>
          <w:rFonts w:ascii="Arial" w:eastAsia="Times New Roman" w:hAnsi="Arial" w:cs="Arial"/>
          <w:color w:val="212529"/>
          <w:sz w:val="24"/>
          <w:szCs w:val="24"/>
          <w:lang w:eastAsia="en-GB"/>
        </w:rPr>
        <w:t>AC 358</w:t>
      </w:r>
    </w:p>
    <w:p w14:paraId="1D8EA8BA" w14:textId="23076C35" w:rsidR="00D23A7D" w:rsidRDefault="000E74F6" w:rsidP="004879C4">
      <w:pPr>
        <w:spacing w:line="480" w:lineRule="auto"/>
        <w:divId w:val="370111053"/>
        <w:rPr>
          <w:rFonts w:ascii="Arial" w:eastAsia="Times New Roman" w:hAnsi="Arial" w:cs="Arial"/>
          <w:color w:val="212529"/>
          <w:sz w:val="24"/>
          <w:szCs w:val="24"/>
          <w:lang w:eastAsia="en-GB"/>
        </w:rPr>
      </w:pPr>
      <w:r>
        <w:rPr>
          <w:rFonts w:ascii="Arial" w:hAnsi="Arial" w:cs="Arial"/>
          <w:sz w:val="24"/>
          <w:szCs w:val="24"/>
        </w:rPr>
        <w:t xml:space="preserve">Wheat v </w:t>
      </w:r>
      <w:proofErr w:type="spellStart"/>
      <w:r>
        <w:rPr>
          <w:rFonts w:ascii="Arial" w:hAnsi="Arial" w:cs="Arial"/>
          <w:sz w:val="24"/>
          <w:szCs w:val="24"/>
        </w:rPr>
        <w:t>Lacon</w:t>
      </w:r>
      <w:proofErr w:type="spellEnd"/>
      <w:r>
        <w:rPr>
          <w:rFonts w:ascii="Arial" w:hAnsi="Arial" w:cs="Arial"/>
          <w:sz w:val="24"/>
          <w:szCs w:val="24"/>
        </w:rPr>
        <w:t xml:space="preserve"> </w:t>
      </w:r>
      <w:r w:rsidR="00841286">
        <w:rPr>
          <w:rFonts w:ascii="Arial" w:hAnsi="Arial" w:cs="Arial"/>
          <w:sz w:val="24"/>
          <w:szCs w:val="24"/>
        </w:rPr>
        <w:t>[</w:t>
      </w:r>
      <w:r>
        <w:rPr>
          <w:rFonts w:ascii="Arial" w:hAnsi="Arial" w:cs="Arial"/>
          <w:sz w:val="24"/>
          <w:szCs w:val="24"/>
        </w:rPr>
        <w:t>1966</w:t>
      </w:r>
      <w:r w:rsidR="00841286">
        <w:rPr>
          <w:rFonts w:ascii="Arial" w:hAnsi="Arial" w:cs="Arial"/>
          <w:sz w:val="24"/>
          <w:szCs w:val="24"/>
        </w:rPr>
        <w:t>]</w:t>
      </w:r>
      <w:r w:rsidR="00D23A7D">
        <w:rPr>
          <w:rFonts w:ascii="Arial" w:hAnsi="Arial" w:cs="Arial"/>
          <w:sz w:val="24"/>
          <w:szCs w:val="24"/>
        </w:rPr>
        <w:t xml:space="preserve"> </w:t>
      </w:r>
      <w:r w:rsidR="00D23A7D" w:rsidRPr="003A3C0B">
        <w:rPr>
          <w:rFonts w:ascii="Arial" w:eastAsia="Times New Roman" w:hAnsi="Arial" w:cs="Arial"/>
          <w:color w:val="212529"/>
          <w:sz w:val="24"/>
          <w:szCs w:val="24"/>
          <w:lang w:eastAsia="en-GB"/>
        </w:rPr>
        <w:t>AC 552</w:t>
      </w:r>
    </w:p>
    <w:p w14:paraId="1A847AE3" w14:textId="77777777" w:rsidR="007A3912" w:rsidRPr="007A3912" w:rsidRDefault="007A3912" w:rsidP="004879C4">
      <w:pPr>
        <w:spacing w:after="0" w:line="480" w:lineRule="auto"/>
        <w:divId w:val="491722943"/>
        <w:rPr>
          <w:rFonts w:ascii="Arial" w:eastAsia="Times New Roman" w:hAnsi="Arial" w:cs="Arial"/>
          <w:sz w:val="24"/>
          <w:szCs w:val="24"/>
          <w:lang w:eastAsia="en-GB"/>
        </w:rPr>
      </w:pPr>
      <w:r w:rsidRPr="007A3912">
        <w:rPr>
          <w:rFonts w:ascii="Arial" w:eastAsia="Times New Roman" w:hAnsi="Arial" w:cs="Arial"/>
          <w:i/>
          <w:iCs/>
          <w:color w:val="000000"/>
          <w:sz w:val="24"/>
          <w:szCs w:val="24"/>
          <w:lang w:eastAsia="en-GB"/>
        </w:rPr>
        <w:t>British Railways Board v Herrington</w:t>
      </w:r>
      <w:r w:rsidRPr="007A3912">
        <w:rPr>
          <w:rFonts w:ascii="Arial" w:eastAsia="Times New Roman" w:hAnsi="Arial" w:cs="Arial"/>
          <w:color w:val="000000"/>
          <w:sz w:val="24"/>
          <w:szCs w:val="24"/>
          <w:lang w:eastAsia="en-GB"/>
        </w:rPr>
        <w:t> [1972] AC 877</w:t>
      </w:r>
    </w:p>
    <w:p w14:paraId="61B27DCC" w14:textId="77777777" w:rsidR="007A3912" w:rsidRDefault="007A3912" w:rsidP="004879C4">
      <w:pPr>
        <w:spacing w:line="480" w:lineRule="auto"/>
        <w:divId w:val="1486781218"/>
        <w:rPr>
          <w:rFonts w:ascii="Arial" w:hAnsi="Arial" w:cs="Arial"/>
          <w:sz w:val="24"/>
          <w:szCs w:val="24"/>
        </w:rPr>
      </w:pPr>
    </w:p>
    <w:p w14:paraId="7F22377E" w14:textId="5C41C1BE" w:rsidR="000E74F6" w:rsidRPr="008C518D" w:rsidRDefault="00995F41" w:rsidP="004879C4">
      <w:pPr>
        <w:spacing w:line="480" w:lineRule="auto"/>
        <w:divId w:val="1486781218"/>
        <w:rPr>
          <w:rFonts w:ascii="Times New Roman" w:eastAsia="Times New Roman" w:hAnsi="Times New Roman" w:cs="Times New Roman"/>
          <w:sz w:val="24"/>
          <w:szCs w:val="24"/>
          <w:lang w:eastAsia="en-GB"/>
        </w:rPr>
      </w:pPr>
      <w:r>
        <w:rPr>
          <w:rFonts w:ascii="Arial" w:hAnsi="Arial" w:cs="Arial"/>
          <w:sz w:val="24"/>
          <w:szCs w:val="24"/>
        </w:rPr>
        <w:t xml:space="preserve">Harris v Birkenhead </w:t>
      </w:r>
      <w:r w:rsidR="00841286">
        <w:rPr>
          <w:rFonts w:ascii="Arial" w:hAnsi="Arial" w:cs="Arial"/>
          <w:sz w:val="24"/>
          <w:szCs w:val="24"/>
        </w:rPr>
        <w:t>[</w:t>
      </w:r>
      <w:r>
        <w:rPr>
          <w:rFonts w:ascii="Arial" w:hAnsi="Arial" w:cs="Arial"/>
          <w:sz w:val="24"/>
          <w:szCs w:val="24"/>
        </w:rPr>
        <w:t>1976</w:t>
      </w:r>
      <w:r w:rsidR="00841286">
        <w:rPr>
          <w:rFonts w:ascii="Arial" w:hAnsi="Arial" w:cs="Arial"/>
          <w:sz w:val="24"/>
          <w:szCs w:val="24"/>
        </w:rPr>
        <w:t>]</w:t>
      </w:r>
      <w:r w:rsidR="008C518D">
        <w:rPr>
          <w:rFonts w:ascii="Arial" w:hAnsi="Arial" w:cs="Arial"/>
          <w:sz w:val="24"/>
          <w:szCs w:val="24"/>
        </w:rPr>
        <w:t xml:space="preserve"> </w:t>
      </w:r>
      <w:r w:rsidR="008C518D" w:rsidRPr="00CE565D">
        <w:rPr>
          <w:rFonts w:ascii="Arial" w:eastAsia="Times New Roman" w:hAnsi="Arial" w:cs="Arial"/>
          <w:color w:val="000000"/>
          <w:sz w:val="24"/>
          <w:szCs w:val="24"/>
          <w:shd w:val="clear" w:color="auto" w:fill="FFFFFF"/>
          <w:lang w:eastAsia="en-GB"/>
        </w:rPr>
        <w:t>1 WLR 279</w:t>
      </w:r>
    </w:p>
    <w:p w14:paraId="21423231" w14:textId="77777777" w:rsidR="002466B1" w:rsidRPr="002466B1" w:rsidRDefault="007E0CEA" w:rsidP="004879C4">
      <w:pPr>
        <w:spacing w:line="480" w:lineRule="auto"/>
        <w:divId w:val="369302062"/>
        <w:rPr>
          <w:rFonts w:ascii="Times New Roman" w:eastAsia="Times New Roman" w:hAnsi="Times New Roman" w:cs="Times New Roman"/>
          <w:sz w:val="24"/>
          <w:szCs w:val="24"/>
          <w:lang w:eastAsia="en-GB"/>
        </w:rPr>
      </w:pPr>
      <w:r w:rsidRPr="007E0CEA">
        <w:rPr>
          <w:rFonts w:ascii="Arial" w:hAnsi="Arial" w:cs="Arial"/>
          <w:bCs/>
          <w:sz w:val="24"/>
          <w:szCs w:val="24"/>
        </w:rPr>
        <w:lastRenderedPageBreak/>
        <w:t xml:space="preserve">Tomlinson v </w:t>
      </w:r>
      <w:proofErr w:type="spellStart"/>
      <w:r w:rsidRPr="007E0CEA">
        <w:rPr>
          <w:rFonts w:ascii="Arial" w:hAnsi="Arial" w:cs="Arial"/>
          <w:bCs/>
          <w:sz w:val="24"/>
          <w:szCs w:val="24"/>
        </w:rPr>
        <w:t>Congleton</w:t>
      </w:r>
      <w:proofErr w:type="spellEnd"/>
      <w:r w:rsidRPr="007E0CEA">
        <w:rPr>
          <w:rFonts w:ascii="Arial" w:hAnsi="Arial" w:cs="Arial"/>
          <w:bCs/>
          <w:sz w:val="24"/>
          <w:szCs w:val="24"/>
        </w:rPr>
        <w:t xml:space="preserve"> BC [2003]</w:t>
      </w:r>
      <w:r w:rsidR="002466B1">
        <w:rPr>
          <w:rFonts w:ascii="Arial" w:hAnsi="Arial" w:cs="Arial"/>
          <w:bCs/>
          <w:sz w:val="24"/>
          <w:szCs w:val="24"/>
        </w:rPr>
        <w:t xml:space="preserve"> </w:t>
      </w:r>
      <w:r w:rsidR="002466B1" w:rsidRPr="00C37100">
        <w:rPr>
          <w:rFonts w:ascii="Arial" w:eastAsia="Times New Roman" w:hAnsi="Arial" w:cs="Arial"/>
          <w:color w:val="212529"/>
          <w:sz w:val="24"/>
          <w:szCs w:val="24"/>
          <w:lang w:eastAsia="en-GB"/>
        </w:rPr>
        <w:t>3 WLR 705</w:t>
      </w:r>
    </w:p>
    <w:p w14:paraId="39EC4980" w14:textId="77777777" w:rsidR="00EB0895" w:rsidRPr="00EB0895" w:rsidRDefault="007E0CEA" w:rsidP="004879C4">
      <w:pPr>
        <w:spacing w:line="480" w:lineRule="auto"/>
        <w:divId w:val="1580751142"/>
        <w:rPr>
          <w:rFonts w:ascii="Times New Roman" w:eastAsia="Times New Roman" w:hAnsi="Times New Roman" w:cs="Times New Roman"/>
          <w:sz w:val="24"/>
          <w:szCs w:val="24"/>
          <w:lang w:eastAsia="en-GB"/>
        </w:rPr>
      </w:pPr>
      <w:r w:rsidRPr="007E0CEA">
        <w:rPr>
          <w:rFonts w:ascii="Arial" w:hAnsi="Arial" w:cs="Arial"/>
          <w:bCs/>
          <w:sz w:val="24"/>
          <w:szCs w:val="24"/>
        </w:rPr>
        <w:t xml:space="preserve">Ward v Tesco Stores </w:t>
      </w:r>
      <w:r w:rsidR="00841286">
        <w:rPr>
          <w:rFonts w:ascii="Arial" w:hAnsi="Arial" w:cs="Arial"/>
          <w:bCs/>
          <w:sz w:val="24"/>
          <w:szCs w:val="24"/>
        </w:rPr>
        <w:t>[</w:t>
      </w:r>
      <w:r w:rsidRPr="007E0CEA">
        <w:rPr>
          <w:rFonts w:ascii="Arial" w:hAnsi="Arial" w:cs="Arial"/>
          <w:bCs/>
          <w:sz w:val="24"/>
          <w:szCs w:val="24"/>
        </w:rPr>
        <w:t>1976</w:t>
      </w:r>
      <w:r w:rsidR="00841286">
        <w:rPr>
          <w:rFonts w:ascii="Arial" w:hAnsi="Arial" w:cs="Arial"/>
          <w:bCs/>
          <w:sz w:val="24"/>
          <w:szCs w:val="24"/>
        </w:rPr>
        <w:t>]</w:t>
      </w:r>
      <w:r w:rsidR="00EB0895">
        <w:rPr>
          <w:rFonts w:ascii="Arial" w:hAnsi="Arial" w:cs="Arial"/>
          <w:bCs/>
          <w:sz w:val="24"/>
          <w:szCs w:val="24"/>
        </w:rPr>
        <w:t xml:space="preserve"> </w:t>
      </w:r>
      <w:r w:rsidR="00EB0895" w:rsidRPr="001929DD">
        <w:rPr>
          <w:rFonts w:ascii="Arial" w:eastAsia="Times New Roman" w:hAnsi="Arial" w:cs="Arial"/>
          <w:color w:val="212529"/>
          <w:sz w:val="24"/>
          <w:szCs w:val="24"/>
          <w:lang w:eastAsia="en-GB"/>
        </w:rPr>
        <w:t>1 WLR 810</w:t>
      </w:r>
    </w:p>
    <w:p w14:paraId="59FD8129" w14:textId="77777777" w:rsidR="00A720FF" w:rsidRPr="00A720FF" w:rsidRDefault="007E0CEA" w:rsidP="004879C4">
      <w:pPr>
        <w:spacing w:line="480" w:lineRule="auto"/>
        <w:divId w:val="70927990"/>
        <w:rPr>
          <w:rFonts w:ascii="Times New Roman" w:eastAsia="Times New Roman" w:hAnsi="Times New Roman" w:cs="Times New Roman"/>
          <w:sz w:val="24"/>
          <w:szCs w:val="24"/>
          <w:lang w:eastAsia="en-GB"/>
        </w:rPr>
      </w:pPr>
      <w:r w:rsidRPr="007E0CEA">
        <w:rPr>
          <w:rFonts w:ascii="Arial" w:hAnsi="Arial" w:cs="Arial"/>
          <w:bCs/>
          <w:sz w:val="24"/>
          <w:szCs w:val="24"/>
        </w:rPr>
        <w:t xml:space="preserve">Page v Smith </w:t>
      </w:r>
      <w:r w:rsidR="00841286">
        <w:rPr>
          <w:rFonts w:ascii="Arial" w:hAnsi="Arial" w:cs="Arial"/>
          <w:bCs/>
          <w:sz w:val="24"/>
          <w:szCs w:val="24"/>
        </w:rPr>
        <w:t>[</w:t>
      </w:r>
      <w:r w:rsidRPr="007E0CEA">
        <w:rPr>
          <w:rFonts w:ascii="Arial" w:hAnsi="Arial" w:cs="Arial"/>
          <w:bCs/>
          <w:sz w:val="24"/>
          <w:szCs w:val="24"/>
        </w:rPr>
        <w:t>1996</w:t>
      </w:r>
      <w:r w:rsidR="00841286">
        <w:rPr>
          <w:rFonts w:ascii="Arial" w:hAnsi="Arial" w:cs="Arial"/>
          <w:bCs/>
          <w:sz w:val="24"/>
          <w:szCs w:val="24"/>
        </w:rPr>
        <w:t>]</w:t>
      </w:r>
      <w:r w:rsidR="00A720FF">
        <w:rPr>
          <w:rFonts w:ascii="Arial" w:hAnsi="Arial" w:cs="Arial"/>
          <w:bCs/>
          <w:sz w:val="24"/>
          <w:szCs w:val="24"/>
        </w:rPr>
        <w:t xml:space="preserve"> </w:t>
      </w:r>
      <w:r w:rsidR="00A720FF" w:rsidRPr="00A720FF">
        <w:rPr>
          <w:rFonts w:ascii="Arial" w:eastAsia="Times New Roman" w:hAnsi="Arial" w:cs="Arial"/>
          <w:color w:val="323D4F"/>
          <w:sz w:val="24"/>
          <w:szCs w:val="24"/>
          <w:lang w:eastAsia="en-GB"/>
        </w:rPr>
        <w:t>1 AC 155</w:t>
      </w:r>
    </w:p>
    <w:p w14:paraId="25936E8D" w14:textId="77777777" w:rsidR="00E96819" w:rsidRPr="00E96819" w:rsidRDefault="007E0CEA" w:rsidP="004879C4">
      <w:pPr>
        <w:spacing w:line="480" w:lineRule="auto"/>
        <w:divId w:val="568073547"/>
        <w:rPr>
          <w:rFonts w:ascii="Times New Roman" w:eastAsia="Times New Roman" w:hAnsi="Times New Roman" w:cs="Times New Roman"/>
          <w:sz w:val="24"/>
          <w:szCs w:val="24"/>
          <w:lang w:eastAsia="en-GB"/>
        </w:rPr>
      </w:pPr>
      <w:r w:rsidRPr="007E0CEA">
        <w:rPr>
          <w:rFonts w:ascii="Arial" w:hAnsi="Arial" w:cs="Arial"/>
          <w:bCs/>
          <w:sz w:val="24"/>
          <w:szCs w:val="24"/>
        </w:rPr>
        <w:t xml:space="preserve">Alcock v CC South Yorkshire </w:t>
      </w:r>
      <w:r w:rsidR="00841286">
        <w:rPr>
          <w:rFonts w:ascii="Arial" w:hAnsi="Arial" w:cs="Arial"/>
          <w:bCs/>
          <w:sz w:val="24"/>
          <w:szCs w:val="24"/>
        </w:rPr>
        <w:t>[</w:t>
      </w:r>
      <w:r w:rsidRPr="007E0CEA">
        <w:rPr>
          <w:rFonts w:ascii="Arial" w:hAnsi="Arial" w:cs="Arial"/>
          <w:bCs/>
          <w:sz w:val="24"/>
          <w:szCs w:val="24"/>
        </w:rPr>
        <w:t>1992</w:t>
      </w:r>
      <w:r w:rsidR="00841286">
        <w:rPr>
          <w:rFonts w:ascii="Arial" w:hAnsi="Arial" w:cs="Arial"/>
          <w:bCs/>
          <w:sz w:val="24"/>
          <w:szCs w:val="24"/>
        </w:rPr>
        <w:t>]</w:t>
      </w:r>
      <w:r w:rsidR="00E96819">
        <w:rPr>
          <w:rFonts w:ascii="Arial" w:hAnsi="Arial" w:cs="Arial"/>
          <w:bCs/>
          <w:sz w:val="24"/>
          <w:szCs w:val="24"/>
        </w:rPr>
        <w:t xml:space="preserve"> </w:t>
      </w:r>
      <w:r w:rsidR="00E96819" w:rsidRPr="00E96819">
        <w:rPr>
          <w:rFonts w:ascii="Arial" w:eastAsia="Times New Roman" w:hAnsi="Arial" w:cs="Arial"/>
          <w:color w:val="000000"/>
          <w:sz w:val="24"/>
          <w:szCs w:val="24"/>
          <w:shd w:val="clear" w:color="auto" w:fill="FFFFFF"/>
          <w:lang w:eastAsia="en-GB"/>
        </w:rPr>
        <w:t>AC 310</w:t>
      </w:r>
    </w:p>
    <w:p w14:paraId="68465717" w14:textId="599FE630" w:rsidR="00861439" w:rsidRPr="00AB6157" w:rsidRDefault="007E0CEA" w:rsidP="004879C4">
      <w:pPr>
        <w:spacing w:line="480" w:lineRule="auto"/>
        <w:divId w:val="263731783"/>
        <w:rPr>
          <w:rFonts w:ascii="Arial" w:eastAsia="Times New Roman" w:hAnsi="Arial" w:cs="Arial"/>
          <w:sz w:val="24"/>
          <w:szCs w:val="24"/>
          <w:lang w:eastAsia="en-GB"/>
        </w:rPr>
      </w:pPr>
      <w:proofErr w:type="spellStart"/>
      <w:r w:rsidRPr="007E0CEA">
        <w:rPr>
          <w:rFonts w:ascii="Arial" w:hAnsi="Arial" w:cs="Arial"/>
          <w:bCs/>
          <w:sz w:val="24"/>
          <w:szCs w:val="24"/>
        </w:rPr>
        <w:t>McCloughlin</w:t>
      </w:r>
      <w:proofErr w:type="spellEnd"/>
      <w:r w:rsidRPr="007E0CEA">
        <w:rPr>
          <w:rFonts w:ascii="Arial" w:hAnsi="Arial" w:cs="Arial"/>
          <w:bCs/>
          <w:sz w:val="24"/>
          <w:szCs w:val="24"/>
        </w:rPr>
        <w:t xml:space="preserve"> v O’Brian </w:t>
      </w:r>
      <w:r w:rsidR="00841286">
        <w:rPr>
          <w:rFonts w:ascii="Arial" w:hAnsi="Arial" w:cs="Arial"/>
          <w:bCs/>
          <w:sz w:val="24"/>
          <w:szCs w:val="24"/>
        </w:rPr>
        <w:t>[</w:t>
      </w:r>
      <w:r w:rsidRPr="007E0CEA">
        <w:rPr>
          <w:rFonts w:ascii="Arial" w:hAnsi="Arial" w:cs="Arial"/>
          <w:bCs/>
          <w:sz w:val="24"/>
          <w:szCs w:val="24"/>
        </w:rPr>
        <w:t>1983</w:t>
      </w:r>
      <w:r w:rsidR="00841286">
        <w:rPr>
          <w:rFonts w:ascii="Arial" w:hAnsi="Arial" w:cs="Arial"/>
          <w:bCs/>
          <w:sz w:val="24"/>
          <w:szCs w:val="24"/>
        </w:rPr>
        <w:t>]</w:t>
      </w:r>
      <w:r w:rsidR="00861439">
        <w:rPr>
          <w:rFonts w:ascii="Verdana" w:eastAsia="Times New Roman" w:hAnsi="Verdana" w:cs="Times New Roman"/>
          <w:color w:val="000000"/>
          <w:sz w:val="27"/>
          <w:szCs w:val="27"/>
          <w:shd w:val="clear" w:color="auto" w:fill="FFFFFF"/>
          <w:lang w:eastAsia="en-GB"/>
        </w:rPr>
        <w:t xml:space="preserve"> </w:t>
      </w:r>
      <w:r w:rsidR="00AB6157">
        <w:rPr>
          <w:rFonts w:ascii="Arial" w:eastAsia="Times New Roman" w:hAnsi="Arial" w:cs="Arial"/>
          <w:color w:val="000000"/>
          <w:sz w:val="24"/>
          <w:szCs w:val="24"/>
          <w:shd w:val="clear" w:color="auto" w:fill="FFFFFF"/>
          <w:lang w:eastAsia="en-GB"/>
        </w:rPr>
        <w:t>1 AC</w:t>
      </w:r>
      <w:r w:rsidR="00346501">
        <w:rPr>
          <w:rFonts w:ascii="Arial" w:eastAsia="Times New Roman" w:hAnsi="Arial" w:cs="Arial"/>
          <w:color w:val="000000"/>
          <w:sz w:val="24"/>
          <w:szCs w:val="24"/>
          <w:shd w:val="clear" w:color="auto" w:fill="FFFFFF"/>
          <w:lang w:eastAsia="en-GB"/>
        </w:rPr>
        <w:t xml:space="preserve"> 410</w:t>
      </w:r>
    </w:p>
    <w:p w14:paraId="1F4AFFDB" w14:textId="6D8800BE" w:rsidR="007E0CEA" w:rsidRPr="007E0CEA" w:rsidRDefault="007E0CEA" w:rsidP="004879C4">
      <w:pPr>
        <w:spacing w:line="480" w:lineRule="auto"/>
        <w:rPr>
          <w:rFonts w:ascii="Arial" w:hAnsi="Arial" w:cs="Arial"/>
          <w:sz w:val="24"/>
          <w:szCs w:val="24"/>
          <w:u w:val="single"/>
        </w:rPr>
      </w:pPr>
    </w:p>
    <w:sectPr w:rsidR="007E0CEA" w:rsidRPr="007E0C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5E7F"/>
    <w:rsid w:val="00005330"/>
    <w:rsid w:val="00025AA7"/>
    <w:rsid w:val="00032DF4"/>
    <w:rsid w:val="000442A2"/>
    <w:rsid w:val="0006059C"/>
    <w:rsid w:val="000A6617"/>
    <w:rsid w:val="000A7140"/>
    <w:rsid w:val="000D2281"/>
    <w:rsid w:val="000E5A4E"/>
    <w:rsid w:val="000E74F6"/>
    <w:rsid w:val="00101FAD"/>
    <w:rsid w:val="00116918"/>
    <w:rsid w:val="00130376"/>
    <w:rsid w:val="00164C7A"/>
    <w:rsid w:val="001929DD"/>
    <w:rsid w:val="001A2D0B"/>
    <w:rsid w:val="001A6289"/>
    <w:rsid w:val="001D13B5"/>
    <w:rsid w:val="001E4CC0"/>
    <w:rsid w:val="001F5055"/>
    <w:rsid w:val="002466B1"/>
    <w:rsid w:val="00262703"/>
    <w:rsid w:val="00272F46"/>
    <w:rsid w:val="002866C2"/>
    <w:rsid w:val="002A0B90"/>
    <w:rsid w:val="002B3DBE"/>
    <w:rsid w:val="002C37F3"/>
    <w:rsid w:val="002E34B6"/>
    <w:rsid w:val="002E436C"/>
    <w:rsid w:val="002E79DA"/>
    <w:rsid w:val="002F23F8"/>
    <w:rsid w:val="00301135"/>
    <w:rsid w:val="00346501"/>
    <w:rsid w:val="00351B35"/>
    <w:rsid w:val="003772F3"/>
    <w:rsid w:val="003868B2"/>
    <w:rsid w:val="003A3C0B"/>
    <w:rsid w:val="003B4649"/>
    <w:rsid w:val="003C1AAD"/>
    <w:rsid w:val="003D72B6"/>
    <w:rsid w:val="00420205"/>
    <w:rsid w:val="0047229E"/>
    <w:rsid w:val="004856B8"/>
    <w:rsid w:val="004879C4"/>
    <w:rsid w:val="004E72B3"/>
    <w:rsid w:val="004F52D2"/>
    <w:rsid w:val="005330D7"/>
    <w:rsid w:val="00556279"/>
    <w:rsid w:val="00563387"/>
    <w:rsid w:val="005650F0"/>
    <w:rsid w:val="00566E4E"/>
    <w:rsid w:val="00571FCA"/>
    <w:rsid w:val="00583B68"/>
    <w:rsid w:val="005B7DBE"/>
    <w:rsid w:val="005D7A45"/>
    <w:rsid w:val="00614A91"/>
    <w:rsid w:val="00622919"/>
    <w:rsid w:val="006407AE"/>
    <w:rsid w:val="00642D34"/>
    <w:rsid w:val="00666C87"/>
    <w:rsid w:val="006679C5"/>
    <w:rsid w:val="0068394B"/>
    <w:rsid w:val="006C3955"/>
    <w:rsid w:val="006C4C1C"/>
    <w:rsid w:val="006C6DC7"/>
    <w:rsid w:val="006E55DE"/>
    <w:rsid w:val="0073099A"/>
    <w:rsid w:val="007639E6"/>
    <w:rsid w:val="00793168"/>
    <w:rsid w:val="0079777B"/>
    <w:rsid w:val="007A3912"/>
    <w:rsid w:val="007A4E38"/>
    <w:rsid w:val="007A68A3"/>
    <w:rsid w:val="007C04D2"/>
    <w:rsid w:val="007E0CEA"/>
    <w:rsid w:val="007F40BA"/>
    <w:rsid w:val="007F4CF7"/>
    <w:rsid w:val="00801D24"/>
    <w:rsid w:val="0081656F"/>
    <w:rsid w:val="00841286"/>
    <w:rsid w:val="00846B21"/>
    <w:rsid w:val="00847934"/>
    <w:rsid w:val="00860D45"/>
    <w:rsid w:val="00861439"/>
    <w:rsid w:val="00885C98"/>
    <w:rsid w:val="008A0EA7"/>
    <w:rsid w:val="008A4DFF"/>
    <w:rsid w:val="008C518D"/>
    <w:rsid w:val="008D4450"/>
    <w:rsid w:val="008F6203"/>
    <w:rsid w:val="00933C0B"/>
    <w:rsid w:val="00956ABD"/>
    <w:rsid w:val="00970010"/>
    <w:rsid w:val="009941C7"/>
    <w:rsid w:val="00995F41"/>
    <w:rsid w:val="009A6651"/>
    <w:rsid w:val="009C2B0A"/>
    <w:rsid w:val="009D5092"/>
    <w:rsid w:val="00A14C7B"/>
    <w:rsid w:val="00A15EF0"/>
    <w:rsid w:val="00A45D7C"/>
    <w:rsid w:val="00A50B0C"/>
    <w:rsid w:val="00A720FF"/>
    <w:rsid w:val="00A834FA"/>
    <w:rsid w:val="00AB6157"/>
    <w:rsid w:val="00AC2FB7"/>
    <w:rsid w:val="00AC5E7F"/>
    <w:rsid w:val="00AD4350"/>
    <w:rsid w:val="00AF79BA"/>
    <w:rsid w:val="00AF7DBB"/>
    <w:rsid w:val="00B67AE2"/>
    <w:rsid w:val="00B81CE0"/>
    <w:rsid w:val="00B85E97"/>
    <w:rsid w:val="00B90BF6"/>
    <w:rsid w:val="00B94787"/>
    <w:rsid w:val="00BA11F2"/>
    <w:rsid w:val="00BA2313"/>
    <w:rsid w:val="00BA587A"/>
    <w:rsid w:val="00BB2973"/>
    <w:rsid w:val="00C14C7D"/>
    <w:rsid w:val="00C163C9"/>
    <w:rsid w:val="00C27784"/>
    <w:rsid w:val="00C37100"/>
    <w:rsid w:val="00C41996"/>
    <w:rsid w:val="00C5157A"/>
    <w:rsid w:val="00C56C7A"/>
    <w:rsid w:val="00C70B01"/>
    <w:rsid w:val="00C77E85"/>
    <w:rsid w:val="00CA5A4A"/>
    <w:rsid w:val="00CB0017"/>
    <w:rsid w:val="00CB0951"/>
    <w:rsid w:val="00CB2989"/>
    <w:rsid w:val="00CE565D"/>
    <w:rsid w:val="00CE6404"/>
    <w:rsid w:val="00CE7931"/>
    <w:rsid w:val="00D23A7D"/>
    <w:rsid w:val="00D46201"/>
    <w:rsid w:val="00D510AD"/>
    <w:rsid w:val="00D66719"/>
    <w:rsid w:val="00D732B3"/>
    <w:rsid w:val="00D93991"/>
    <w:rsid w:val="00DA3808"/>
    <w:rsid w:val="00DC366F"/>
    <w:rsid w:val="00DE4197"/>
    <w:rsid w:val="00E1581A"/>
    <w:rsid w:val="00E16149"/>
    <w:rsid w:val="00E16292"/>
    <w:rsid w:val="00E23E2C"/>
    <w:rsid w:val="00E25290"/>
    <w:rsid w:val="00E43705"/>
    <w:rsid w:val="00E52909"/>
    <w:rsid w:val="00E73306"/>
    <w:rsid w:val="00E93C77"/>
    <w:rsid w:val="00E96819"/>
    <w:rsid w:val="00EA1669"/>
    <w:rsid w:val="00EA3B55"/>
    <w:rsid w:val="00EB0895"/>
    <w:rsid w:val="00EF4384"/>
    <w:rsid w:val="00EF478C"/>
    <w:rsid w:val="00F012B3"/>
    <w:rsid w:val="00F140C0"/>
    <w:rsid w:val="00F2681A"/>
    <w:rsid w:val="00F31E27"/>
    <w:rsid w:val="00F50F70"/>
    <w:rsid w:val="00F64DC9"/>
    <w:rsid w:val="00F6513D"/>
    <w:rsid w:val="00F70032"/>
    <w:rsid w:val="00FA2B0F"/>
    <w:rsid w:val="00FC48DE"/>
    <w:rsid w:val="00FD4D7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8BA57"/>
  <w15:chartTrackingRefBased/>
  <w15:docId w15:val="{49793AB2-8633-4528-B9D5-B26DC3640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81656F"/>
  </w:style>
  <w:style w:type="character" w:styleId="Hyperlink">
    <w:name w:val="Hyperlink"/>
    <w:basedOn w:val="DefaultParagraphFont"/>
    <w:uiPriority w:val="99"/>
    <w:unhideWhenUsed/>
    <w:rsid w:val="00FD4D74"/>
    <w:rPr>
      <w:color w:val="0563C1" w:themeColor="hyperlink"/>
      <w:u w:val="single"/>
    </w:rPr>
  </w:style>
  <w:style w:type="character" w:styleId="UnresolvedMention">
    <w:name w:val="Unresolved Mention"/>
    <w:basedOn w:val="DefaultParagraphFont"/>
    <w:uiPriority w:val="99"/>
    <w:semiHidden/>
    <w:unhideWhenUsed/>
    <w:rsid w:val="00FD4D74"/>
    <w:rPr>
      <w:color w:val="605E5C"/>
      <w:shd w:val="clear" w:color="auto" w:fill="E1DFDD"/>
    </w:rPr>
  </w:style>
  <w:style w:type="paragraph" w:styleId="NormalWeb">
    <w:name w:val="Normal (Web)"/>
    <w:basedOn w:val="Normal"/>
    <w:uiPriority w:val="99"/>
    <w:semiHidden/>
    <w:unhideWhenUsed/>
    <w:rsid w:val="00C56C7A"/>
    <w:pPr>
      <w:spacing w:before="100" w:beforeAutospacing="1" w:after="100" w:afterAutospacing="1" w:line="240" w:lineRule="auto"/>
    </w:pPr>
    <w:rPr>
      <w:rFonts w:ascii="Times New Roman" w:hAnsi="Times New Roman" w:cs="Times New Roman"/>
      <w:sz w:val="24"/>
      <w:szCs w:val="24"/>
      <w:lang w:eastAsia="en-GB"/>
    </w:rPr>
  </w:style>
  <w:style w:type="character" w:styleId="Strong">
    <w:name w:val="Strong"/>
    <w:basedOn w:val="DefaultParagraphFont"/>
    <w:uiPriority w:val="22"/>
    <w:qFormat/>
    <w:rsid w:val="002466B1"/>
    <w:rPr>
      <w:b/>
      <w:bCs/>
    </w:rPr>
  </w:style>
  <w:style w:type="character" w:styleId="Emphasis">
    <w:name w:val="Emphasis"/>
    <w:basedOn w:val="DefaultParagraphFont"/>
    <w:uiPriority w:val="20"/>
    <w:qFormat/>
    <w:rsid w:val="007A3912"/>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0927990">
      <w:bodyDiv w:val="1"/>
      <w:marLeft w:val="0"/>
      <w:marRight w:val="0"/>
      <w:marTop w:val="0"/>
      <w:marBottom w:val="0"/>
      <w:divBdr>
        <w:top w:val="none" w:sz="0" w:space="0" w:color="auto"/>
        <w:left w:val="none" w:sz="0" w:space="0" w:color="auto"/>
        <w:bottom w:val="none" w:sz="0" w:space="0" w:color="auto"/>
        <w:right w:val="none" w:sz="0" w:space="0" w:color="auto"/>
      </w:divBdr>
    </w:div>
    <w:div w:id="263731783">
      <w:bodyDiv w:val="1"/>
      <w:marLeft w:val="0"/>
      <w:marRight w:val="0"/>
      <w:marTop w:val="0"/>
      <w:marBottom w:val="0"/>
      <w:divBdr>
        <w:top w:val="none" w:sz="0" w:space="0" w:color="auto"/>
        <w:left w:val="none" w:sz="0" w:space="0" w:color="auto"/>
        <w:bottom w:val="none" w:sz="0" w:space="0" w:color="auto"/>
        <w:right w:val="none" w:sz="0" w:space="0" w:color="auto"/>
      </w:divBdr>
    </w:div>
    <w:div w:id="369302062">
      <w:bodyDiv w:val="1"/>
      <w:marLeft w:val="0"/>
      <w:marRight w:val="0"/>
      <w:marTop w:val="0"/>
      <w:marBottom w:val="0"/>
      <w:divBdr>
        <w:top w:val="none" w:sz="0" w:space="0" w:color="auto"/>
        <w:left w:val="none" w:sz="0" w:space="0" w:color="auto"/>
        <w:bottom w:val="none" w:sz="0" w:space="0" w:color="auto"/>
        <w:right w:val="none" w:sz="0" w:space="0" w:color="auto"/>
      </w:divBdr>
    </w:div>
    <w:div w:id="370111053">
      <w:bodyDiv w:val="1"/>
      <w:marLeft w:val="0"/>
      <w:marRight w:val="0"/>
      <w:marTop w:val="0"/>
      <w:marBottom w:val="0"/>
      <w:divBdr>
        <w:top w:val="none" w:sz="0" w:space="0" w:color="auto"/>
        <w:left w:val="none" w:sz="0" w:space="0" w:color="auto"/>
        <w:bottom w:val="none" w:sz="0" w:space="0" w:color="auto"/>
        <w:right w:val="none" w:sz="0" w:space="0" w:color="auto"/>
      </w:divBdr>
      <w:divsChild>
        <w:div w:id="1200242732">
          <w:marLeft w:val="0"/>
          <w:marRight w:val="0"/>
          <w:marTop w:val="0"/>
          <w:marBottom w:val="0"/>
          <w:divBdr>
            <w:top w:val="none" w:sz="0" w:space="0" w:color="auto"/>
            <w:left w:val="none" w:sz="0" w:space="0" w:color="auto"/>
            <w:bottom w:val="none" w:sz="0" w:space="0" w:color="auto"/>
            <w:right w:val="none" w:sz="0" w:space="0" w:color="auto"/>
          </w:divBdr>
        </w:div>
      </w:divsChild>
    </w:div>
    <w:div w:id="568073547">
      <w:bodyDiv w:val="1"/>
      <w:marLeft w:val="0"/>
      <w:marRight w:val="0"/>
      <w:marTop w:val="0"/>
      <w:marBottom w:val="0"/>
      <w:divBdr>
        <w:top w:val="none" w:sz="0" w:space="0" w:color="auto"/>
        <w:left w:val="none" w:sz="0" w:space="0" w:color="auto"/>
        <w:bottom w:val="none" w:sz="0" w:space="0" w:color="auto"/>
        <w:right w:val="none" w:sz="0" w:space="0" w:color="auto"/>
      </w:divBdr>
    </w:div>
    <w:div w:id="689071367">
      <w:bodyDiv w:val="1"/>
      <w:marLeft w:val="0"/>
      <w:marRight w:val="0"/>
      <w:marTop w:val="0"/>
      <w:marBottom w:val="0"/>
      <w:divBdr>
        <w:top w:val="none" w:sz="0" w:space="0" w:color="auto"/>
        <w:left w:val="none" w:sz="0" w:space="0" w:color="auto"/>
        <w:bottom w:val="none" w:sz="0" w:space="0" w:color="auto"/>
        <w:right w:val="none" w:sz="0" w:space="0" w:color="auto"/>
      </w:divBdr>
      <w:divsChild>
        <w:div w:id="1360669409">
          <w:marLeft w:val="0"/>
          <w:marRight w:val="0"/>
          <w:marTop w:val="0"/>
          <w:marBottom w:val="0"/>
          <w:divBdr>
            <w:top w:val="none" w:sz="0" w:space="0" w:color="auto"/>
            <w:left w:val="none" w:sz="0" w:space="0" w:color="auto"/>
            <w:bottom w:val="none" w:sz="0" w:space="0" w:color="auto"/>
            <w:right w:val="none" w:sz="0" w:space="0" w:color="auto"/>
          </w:divBdr>
        </w:div>
      </w:divsChild>
    </w:div>
    <w:div w:id="1486781218">
      <w:bodyDiv w:val="1"/>
      <w:marLeft w:val="0"/>
      <w:marRight w:val="0"/>
      <w:marTop w:val="0"/>
      <w:marBottom w:val="0"/>
      <w:divBdr>
        <w:top w:val="none" w:sz="0" w:space="0" w:color="auto"/>
        <w:left w:val="none" w:sz="0" w:space="0" w:color="auto"/>
        <w:bottom w:val="none" w:sz="0" w:space="0" w:color="auto"/>
        <w:right w:val="none" w:sz="0" w:space="0" w:color="auto"/>
      </w:divBdr>
      <w:divsChild>
        <w:div w:id="491722943">
          <w:marLeft w:val="0"/>
          <w:marRight w:val="0"/>
          <w:marTop w:val="0"/>
          <w:marBottom w:val="0"/>
          <w:divBdr>
            <w:top w:val="none" w:sz="0" w:space="0" w:color="auto"/>
            <w:left w:val="none" w:sz="0" w:space="0" w:color="auto"/>
            <w:bottom w:val="none" w:sz="0" w:space="0" w:color="auto"/>
            <w:right w:val="none" w:sz="0" w:space="0" w:color="auto"/>
          </w:divBdr>
        </w:div>
      </w:divsChild>
    </w:div>
    <w:div w:id="15807511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legislation.gov.uk/ukpga/1984/3/content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legislation.gov.uk/ukpga/Eliz2/5-6/31" TargetMode="External"/><Relationship Id="rId5" Type="http://schemas.openxmlformats.org/officeDocument/2006/relationships/hyperlink" Target="https://www.lexisnexis.co.uk/legal/guidance/psychiatric-injury-primary-victims" TargetMode="External"/><Relationship Id="rId4" Type="http://schemas.openxmlformats.org/officeDocument/2006/relationships/hyperlink" Target="https://www.roydswithyking.com/when-someone-considered-secondary-victim/"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1286</Words>
  <Characters>7331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George Lovering (1810890)</dc:creator>
  <cp:keywords/>
  <dc:description/>
  <cp:lastModifiedBy>George Lovering</cp:lastModifiedBy>
  <cp:revision>2</cp:revision>
  <dcterms:created xsi:type="dcterms:W3CDTF">2021-12-14T23:52:00Z</dcterms:created>
  <dcterms:modified xsi:type="dcterms:W3CDTF">2021-12-14T23:52:00Z</dcterms:modified>
</cp:coreProperties>
</file>