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8361A" w14:textId="77777777" w:rsidR="006B4E36" w:rsidRDefault="00EE3310" w:rsidP="00EE3310">
      <w:pPr>
        <w:spacing w:before="100" w:beforeAutospacing="1" w:after="100" w:afterAutospacing="1" w:line="360" w:lineRule="auto"/>
        <w:ind w:left="4320"/>
        <w:jc w:val="both"/>
        <w:outlineLvl w:val="1"/>
        <w:rPr>
          <w:rFonts w:ascii="Arial" w:eastAsia="Times New Roman" w:hAnsi="Arial" w:cs="Arial"/>
          <w:b/>
          <w:bCs/>
        </w:rPr>
      </w:pPr>
      <w:r>
        <w:rPr>
          <w:rFonts w:ascii="Arial" w:eastAsia="Times New Roman" w:hAnsi="Arial" w:cs="Arial"/>
          <w:b/>
          <w:bCs/>
          <w:noProof/>
        </w:rPr>
        <w:drawing>
          <wp:inline distT="0" distB="0" distL="0" distR="0" wp14:anchorId="4F28925C" wp14:editId="0A42FE8D">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EE3310" w:rsidRPr="00EE3310" w14:paraId="480AA6FC" w14:textId="77777777" w:rsidTr="000C4577">
        <w:trPr>
          <w:trHeight w:val="179"/>
          <w:jc w:val="center"/>
        </w:trPr>
        <w:tc>
          <w:tcPr>
            <w:tcW w:w="0" w:type="auto"/>
            <w:hideMark/>
          </w:tcPr>
          <w:p w14:paraId="49D03D37" w14:textId="77777777" w:rsidR="00EE3310" w:rsidRPr="00EE3310" w:rsidRDefault="00EE3310" w:rsidP="00EE3310">
            <w:pPr>
              <w:tabs>
                <w:tab w:val="right" w:pos="2299"/>
              </w:tabs>
              <w:spacing w:line="360" w:lineRule="auto"/>
              <w:jc w:val="both"/>
              <w:rPr>
                <w:rFonts w:ascii="Arial" w:hAnsi="Arial" w:cs="Arial"/>
                <w:b/>
                <w:bCs/>
              </w:rPr>
            </w:pPr>
            <w:r w:rsidRPr="00EE3310">
              <w:rPr>
                <w:rFonts w:ascii="Arial" w:hAnsi="Arial" w:cs="Arial"/>
                <w:b/>
                <w:bCs/>
              </w:rPr>
              <w:t>Student Name:</w:t>
            </w:r>
            <w:r w:rsidRPr="00EE3310">
              <w:rPr>
                <w:rFonts w:ascii="Arial" w:hAnsi="Arial" w:cs="Arial"/>
                <w:b/>
                <w:bCs/>
              </w:rPr>
              <w:tab/>
            </w:r>
          </w:p>
        </w:tc>
        <w:tc>
          <w:tcPr>
            <w:tcW w:w="5825" w:type="dxa"/>
            <w:hideMark/>
          </w:tcPr>
          <w:p w14:paraId="54C9428B" w14:textId="3C625046" w:rsidR="00EE3310" w:rsidRPr="00E65794" w:rsidRDefault="00E65794" w:rsidP="00EE3310">
            <w:pPr>
              <w:spacing w:line="360" w:lineRule="auto"/>
              <w:jc w:val="both"/>
              <w:rPr>
                <w:rFonts w:ascii="Arial" w:hAnsi="Arial" w:cs="Arial"/>
                <w:b/>
              </w:rPr>
            </w:pPr>
            <w:r w:rsidRPr="00E65794">
              <w:rPr>
                <w:rFonts w:ascii="Arial" w:hAnsi="Arial" w:cs="Arial"/>
                <w:b/>
              </w:rPr>
              <w:t>Aysha Begum</w:t>
            </w:r>
          </w:p>
        </w:tc>
      </w:tr>
      <w:tr w:rsidR="00EE3310" w:rsidRPr="00EE3310" w14:paraId="1D6A11A2" w14:textId="77777777" w:rsidTr="000C4577">
        <w:trPr>
          <w:jc w:val="center"/>
        </w:trPr>
        <w:tc>
          <w:tcPr>
            <w:tcW w:w="0" w:type="auto"/>
            <w:hideMark/>
          </w:tcPr>
          <w:p w14:paraId="5BB4FF3E" w14:textId="77777777" w:rsidR="00EE3310" w:rsidRPr="00EE3310" w:rsidRDefault="00EE3310" w:rsidP="00EE3310">
            <w:pPr>
              <w:spacing w:line="360" w:lineRule="auto"/>
              <w:jc w:val="both"/>
              <w:rPr>
                <w:rFonts w:ascii="Arial" w:hAnsi="Arial" w:cs="Arial"/>
              </w:rPr>
            </w:pPr>
            <w:r w:rsidRPr="00EE3310">
              <w:rPr>
                <w:rFonts w:ascii="Arial" w:hAnsi="Arial" w:cs="Arial"/>
                <w:b/>
                <w:bCs/>
              </w:rPr>
              <w:t>Student ID Number:</w:t>
            </w:r>
          </w:p>
        </w:tc>
        <w:tc>
          <w:tcPr>
            <w:tcW w:w="5825" w:type="dxa"/>
            <w:hideMark/>
          </w:tcPr>
          <w:p w14:paraId="49B0C45D" w14:textId="03D4A360" w:rsidR="00EE3310" w:rsidRPr="00E65794" w:rsidRDefault="00E65794" w:rsidP="00EE3310">
            <w:pPr>
              <w:spacing w:line="360" w:lineRule="auto"/>
              <w:jc w:val="both"/>
              <w:rPr>
                <w:rFonts w:ascii="Arial" w:hAnsi="Arial" w:cs="Arial"/>
                <w:b/>
                <w:bCs/>
              </w:rPr>
            </w:pPr>
            <w:r w:rsidRPr="00E65794">
              <w:rPr>
                <w:rFonts w:ascii="Arial" w:hAnsi="Arial" w:cs="Arial"/>
                <w:b/>
                <w:bCs/>
              </w:rPr>
              <w:t>2518869</w:t>
            </w:r>
            <w:r w:rsidR="00840910">
              <w:rPr>
                <w:rFonts w:ascii="Arial" w:hAnsi="Arial" w:cs="Arial"/>
                <w:b/>
                <w:bCs/>
              </w:rPr>
              <w:t>@student.uwtsd.ac.uk</w:t>
            </w:r>
          </w:p>
        </w:tc>
      </w:tr>
      <w:tr w:rsidR="00EE3310" w:rsidRPr="00EE3310" w14:paraId="32DBD5DD" w14:textId="77777777" w:rsidTr="000C4577">
        <w:trPr>
          <w:jc w:val="center"/>
        </w:trPr>
        <w:tc>
          <w:tcPr>
            <w:tcW w:w="0" w:type="auto"/>
            <w:hideMark/>
          </w:tcPr>
          <w:p w14:paraId="09333245" w14:textId="77777777" w:rsidR="00EE3310" w:rsidRPr="00EE3310" w:rsidRDefault="00EE3310" w:rsidP="00EE3310">
            <w:pPr>
              <w:spacing w:line="360" w:lineRule="auto"/>
              <w:jc w:val="both"/>
              <w:rPr>
                <w:rFonts w:ascii="Arial" w:hAnsi="Arial" w:cs="Arial"/>
              </w:rPr>
            </w:pPr>
            <w:proofErr w:type="spellStart"/>
            <w:r w:rsidRPr="00EE3310">
              <w:rPr>
                <w:rFonts w:ascii="Arial" w:hAnsi="Arial" w:cs="Arial"/>
                <w:b/>
                <w:bCs/>
              </w:rPr>
              <w:t>Programme</w:t>
            </w:r>
            <w:proofErr w:type="spellEnd"/>
            <w:r w:rsidRPr="00EE3310">
              <w:rPr>
                <w:rFonts w:ascii="Arial" w:hAnsi="Arial" w:cs="Arial"/>
                <w:b/>
                <w:bCs/>
              </w:rPr>
              <w:t>:</w:t>
            </w:r>
          </w:p>
        </w:tc>
        <w:tc>
          <w:tcPr>
            <w:tcW w:w="5825" w:type="dxa"/>
            <w:hideMark/>
          </w:tcPr>
          <w:p w14:paraId="0C1C404F" w14:textId="77777777" w:rsidR="00EE3310" w:rsidRPr="00EE3310" w:rsidRDefault="00EE3310" w:rsidP="00EE3310">
            <w:pPr>
              <w:spacing w:line="360" w:lineRule="auto"/>
              <w:jc w:val="both"/>
              <w:rPr>
                <w:rFonts w:ascii="Arial" w:hAnsi="Arial" w:cs="Arial"/>
                <w:b/>
              </w:rPr>
            </w:pPr>
            <w:r w:rsidRPr="00EE3310">
              <w:rPr>
                <w:rFonts w:ascii="Arial" w:hAnsi="Arial" w:cs="Arial"/>
                <w:b/>
              </w:rPr>
              <w:t>Certificate of Higher Education Skills for the Workplace (Health &amp; Social Care)</w:t>
            </w:r>
          </w:p>
        </w:tc>
      </w:tr>
      <w:tr w:rsidR="00EE3310" w:rsidRPr="00EE3310" w14:paraId="4C03361C" w14:textId="77777777" w:rsidTr="000C4577">
        <w:trPr>
          <w:jc w:val="center"/>
        </w:trPr>
        <w:tc>
          <w:tcPr>
            <w:tcW w:w="0" w:type="auto"/>
            <w:hideMark/>
          </w:tcPr>
          <w:p w14:paraId="36A85DD8" w14:textId="77777777" w:rsidR="00EE3310" w:rsidRPr="00EE3310" w:rsidRDefault="00EE3310" w:rsidP="00EE3310">
            <w:pPr>
              <w:spacing w:line="360" w:lineRule="auto"/>
              <w:jc w:val="both"/>
              <w:rPr>
                <w:rFonts w:ascii="Arial" w:hAnsi="Arial" w:cs="Arial"/>
              </w:rPr>
            </w:pPr>
            <w:r w:rsidRPr="00EE3310">
              <w:rPr>
                <w:rFonts w:ascii="Arial" w:hAnsi="Arial" w:cs="Arial"/>
                <w:b/>
                <w:bCs/>
              </w:rPr>
              <w:t>Module Title:</w:t>
            </w:r>
          </w:p>
        </w:tc>
        <w:tc>
          <w:tcPr>
            <w:tcW w:w="5825" w:type="dxa"/>
            <w:hideMark/>
          </w:tcPr>
          <w:p w14:paraId="74250A25" w14:textId="77777777" w:rsidR="00EE3310" w:rsidRPr="00EE3310" w:rsidRDefault="00EE3310" w:rsidP="00EE3310">
            <w:pPr>
              <w:spacing w:line="360" w:lineRule="auto"/>
              <w:jc w:val="both"/>
              <w:rPr>
                <w:rFonts w:ascii="Arial" w:hAnsi="Arial" w:cs="Arial"/>
                <w:b/>
              </w:rPr>
            </w:pPr>
            <w:r w:rsidRPr="00EE3310">
              <w:rPr>
                <w:rFonts w:ascii="Arial" w:hAnsi="Arial" w:cs="Arial"/>
                <w:b/>
              </w:rPr>
              <w:t>Digital Skills and Research Methods</w:t>
            </w:r>
          </w:p>
        </w:tc>
      </w:tr>
      <w:tr w:rsidR="00EE3310" w:rsidRPr="00EE3310" w14:paraId="1D946EBD" w14:textId="77777777" w:rsidTr="000C4577">
        <w:trPr>
          <w:jc w:val="center"/>
        </w:trPr>
        <w:tc>
          <w:tcPr>
            <w:tcW w:w="0" w:type="auto"/>
            <w:hideMark/>
          </w:tcPr>
          <w:p w14:paraId="323FB600" w14:textId="77777777" w:rsidR="00EE3310" w:rsidRPr="00EE3310" w:rsidRDefault="00EE3310" w:rsidP="00EE3310">
            <w:pPr>
              <w:spacing w:line="360" w:lineRule="auto"/>
              <w:jc w:val="both"/>
              <w:rPr>
                <w:rFonts w:ascii="Arial" w:hAnsi="Arial" w:cs="Arial"/>
              </w:rPr>
            </w:pPr>
            <w:r w:rsidRPr="00EE3310">
              <w:rPr>
                <w:rFonts w:ascii="Arial" w:hAnsi="Arial" w:cs="Arial"/>
                <w:b/>
                <w:bCs/>
              </w:rPr>
              <w:t>Module Code:</w:t>
            </w:r>
          </w:p>
        </w:tc>
        <w:tc>
          <w:tcPr>
            <w:tcW w:w="5825" w:type="dxa"/>
            <w:hideMark/>
          </w:tcPr>
          <w:p w14:paraId="5135F212" w14:textId="77777777" w:rsidR="00EE3310" w:rsidRPr="00EE3310" w:rsidRDefault="00EE3310" w:rsidP="00EE3310">
            <w:pPr>
              <w:spacing w:line="360" w:lineRule="auto"/>
              <w:jc w:val="both"/>
              <w:rPr>
                <w:rFonts w:ascii="Arial" w:hAnsi="Arial" w:cs="Arial"/>
                <w:b/>
              </w:rPr>
            </w:pPr>
            <w:r w:rsidRPr="00EE3310">
              <w:rPr>
                <w:rFonts w:ascii="Arial" w:hAnsi="Arial" w:cs="Arial"/>
                <w:b/>
              </w:rPr>
              <w:t>LCHS4007</w:t>
            </w:r>
          </w:p>
        </w:tc>
      </w:tr>
      <w:tr w:rsidR="00EE3310" w:rsidRPr="00EE3310" w14:paraId="341A5ED0" w14:textId="77777777" w:rsidTr="000C4577">
        <w:trPr>
          <w:jc w:val="center"/>
        </w:trPr>
        <w:tc>
          <w:tcPr>
            <w:tcW w:w="0" w:type="auto"/>
            <w:hideMark/>
          </w:tcPr>
          <w:p w14:paraId="62690619" w14:textId="77777777" w:rsidR="00EE3310" w:rsidRPr="00EE3310" w:rsidRDefault="00EE3310" w:rsidP="00EE3310">
            <w:pPr>
              <w:spacing w:line="360" w:lineRule="auto"/>
              <w:jc w:val="both"/>
              <w:rPr>
                <w:rFonts w:ascii="Arial" w:hAnsi="Arial" w:cs="Arial"/>
              </w:rPr>
            </w:pPr>
            <w:r w:rsidRPr="00EE3310">
              <w:rPr>
                <w:rFonts w:ascii="Arial" w:hAnsi="Arial" w:cs="Arial"/>
                <w:b/>
                <w:bCs/>
              </w:rPr>
              <w:t>Lecturer:</w:t>
            </w:r>
          </w:p>
        </w:tc>
        <w:tc>
          <w:tcPr>
            <w:tcW w:w="5825" w:type="dxa"/>
            <w:hideMark/>
          </w:tcPr>
          <w:p w14:paraId="721BEB2F" w14:textId="6C3DA271" w:rsidR="00EE3310" w:rsidRPr="00840910" w:rsidRDefault="00840910" w:rsidP="00EE3310">
            <w:pPr>
              <w:spacing w:line="360" w:lineRule="auto"/>
              <w:jc w:val="both"/>
              <w:rPr>
                <w:rFonts w:ascii="Arial" w:hAnsi="Arial" w:cs="Arial"/>
                <w:b/>
                <w:bCs/>
              </w:rPr>
            </w:pPr>
            <w:r w:rsidRPr="00840910">
              <w:rPr>
                <w:rFonts w:ascii="Arial" w:hAnsi="Arial" w:cs="Arial"/>
                <w:b/>
                <w:bCs/>
              </w:rPr>
              <w:t>Markus Klingelfuss</w:t>
            </w:r>
          </w:p>
        </w:tc>
      </w:tr>
    </w:tbl>
    <w:p w14:paraId="72B42B66"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04F1E018"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4E2EABE5"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6F854C5A"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67CF0291"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0BA267D8"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707683E9"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0DAF7590"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1F3DC8CA"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204CBF0F"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3B4A557A"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2DBDF78C"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6BCE819C"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6C4F3003" w14:textId="77777777" w:rsidR="00EE3310" w:rsidRPr="00EE3310" w:rsidRDefault="00EE3310" w:rsidP="00EE3310">
      <w:pPr>
        <w:spacing w:before="100" w:beforeAutospacing="1" w:after="100" w:afterAutospacing="1" w:line="240" w:lineRule="auto"/>
        <w:outlineLvl w:val="0"/>
        <w:rPr>
          <w:rFonts w:ascii="Arial" w:eastAsia="Times New Roman" w:hAnsi="Arial" w:cs="Arial"/>
          <w:b/>
          <w:bCs/>
          <w:kern w:val="36"/>
          <w:sz w:val="28"/>
          <w:szCs w:val="28"/>
        </w:rPr>
      </w:pPr>
      <w:r w:rsidRPr="00EE3310">
        <w:rPr>
          <w:rFonts w:ascii="Arial" w:eastAsia="Times New Roman" w:hAnsi="Arial" w:cs="Arial"/>
          <w:b/>
          <w:bCs/>
          <w:kern w:val="36"/>
          <w:sz w:val="28"/>
          <w:szCs w:val="28"/>
        </w:rPr>
        <w:t>Table of Contents</w:t>
      </w:r>
    </w:p>
    <w:p w14:paraId="34F1C41F"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Introduction</w:t>
      </w:r>
      <w:r w:rsidRPr="00EE3310">
        <w:rPr>
          <w:rFonts w:ascii="Arial" w:eastAsia="Times New Roman" w:hAnsi="Arial" w:cs="Arial"/>
          <w:sz w:val="28"/>
          <w:szCs w:val="28"/>
        </w:rPr>
        <w:t xml:space="preserve"> ............................................................................................... 3</w:t>
      </w:r>
    </w:p>
    <w:p w14:paraId="39FDBBCB"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Task 1: Selection of Research Topic</w:t>
      </w:r>
      <w:r w:rsidRPr="00EE3310">
        <w:rPr>
          <w:rFonts w:ascii="Arial" w:eastAsia="Times New Roman" w:hAnsi="Arial" w:cs="Arial"/>
          <w:sz w:val="28"/>
          <w:szCs w:val="28"/>
        </w:rPr>
        <w:t xml:space="preserve"> ...................................................... 3</w:t>
      </w:r>
    </w:p>
    <w:p w14:paraId="561A2F1D"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Task 2: Evaluating Information Sources</w:t>
      </w:r>
      <w:r w:rsidRPr="00EE3310">
        <w:rPr>
          <w:rFonts w:ascii="Arial" w:eastAsia="Times New Roman" w:hAnsi="Arial" w:cs="Arial"/>
          <w:sz w:val="28"/>
          <w:szCs w:val="28"/>
        </w:rPr>
        <w:t xml:space="preserve"> ................................................ 4</w:t>
      </w:r>
    </w:p>
    <w:p w14:paraId="458E599B"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Task 3: Research Methodologies</w:t>
      </w:r>
      <w:r w:rsidRPr="00EE3310">
        <w:rPr>
          <w:rFonts w:ascii="Arial" w:eastAsia="Times New Roman" w:hAnsi="Arial" w:cs="Arial"/>
          <w:sz w:val="28"/>
          <w:szCs w:val="28"/>
        </w:rPr>
        <w:t xml:space="preserve"> ..............................</w:t>
      </w:r>
      <w:r w:rsidR="009728C4">
        <w:rPr>
          <w:rFonts w:ascii="Arial" w:eastAsia="Times New Roman" w:hAnsi="Arial" w:cs="Arial"/>
          <w:sz w:val="28"/>
          <w:szCs w:val="28"/>
        </w:rPr>
        <w:t>.............................. 6</w:t>
      </w:r>
    </w:p>
    <w:p w14:paraId="011062A2"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Task 4: Data Collection</w:t>
      </w:r>
      <w:r w:rsidRPr="00EE3310">
        <w:rPr>
          <w:rFonts w:ascii="Arial" w:eastAsia="Times New Roman" w:hAnsi="Arial" w:cs="Arial"/>
          <w:sz w:val="28"/>
          <w:szCs w:val="28"/>
        </w:rPr>
        <w:t xml:space="preserve"> ............................................................................ 7</w:t>
      </w:r>
    </w:p>
    <w:p w14:paraId="6CA493BA"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Conclusion</w:t>
      </w:r>
      <w:r w:rsidRPr="00EE3310">
        <w:rPr>
          <w:rFonts w:ascii="Arial" w:eastAsia="Times New Roman" w:hAnsi="Arial" w:cs="Arial"/>
          <w:sz w:val="28"/>
          <w:szCs w:val="28"/>
        </w:rPr>
        <w:t xml:space="preserve"> ................................................................................................ 8</w:t>
      </w:r>
    </w:p>
    <w:p w14:paraId="00C42D3A" w14:textId="77777777" w:rsidR="00EE3310" w:rsidRPr="00EE3310" w:rsidRDefault="00EE3310" w:rsidP="00EE3310">
      <w:pPr>
        <w:spacing w:before="100" w:beforeAutospacing="1" w:after="100" w:afterAutospacing="1" w:line="240" w:lineRule="auto"/>
        <w:rPr>
          <w:rFonts w:ascii="Arial" w:eastAsia="Times New Roman" w:hAnsi="Arial" w:cs="Arial"/>
          <w:sz w:val="28"/>
          <w:szCs w:val="28"/>
        </w:rPr>
      </w:pPr>
      <w:r w:rsidRPr="00EE3310">
        <w:rPr>
          <w:rFonts w:ascii="Arial" w:eastAsia="Times New Roman" w:hAnsi="Arial" w:cs="Arial"/>
          <w:b/>
          <w:bCs/>
          <w:sz w:val="28"/>
          <w:szCs w:val="28"/>
        </w:rPr>
        <w:t>References</w:t>
      </w:r>
      <w:r w:rsidRPr="00EE3310">
        <w:rPr>
          <w:rFonts w:ascii="Arial" w:eastAsia="Times New Roman" w:hAnsi="Arial" w:cs="Arial"/>
          <w:sz w:val="28"/>
          <w:szCs w:val="28"/>
        </w:rPr>
        <w:t xml:space="preserve"> ................................................................................................ 9</w:t>
      </w:r>
    </w:p>
    <w:p w14:paraId="0107C33F"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21D9EBB5"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403436FC"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2E2E43E4"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3FEF57FF"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5C0FA721"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5F8B807E"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05CD4402"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2EB6B939"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32EC97E6"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398C2461"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p>
    <w:p w14:paraId="505C5E33" w14:textId="77777777" w:rsidR="00566445" w:rsidRPr="00566445" w:rsidRDefault="00566445" w:rsidP="006B4E36">
      <w:pPr>
        <w:spacing w:before="100" w:beforeAutospacing="1" w:after="100" w:afterAutospacing="1" w:line="360" w:lineRule="auto"/>
        <w:jc w:val="both"/>
        <w:outlineLvl w:val="1"/>
        <w:rPr>
          <w:rFonts w:ascii="Arial" w:hAnsi="Arial" w:cs="Arial"/>
          <w:b/>
        </w:rPr>
      </w:pPr>
      <w:r w:rsidRPr="00566445">
        <w:rPr>
          <w:rFonts w:ascii="Arial" w:hAnsi="Arial" w:cs="Arial"/>
          <w:b/>
        </w:rPr>
        <w:lastRenderedPageBreak/>
        <w:t>Digital Exclusion Among Older Adults in UK Home Care Settings: A Mixed-Methods Study on the Role of Carer Workers in Supporting Healthcare Access</w:t>
      </w:r>
    </w:p>
    <w:p w14:paraId="0296B6E1" w14:textId="77777777" w:rsidR="00AC49F0" w:rsidRPr="00AC49F0" w:rsidRDefault="00AC49F0" w:rsidP="006B4E36">
      <w:pPr>
        <w:spacing w:before="100" w:beforeAutospacing="1" w:after="100" w:afterAutospacing="1" w:line="360" w:lineRule="auto"/>
        <w:jc w:val="both"/>
        <w:outlineLvl w:val="1"/>
        <w:rPr>
          <w:rFonts w:ascii="Arial" w:eastAsia="Times New Roman" w:hAnsi="Arial" w:cs="Arial"/>
          <w:b/>
          <w:bCs/>
        </w:rPr>
      </w:pPr>
      <w:r w:rsidRPr="00AC49F0">
        <w:rPr>
          <w:rFonts w:ascii="Arial" w:eastAsia="Times New Roman" w:hAnsi="Arial" w:cs="Arial"/>
          <w:b/>
          <w:bCs/>
        </w:rPr>
        <w:t xml:space="preserve">Introduction </w:t>
      </w:r>
    </w:p>
    <w:p w14:paraId="6AF27BE0" w14:textId="77777777" w:rsidR="00AC49F0" w:rsidRDefault="00AC49F0" w:rsidP="006B4E36">
      <w:pPr>
        <w:spacing w:before="100" w:beforeAutospacing="1" w:after="100" w:afterAutospacing="1" w:line="360" w:lineRule="auto"/>
        <w:jc w:val="both"/>
        <w:rPr>
          <w:rFonts w:ascii="Arial" w:eastAsia="Times New Roman" w:hAnsi="Arial" w:cs="Arial"/>
        </w:rPr>
      </w:pPr>
      <w:r w:rsidRPr="00AC49F0">
        <w:rPr>
          <w:rFonts w:ascii="Arial" w:eastAsia="Times New Roman" w:hAnsi="Arial" w:cs="Arial"/>
        </w:rPr>
        <w:t>Digital technologies are increasingly integrated into the United Kingdom’s health and social care system, including services such as online GP appointments, electronic health records, and telehealth consultations. While these innovations improve efficiency and access, many older adults remain digitally excluded due to limited digital skills, lack of internet access, or low confidence in using technology (</w:t>
      </w:r>
      <w:proofErr w:type="spellStart"/>
      <w:r w:rsidRPr="00AC49F0">
        <w:rPr>
          <w:rFonts w:ascii="Arial" w:eastAsia="Times New Roman" w:hAnsi="Arial" w:cs="Arial"/>
        </w:rPr>
        <w:t>Spanakis</w:t>
      </w:r>
      <w:proofErr w:type="spellEnd"/>
      <w:r w:rsidRPr="00AC49F0">
        <w:rPr>
          <w:rFonts w:ascii="Arial" w:eastAsia="Times New Roman" w:hAnsi="Arial" w:cs="Arial"/>
        </w:rPr>
        <w:t xml:space="preserve"> et al., 2022). Digital exclusion can create barriers to healthcare access and widen health inequalities, particularly for older adults receiving home care services (Good Things Foundation, 2024). Carer workers therefore play a key role in supporting service users to access digital health services. This report examines digital exclusion among older adults in UK home care settings, evaluates relevant research, and proposes an appropriate research methodology and data collection approach to investigate this issue.</w:t>
      </w:r>
    </w:p>
    <w:p w14:paraId="73872BAC" w14:textId="77777777" w:rsidR="00EE3310" w:rsidRPr="00AC49F0" w:rsidRDefault="00EE3310" w:rsidP="006B4E36">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noProof/>
        </w:rPr>
        <w:drawing>
          <wp:inline distT="0" distB="0" distL="0" distR="0" wp14:anchorId="472C0F02" wp14:editId="0048AAE1">
            <wp:extent cx="5941695" cy="1631950"/>
            <wp:effectExtent l="0" t="0" r="1905" b="6350"/>
            <wp:docPr id="2" name="Picture 2" descr="Supporting older people's social inclusion and access to care - Social Care  Wales - Research, Data &amp;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pporting older people's social inclusion and access to care - Social Care  Wales - Research, Data &amp; Innov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632473"/>
                    </a:xfrm>
                    <a:prstGeom prst="rect">
                      <a:avLst/>
                    </a:prstGeom>
                    <a:noFill/>
                    <a:ln>
                      <a:noFill/>
                    </a:ln>
                  </pic:spPr>
                </pic:pic>
              </a:graphicData>
            </a:graphic>
          </wp:inline>
        </w:drawing>
      </w:r>
    </w:p>
    <w:p w14:paraId="23A35A99" w14:textId="77777777" w:rsidR="00EE3310" w:rsidRDefault="00EE3310" w:rsidP="006B4E36">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                                                          (Cymru, 2024)</w:t>
      </w:r>
    </w:p>
    <w:p w14:paraId="4CD775D3" w14:textId="77777777" w:rsidR="006B4E36" w:rsidRDefault="006B4E36" w:rsidP="006B4E36">
      <w:pPr>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 xml:space="preserve">Task 1: Selection of Research Topic </w:t>
      </w:r>
    </w:p>
    <w:p w14:paraId="00CFFC1E"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Identification of the Issue</w:t>
      </w:r>
    </w:p>
    <w:p w14:paraId="4607C3EB"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A current issue within the United Kingdom’s health and social care sector is digital exclusion among older adults, particularly those receiving home care services. Digital exclusion refers to the inability to access or effectively use digital technologies due to limited skills, lack of internet access, or low confidence (</w:t>
      </w:r>
      <w:proofErr w:type="spellStart"/>
      <w:r w:rsidRPr="00EE3310">
        <w:rPr>
          <w:rFonts w:ascii="Arial" w:eastAsia="Times New Roman" w:hAnsi="Arial" w:cs="Arial"/>
        </w:rPr>
        <w:t>Spanakis</w:t>
      </w:r>
      <w:proofErr w:type="spellEnd"/>
      <w:r w:rsidRPr="00EE3310">
        <w:rPr>
          <w:rFonts w:ascii="Arial" w:eastAsia="Times New Roman" w:hAnsi="Arial" w:cs="Arial"/>
        </w:rPr>
        <w:t xml:space="preserve"> et al., 2022). In recent years, healthcare services in the UK have increasingly adopted digital tools such as online GP appointment systems, electronic health records, and telehealth consultations to improve efficiency and accessibility. However, research </w:t>
      </w:r>
      <w:r w:rsidRPr="00EE3310">
        <w:rPr>
          <w:rFonts w:ascii="Arial" w:eastAsia="Times New Roman" w:hAnsi="Arial" w:cs="Arial"/>
        </w:rPr>
        <w:lastRenderedPageBreak/>
        <w:t>shows that these digital innovations can unintentionally disadvantage individuals who lack digital literacy or access to technology (Mohan et al., 2024).</w:t>
      </w:r>
    </w:p>
    <w:p w14:paraId="32F3F0FB"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Who Is Affected and Why It Matters</w:t>
      </w:r>
    </w:p>
    <w:p w14:paraId="53708D9F"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Older adults are most affected by digital exclusion. Many individuals aged 65 and above struggle to navigate online health platforms or communicate with healthcare providers digitally (Seifert et al., 2021). This can delay consultations, reduce engagement with healthcare services, and contribute to health inequalities. Carer workers play a key role in addressing this issue by assisting service users with daily activities and healthcare communication. In home care settings, carers may support older adults in booking online appointments, accessing telehealth services, or understanding digital health information. However, these responsibilities can increase workload and present challenges if carers have limited training in digital technologies.</w:t>
      </w:r>
    </w:p>
    <w:p w14:paraId="1FF5EEB2" w14:textId="77777777" w:rsidR="00EE3310" w:rsidRPr="00EE3310" w:rsidRDefault="00EE3310" w:rsidP="00EE3310">
      <w:pPr>
        <w:tabs>
          <w:tab w:val="left" w:pos="2620"/>
        </w:tabs>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Personal Rationale</w:t>
      </w:r>
      <w:r w:rsidRPr="00EE3310">
        <w:rPr>
          <w:rFonts w:ascii="Arial" w:eastAsia="Times New Roman" w:hAnsi="Arial" w:cs="Arial"/>
          <w:b/>
          <w:bCs/>
        </w:rPr>
        <w:tab/>
      </w:r>
    </w:p>
    <w:p w14:paraId="38D2E5A7"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This topic was selected because it highlights a practical challenge faced by both service users and carer workers. Understanding digital exclusion is particularly relevant for those pursuing a career in health and social care, as technology becomes increasingly central to service delivery. Exploring this issue may help identify strategies to improve digital support for older adults and enhance carers’ ability to facilitate access to healthcare services.</w:t>
      </w:r>
    </w:p>
    <w:p w14:paraId="0DC0F9FC" w14:textId="77777777" w:rsidR="006B4E36" w:rsidRPr="006B4E36" w:rsidRDefault="006B4E36" w:rsidP="006B4E36">
      <w:pPr>
        <w:spacing w:before="100" w:beforeAutospacing="1" w:after="100" w:afterAutospacing="1" w:line="360" w:lineRule="auto"/>
        <w:jc w:val="both"/>
        <w:outlineLvl w:val="0"/>
        <w:rPr>
          <w:rFonts w:ascii="Arial" w:eastAsia="Times New Roman" w:hAnsi="Arial" w:cs="Arial"/>
          <w:b/>
          <w:bCs/>
          <w:kern w:val="36"/>
        </w:rPr>
      </w:pPr>
      <w:r w:rsidRPr="006B4E36">
        <w:rPr>
          <w:rFonts w:ascii="Arial" w:eastAsia="Times New Roman" w:hAnsi="Arial" w:cs="Arial"/>
          <w:b/>
          <w:bCs/>
          <w:kern w:val="36"/>
        </w:rPr>
        <w:t xml:space="preserve">Task 2: Evaluating Information Sources </w:t>
      </w:r>
    </w:p>
    <w:p w14:paraId="3F42E282"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To understand the issue of digital exclusion among older adults in the UK health and social care sector, it is important to examine credible academic research. This section evaluates three recent sources that explore digital inequality and its impact on access to healthcare services.</w:t>
      </w:r>
    </w:p>
    <w:p w14:paraId="03F86448" w14:textId="77777777" w:rsidR="006B4E36" w:rsidRPr="006B4E36" w:rsidRDefault="006B4E36" w:rsidP="006B4E36">
      <w:pPr>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 xml:space="preserve">Source 1: </w:t>
      </w:r>
      <w:proofErr w:type="spellStart"/>
      <w:r w:rsidRPr="006B4E36">
        <w:rPr>
          <w:rFonts w:ascii="Arial" w:eastAsia="Times New Roman" w:hAnsi="Arial" w:cs="Arial"/>
          <w:b/>
          <w:bCs/>
        </w:rPr>
        <w:t>Spanakis</w:t>
      </w:r>
      <w:proofErr w:type="spellEnd"/>
      <w:r w:rsidRPr="006B4E36">
        <w:rPr>
          <w:rFonts w:ascii="Arial" w:eastAsia="Times New Roman" w:hAnsi="Arial" w:cs="Arial"/>
          <w:b/>
          <w:bCs/>
        </w:rPr>
        <w:t xml:space="preserve"> et al. (2022)</w:t>
      </w:r>
    </w:p>
    <w:p w14:paraId="6B2BC378"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proofErr w:type="spellStart"/>
      <w:r w:rsidRPr="006B4E36">
        <w:rPr>
          <w:rFonts w:ascii="Arial" w:eastAsia="Times New Roman" w:hAnsi="Arial" w:cs="Arial"/>
        </w:rPr>
        <w:t>Spanakis</w:t>
      </w:r>
      <w:proofErr w:type="spellEnd"/>
      <w:r w:rsidRPr="006B4E36">
        <w:rPr>
          <w:rFonts w:ascii="Arial" w:eastAsia="Times New Roman" w:hAnsi="Arial" w:cs="Arial"/>
        </w:rPr>
        <w:t xml:space="preserve"> et al. (2022) examined digital inequalities in access to healthcare services and highlighted how rapid </w:t>
      </w:r>
      <w:proofErr w:type="spellStart"/>
      <w:r w:rsidRPr="006B4E36">
        <w:rPr>
          <w:rFonts w:ascii="Arial" w:eastAsia="Times New Roman" w:hAnsi="Arial" w:cs="Arial"/>
        </w:rPr>
        <w:t>digitalisation</w:t>
      </w:r>
      <w:proofErr w:type="spellEnd"/>
      <w:r w:rsidRPr="006B4E36">
        <w:rPr>
          <w:rFonts w:ascii="Arial" w:eastAsia="Times New Roman" w:hAnsi="Arial" w:cs="Arial"/>
        </w:rPr>
        <w:t xml:space="preserve"> can unintentionally exclude vulnerable populations. The study </w:t>
      </w:r>
      <w:proofErr w:type="spellStart"/>
      <w:r w:rsidRPr="006B4E36">
        <w:rPr>
          <w:rFonts w:ascii="Arial" w:eastAsia="Times New Roman" w:hAnsi="Arial" w:cs="Arial"/>
        </w:rPr>
        <w:t>analysed</w:t>
      </w:r>
      <w:proofErr w:type="spellEnd"/>
      <w:r w:rsidRPr="006B4E36">
        <w:rPr>
          <w:rFonts w:ascii="Arial" w:eastAsia="Times New Roman" w:hAnsi="Arial" w:cs="Arial"/>
        </w:rPr>
        <w:t xml:space="preserve"> barriers faced by individuals who lack digital skills or access to internet-enabled devices. The authors found that older adults are among the groups most affected by digital exclusion, particularly when healthcare services rely heavily on online systems such as digital appointment booking and telehealth consultations. The research also </w:t>
      </w:r>
      <w:proofErr w:type="spellStart"/>
      <w:r w:rsidRPr="006B4E36">
        <w:rPr>
          <w:rFonts w:ascii="Arial" w:eastAsia="Times New Roman" w:hAnsi="Arial" w:cs="Arial"/>
        </w:rPr>
        <w:t>emphasised</w:t>
      </w:r>
      <w:proofErr w:type="spellEnd"/>
      <w:r w:rsidRPr="006B4E36">
        <w:rPr>
          <w:rFonts w:ascii="Arial" w:eastAsia="Times New Roman" w:hAnsi="Arial" w:cs="Arial"/>
        </w:rPr>
        <w:t xml:space="preserve"> that healthcare </w:t>
      </w:r>
      <w:r w:rsidRPr="006B4E36">
        <w:rPr>
          <w:rFonts w:ascii="Arial" w:eastAsia="Times New Roman" w:hAnsi="Arial" w:cs="Arial"/>
        </w:rPr>
        <w:lastRenderedPageBreak/>
        <w:t>professionals and care workers often play an important role in supporting digitally excluded individuals.</w:t>
      </w:r>
    </w:p>
    <w:p w14:paraId="08F6BDF8"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This source is useful because it provides evidence of how digital healthcare systems may increase inequalities if adequate support is not provided. The study also highlights the importance of support from healthcare staff and carers, which is directly relevant to the focus of this report. However, the study primarily focuses on healthcare services in general rather than specifically examining the role of carer workers in home care environments.</w:t>
      </w:r>
    </w:p>
    <w:p w14:paraId="7CE291CE" w14:textId="77777777" w:rsidR="006B4E36" w:rsidRPr="006B4E36" w:rsidRDefault="006B4E36" w:rsidP="006B4E36">
      <w:pPr>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Source 2: Seifert et al. (2021)</w:t>
      </w:r>
    </w:p>
    <w:p w14:paraId="1B008D51"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Seifert et al. (2021) investigated digital exclusion among older adults and explored how technological barriers can affect access to services. The research found that many older individuals lack confidence in using digital devices and may struggle with navigating online platforms. These challenges can limit their ability to access digital healthcare services and information. The study also noted that older adults often rely on support from family members or care workers to access digital services.</w:t>
      </w:r>
    </w:p>
    <w:p w14:paraId="7F3A0B1A"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This research is valuable because it provides detailed insights into the experiences of older adults who face digital barriers. It demonstrates that digital exclusion is not only related to access to technology but also to digital literacy and confidence. However, the study focuses primarily on older adults’ experiences and provides limited discussion about how care workers manage these challenges in daily practice.</w:t>
      </w:r>
    </w:p>
    <w:p w14:paraId="70C8EADD" w14:textId="77777777" w:rsidR="006B4E36" w:rsidRPr="006B4E36" w:rsidRDefault="006B4E36" w:rsidP="00EE3310">
      <w:pPr>
        <w:tabs>
          <w:tab w:val="left" w:pos="3640"/>
        </w:tabs>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Source 3: Mohan et al. (2024)</w:t>
      </w:r>
      <w:r w:rsidR="00EE3310">
        <w:rPr>
          <w:rFonts w:ascii="Arial" w:eastAsia="Times New Roman" w:hAnsi="Arial" w:cs="Arial"/>
          <w:b/>
          <w:bCs/>
        </w:rPr>
        <w:tab/>
      </w:r>
    </w:p>
    <w:p w14:paraId="66E71B64"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 xml:space="preserve">Mohan et al. (2024) explored the relationship between digital exclusion and healthcare access, particularly in the context of increasing </w:t>
      </w:r>
      <w:proofErr w:type="spellStart"/>
      <w:r w:rsidRPr="006B4E36">
        <w:rPr>
          <w:rFonts w:ascii="Arial" w:eastAsia="Times New Roman" w:hAnsi="Arial" w:cs="Arial"/>
        </w:rPr>
        <w:t>digitalisation</w:t>
      </w:r>
      <w:proofErr w:type="spellEnd"/>
      <w:r w:rsidRPr="006B4E36">
        <w:rPr>
          <w:rFonts w:ascii="Arial" w:eastAsia="Times New Roman" w:hAnsi="Arial" w:cs="Arial"/>
        </w:rPr>
        <w:t xml:space="preserve"> of health services. The study reported that individuals who lack digital skills are more likely to experience difficulties accessing healthcare services, which can lead to delayed treatment and reduced engagement with healthcare providers. The authors also suggested that additional support mechanisms are needed to ensure that vulnerable populations are not left behind as healthcare systems continue to adopt digital technologies.</w:t>
      </w:r>
    </w:p>
    <w:p w14:paraId="4B12B5F3"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 xml:space="preserve">This study is useful because it highlights the broader implications of digital exclusion for healthcare accessibility and health inequalities. It provides evidence that digital inclusion should </w:t>
      </w:r>
      <w:r w:rsidRPr="006B4E36">
        <w:rPr>
          <w:rFonts w:ascii="Arial" w:eastAsia="Times New Roman" w:hAnsi="Arial" w:cs="Arial"/>
        </w:rPr>
        <w:lastRenderedPageBreak/>
        <w:t>be considered an important component of healthcare policy. Nevertheless, the research does not specifically examine the practical role of carers in helping older adults access digital healthcare services.</w:t>
      </w:r>
    </w:p>
    <w:p w14:paraId="27DB1753" w14:textId="77777777" w:rsidR="006B4E36" w:rsidRPr="006B4E36" w:rsidRDefault="006B4E36" w:rsidP="006B4E36">
      <w:pPr>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Research Gap</w:t>
      </w:r>
    </w:p>
    <w:p w14:paraId="1B1AA226"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 xml:space="preserve">Although existing research highlights the challenges of digital exclusion and its impact on older adults, there is limited research exploring the role of carer workers in supporting digitally excluded individuals in home care settings. Many studies focus on patient experiences or healthcare </w:t>
      </w:r>
      <w:proofErr w:type="gramStart"/>
      <w:r w:rsidRPr="006B4E36">
        <w:rPr>
          <w:rFonts w:ascii="Arial" w:eastAsia="Times New Roman" w:hAnsi="Arial" w:cs="Arial"/>
        </w:rPr>
        <w:t>policy</w:t>
      </w:r>
      <w:proofErr w:type="gramEnd"/>
      <w:r w:rsidRPr="006B4E36">
        <w:rPr>
          <w:rFonts w:ascii="Arial" w:eastAsia="Times New Roman" w:hAnsi="Arial" w:cs="Arial"/>
        </w:rPr>
        <w:t xml:space="preserve"> rather than examining the practical challenges faced by carers who assist service users with digital technologies. Therefore, further research is needed to explore how carer workers support older adults in accessing digital healthcare services and what barriers they encounter in this process.</w:t>
      </w:r>
    </w:p>
    <w:p w14:paraId="67CB3ADC" w14:textId="77777777" w:rsidR="006B4E36" w:rsidRPr="006B4E36" w:rsidRDefault="006B4E36" w:rsidP="00EE3310">
      <w:pPr>
        <w:spacing w:before="100" w:beforeAutospacing="1" w:after="100" w:afterAutospacing="1" w:line="360" w:lineRule="auto"/>
        <w:jc w:val="both"/>
        <w:outlineLvl w:val="0"/>
        <w:rPr>
          <w:rFonts w:ascii="Arial" w:eastAsia="Times New Roman" w:hAnsi="Arial" w:cs="Arial"/>
          <w:b/>
          <w:bCs/>
          <w:kern w:val="36"/>
        </w:rPr>
      </w:pPr>
      <w:r w:rsidRPr="006B4E36">
        <w:rPr>
          <w:rFonts w:ascii="Arial" w:eastAsia="Times New Roman" w:hAnsi="Arial" w:cs="Arial"/>
          <w:b/>
          <w:bCs/>
          <w:kern w:val="36"/>
        </w:rPr>
        <w:t xml:space="preserve">Task 3: Research Methodologies </w:t>
      </w:r>
    </w:p>
    <w:p w14:paraId="7A9DE674"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Importance of the Research Topic</w:t>
      </w:r>
    </w:p>
    <w:p w14:paraId="169EFCDC"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Digital exclusion among older adults in UK home care is a significant concern, as increasing reliance on digital healthcare services can restrict access for those lacking digital literacy or internet connectivity (van Deursen &amp; Helsper, 2022). Carer workers often act as intermediaries, assisting service users with online appointments, telehealth consultations, and digital health information. Researching this issue helps identify strategies to support both carers and older adults in accessing essential healthcare services.</w:t>
      </w:r>
    </w:p>
    <w:p w14:paraId="6C573C31"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Quantitative Research</w:t>
      </w:r>
    </w:p>
    <w:p w14:paraId="69AD0D73" w14:textId="77777777" w:rsidR="00EE3310" w:rsidRPr="00EE3310" w:rsidRDefault="00566445" w:rsidP="00EE3310">
      <w:pPr>
        <w:spacing w:before="100" w:beforeAutospacing="1" w:after="100" w:afterAutospacing="1" w:line="360" w:lineRule="auto"/>
        <w:jc w:val="both"/>
        <w:rPr>
          <w:rFonts w:ascii="Arial" w:eastAsia="Times New Roman" w:hAnsi="Arial" w:cs="Arial"/>
        </w:rPr>
      </w:pPr>
      <w:r w:rsidRPr="00566445">
        <w:rPr>
          <w:rFonts w:ascii="Arial" w:hAnsi="Arial" w:cs="Arial"/>
        </w:rPr>
        <w:t xml:space="preserve">Quantitative research involves systematically gathering numerical information to measure variables, identify trends, and </w:t>
      </w:r>
      <w:proofErr w:type="spellStart"/>
      <w:r w:rsidRPr="00566445">
        <w:rPr>
          <w:rFonts w:ascii="Arial" w:hAnsi="Arial" w:cs="Arial"/>
        </w:rPr>
        <w:t>analyse</w:t>
      </w:r>
      <w:proofErr w:type="spellEnd"/>
      <w:r w:rsidRPr="00566445">
        <w:rPr>
          <w:rFonts w:ascii="Arial" w:hAnsi="Arial" w:cs="Arial"/>
        </w:rPr>
        <w:t xml:space="preserve"> relationships between factors (Blaikie, 2022</w:t>
      </w:r>
      <w:proofErr w:type="gramStart"/>
      <w:r w:rsidRPr="00566445">
        <w:rPr>
          <w:rFonts w:ascii="Arial" w:hAnsi="Arial" w:cs="Arial"/>
        </w:rPr>
        <w:t>).</w:t>
      </w:r>
      <w:r w:rsidR="00EE3310" w:rsidRPr="00EE3310">
        <w:rPr>
          <w:rFonts w:ascii="Arial" w:eastAsia="Times New Roman" w:hAnsi="Arial" w:cs="Arial"/>
        </w:rPr>
        <w:t>In</w:t>
      </w:r>
      <w:proofErr w:type="gramEnd"/>
      <w:r w:rsidR="00EE3310" w:rsidRPr="00EE3310">
        <w:rPr>
          <w:rFonts w:ascii="Arial" w:eastAsia="Times New Roman" w:hAnsi="Arial" w:cs="Arial"/>
        </w:rPr>
        <w:t xml:space="preserve"> this study, a survey could measure how many older adults experience digital exclusion and the frequency of carer interventions. Quantitative data allows the researcher to </w:t>
      </w:r>
      <w:proofErr w:type="spellStart"/>
      <w:r w:rsidR="00EE3310" w:rsidRPr="00EE3310">
        <w:rPr>
          <w:rFonts w:ascii="Arial" w:eastAsia="Times New Roman" w:hAnsi="Arial" w:cs="Arial"/>
        </w:rPr>
        <w:t>generalise</w:t>
      </w:r>
      <w:proofErr w:type="spellEnd"/>
      <w:r w:rsidR="00EE3310" w:rsidRPr="00EE3310">
        <w:rPr>
          <w:rFonts w:ascii="Arial" w:eastAsia="Times New Roman" w:hAnsi="Arial" w:cs="Arial"/>
        </w:rPr>
        <w:t xml:space="preserve"> findings across a wider population and establish measurable trends in digital support needs.</w:t>
      </w:r>
    </w:p>
    <w:p w14:paraId="2EE9D31D" w14:textId="77777777" w:rsidR="00EE3310" w:rsidRPr="00EE3310" w:rsidRDefault="00EE3310" w:rsidP="00EE3310">
      <w:pPr>
        <w:tabs>
          <w:tab w:val="left" w:pos="3010"/>
        </w:tabs>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Qualitative Research</w:t>
      </w:r>
      <w:r w:rsidRPr="00EE3310">
        <w:rPr>
          <w:rFonts w:ascii="Arial" w:eastAsia="Times New Roman" w:hAnsi="Arial" w:cs="Arial"/>
          <w:b/>
          <w:bCs/>
        </w:rPr>
        <w:tab/>
      </w:r>
    </w:p>
    <w:p w14:paraId="5B54CD4F" w14:textId="77777777" w:rsidR="00EE3310" w:rsidRPr="00EE3310" w:rsidRDefault="00566445" w:rsidP="00EE3310">
      <w:pPr>
        <w:spacing w:before="100" w:beforeAutospacing="1" w:after="100" w:afterAutospacing="1" w:line="360" w:lineRule="auto"/>
        <w:jc w:val="both"/>
        <w:rPr>
          <w:rFonts w:ascii="Arial" w:eastAsia="Times New Roman" w:hAnsi="Arial" w:cs="Arial"/>
        </w:rPr>
      </w:pPr>
      <w:r w:rsidRPr="00566445">
        <w:rPr>
          <w:rFonts w:ascii="Arial" w:hAnsi="Arial" w:cs="Arial"/>
        </w:rPr>
        <w:lastRenderedPageBreak/>
        <w:t xml:space="preserve">Qualitative research is an approach that seeks to understand people’s thoughts, feelings, and </w:t>
      </w:r>
      <w:proofErr w:type="spellStart"/>
      <w:r w:rsidRPr="00566445">
        <w:rPr>
          <w:rFonts w:ascii="Arial" w:hAnsi="Arial" w:cs="Arial"/>
        </w:rPr>
        <w:t>behaviours</w:t>
      </w:r>
      <w:proofErr w:type="spellEnd"/>
      <w:r w:rsidRPr="00566445">
        <w:rPr>
          <w:rFonts w:ascii="Arial" w:hAnsi="Arial" w:cs="Arial"/>
        </w:rPr>
        <w:t xml:space="preserve"> by collecting non-numerical data, such as interviews or observations</w:t>
      </w:r>
      <w:r w:rsidR="00EE3310" w:rsidRPr="00EE3310">
        <w:rPr>
          <w:rFonts w:ascii="Arial" w:eastAsia="Times New Roman" w:hAnsi="Arial" w:cs="Arial"/>
        </w:rPr>
        <w:t xml:space="preserve"> (Silverman, 2022). Semi-structured interviews with carer workers could uncover challenges they face when supporting digitally excluded older adults, and the strategies they use to facilitate digital access. This approach captures nuanced insights into practical realities that numerical data alone cannot reveal.</w:t>
      </w:r>
    </w:p>
    <w:p w14:paraId="5F553E5E"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Mixed-Methods Research</w:t>
      </w:r>
    </w:p>
    <w:p w14:paraId="644680DA" w14:textId="77777777" w:rsidR="00EE3310" w:rsidRPr="00EE3310" w:rsidRDefault="00566445" w:rsidP="00EE3310">
      <w:pPr>
        <w:spacing w:before="100" w:beforeAutospacing="1" w:after="100" w:afterAutospacing="1" w:line="360" w:lineRule="auto"/>
        <w:jc w:val="both"/>
        <w:rPr>
          <w:rFonts w:ascii="Arial" w:eastAsia="Times New Roman" w:hAnsi="Arial" w:cs="Arial"/>
        </w:rPr>
      </w:pPr>
      <w:r w:rsidRPr="00566445">
        <w:rPr>
          <w:rFonts w:ascii="Arial" w:hAnsi="Arial" w:cs="Arial"/>
        </w:rPr>
        <w:t>Mixed-methods research combines both numerical and non-numerical data collection and analysis to gain a comprehensive understanding of a research problem</w:t>
      </w:r>
      <w:r w:rsidR="00EE3310" w:rsidRPr="00EE3310">
        <w:rPr>
          <w:rFonts w:ascii="Arial" w:eastAsia="Times New Roman" w:hAnsi="Arial" w:cs="Arial"/>
        </w:rPr>
        <w:t xml:space="preserve"> (Fetters et al., 2023). </w:t>
      </w:r>
    </w:p>
    <w:p w14:paraId="7FCA09D4" w14:textId="77777777" w:rsidR="00EE3310" w:rsidRPr="00CE758A" w:rsidRDefault="00CE758A" w:rsidP="00EE3310">
      <w:pPr>
        <w:spacing w:before="100" w:beforeAutospacing="1" w:after="100" w:afterAutospacing="1" w:line="360" w:lineRule="auto"/>
        <w:jc w:val="both"/>
        <w:rPr>
          <w:rFonts w:ascii="Arial" w:eastAsia="Times New Roman" w:hAnsi="Arial" w:cs="Arial"/>
        </w:rPr>
      </w:pPr>
      <w:r w:rsidRPr="00CE758A">
        <w:rPr>
          <w:rFonts w:ascii="Arial" w:hAnsi="Arial" w:cs="Arial"/>
        </w:rPr>
        <w:t>For this study, a mixed-methods approach would involve surveys to gather numerical data on digital exclusion and interviews to explore carers’ experiences. This methodology is suitable because it captures both statistical trends and in-depth insights, enhancing the reliability and richness of the findings.</w:t>
      </w:r>
    </w:p>
    <w:p w14:paraId="04E7F3AB" w14:textId="77777777" w:rsidR="00EE3310" w:rsidRDefault="006B4E36" w:rsidP="00EE3310">
      <w:pPr>
        <w:tabs>
          <w:tab w:val="center" w:pos="4680"/>
        </w:tabs>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 xml:space="preserve">Task 4: Data Collection </w:t>
      </w:r>
    </w:p>
    <w:p w14:paraId="517B9F17"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Primary vs Secondary Data</w:t>
      </w:r>
    </w:p>
    <w:p w14:paraId="0E93297F" w14:textId="77777777" w:rsid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 xml:space="preserve">Primary data is information gathered directly by the researcher for the specific purpose of answering their research question (Blaikie, 2022). It provides up-to-date, context-specific insights, often collected through methods such as surveys, interviews, focus groups, or observations. Secondary data, by contrast, refers to information previously collected by other researchers or </w:t>
      </w:r>
      <w:proofErr w:type="spellStart"/>
      <w:r w:rsidRPr="00EE3310">
        <w:rPr>
          <w:rFonts w:ascii="Arial" w:eastAsia="Times New Roman" w:hAnsi="Arial" w:cs="Arial"/>
        </w:rPr>
        <w:t>organisations</w:t>
      </w:r>
      <w:proofErr w:type="spellEnd"/>
      <w:r w:rsidRPr="00EE3310">
        <w:rPr>
          <w:rFonts w:ascii="Arial" w:eastAsia="Times New Roman" w:hAnsi="Arial" w:cs="Arial"/>
        </w:rPr>
        <w:t>, such as government reports, NHS statistics, or published academic studies (Bryman, 2021). Secondary data is useful for establishing context or identifying trends but may not fully address the specific needs of a study.</w:t>
      </w:r>
    </w:p>
    <w:p w14:paraId="3EABB571" w14:textId="77777777" w:rsidR="00EE3310" w:rsidRPr="00EE3310" w:rsidRDefault="00EE3310" w:rsidP="00EE3310">
      <w:pPr>
        <w:spacing w:before="100" w:beforeAutospacing="1" w:after="100" w:afterAutospacing="1" w:line="360" w:lineRule="auto"/>
        <w:ind w:left="1440"/>
        <w:jc w:val="both"/>
        <w:rPr>
          <w:rFonts w:ascii="Arial" w:eastAsia="Times New Roman" w:hAnsi="Arial" w:cs="Arial"/>
        </w:rPr>
      </w:pPr>
      <w:r w:rsidRPr="00EE3310">
        <w:rPr>
          <w:rFonts w:ascii="Arial" w:eastAsia="Times New Roman" w:hAnsi="Arial" w:cs="Arial"/>
          <w:noProof/>
        </w:rPr>
        <w:drawing>
          <wp:inline distT="0" distB="0" distL="0" distR="0" wp14:anchorId="7ED02378" wp14:editId="11EDB978">
            <wp:extent cx="3483610" cy="1250950"/>
            <wp:effectExtent l="0" t="0" r="2540" b="6350"/>
            <wp:docPr id="3" name="Picture 3" descr="Data Collection: The Key to Insights | BotPengu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ta Collection: The Key to Insights | BotPengu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6523" cy="1251996"/>
                    </a:xfrm>
                    <a:prstGeom prst="rect">
                      <a:avLst/>
                    </a:prstGeom>
                    <a:noFill/>
                    <a:ln>
                      <a:noFill/>
                    </a:ln>
                  </pic:spPr>
                </pic:pic>
              </a:graphicData>
            </a:graphic>
          </wp:inline>
        </w:drawing>
      </w:r>
    </w:p>
    <w:p w14:paraId="5C5C94C1" w14:textId="77777777" w:rsidR="00EE3310" w:rsidRDefault="00EE3310" w:rsidP="00EE3310">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(Kumar, 2026)</w:t>
      </w:r>
    </w:p>
    <w:p w14:paraId="66C38EBF"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lastRenderedPageBreak/>
        <w:t>Choice of Data for This Study</w:t>
      </w:r>
    </w:p>
    <w:p w14:paraId="77481F08"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 xml:space="preserve">For researching digital exclusion among older adults in UK home care, </w:t>
      </w:r>
      <w:r w:rsidRPr="00EE3310">
        <w:rPr>
          <w:rFonts w:ascii="Arial" w:eastAsia="Times New Roman" w:hAnsi="Arial" w:cs="Arial"/>
          <w:bCs/>
        </w:rPr>
        <w:t>primary data</w:t>
      </w:r>
      <w:r w:rsidRPr="00EE3310">
        <w:rPr>
          <w:rFonts w:ascii="Arial" w:eastAsia="Times New Roman" w:hAnsi="Arial" w:cs="Arial"/>
        </w:rPr>
        <w:t xml:space="preserve"> is the most appropriate. A structured survey can quantify the extent of digital exclusion and the frequency with which carer workers assist service users with digital tasks. Additionally, semi-structured interviews with carers can explore their experiences, challenges, and strategies when supporting older adults with digital technologies.</w:t>
      </w:r>
    </w:p>
    <w:p w14:paraId="24DB7A75"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Advantages of Primary Data</w:t>
      </w:r>
    </w:p>
    <w:p w14:paraId="12F59A6C" w14:textId="77777777" w:rsidR="00EE3310" w:rsidRPr="00EE3310"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 xml:space="preserve">Primary data allows the researcher to collect </w:t>
      </w:r>
      <w:r w:rsidRPr="00EE3310">
        <w:rPr>
          <w:rFonts w:ascii="Arial" w:eastAsia="Times New Roman" w:hAnsi="Arial" w:cs="Arial"/>
          <w:bCs/>
        </w:rPr>
        <w:t>direct, relevant, and current information</w:t>
      </w:r>
      <w:r w:rsidRPr="00EE3310">
        <w:rPr>
          <w:rFonts w:ascii="Arial" w:eastAsia="Times New Roman" w:hAnsi="Arial" w:cs="Arial"/>
        </w:rPr>
        <w:t xml:space="preserve"> from participants. It captures both measurable trends and detailed insights from carers’ experiences, ensuring that the findings are tailored to the study’s objectives (Cohen et al., 2022). Using a mixed-methods approach enhances the credibility and depth of the research.</w:t>
      </w:r>
    </w:p>
    <w:p w14:paraId="7331D262" w14:textId="77777777" w:rsidR="00EE3310" w:rsidRPr="00EE3310" w:rsidRDefault="00EE3310" w:rsidP="00EE3310">
      <w:pPr>
        <w:spacing w:before="100" w:beforeAutospacing="1" w:after="100" w:afterAutospacing="1" w:line="360" w:lineRule="auto"/>
        <w:jc w:val="both"/>
        <w:outlineLvl w:val="2"/>
        <w:rPr>
          <w:rFonts w:ascii="Arial" w:eastAsia="Times New Roman" w:hAnsi="Arial" w:cs="Arial"/>
          <w:b/>
          <w:bCs/>
        </w:rPr>
      </w:pPr>
      <w:r w:rsidRPr="00EE3310">
        <w:rPr>
          <w:rFonts w:ascii="Arial" w:eastAsia="Times New Roman" w:hAnsi="Arial" w:cs="Arial"/>
          <w:b/>
          <w:bCs/>
        </w:rPr>
        <w:t>Challenges of Primary Data</w:t>
      </w:r>
    </w:p>
    <w:p w14:paraId="5960FFCC" w14:textId="77777777" w:rsidR="006B4E36" w:rsidRPr="006B4E36" w:rsidRDefault="00EE3310" w:rsidP="00EE3310">
      <w:pPr>
        <w:spacing w:before="100" w:beforeAutospacing="1" w:after="100" w:afterAutospacing="1" w:line="360" w:lineRule="auto"/>
        <w:jc w:val="both"/>
        <w:rPr>
          <w:rFonts w:ascii="Arial" w:eastAsia="Times New Roman" w:hAnsi="Arial" w:cs="Arial"/>
        </w:rPr>
      </w:pPr>
      <w:r w:rsidRPr="00EE3310">
        <w:rPr>
          <w:rFonts w:ascii="Arial" w:eastAsia="Times New Roman" w:hAnsi="Arial" w:cs="Arial"/>
        </w:rPr>
        <w:t xml:space="preserve">Collecting primary data can be </w:t>
      </w:r>
      <w:r w:rsidRPr="00EE3310">
        <w:rPr>
          <w:rFonts w:ascii="Arial" w:eastAsia="Times New Roman" w:hAnsi="Arial" w:cs="Arial"/>
          <w:bCs/>
        </w:rPr>
        <w:t>time-intensive</w:t>
      </w:r>
      <w:r w:rsidRPr="00EE3310">
        <w:rPr>
          <w:rFonts w:ascii="Arial" w:eastAsia="Times New Roman" w:hAnsi="Arial" w:cs="Arial"/>
        </w:rPr>
        <w:t xml:space="preserve"> and may require ethical approval, especially when working with vulnerable populations or healthcare staff. Recruiting participants and ensuring consistent responses can also be challenging. Despite these limitations, primary data remains the most effective way to investigate the practical experiences of carers and the digital needs of older adults.</w:t>
      </w:r>
      <w:r>
        <w:rPr>
          <w:rFonts w:ascii="Arial" w:eastAsia="Times New Roman" w:hAnsi="Arial" w:cs="Arial"/>
          <w:b/>
          <w:bCs/>
        </w:rPr>
        <w:tab/>
      </w:r>
    </w:p>
    <w:p w14:paraId="79421B3C" w14:textId="77777777" w:rsidR="006B4E36" w:rsidRPr="006B4E36" w:rsidRDefault="006B4E36" w:rsidP="006B4E36">
      <w:pPr>
        <w:spacing w:before="100" w:beforeAutospacing="1" w:after="100" w:afterAutospacing="1" w:line="360" w:lineRule="auto"/>
        <w:jc w:val="both"/>
        <w:outlineLvl w:val="1"/>
        <w:rPr>
          <w:rFonts w:ascii="Arial" w:eastAsia="Times New Roman" w:hAnsi="Arial" w:cs="Arial"/>
          <w:b/>
          <w:bCs/>
        </w:rPr>
      </w:pPr>
      <w:r w:rsidRPr="006B4E36">
        <w:rPr>
          <w:rFonts w:ascii="Arial" w:eastAsia="Times New Roman" w:hAnsi="Arial" w:cs="Arial"/>
          <w:b/>
          <w:bCs/>
        </w:rPr>
        <w:t xml:space="preserve">Conclusion </w:t>
      </w:r>
    </w:p>
    <w:p w14:paraId="781BBCBD" w14:textId="77777777" w:rsidR="006B4E36" w:rsidRPr="006B4E36" w:rsidRDefault="006B4E36" w:rsidP="006B4E36">
      <w:pPr>
        <w:spacing w:before="100" w:beforeAutospacing="1" w:after="100" w:afterAutospacing="1" w:line="360" w:lineRule="auto"/>
        <w:jc w:val="both"/>
        <w:rPr>
          <w:rFonts w:ascii="Arial" w:eastAsia="Times New Roman" w:hAnsi="Arial" w:cs="Arial"/>
        </w:rPr>
      </w:pPr>
      <w:r w:rsidRPr="006B4E36">
        <w:rPr>
          <w:rFonts w:ascii="Arial" w:eastAsia="Times New Roman" w:hAnsi="Arial" w:cs="Arial"/>
        </w:rPr>
        <w:t>Digital exclusion among older adults in UK home care settings is a significant issue that can limit access to healthcare services and increase health inequalities. Carer workers play a vital role in supporting digitally excluded service users by assisting with online appointments, telehealth consultations, and access to health information (</w:t>
      </w:r>
      <w:proofErr w:type="spellStart"/>
      <w:r w:rsidRPr="006B4E36">
        <w:rPr>
          <w:rFonts w:ascii="Arial" w:eastAsia="Times New Roman" w:hAnsi="Arial" w:cs="Arial"/>
        </w:rPr>
        <w:t>Spanakis</w:t>
      </w:r>
      <w:proofErr w:type="spellEnd"/>
      <w:r w:rsidRPr="006B4E36">
        <w:rPr>
          <w:rFonts w:ascii="Arial" w:eastAsia="Times New Roman" w:hAnsi="Arial" w:cs="Arial"/>
        </w:rPr>
        <w:t xml:space="preserve"> et al., 2022; Seifert et al., 2021). This report has highlighted the importance of understanding both the prevalence of digital exclusion and the practical experiences of carers through a mixed-methods approach. Further research using surveys and interviews can provide valuable insights to improve digital support and enhance equitable healthcare access for older adults.</w:t>
      </w:r>
    </w:p>
    <w:p w14:paraId="5B2486E2" w14:textId="77777777" w:rsidR="006B4E36" w:rsidRDefault="00EE3310" w:rsidP="00EE3310">
      <w:pPr>
        <w:tabs>
          <w:tab w:val="left" w:pos="2090"/>
        </w:tabs>
        <w:spacing w:line="360" w:lineRule="auto"/>
        <w:jc w:val="both"/>
        <w:rPr>
          <w:rFonts w:ascii="Arial" w:hAnsi="Arial" w:cs="Arial"/>
          <w:b/>
        </w:rPr>
      </w:pPr>
      <w:r>
        <w:rPr>
          <w:rFonts w:ascii="Arial" w:hAnsi="Arial" w:cs="Arial"/>
          <w:b/>
        </w:rPr>
        <w:tab/>
      </w:r>
    </w:p>
    <w:p w14:paraId="23577F6B" w14:textId="77777777" w:rsidR="00EE3310" w:rsidRDefault="00EE3310" w:rsidP="006B4E36">
      <w:pPr>
        <w:spacing w:line="360" w:lineRule="auto"/>
        <w:jc w:val="both"/>
        <w:rPr>
          <w:rFonts w:ascii="Arial" w:hAnsi="Arial" w:cs="Arial"/>
          <w:b/>
        </w:rPr>
      </w:pPr>
    </w:p>
    <w:p w14:paraId="6EBFF440" w14:textId="77777777" w:rsidR="007A49EE" w:rsidRPr="006B4E36" w:rsidRDefault="006B4E36" w:rsidP="006B4E36">
      <w:pPr>
        <w:spacing w:line="360" w:lineRule="auto"/>
        <w:jc w:val="both"/>
        <w:rPr>
          <w:rFonts w:ascii="Arial" w:hAnsi="Arial" w:cs="Arial"/>
          <w:b/>
        </w:rPr>
      </w:pPr>
      <w:r w:rsidRPr="006B4E36">
        <w:rPr>
          <w:rFonts w:ascii="Arial" w:hAnsi="Arial" w:cs="Arial"/>
          <w:b/>
        </w:rPr>
        <w:lastRenderedPageBreak/>
        <w:t>REFERENCES</w:t>
      </w:r>
    </w:p>
    <w:p w14:paraId="550A26EC" w14:textId="77777777" w:rsidR="00EE3310" w:rsidRPr="00EE3310" w:rsidRDefault="00EE3310" w:rsidP="00EE3310">
      <w:pPr>
        <w:pStyle w:val="NormalWeb"/>
        <w:tabs>
          <w:tab w:val="left" w:pos="3780"/>
        </w:tabs>
        <w:spacing w:line="360" w:lineRule="auto"/>
        <w:jc w:val="both"/>
        <w:rPr>
          <w:rFonts w:ascii="Arial" w:hAnsi="Arial" w:cs="Arial"/>
          <w:sz w:val="22"/>
          <w:szCs w:val="22"/>
        </w:rPr>
      </w:pPr>
      <w:r w:rsidRPr="00EE3310">
        <w:rPr>
          <w:rFonts w:ascii="Arial" w:hAnsi="Arial" w:cs="Arial"/>
          <w:sz w:val="22"/>
          <w:szCs w:val="22"/>
        </w:rPr>
        <w:t xml:space="preserve">Blaikie, N. (2022) </w:t>
      </w:r>
      <w:r w:rsidRPr="00EE3310">
        <w:rPr>
          <w:rStyle w:val="Emphasis"/>
          <w:rFonts w:ascii="Arial" w:hAnsi="Arial" w:cs="Arial"/>
          <w:sz w:val="22"/>
          <w:szCs w:val="22"/>
        </w:rPr>
        <w:t>Designing Social Research: The Logic of Methods</w:t>
      </w:r>
      <w:r w:rsidRPr="00EE3310">
        <w:rPr>
          <w:rFonts w:ascii="Arial" w:hAnsi="Arial" w:cs="Arial"/>
          <w:sz w:val="22"/>
          <w:szCs w:val="22"/>
        </w:rPr>
        <w:t xml:space="preserve">. 3rd </w:t>
      </w:r>
      <w:proofErr w:type="spellStart"/>
      <w:proofErr w:type="gramStart"/>
      <w:r w:rsidRPr="00EE3310">
        <w:rPr>
          <w:rFonts w:ascii="Arial" w:hAnsi="Arial" w:cs="Arial"/>
          <w:sz w:val="22"/>
          <w:szCs w:val="22"/>
        </w:rPr>
        <w:t>edn</w:t>
      </w:r>
      <w:proofErr w:type="spellEnd"/>
      <w:proofErr w:type="gramEnd"/>
      <w:r w:rsidRPr="00EE3310">
        <w:rPr>
          <w:rFonts w:ascii="Arial" w:hAnsi="Arial" w:cs="Arial"/>
          <w:sz w:val="22"/>
          <w:szCs w:val="22"/>
        </w:rPr>
        <w:t>. Cambridge: Polity Press.</w:t>
      </w:r>
    </w:p>
    <w:p w14:paraId="01840654"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 xml:space="preserve">Bryman, A. (2021) </w:t>
      </w:r>
      <w:r w:rsidRPr="00EE3310">
        <w:rPr>
          <w:rStyle w:val="Emphasis"/>
          <w:rFonts w:ascii="Arial" w:hAnsi="Arial" w:cs="Arial"/>
          <w:sz w:val="22"/>
          <w:szCs w:val="22"/>
        </w:rPr>
        <w:t>Social Research Methods</w:t>
      </w:r>
      <w:r w:rsidRPr="00EE3310">
        <w:rPr>
          <w:rFonts w:ascii="Arial" w:hAnsi="Arial" w:cs="Arial"/>
          <w:sz w:val="22"/>
          <w:szCs w:val="22"/>
        </w:rPr>
        <w:t xml:space="preserve">. 6th </w:t>
      </w:r>
      <w:proofErr w:type="spellStart"/>
      <w:r w:rsidRPr="00EE3310">
        <w:rPr>
          <w:rFonts w:ascii="Arial" w:hAnsi="Arial" w:cs="Arial"/>
          <w:sz w:val="22"/>
          <w:szCs w:val="22"/>
        </w:rPr>
        <w:t>edn</w:t>
      </w:r>
      <w:proofErr w:type="spellEnd"/>
      <w:r w:rsidRPr="00EE3310">
        <w:rPr>
          <w:rFonts w:ascii="Arial" w:hAnsi="Arial" w:cs="Arial"/>
          <w:sz w:val="22"/>
          <w:szCs w:val="22"/>
        </w:rPr>
        <w:t>. Oxford: Oxford University Press.</w:t>
      </w:r>
    </w:p>
    <w:p w14:paraId="40F368C8"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 xml:space="preserve">Cohen, L., Manion, L. and Morrison, K. (2022) </w:t>
      </w:r>
      <w:r w:rsidRPr="00EE3310">
        <w:rPr>
          <w:rStyle w:val="Emphasis"/>
          <w:rFonts w:ascii="Arial" w:hAnsi="Arial" w:cs="Arial"/>
          <w:sz w:val="22"/>
          <w:szCs w:val="22"/>
        </w:rPr>
        <w:t>Research Methods in Education</w:t>
      </w:r>
      <w:r w:rsidRPr="00EE3310">
        <w:rPr>
          <w:rFonts w:ascii="Arial" w:hAnsi="Arial" w:cs="Arial"/>
          <w:sz w:val="22"/>
          <w:szCs w:val="22"/>
        </w:rPr>
        <w:t xml:space="preserve">. 9th </w:t>
      </w:r>
      <w:proofErr w:type="spellStart"/>
      <w:proofErr w:type="gramStart"/>
      <w:r w:rsidRPr="00EE3310">
        <w:rPr>
          <w:rFonts w:ascii="Arial" w:hAnsi="Arial" w:cs="Arial"/>
          <w:sz w:val="22"/>
          <w:szCs w:val="22"/>
        </w:rPr>
        <w:t>edn</w:t>
      </w:r>
      <w:proofErr w:type="spellEnd"/>
      <w:proofErr w:type="gramEnd"/>
      <w:r w:rsidRPr="00EE3310">
        <w:rPr>
          <w:rFonts w:ascii="Arial" w:hAnsi="Arial" w:cs="Arial"/>
          <w:sz w:val="22"/>
          <w:szCs w:val="22"/>
        </w:rPr>
        <w:t>. London: Routledge.</w:t>
      </w:r>
    </w:p>
    <w:p w14:paraId="55079733"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 xml:space="preserve">Creswell, J.W. (2021) </w:t>
      </w:r>
      <w:r w:rsidRPr="00EE3310">
        <w:rPr>
          <w:rStyle w:val="Emphasis"/>
          <w:rFonts w:ascii="Arial" w:hAnsi="Arial" w:cs="Arial"/>
          <w:sz w:val="22"/>
          <w:szCs w:val="22"/>
        </w:rPr>
        <w:t>Research Design: Qualitative, Quantitative, and Mixed Methods Approaches</w:t>
      </w:r>
      <w:r w:rsidRPr="00EE3310">
        <w:rPr>
          <w:rFonts w:ascii="Arial" w:hAnsi="Arial" w:cs="Arial"/>
          <w:sz w:val="22"/>
          <w:szCs w:val="22"/>
        </w:rPr>
        <w:t xml:space="preserve">. 6th </w:t>
      </w:r>
      <w:proofErr w:type="spellStart"/>
      <w:r w:rsidRPr="00EE3310">
        <w:rPr>
          <w:rFonts w:ascii="Arial" w:hAnsi="Arial" w:cs="Arial"/>
          <w:sz w:val="22"/>
          <w:szCs w:val="22"/>
        </w:rPr>
        <w:t>edn</w:t>
      </w:r>
      <w:proofErr w:type="spellEnd"/>
      <w:r w:rsidRPr="00EE3310">
        <w:rPr>
          <w:rFonts w:ascii="Arial" w:hAnsi="Arial" w:cs="Arial"/>
          <w:sz w:val="22"/>
          <w:szCs w:val="22"/>
        </w:rPr>
        <w:t>. Thousand Oaks: SAGE.</w:t>
      </w:r>
    </w:p>
    <w:p w14:paraId="1F405CF7"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 xml:space="preserve">Fetters, M.D., Curry, L.A. and Creswell, J.W. (2023) ‘Achieving integration in mixed methods designs: Principles and practices’, </w:t>
      </w:r>
      <w:r w:rsidRPr="00EE3310">
        <w:rPr>
          <w:rStyle w:val="Emphasis"/>
          <w:rFonts w:ascii="Arial" w:hAnsi="Arial" w:cs="Arial"/>
          <w:sz w:val="22"/>
          <w:szCs w:val="22"/>
        </w:rPr>
        <w:t>Health Services Research</w:t>
      </w:r>
      <w:r w:rsidRPr="00EE3310">
        <w:rPr>
          <w:rFonts w:ascii="Arial" w:hAnsi="Arial" w:cs="Arial"/>
          <w:sz w:val="22"/>
          <w:szCs w:val="22"/>
        </w:rPr>
        <w:t xml:space="preserve">, 58(1), pp. 3–15. </w:t>
      </w:r>
      <w:proofErr w:type="spellStart"/>
      <w:r w:rsidRPr="00EE3310">
        <w:rPr>
          <w:rFonts w:ascii="Arial" w:hAnsi="Arial" w:cs="Arial"/>
          <w:sz w:val="22"/>
          <w:szCs w:val="22"/>
        </w:rPr>
        <w:t>doi</w:t>
      </w:r>
      <w:proofErr w:type="spellEnd"/>
      <w:r w:rsidRPr="00EE3310">
        <w:rPr>
          <w:rFonts w:ascii="Arial" w:hAnsi="Arial" w:cs="Arial"/>
          <w:sz w:val="22"/>
          <w:szCs w:val="22"/>
        </w:rPr>
        <w:t>: 10.1111/1475-6773.14098.</w:t>
      </w:r>
    </w:p>
    <w:p w14:paraId="033B369E" w14:textId="77777777" w:rsidR="00566445" w:rsidRDefault="00EE3310" w:rsidP="00EE3310">
      <w:pPr>
        <w:pStyle w:val="NormalWeb"/>
        <w:spacing w:line="360" w:lineRule="auto"/>
        <w:jc w:val="both"/>
        <w:rPr>
          <w:rFonts w:ascii="Arial" w:hAnsi="Arial" w:cs="Arial"/>
          <w:color w:val="2E74B5" w:themeColor="accent1" w:themeShade="BF"/>
          <w:sz w:val="22"/>
          <w:szCs w:val="22"/>
        </w:rPr>
      </w:pPr>
      <w:r w:rsidRPr="00EE3310">
        <w:rPr>
          <w:rFonts w:ascii="Arial" w:hAnsi="Arial" w:cs="Arial"/>
          <w:sz w:val="22"/>
          <w:szCs w:val="22"/>
        </w:rPr>
        <w:t xml:space="preserve">Good Things Foundation (2024) </w:t>
      </w:r>
      <w:r w:rsidRPr="00EE3310">
        <w:rPr>
          <w:rStyle w:val="Emphasis"/>
          <w:rFonts w:ascii="Arial" w:hAnsi="Arial" w:cs="Arial"/>
          <w:sz w:val="22"/>
          <w:szCs w:val="22"/>
        </w:rPr>
        <w:t>Digital inclusion and health: Insights report</w:t>
      </w:r>
      <w:r w:rsidRPr="00EE3310">
        <w:rPr>
          <w:rFonts w:ascii="Arial" w:hAnsi="Arial" w:cs="Arial"/>
          <w:sz w:val="22"/>
          <w:szCs w:val="22"/>
        </w:rPr>
        <w:t xml:space="preserve">. London: Good Things Foundation. Available at: </w:t>
      </w:r>
      <w:r w:rsidRPr="00566445">
        <w:rPr>
          <w:rFonts w:ascii="Arial" w:hAnsi="Arial" w:cs="Arial"/>
          <w:color w:val="2E74B5" w:themeColor="accent1" w:themeShade="BF"/>
          <w:sz w:val="22"/>
          <w:szCs w:val="22"/>
        </w:rPr>
        <w:t xml:space="preserve">https://www.goodthingsfoundation.org/discover/digital-inclusion-insights/digital-inclusion-and-health.html </w:t>
      </w:r>
    </w:p>
    <w:p w14:paraId="11AAF86F"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Mohan, D., Chatterjee, K. and Ali, S. (</w:t>
      </w:r>
      <w:proofErr w:type="gramStart"/>
      <w:r w:rsidRPr="00EE3310">
        <w:rPr>
          <w:rFonts w:ascii="Arial" w:hAnsi="Arial" w:cs="Arial"/>
          <w:sz w:val="22"/>
          <w:szCs w:val="22"/>
        </w:rPr>
        <w:t>2024) ‘</w:t>
      </w:r>
      <w:proofErr w:type="gramEnd"/>
      <w:r w:rsidRPr="00EE3310">
        <w:rPr>
          <w:rFonts w:ascii="Arial" w:hAnsi="Arial" w:cs="Arial"/>
          <w:sz w:val="22"/>
          <w:szCs w:val="22"/>
        </w:rPr>
        <w:t xml:space="preserve">Digital exclusion and healthcare access among older adults in the UK: Barriers and policy implications’, </w:t>
      </w:r>
      <w:r w:rsidRPr="00EE3310">
        <w:rPr>
          <w:rStyle w:val="Emphasis"/>
          <w:rFonts w:ascii="Arial" w:hAnsi="Arial" w:cs="Arial"/>
          <w:sz w:val="22"/>
          <w:szCs w:val="22"/>
        </w:rPr>
        <w:t>BMC Public Health</w:t>
      </w:r>
      <w:r w:rsidRPr="00EE3310">
        <w:rPr>
          <w:rFonts w:ascii="Arial" w:hAnsi="Arial" w:cs="Arial"/>
          <w:sz w:val="22"/>
          <w:szCs w:val="22"/>
        </w:rPr>
        <w:t xml:space="preserve">, 24(1), pp. 1123. </w:t>
      </w:r>
      <w:proofErr w:type="spellStart"/>
      <w:r w:rsidRPr="00EE3310">
        <w:rPr>
          <w:rFonts w:ascii="Arial" w:hAnsi="Arial" w:cs="Arial"/>
          <w:sz w:val="22"/>
          <w:szCs w:val="22"/>
        </w:rPr>
        <w:t>doi</w:t>
      </w:r>
      <w:proofErr w:type="spellEnd"/>
      <w:r w:rsidRPr="00EE3310">
        <w:rPr>
          <w:rFonts w:ascii="Arial" w:hAnsi="Arial" w:cs="Arial"/>
          <w:sz w:val="22"/>
          <w:szCs w:val="22"/>
        </w:rPr>
        <w:t>: 10.1186/s12889-024-11023-1.</w:t>
      </w:r>
    </w:p>
    <w:p w14:paraId="6709742B"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Seifert, A., Cotten, S.R. and Xie, B. (</w:t>
      </w:r>
      <w:proofErr w:type="gramStart"/>
      <w:r w:rsidRPr="00EE3310">
        <w:rPr>
          <w:rFonts w:ascii="Arial" w:hAnsi="Arial" w:cs="Arial"/>
          <w:sz w:val="22"/>
          <w:szCs w:val="22"/>
        </w:rPr>
        <w:t>2021) ‘</w:t>
      </w:r>
      <w:proofErr w:type="gramEnd"/>
      <w:r w:rsidRPr="00EE3310">
        <w:rPr>
          <w:rFonts w:ascii="Arial" w:hAnsi="Arial" w:cs="Arial"/>
          <w:sz w:val="22"/>
          <w:szCs w:val="22"/>
        </w:rPr>
        <w:t xml:space="preserve">Aging and digital technology use: The role of age, social support, and cognitive factors’, </w:t>
      </w:r>
      <w:r w:rsidRPr="00EE3310">
        <w:rPr>
          <w:rStyle w:val="Emphasis"/>
          <w:rFonts w:ascii="Arial" w:hAnsi="Arial" w:cs="Arial"/>
          <w:sz w:val="22"/>
          <w:szCs w:val="22"/>
        </w:rPr>
        <w:t>International Journal of Environmental Research and Public Health</w:t>
      </w:r>
      <w:r w:rsidRPr="00EE3310">
        <w:rPr>
          <w:rFonts w:ascii="Arial" w:hAnsi="Arial" w:cs="Arial"/>
          <w:sz w:val="22"/>
          <w:szCs w:val="22"/>
        </w:rPr>
        <w:t xml:space="preserve">, 18(9), pp. 4691. </w:t>
      </w:r>
      <w:proofErr w:type="spellStart"/>
      <w:r w:rsidRPr="00EE3310">
        <w:rPr>
          <w:rFonts w:ascii="Arial" w:hAnsi="Arial" w:cs="Arial"/>
          <w:sz w:val="22"/>
          <w:szCs w:val="22"/>
        </w:rPr>
        <w:t>doi</w:t>
      </w:r>
      <w:proofErr w:type="spellEnd"/>
      <w:r w:rsidRPr="00EE3310">
        <w:rPr>
          <w:rFonts w:ascii="Arial" w:hAnsi="Arial" w:cs="Arial"/>
          <w:sz w:val="22"/>
          <w:szCs w:val="22"/>
        </w:rPr>
        <w:t>: 10.3390/ijerph18094691.</w:t>
      </w:r>
    </w:p>
    <w:p w14:paraId="70BA8F27" w14:textId="77777777" w:rsidR="00EE3310" w:rsidRPr="00EE3310" w:rsidRDefault="00EE3310" w:rsidP="00EE3310">
      <w:pPr>
        <w:pStyle w:val="NormalWeb"/>
        <w:spacing w:line="360" w:lineRule="auto"/>
        <w:jc w:val="both"/>
        <w:rPr>
          <w:rFonts w:ascii="Arial" w:hAnsi="Arial" w:cs="Arial"/>
          <w:sz w:val="22"/>
          <w:szCs w:val="22"/>
        </w:rPr>
      </w:pPr>
      <w:r w:rsidRPr="00EE3310">
        <w:rPr>
          <w:rFonts w:ascii="Arial" w:hAnsi="Arial" w:cs="Arial"/>
          <w:sz w:val="22"/>
          <w:szCs w:val="22"/>
        </w:rPr>
        <w:t xml:space="preserve">Silverman, D. (2022) </w:t>
      </w:r>
      <w:r w:rsidRPr="00EE3310">
        <w:rPr>
          <w:rStyle w:val="Emphasis"/>
          <w:rFonts w:ascii="Arial" w:hAnsi="Arial" w:cs="Arial"/>
          <w:sz w:val="22"/>
          <w:szCs w:val="22"/>
        </w:rPr>
        <w:t>Interpreting Qualitative Data</w:t>
      </w:r>
      <w:r w:rsidRPr="00EE3310">
        <w:rPr>
          <w:rFonts w:ascii="Arial" w:hAnsi="Arial" w:cs="Arial"/>
          <w:sz w:val="22"/>
          <w:szCs w:val="22"/>
        </w:rPr>
        <w:t xml:space="preserve">. 6th </w:t>
      </w:r>
      <w:proofErr w:type="spellStart"/>
      <w:r w:rsidRPr="00EE3310">
        <w:rPr>
          <w:rFonts w:ascii="Arial" w:hAnsi="Arial" w:cs="Arial"/>
          <w:sz w:val="22"/>
          <w:szCs w:val="22"/>
        </w:rPr>
        <w:t>edn</w:t>
      </w:r>
      <w:proofErr w:type="spellEnd"/>
      <w:r w:rsidRPr="00EE3310">
        <w:rPr>
          <w:rFonts w:ascii="Arial" w:hAnsi="Arial" w:cs="Arial"/>
          <w:sz w:val="22"/>
          <w:szCs w:val="22"/>
        </w:rPr>
        <w:t>. London: SAGE.</w:t>
      </w:r>
    </w:p>
    <w:p w14:paraId="4012BCD6" w14:textId="77777777" w:rsidR="00EE3310" w:rsidRPr="00EE3310" w:rsidRDefault="00EE3310" w:rsidP="00EE3310">
      <w:pPr>
        <w:pStyle w:val="NormalWeb"/>
        <w:spacing w:line="360" w:lineRule="auto"/>
        <w:jc w:val="both"/>
        <w:rPr>
          <w:rFonts w:ascii="Arial" w:hAnsi="Arial" w:cs="Arial"/>
          <w:sz w:val="22"/>
          <w:szCs w:val="22"/>
        </w:rPr>
      </w:pPr>
      <w:proofErr w:type="spellStart"/>
      <w:r w:rsidRPr="00EE3310">
        <w:rPr>
          <w:rFonts w:ascii="Arial" w:hAnsi="Arial" w:cs="Arial"/>
          <w:sz w:val="22"/>
          <w:szCs w:val="22"/>
        </w:rPr>
        <w:t>Spanakis</w:t>
      </w:r>
      <w:proofErr w:type="spellEnd"/>
      <w:r w:rsidRPr="00EE3310">
        <w:rPr>
          <w:rFonts w:ascii="Arial" w:hAnsi="Arial" w:cs="Arial"/>
          <w:sz w:val="22"/>
          <w:szCs w:val="22"/>
        </w:rPr>
        <w:t>, P., Peckham, E., Mathers, A. et al. (</w:t>
      </w:r>
      <w:proofErr w:type="gramStart"/>
      <w:r w:rsidRPr="00EE3310">
        <w:rPr>
          <w:rFonts w:ascii="Arial" w:hAnsi="Arial" w:cs="Arial"/>
          <w:sz w:val="22"/>
          <w:szCs w:val="22"/>
        </w:rPr>
        <w:t>2022) ‘</w:t>
      </w:r>
      <w:proofErr w:type="gramEnd"/>
      <w:r w:rsidRPr="00EE3310">
        <w:rPr>
          <w:rFonts w:ascii="Arial" w:hAnsi="Arial" w:cs="Arial"/>
          <w:sz w:val="22"/>
          <w:szCs w:val="22"/>
        </w:rPr>
        <w:t xml:space="preserve">Digital inequality and healthcare access in older adults: A UK perspective’, </w:t>
      </w:r>
      <w:r w:rsidRPr="00EE3310">
        <w:rPr>
          <w:rStyle w:val="Emphasis"/>
          <w:rFonts w:ascii="Arial" w:hAnsi="Arial" w:cs="Arial"/>
          <w:sz w:val="22"/>
          <w:szCs w:val="22"/>
        </w:rPr>
        <w:t>Frontiers in Public Health</w:t>
      </w:r>
      <w:r w:rsidRPr="00EE3310">
        <w:rPr>
          <w:rFonts w:ascii="Arial" w:hAnsi="Arial" w:cs="Arial"/>
          <w:sz w:val="22"/>
          <w:szCs w:val="22"/>
        </w:rPr>
        <w:t xml:space="preserve">, 10, pp. 890456. </w:t>
      </w:r>
      <w:proofErr w:type="spellStart"/>
      <w:r w:rsidRPr="00EE3310">
        <w:rPr>
          <w:rFonts w:ascii="Arial" w:hAnsi="Arial" w:cs="Arial"/>
          <w:sz w:val="22"/>
          <w:szCs w:val="22"/>
        </w:rPr>
        <w:t>doi</w:t>
      </w:r>
      <w:proofErr w:type="spellEnd"/>
      <w:r w:rsidRPr="00EE3310">
        <w:rPr>
          <w:rFonts w:ascii="Arial" w:hAnsi="Arial" w:cs="Arial"/>
          <w:sz w:val="22"/>
          <w:szCs w:val="22"/>
        </w:rPr>
        <w:t>: 10.3389/fpubh.2022.890456.</w:t>
      </w:r>
    </w:p>
    <w:p w14:paraId="29E32659" w14:textId="77777777" w:rsidR="00EE3310" w:rsidRPr="00EE3310" w:rsidRDefault="00CE758A" w:rsidP="00EE3310">
      <w:pPr>
        <w:pStyle w:val="NormalWeb"/>
        <w:spacing w:line="360" w:lineRule="auto"/>
        <w:jc w:val="both"/>
        <w:rPr>
          <w:rFonts w:ascii="Arial" w:hAnsi="Arial" w:cs="Arial"/>
          <w:sz w:val="22"/>
          <w:szCs w:val="22"/>
        </w:rPr>
      </w:pPr>
      <w:r>
        <w:rPr>
          <w:rFonts w:ascii="Arial" w:hAnsi="Arial" w:cs="Arial"/>
          <w:sz w:val="22"/>
          <w:szCs w:val="22"/>
        </w:rPr>
        <w:t>V</w:t>
      </w:r>
      <w:r w:rsidR="00EE3310" w:rsidRPr="00EE3310">
        <w:rPr>
          <w:rFonts w:ascii="Arial" w:hAnsi="Arial" w:cs="Arial"/>
          <w:sz w:val="22"/>
          <w:szCs w:val="22"/>
        </w:rPr>
        <w:t xml:space="preserve">an Deursen, A.J.A.M. and Helsper, E.J. (2022) ‘The digital divide shifts to differences in usage’, </w:t>
      </w:r>
      <w:r w:rsidR="00EE3310" w:rsidRPr="00EE3310">
        <w:rPr>
          <w:rStyle w:val="Emphasis"/>
          <w:rFonts w:ascii="Arial" w:hAnsi="Arial" w:cs="Arial"/>
          <w:sz w:val="22"/>
          <w:szCs w:val="22"/>
        </w:rPr>
        <w:t>New Media &amp; Society</w:t>
      </w:r>
      <w:r w:rsidR="00EE3310" w:rsidRPr="00EE3310">
        <w:rPr>
          <w:rFonts w:ascii="Arial" w:hAnsi="Arial" w:cs="Arial"/>
          <w:sz w:val="22"/>
          <w:szCs w:val="22"/>
        </w:rPr>
        <w:t xml:space="preserve">, 24(2), pp. 366–385. </w:t>
      </w:r>
      <w:proofErr w:type="spellStart"/>
      <w:r w:rsidR="00EE3310" w:rsidRPr="00EE3310">
        <w:rPr>
          <w:rFonts w:ascii="Arial" w:hAnsi="Arial" w:cs="Arial"/>
          <w:sz w:val="22"/>
          <w:szCs w:val="22"/>
        </w:rPr>
        <w:t>doi</w:t>
      </w:r>
      <w:proofErr w:type="spellEnd"/>
      <w:r w:rsidR="00EE3310" w:rsidRPr="00EE3310">
        <w:rPr>
          <w:rFonts w:ascii="Arial" w:hAnsi="Arial" w:cs="Arial"/>
          <w:sz w:val="22"/>
          <w:szCs w:val="22"/>
        </w:rPr>
        <w:t>: 10.1177/14614448211013712.</w:t>
      </w:r>
    </w:p>
    <w:sectPr w:rsidR="00EE3310" w:rsidRPr="00EE3310" w:rsidSect="006B4E36">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3A995" w14:textId="77777777" w:rsidR="00640C26" w:rsidRDefault="00640C26" w:rsidP="006B4E36">
      <w:pPr>
        <w:spacing w:after="0" w:line="240" w:lineRule="auto"/>
      </w:pPr>
      <w:r>
        <w:separator/>
      </w:r>
    </w:p>
  </w:endnote>
  <w:endnote w:type="continuationSeparator" w:id="0">
    <w:p w14:paraId="2FCAC064" w14:textId="77777777" w:rsidR="00640C26" w:rsidRDefault="00640C26" w:rsidP="006B4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6253191"/>
      <w:docPartObj>
        <w:docPartGallery w:val="Page Numbers (Bottom of Page)"/>
        <w:docPartUnique/>
      </w:docPartObj>
    </w:sdtPr>
    <w:sdtEndPr>
      <w:rPr>
        <w:noProof/>
      </w:rPr>
    </w:sdtEndPr>
    <w:sdtContent>
      <w:p w14:paraId="614531BD" w14:textId="77777777" w:rsidR="006B4E36" w:rsidRDefault="006B4E36">
        <w:pPr>
          <w:pStyle w:val="Footer"/>
          <w:jc w:val="right"/>
        </w:pPr>
        <w:r>
          <w:fldChar w:fldCharType="begin"/>
        </w:r>
        <w:r>
          <w:instrText xml:space="preserve"> PAGE   \* MERGEFORMAT </w:instrText>
        </w:r>
        <w:r>
          <w:fldChar w:fldCharType="separate"/>
        </w:r>
        <w:r w:rsidR="00141C9F">
          <w:rPr>
            <w:noProof/>
          </w:rPr>
          <w:t>1</w:t>
        </w:r>
        <w:r>
          <w:rPr>
            <w:noProof/>
          </w:rPr>
          <w:fldChar w:fldCharType="end"/>
        </w:r>
      </w:p>
    </w:sdtContent>
  </w:sdt>
  <w:p w14:paraId="369203FD" w14:textId="77777777" w:rsidR="006B4E36" w:rsidRDefault="006B4E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9D88A" w14:textId="77777777" w:rsidR="00640C26" w:rsidRDefault="00640C26" w:rsidP="006B4E36">
      <w:pPr>
        <w:spacing w:after="0" w:line="240" w:lineRule="auto"/>
      </w:pPr>
      <w:r>
        <w:separator/>
      </w:r>
    </w:p>
  </w:footnote>
  <w:footnote w:type="continuationSeparator" w:id="0">
    <w:p w14:paraId="70DCD5AE" w14:textId="77777777" w:rsidR="00640C26" w:rsidRDefault="00640C26" w:rsidP="006B4E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9F0"/>
    <w:rsid w:val="000E1F7A"/>
    <w:rsid w:val="00141C9F"/>
    <w:rsid w:val="002157F6"/>
    <w:rsid w:val="00462970"/>
    <w:rsid w:val="004F5219"/>
    <w:rsid w:val="005136DE"/>
    <w:rsid w:val="0052161C"/>
    <w:rsid w:val="00566445"/>
    <w:rsid w:val="005A7EF6"/>
    <w:rsid w:val="00640C26"/>
    <w:rsid w:val="006B4E36"/>
    <w:rsid w:val="007A49EE"/>
    <w:rsid w:val="00840910"/>
    <w:rsid w:val="009728C4"/>
    <w:rsid w:val="00AC49F0"/>
    <w:rsid w:val="00B912F0"/>
    <w:rsid w:val="00BD1E04"/>
    <w:rsid w:val="00CE758A"/>
    <w:rsid w:val="00E24688"/>
    <w:rsid w:val="00E65794"/>
    <w:rsid w:val="00EE3310"/>
    <w:rsid w:val="00FB3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947DB"/>
  <w15:chartTrackingRefBased/>
  <w15:docId w15:val="{74297C15-5DB4-4AC2-90F2-28088AEC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4E3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B4E36"/>
    <w:rPr>
      <w:i/>
      <w:iCs/>
    </w:rPr>
  </w:style>
  <w:style w:type="character" w:styleId="Hyperlink">
    <w:name w:val="Hyperlink"/>
    <w:basedOn w:val="DefaultParagraphFont"/>
    <w:uiPriority w:val="99"/>
    <w:semiHidden/>
    <w:unhideWhenUsed/>
    <w:rsid w:val="006B4E36"/>
    <w:rPr>
      <w:color w:val="0000FF"/>
      <w:u w:val="single"/>
    </w:rPr>
  </w:style>
  <w:style w:type="paragraph" w:styleId="Header">
    <w:name w:val="header"/>
    <w:basedOn w:val="Normal"/>
    <w:link w:val="HeaderChar"/>
    <w:uiPriority w:val="99"/>
    <w:unhideWhenUsed/>
    <w:rsid w:val="006B4E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E36"/>
  </w:style>
  <w:style w:type="paragraph" w:styleId="Footer">
    <w:name w:val="footer"/>
    <w:basedOn w:val="Normal"/>
    <w:link w:val="FooterChar"/>
    <w:uiPriority w:val="99"/>
    <w:unhideWhenUsed/>
    <w:rsid w:val="006B4E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E36"/>
  </w:style>
  <w:style w:type="table" w:styleId="TableGrid">
    <w:name w:val="Table Grid"/>
    <w:basedOn w:val="TableNormal"/>
    <w:uiPriority w:val="39"/>
    <w:rsid w:val="00EE3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88901">
      <w:bodyDiv w:val="1"/>
      <w:marLeft w:val="0"/>
      <w:marRight w:val="0"/>
      <w:marTop w:val="0"/>
      <w:marBottom w:val="0"/>
      <w:divBdr>
        <w:top w:val="none" w:sz="0" w:space="0" w:color="auto"/>
        <w:left w:val="none" w:sz="0" w:space="0" w:color="auto"/>
        <w:bottom w:val="none" w:sz="0" w:space="0" w:color="auto"/>
        <w:right w:val="none" w:sz="0" w:space="0" w:color="auto"/>
      </w:divBdr>
    </w:div>
    <w:div w:id="463162603">
      <w:bodyDiv w:val="1"/>
      <w:marLeft w:val="0"/>
      <w:marRight w:val="0"/>
      <w:marTop w:val="0"/>
      <w:marBottom w:val="0"/>
      <w:divBdr>
        <w:top w:val="none" w:sz="0" w:space="0" w:color="auto"/>
        <w:left w:val="none" w:sz="0" w:space="0" w:color="auto"/>
        <w:bottom w:val="none" w:sz="0" w:space="0" w:color="auto"/>
        <w:right w:val="none" w:sz="0" w:space="0" w:color="auto"/>
      </w:divBdr>
    </w:div>
    <w:div w:id="524754392">
      <w:bodyDiv w:val="1"/>
      <w:marLeft w:val="0"/>
      <w:marRight w:val="0"/>
      <w:marTop w:val="0"/>
      <w:marBottom w:val="0"/>
      <w:divBdr>
        <w:top w:val="none" w:sz="0" w:space="0" w:color="auto"/>
        <w:left w:val="none" w:sz="0" w:space="0" w:color="auto"/>
        <w:bottom w:val="none" w:sz="0" w:space="0" w:color="auto"/>
        <w:right w:val="none" w:sz="0" w:space="0" w:color="auto"/>
      </w:divBdr>
    </w:div>
    <w:div w:id="589392503">
      <w:bodyDiv w:val="1"/>
      <w:marLeft w:val="0"/>
      <w:marRight w:val="0"/>
      <w:marTop w:val="0"/>
      <w:marBottom w:val="0"/>
      <w:divBdr>
        <w:top w:val="none" w:sz="0" w:space="0" w:color="auto"/>
        <w:left w:val="none" w:sz="0" w:space="0" w:color="auto"/>
        <w:bottom w:val="none" w:sz="0" w:space="0" w:color="auto"/>
        <w:right w:val="none" w:sz="0" w:space="0" w:color="auto"/>
      </w:divBdr>
    </w:div>
    <w:div w:id="786848029">
      <w:bodyDiv w:val="1"/>
      <w:marLeft w:val="0"/>
      <w:marRight w:val="0"/>
      <w:marTop w:val="0"/>
      <w:marBottom w:val="0"/>
      <w:divBdr>
        <w:top w:val="none" w:sz="0" w:space="0" w:color="auto"/>
        <w:left w:val="none" w:sz="0" w:space="0" w:color="auto"/>
        <w:bottom w:val="none" w:sz="0" w:space="0" w:color="auto"/>
        <w:right w:val="none" w:sz="0" w:space="0" w:color="auto"/>
      </w:divBdr>
    </w:div>
    <w:div w:id="995063894">
      <w:bodyDiv w:val="1"/>
      <w:marLeft w:val="0"/>
      <w:marRight w:val="0"/>
      <w:marTop w:val="0"/>
      <w:marBottom w:val="0"/>
      <w:divBdr>
        <w:top w:val="none" w:sz="0" w:space="0" w:color="auto"/>
        <w:left w:val="none" w:sz="0" w:space="0" w:color="auto"/>
        <w:bottom w:val="none" w:sz="0" w:space="0" w:color="auto"/>
        <w:right w:val="none" w:sz="0" w:space="0" w:color="auto"/>
      </w:divBdr>
    </w:div>
    <w:div w:id="1141113094">
      <w:bodyDiv w:val="1"/>
      <w:marLeft w:val="0"/>
      <w:marRight w:val="0"/>
      <w:marTop w:val="0"/>
      <w:marBottom w:val="0"/>
      <w:divBdr>
        <w:top w:val="none" w:sz="0" w:space="0" w:color="auto"/>
        <w:left w:val="none" w:sz="0" w:space="0" w:color="auto"/>
        <w:bottom w:val="none" w:sz="0" w:space="0" w:color="auto"/>
        <w:right w:val="none" w:sz="0" w:space="0" w:color="auto"/>
      </w:divBdr>
    </w:div>
    <w:div w:id="1264606399">
      <w:bodyDiv w:val="1"/>
      <w:marLeft w:val="0"/>
      <w:marRight w:val="0"/>
      <w:marTop w:val="0"/>
      <w:marBottom w:val="0"/>
      <w:divBdr>
        <w:top w:val="none" w:sz="0" w:space="0" w:color="auto"/>
        <w:left w:val="none" w:sz="0" w:space="0" w:color="auto"/>
        <w:bottom w:val="none" w:sz="0" w:space="0" w:color="auto"/>
        <w:right w:val="none" w:sz="0" w:space="0" w:color="auto"/>
      </w:divBdr>
    </w:div>
    <w:div w:id="1432235731">
      <w:bodyDiv w:val="1"/>
      <w:marLeft w:val="0"/>
      <w:marRight w:val="0"/>
      <w:marTop w:val="0"/>
      <w:marBottom w:val="0"/>
      <w:divBdr>
        <w:top w:val="none" w:sz="0" w:space="0" w:color="auto"/>
        <w:left w:val="none" w:sz="0" w:space="0" w:color="auto"/>
        <w:bottom w:val="none" w:sz="0" w:space="0" w:color="auto"/>
        <w:right w:val="none" w:sz="0" w:space="0" w:color="auto"/>
      </w:divBdr>
    </w:div>
    <w:div w:id="1673100040">
      <w:bodyDiv w:val="1"/>
      <w:marLeft w:val="0"/>
      <w:marRight w:val="0"/>
      <w:marTop w:val="0"/>
      <w:marBottom w:val="0"/>
      <w:divBdr>
        <w:top w:val="none" w:sz="0" w:space="0" w:color="auto"/>
        <w:left w:val="none" w:sz="0" w:space="0" w:color="auto"/>
        <w:bottom w:val="none" w:sz="0" w:space="0" w:color="auto"/>
        <w:right w:val="none" w:sz="0" w:space="0" w:color="auto"/>
      </w:divBdr>
    </w:div>
    <w:div w:id="1730575512">
      <w:bodyDiv w:val="1"/>
      <w:marLeft w:val="0"/>
      <w:marRight w:val="0"/>
      <w:marTop w:val="0"/>
      <w:marBottom w:val="0"/>
      <w:divBdr>
        <w:top w:val="none" w:sz="0" w:space="0" w:color="auto"/>
        <w:left w:val="none" w:sz="0" w:space="0" w:color="auto"/>
        <w:bottom w:val="none" w:sz="0" w:space="0" w:color="auto"/>
        <w:right w:val="none" w:sz="0" w:space="0" w:color="auto"/>
      </w:divBdr>
    </w:div>
    <w:div w:id="1885755345">
      <w:bodyDiv w:val="1"/>
      <w:marLeft w:val="0"/>
      <w:marRight w:val="0"/>
      <w:marTop w:val="0"/>
      <w:marBottom w:val="0"/>
      <w:divBdr>
        <w:top w:val="none" w:sz="0" w:space="0" w:color="auto"/>
        <w:left w:val="none" w:sz="0" w:space="0" w:color="auto"/>
        <w:bottom w:val="none" w:sz="0" w:space="0" w:color="auto"/>
        <w:right w:val="none" w:sz="0" w:space="0" w:color="auto"/>
      </w:divBdr>
    </w:div>
    <w:div w:id="193096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572f28d47d9a8ab7a82e59eb187637a4">
  <xsd:schema xmlns:xsd="http://www.w3.org/2001/XMLSchema" xmlns:xs="http://www.w3.org/2001/XMLSchema" xmlns:p="http://schemas.microsoft.com/office/2006/metadata/properties" xmlns:ns3="901b7179-a49d-4669-ab88-101a0e80079b" targetNamespace="http://schemas.microsoft.com/office/2006/metadata/properties" ma:root="true" ma:fieldsID="261b909d03a4d457b600e20b82aba82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AD967A-C823-4424-80E2-60C4D6ABC09E}">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98083F61-C0EF-40B7-AC6E-B264624C1873}">
  <ds:schemaRefs>
    <ds:schemaRef ds:uri="http://schemas.microsoft.com/sharepoint/v3/contenttype/forms"/>
  </ds:schemaRefs>
</ds:datastoreItem>
</file>

<file path=customXml/itemProps3.xml><?xml version="1.0" encoding="utf-8"?>
<ds:datastoreItem xmlns:ds="http://schemas.openxmlformats.org/officeDocument/2006/customXml" ds:itemID="{0F19DC4F-10D1-4E21-90C3-964357ECED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1987</Words>
  <Characters>12788</Characters>
  <Application>Microsoft Office Word</Application>
  <DocSecurity>0</DocSecurity>
  <Lines>230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Begum</dc:creator>
  <cp:keywords/>
  <dc:description/>
  <cp:lastModifiedBy>Aysha Begum (2518869)</cp:lastModifiedBy>
  <cp:revision>2</cp:revision>
  <dcterms:created xsi:type="dcterms:W3CDTF">2026-03-23T16:19:00Z</dcterms:created>
  <dcterms:modified xsi:type="dcterms:W3CDTF">2026-03-23T16:19:00Z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