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61A32C" w14:textId="77777777" w:rsidR="00726C6C" w:rsidRDefault="00F31BDD">
      <w:r>
        <w:rPr>
          <w:noProof/>
        </w:rPr>
        <w:drawing>
          <wp:inline distT="0" distB="0" distL="0" distR="0" wp14:anchorId="79763233" wp14:editId="4670D6AC">
            <wp:extent cx="3303919" cy="981041"/>
            <wp:effectExtent l="0" t="0" r="0" b="0"/>
            <wp:docPr id="556075548"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3303919" cy="981041"/>
                    </a:xfrm>
                    <a:prstGeom prst="rect">
                      <a:avLst/>
                    </a:prstGeom>
                    <a:noFill/>
                    <a:ln>
                      <a:noFill/>
                      <a:prstDash/>
                    </a:ln>
                  </pic:spPr>
                </pic:pic>
              </a:graphicData>
            </a:graphic>
          </wp:inline>
        </w:drawing>
      </w:r>
    </w:p>
    <w:p w14:paraId="02BDC06F" w14:textId="77777777" w:rsidR="00726C6C" w:rsidRDefault="00726C6C"/>
    <w:p w14:paraId="448C06AA" w14:textId="77777777" w:rsidR="00726C6C" w:rsidRDefault="00726C6C"/>
    <w:p w14:paraId="5550B7D8" w14:textId="77777777" w:rsidR="005B5534" w:rsidRDefault="005B5534"/>
    <w:p w14:paraId="4FB213F4" w14:textId="77777777" w:rsidR="005B5534" w:rsidRDefault="005B5534"/>
    <w:p w14:paraId="0AE2DF22" w14:textId="77777777" w:rsidR="005B5534" w:rsidRDefault="005B5534"/>
    <w:p w14:paraId="4AE88545" w14:textId="77777777" w:rsidR="00726C6C" w:rsidRDefault="00726C6C"/>
    <w:p w14:paraId="20DC9E18" w14:textId="77777777" w:rsidR="005B5534" w:rsidRDefault="005B5534"/>
    <w:p w14:paraId="554D8CEB" w14:textId="77777777" w:rsidR="00726C6C" w:rsidRDefault="00F31BDD">
      <w:pPr>
        <w:jc w:val="center"/>
        <w:rPr>
          <w:rFonts w:ascii="Arial" w:hAnsi="Arial" w:cs="Arial"/>
          <w:b/>
          <w:bCs/>
          <w:sz w:val="52"/>
          <w:szCs w:val="52"/>
        </w:rPr>
      </w:pPr>
      <w:r>
        <w:rPr>
          <w:rFonts w:ascii="Arial" w:hAnsi="Arial" w:cs="Arial"/>
          <w:b/>
          <w:bCs/>
          <w:sz w:val="52"/>
          <w:szCs w:val="52"/>
        </w:rPr>
        <w:t>Health Care System Organisation and Leadership</w:t>
      </w:r>
    </w:p>
    <w:p w14:paraId="1B23FFF2" w14:textId="34B18FD5" w:rsidR="00726C6C" w:rsidRPr="00265EAB" w:rsidRDefault="000A08AC">
      <w:pPr>
        <w:jc w:val="center"/>
        <w:rPr>
          <w:rFonts w:ascii="Arial" w:hAnsi="Arial" w:cs="Arial"/>
          <w:b/>
          <w:bCs/>
          <w:sz w:val="52"/>
          <w:szCs w:val="52"/>
          <w:lang w:val="fr-FR"/>
        </w:rPr>
      </w:pPr>
      <w:r w:rsidRPr="00265EAB">
        <w:rPr>
          <w:rFonts w:ascii="Arial" w:hAnsi="Arial" w:cs="Arial"/>
          <w:b/>
          <w:bCs/>
          <w:sz w:val="52"/>
          <w:szCs w:val="52"/>
          <w:lang w:val="fr-FR"/>
        </w:rPr>
        <w:t xml:space="preserve">Module code: </w:t>
      </w:r>
      <w:r w:rsidR="00F31BDD" w:rsidRPr="00265EAB">
        <w:rPr>
          <w:rFonts w:ascii="Arial" w:hAnsi="Arial" w:cs="Arial"/>
          <w:b/>
          <w:bCs/>
          <w:sz w:val="52"/>
          <w:szCs w:val="52"/>
          <w:lang w:val="fr-FR"/>
        </w:rPr>
        <w:t>LCHS7002_LON</w:t>
      </w:r>
    </w:p>
    <w:p w14:paraId="4F1EA1F5" w14:textId="77777777" w:rsidR="00726C6C" w:rsidRPr="00265EAB" w:rsidRDefault="00726C6C">
      <w:pPr>
        <w:rPr>
          <w:lang w:val="fr-FR"/>
        </w:rPr>
      </w:pPr>
    </w:p>
    <w:p w14:paraId="653812F0" w14:textId="77777777" w:rsidR="00726C6C" w:rsidRPr="00265EAB" w:rsidRDefault="00726C6C">
      <w:pPr>
        <w:rPr>
          <w:lang w:val="fr-FR"/>
        </w:rPr>
      </w:pPr>
    </w:p>
    <w:p w14:paraId="333B6059" w14:textId="77777777" w:rsidR="00726C6C" w:rsidRPr="00265EAB" w:rsidRDefault="00726C6C">
      <w:pPr>
        <w:rPr>
          <w:lang w:val="fr-FR"/>
        </w:rPr>
      </w:pPr>
    </w:p>
    <w:p w14:paraId="07EC0409" w14:textId="77777777" w:rsidR="00726C6C" w:rsidRPr="00265EAB" w:rsidRDefault="00726C6C">
      <w:pPr>
        <w:rPr>
          <w:lang w:val="fr-FR"/>
        </w:rPr>
      </w:pPr>
    </w:p>
    <w:p w14:paraId="04638E9C" w14:textId="77777777" w:rsidR="00726C6C" w:rsidRPr="00265EAB" w:rsidRDefault="00726C6C">
      <w:pPr>
        <w:rPr>
          <w:lang w:val="fr-FR"/>
        </w:rPr>
      </w:pPr>
    </w:p>
    <w:p w14:paraId="7A62B921" w14:textId="77777777" w:rsidR="00726C6C" w:rsidRPr="00265EAB" w:rsidRDefault="00726C6C">
      <w:pPr>
        <w:rPr>
          <w:lang w:val="fr-FR"/>
        </w:rPr>
      </w:pPr>
    </w:p>
    <w:p w14:paraId="38652B9D" w14:textId="77777777" w:rsidR="00726C6C" w:rsidRPr="00265EAB" w:rsidRDefault="00726C6C">
      <w:pPr>
        <w:rPr>
          <w:lang w:val="fr-FR"/>
        </w:rPr>
      </w:pPr>
    </w:p>
    <w:p w14:paraId="2CEA5396" w14:textId="77777777" w:rsidR="00726C6C" w:rsidRPr="00265EAB" w:rsidRDefault="00726C6C">
      <w:pPr>
        <w:rPr>
          <w:lang w:val="fr-FR"/>
        </w:rPr>
      </w:pPr>
    </w:p>
    <w:p w14:paraId="34957AF6" w14:textId="77777777" w:rsidR="00726C6C" w:rsidRPr="00265EAB" w:rsidRDefault="00726C6C">
      <w:pPr>
        <w:rPr>
          <w:lang w:val="fr-FR"/>
        </w:rPr>
      </w:pPr>
    </w:p>
    <w:p w14:paraId="659AF533" w14:textId="0078AF24" w:rsidR="00726C6C" w:rsidRPr="005B5534" w:rsidRDefault="000A08AC">
      <w:pPr>
        <w:rPr>
          <w:b/>
          <w:bCs/>
          <w:lang w:val="nl-NL"/>
        </w:rPr>
      </w:pPr>
      <w:proofErr w:type="spellStart"/>
      <w:r w:rsidRPr="005B5534">
        <w:rPr>
          <w:b/>
          <w:bCs/>
          <w:lang w:val="nl-NL"/>
        </w:rPr>
        <w:t>Lecturer</w:t>
      </w:r>
      <w:proofErr w:type="spellEnd"/>
      <w:r w:rsidRPr="005B5534">
        <w:rPr>
          <w:b/>
          <w:bCs/>
          <w:lang w:val="nl-NL"/>
        </w:rPr>
        <w:t xml:space="preserve">: </w:t>
      </w:r>
      <w:proofErr w:type="spellStart"/>
      <w:r w:rsidRPr="005B5534">
        <w:rPr>
          <w:b/>
          <w:bCs/>
          <w:lang w:val="nl-NL"/>
        </w:rPr>
        <w:t>Shepherd</w:t>
      </w:r>
      <w:proofErr w:type="spellEnd"/>
      <w:r w:rsidRPr="005B5534">
        <w:rPr>
          <w:b/>
          <w:bCs/>
          <w:lang w:val="nl-NL"/>
        </w:rPr>
        <w:t xml:space="preserve"> </w:t>
      </w:r>
      <w:proofErr w:type="spellStart"/>
      <w:r w:rsidRPr="005B5534">
        <w:rPr>
          <w:b/>
          <w:bCs/>
          <w:lang w:val="nl-NL"/>
        </w:rPr>
        <w:t>Zico</w:t>
      </w:r>
      <w:proofErr w:type="spellEnd"/>
      <w:r w:rsidRPr="005B5534">
        <w:rPr>
          <w:b/>
          <w:bCs/>
          <w:lang w:val="nl-NL"/>
        </w:rPr>
        <w:t xml:space="preserve"> </w:t>
      </w:r>
    </w:p>
    <w:p w14:paraId="04BD8A76" w14:textId="6304E1B3" w:rsidR="00726C6C" w:rsidRPr="00265EAB" w:rsidRDefault="00F31BDD">
      <w:pPr>
        <w:rPr>
          <w:b/>
          <w:bCs/>
          <w:lang w:val="nl-NL"/>
        </w:rPr>
      </w:pPr>
      <w:r w:rsidRPr="00265EAB">
        <w:rPr>
          <w:b/>
          <w:bCs/>
          <w:lang w:val="nl-NL"/>
        </w:rPr>
        <w:t>Student name:</w:t>
      </w:r>
      <w:r w:rsidR="000A08AC" w:rsidRPr="00265EAB">
        <w:rPr>
          <w:b/>
          <w:bCs/>
          <w:lang w:val="nl-NL"/>
        </w:rPr>
        <w:t xml:space="preserve"> Katia Amado</w:t>
      </w:r>
    </w:p>
    <w:p w14:paraId="767577AD" w14:textId="59A4278C" w:rsidR="00726C6C" w:rsidRPr="00265EAB" w:rsidRDefault="00F31BDD">
      <w:pPr>
        <w:rPr>
          <w:b/>
          <w:bCs/>
          <w:lang w:val="nl-NL"/>
        </w:rPr>
      </w:pPr>
      <w:r w:rsidRPr="00265EAB">
        <w:rPr>
          <w:b/>
          <w:bCs/>
          <w:lang w:val="nl-NL"/>
        </w:rPr>
        <w:t>Student number:</w:t>
      </w:r>
      <w:r w:rsidR="000A08AC" w:rsidRPr="00265EAB">
        <w:rPr>
          <w:b/>
          <w:bCs/>
          <w:lang w:val="nl-NL"/>
        </w:rPr>
        <w:t>2211924</w:t>
      </w:r>
    </w:p>
    <w:p w14:paraId="7D40ED5A" w14:textId="77777777" w:rsidR="0028711B" w:rsidRDefault="0028711B">
      <w:pPr>
        <w:rPr>
          <w:b/>
          <w:bCs/>
          <w:lang w:val="nl-NL"/>
        </w:rPr>
      </w:pPr>
    </w:p>
    <w:p w14:paraId="43FA8685" w14:textId="669856A5" w:rsidR="00726C6C" w:rsidRPr="001E2968" w:rsidRDefault="00F31BDD" w:rsidP="001E2968">
      <w:pPr>
        <w:spacing w:line="360" w:lineRule="auto"/>
        <w:jc w:val="both"/>
        <w:rPr>
          <w:rFonts w:ascii="Arial" w:hAnsi="Arial" w:cs="Arial"/>
          <w:b/>
          <w:bCs/>
          <w:sz w:val="22"/>
          <w:szCs w:val="22"/>
        </w:rPr>
      </w:pPr>
      <w:r w:rsidRPr="001E2968">
        <w:rPr>
          <w:rFonts w:ascii="Arial" w:hAnsi="Arial" w:cs="Arial"/>
          <w:b/>
          <w:bCs/>
          <w:sz w:val="22"/>
          <w:szCs w:val="22"/>
        </w:rPr>
        <w:lastRenderedPageBreak/>
        <w:t>Introduction</w:t>
      </w:r>
    </w:p>
    <w:p w14:paraId="7552B0C3" w14:textId="77777777" w:rsidR="00615DF2" w:rsidRPr="001E2968" w:rsidRDefault="00D106FD" w:rsidP="001E2968">
      <w:pPr>
        <w:spacing w:after="0" w:line="360" w:lineRule="auto"/>
        <w:contextualSpacing/>
        <w:jc w:val="both"/>
        <w:rPr>
          <w:rFonts w:ascii="Arial" w:hAnsi="Arial" w:cs="Arial"/>
          <w:sz w:val="22"/>
          <w:szCs w:val="22"/>
        </w:rPr>
      </w:pPr>
      <w:r w:rsidRPr="001E2968">
        <w:rPr>
          <w:rFonts w:ascii="Arial" w:hAnsi="Arial" w:cs="Arial"/>
          <w:sz w:val="22"/>
          <w:szCs w:val="22"/>
        </w:rPr>
        <w:t xml:space="preserve">      </w:t>
      </w:r>
      <w:r w:rsidR="00615DF2" w:rsidRPr="001E2968">
        <w:rPr>
          <w:rFonts w:ascii="Arial" w:hAnsi="Arial" w:cs="Arial"/>
          <w:sz w:val="22"/>
          <w:szCs w:val="22"/>
        </w:rPr>
        <w:t>The COVID-19 pandemic placed unprecedented pressure on health systems worldwide, exposing structural weaknesses, governance challenges, and differences in leadership across countries. Spain, Canada, and South Korea offer contrasting examples of how healthcare organisation, political leadership, and administrative capacity shape national responses to large-scale public health crises.</w:t>
      </w:r>
    </w:p>
    <w:p w14:paraId="00542A3F" w14:textId="12D8DD45" w:rsidR="00615DF2" w:rsidRPr="00615DF2" w:rsidRDefault="00615DF2" w:rsidP="001E2968">
      <w:pPr>
        <w:spacing w:after="0" w:line="360" w:lineRule="auto"/>
        <w:contextualSpacing/>
        <w:jc w:val="both"/>
        <w:rPr>
          <w:rFonts w:ascii="Arial" w:hAnsi="Arial" w:cs="Arial"/>
          <w:sz w:val="22"/>
          <w:szCs w:val="22"/>
        </w:rPr>
      </w:pPr>
      <w:r w:rsidRPr="001E2968">
        <w:rPr>
          <w:rFonts w:ascii="Arial" w:hAnsi="Arial" w:cs="Arial"/>
          <w:sz w:val="22"/>
          <w:szCs w:val="22"/>
        </w:rPr>
        <w:t xml:space="preserve">    </w:t>
      </w:r>
      <w:r w:rsidRPr="00615DF2">
        <w:rPr>
          <w:rFonts w:ascii="Arial" w:hAnsi="Arial" w:cs="Arial"/>
          <w:sz w:val="22"/>
          <w:szCs w:val="22"/>
        </w:rPr>
        <w:t>Spain and Canada, both with decentralised healthcare systems, faced coordination challenges, regional disparities, and political tensions that affected the timing and effectiveness of national policies. In contrast, South Korea’s hybrid model, combining central guidance with strong local implementation, highlights how preparedness, rapid resource mobilisation, and integrated digital infrastructure can support an efficient pandemic response.</w:t>
      </w:r>
    </w:p>
    <w:p w14:paraId="37E55AAD" w14:textId="6E650335" w:rsidR="00615DF2" w:rsidRPr="00615DF2" w:rsidRDefault="00615DF2" w:rsidP="001E2968">
      <w:pPr>
        <w:spacing w:after="0" w:line="360" w:lineRule="auto"/>
        <w:contextualSpacing/>
        <w:jc w:val="both"/>
        <w:rPr>
          <w:rFonts w:ascii="Arial" w:hAnsi="Arial" w:cs="Arial"/>
          <w:sz w:val="22"/>
          <w:szCs w:val="22"/>
        </w:rPr>
      </w:pPr>
      <w:r w:rsidRPr="001E2968">
        <w:rPr>
          <w:rFonts w:ascii="Arial" w:hAnsi="Arial" w:cs="Arial"/>
          <w:sz w:val="22"/>
          <w:szCs w:val="22"/>
        </w:rPr>
        <w:t xml:space="preserve">     </w:t>
      </w:r>
      <w:r w:rsidRPr="00615DF2">
        <w:rPr>
          <w:rFonts w:ascii="Arial" w:hAnsi="Arial" w:cs="Arial"/>
          <w:sz w:val="22"/>
          <w:szCs w:val="22"/>
        </w:rPr>
        <w:t>This comparative analysis examines how governance structures, centralisation levels, and leadership approaches influenced each country’s ability to contain COVID-19 and protect population health. It also explores the strengths and weaknesses of centralised and decentralised models, regional health outcomes, and leadership theories</w:t>
      </w:r>
      <w:r w:rsidRPr="001E2968">
        <w:rPr>
          <w:rFonts w:ascii="Arial" w:hAnsi="Arial" w:cs="Arial"/>
          <w:sz w:val="22"/>
          <w:szCs w:val="22"/>
        </w:rPr>
        <w:t xml:space="preserve"> </w:t>
      </w:r>
      <w:r w:rsidRPr="00615DF2">
        <w:rPr>
          <w:rFonts w:ascii="Arial" w:hAnsi="Arial" w:cs="Arial"/>
          <w:sz w:val="22"/>
          <w:szCs w:val="22"/>
        </w:rPr>
        <w:t>autocratic, situational, transformational, behavioural, transactional, bureaucratic, and democratic</w:t>
      </w:r>
      <w:r w:rsidRPr="001E2968">
        <w:rPr>
          <w:rFonts w:ascii="Arial" w:hAnsi="Arial" w:cs="Arial"/>
          <w:sz w:val="22"/>
          <w:szCs w:val="22"/>
        </w:rPr>
        <w:t xml:space="preserve"> </w:t>
      </w:r>
      <w:r w:rsidRPr="00615DF2">
        <w:rPr>
          <w:rFonts w:ascii="Arial" w:hAnsi="Arial" w:cs="Arial"/>
          <w:sz w:val="22"/>
          <w:szCs w:val="22"/>
        </w:rPr>
        <w:t>to explain why some strategies proved more effective. The study underscores the importance of adaptive leadership, intergovernmental coordination, and robust health-system capacity for future health emergencies.</w:t>
      </w:r>
    </w:p>
    <w:p w14:paraId="2E90F506" w14:textId="74D463A1" w:rsidR="00A7076B" w:rsidRPr="00A7076B" w:rsidRDefault="00A7076B" w:rsidP="001E2968">
      <w:pPr>
        <w:spacing w:after="0" w:line="360" w:lineRule="auto"/>
        <w:contextualSpacing/>
        <w:jc w:val="both"/>
        <w:rPr>
          <w:rFonts w:ascii="Arial" w:hAnsi="Arial" w:cs="Arial"/>
          <w:sz w:val="22"/>
          <w:szCs w:val="22"/>
        </w:rPr>
      </w:pPr>
    </w:p>
    <w:p w14:paraId="2C3FF7A5" w14:textId="77777777" w:rsidR="00A82823" w:rsidRPr="001E2968" w:rsidRDefault="00A82823" w:rsidP="001E2968">
      <w:pPr>
        <w:spacing w:line="360" w:lineRule="auto"/>
        <w:jc w:val="both"/>
        <w:rPr>
          <w:rFonts w:ascii="Arial" w:hAnsi="Arial" w:cs="Arial"/>
          <w:b/>
          <w:bCs/>
          <w:sz w:val="22"/>
          <w:szCs w:val="22"/>
        </w:rPr>
      </w:pPr>
    </w:p>
    <w:p w14:paraId="7A0A22D1" w14:textId="77777777" w:rsidR="0028711B" w:rsidRPr="001E2968" w:rsidRDefault="0028711B" w:rsidP="001E2968">
      <w:pPr>
        <w:spacing w:line="360" w:lineRule="auto"/>
        <w:jc w:val="both"/>
        <w:rPr>
          <w:rFonts w:ascii="Arial" w:hAnsi="Arial" w:cs="Arial"/>
          <w:b/>
          <w:bCs/>
          <w:sz w:val="22"/>
          <w:szCs w:val="22"/>
        </w:rPr>
      </w:pPr>
    </w:p>
    <w:p w14:paraId="376976B4" w14:textId="77777777" w:rsidR="0028711B" w:rsidRPr="001E2968" w:rsidRDefault="0028711B" w:rsidP="001E2968">
      <w:pPr>
        <w:spacing w:line="360" w:lineRule="auto"/>
        <w:jc w:val="both"/>
        <w:rPr>
          <w:rFonts w:ascii="Arial" w:hAnsi="Arial" w:cs="Arial"/>
          <w:b/>
          <w:bCs/>
          <w:sz w:val="22"/>
          <w:szCs w:val="22"/>
        </w:rPr>
      </w:pPr>
    </w:p>
    <w:p w14:paraId="4627A002" w14:textId="77777777" w:rsidR="0028711B" w:rsidRPr="001E2968" w:rsidRDefault="0028711B" w:rsidP="001E2968">
      <w:pPr>
        <w:spacing w:line="360" w:lineRule="auto"/>
        <w:jc w:val="both"/>
        <w:rPr>
          <w:rFonts w:ascii="Arial" w:hAnsi="Arial" w:cs="Arial"/>
          <w:b/>
          <w:bCs/>
          <w:sz w:val="22"/>
          <w:szCs w:val="22"/>
        </w:rPr>
      </w:pPr>
    </w:p>
    <w:p w14:paraId="1799480F" w14:textId="77777777" w:rsidR="0028711B" w:rsidRPr="001E2968" w:rsidRDefault="0028711B" w:rsidP="001E2968">
      <w:pPr>
        <w:spacing w:line="360" w:lineRule="auto"/>
        <w:jc w:val="both"/>
        <w:rPr>
          <w:rFonts w:ascii="Arial" w:hAnsi="Arial" w:cs="Arial"/>
          <w:b/>
          <w:bCs/>
          <w:sz w:val="22"/>
          <w:szCs w:val="22"/>
        </w:rPr>
      </w:pPr>
    </w:p>
    <w:p w14:paraId="1333AEF1" w14:textId="77777777" w:rsidR="0028711B" w:rsidRPr="001E2968" w:rsidRDefault="0028711B" w:rsidP="001E2968">
      <w:pPr>
        <w:spacing w:line="360" w:lineRule="auto"/>
        <w:jc w:val="both"/>
        <w:rPr>
          <w:rFonts w:ascii="Arial" w:hAnsi="Arial" w:cs="Arial"/>
          <w:b/>
          <w:bCs/>
          <w:sz w:val="22"/>
          <w:szCs w:val="22"/>
        </w:rPr>
      </w:pPr>
    </w:p>
    <w:p w14:paraId="49F5D0E7" w14:textId="77777777" w:rsidR="0028711B" w:rsidRPr="001E2968" w:rsidRDefault="0028711B" w:rsidP="001E2968">
      <w:pPr>
        <w:spacing w:line="360" w:lineRule="auto"/>
        <w:jc w:val="both"/>
        <w:rPr>
          <w:rFonts w:ascii="Arial" w:hAnsi="Arial" w:cs="Arial"/>
          <w:b/>
          <w:bCs/>
          <w:sz w:val="22"/>
          <w:szCs w:val="22"/>
        </w:rPr>
      </w:pPr>
    </w:p>
    <w:p w14:paraId="4271BCDB" w14:textId="77777777" w:rsidR="0028711B" w:rsidRPr="001E2968" w:rsidRDefault="0028711B" w:rsidP="001E2968">
      <w:pPr>
        <w:spacing w:line="360" w:lineRule="auto"/>
        <w:jc w:val="both"/>
        <w:rPr>
          <w:rFonts w:ascii="Arial" w:hAnsi="Arial" w:cs="Arial"/>
          <w:b/>
          <w:bCs/>
          <w:sz w:val="22"/>
          <w:szCs w:val="22"/>
        </w:rPr>
      </w:pPr>
    </w:p>
    <w:p w14:paraId="239CFF13" w14:textId="51DEE1B8" w:rsidR="00726C6C" w:rsidRPr="001E2968" w:rsidRDefault="00615DF2" w:rsidP="001E2968">
      <w:pPr>
        <w:suppressAutoHyphens w:val="0"/>
        <w:spacing w:line="360" w:lineRule="auto"/>
        <w:jc w:val="both"/>
        <w:rPr>
          <w:rFonts w:ascii="Arial" w:hAnsi="Arial" w:cs="Arial"/>
          <w:b/>
          <w:bCs/>
          <w:sz w:val="22"/>
          <w:szCs w:val="22"/>
        </w:rPr>
      </w:pPr>
      <w:r w:rsidRPr="001E2968">
        <w:rPr>
          <w:rFonts w:ascii="Arial" w:hAnsi="Arial" w:cs="Arial"/>
          <w:b/>
          <w:bCs/>
          <w:sz w:val="22"/>
          <w:szCs w:val="22"/>
        </w:rPr>
        <w:br w:type="page"/>
      </w:r>
      <w:r w:rsidR="00F31BDD" w:rsidRPr="001E2968">
        <w:rPr>
          <w:rFonts w:ascii="Arial" w:hAnsi="Arial" w:cs="Arial"/>
          <w:b/>
          <w:bCs/>
          <w:sz w:val="22"/>
          <w:szCs w:val="22"/>
        </w:rPr>
        <w:lastRenderedPageBreak/>
        <w:t>Spain: Healthcare System and COVID-19 Response</w:t>
      </w:r>
    </w:p>
    <w:p w14:paraId="58F23F90" w14:textId="2D71C2BE" w:rsidR="00726C6C" w:rsidRPr="001E2968" w:rsidRDefault="00F31BDD" w:rsidP="001E2968">
      <w:pPr>
        <w:suppressAutoHyphens w:val="0"/>
        <w:spacing w:line="360" w:lineRule="auto"/>
        <w:jc w:val="both"/>
        <w:rPr>
          <w:rFonts w:ascii="Arial" w:hAnsi="Arial" w:cs="Arial"/>
          <w:b/>
          <w:bCs/>
          <w:sz w:val="22"/>
          <w:szCs w:val="22"/>
        </w:rPr>
      </w:pPr>
      <w:r w:rsidRPr="001E2968">
        <w:rPr>
          <w:rFonts w:ascii="Arial" w:hAnsi="Arial" w:cs="Arial"/>
          <w:b/>
          <w:bCs/>
          <w:sz w:val="22"/>
          <w:szCs w:val="22"/>
        </w:rPr>
        <w:t>General Overview</w:t>
      </w:r>
    </w:p>
    <w:p w14:paraId="607D51F9" w14:textId="09BC7B60" w:rsidR="00726C6C" w:rsidRPr="001E2968" w:rsidRDefault="00D106FD" w:rsidP="001E2968">
      <w:pPr>
        <w:suppressAutoHyphens w:val="0"/>
        <w:spacing w:line="360" w:lineRule="auto"/>
        <w:jc w:val="both"/>
        <w:rPr>
          <w:rFonts w:ascii="Arial" w:hAnsi="Arial" w:cs="Arial"/>
          <w:sz w:val="22"/>
          <w:szCs w:val="22"/>
        </w:rPr>
      </w:pPr>
      <w:r w:rsidRPr="001E2968">
        <w:rPr>
          <w:rFonts w:ascii="Arial" w:hAnsi="Arial" w:cs="Arial"/>
          <w:sz w:val="22"/>
          <w:szCs w:val="22"/>
        </w:rPr>
        <w:t xml:space="preserve">     </w:t>
      </w:r>
      <w:r w:rsidR="005C6B22" w:rsidRPr="001E2968">
        <w:rPr>
          <w:rFonts w:ascii="Arial" w:hAnsi="Arial" w:cs="Arial"/>
          <w:sz w:val="22"/>
          <w:szCs w:val="22"/>
        </w:rPr>
        <w:t>Spain is in southwestern Europe and occupies most of the Iberian Peninsula</w:t>
      </w:r>
      <w:r w:rsidR="00965575" w:rsidRPr="001E2968">
        <w:rPr>
          <w:rFonts w:ascii="Arial" w:hAnsi="Arial" w:cs="Arial"/>
          <w:sz w:val="22"/>
          <w:szCs w:val="22"/>
        </w:rPr>
        <w:t>. (Carr, 2025)</w:t>
      </w:r>
      <w:r w:rsidR="005C6B22" w:rsidRPr="001E2968">
        <w:rPr>
          <w:rFonts w:ascii="Arial" w:hAnsi="Arial" w:cs="Arial"/>
          <w:sz w:val="22"/>
          <w:szCs w:val="22"/>
        </w:rPr>
        <w:t>. It has about forty-nine million people and is governed by Prime Minister Pedro Sanchez under a constitutional monarchy led by King Felipe VI. The healthcare system is universal and strong, but its decentralised structure affected the country’s pandemic response</w:t>
      </w:r>
      <w:r w:rsidR="00965575" w:rsidRPr="001E2968">
        <w:rPr>
          <w:rFonts w:ascii="Arial" w:hAnsi="Arial" w:cs="Arial"/>
          <w:sz w:val="22"/>
          <w:szCs w:val="22"/>
        </w:rPr>
        <w:t xml:space="preserve"> </w:t>
      </w:r>
      <w:r w:rsidR="00F31BDD" w:rsidRPr="001E2968">
        <w:rPr>
          <w:rFonts w:ascii="Arial" w:hAnsi="Arial" w:cs="Arial"/>
          <w:sz w:val="22"/>
          <w:szCs w:val="22"/>
        </w:rPr>
        <w:t>(Carr, 2025).</w:t>
      </w:r>
    </w:p>
    <w:p w14:paraId="42BEB56B" w14:textId="7228A705" w:rsidR="00726C6C" w:rsidRPr="001E2968" w:rsidRDefault="00F31BDD" w:rsidP="001E2968">
      <w:pPr>
        <w:suppressAutoHyphens w:val="0"/>
        <w:spacing w:after="0" w:line="360" w:lineRule="auto"/>
        <w:jc w:val="both"/>
        <w:rPr>
          <w:rFonts w:ascii="Arial" w:hAnsi="Arial" w:cs="Arial"/>
          <w:b/>
          <w:bCs/>
          <w:sz w:val="22"/>
          <w:szCs w:val="22"/>
        </w:rPr>
      </w:pPr>
      <w:r w:rsidRPr="001E2968">
        <w:rPr>
          <w:rFonts w:ascii="Arial" w:hAnsi="Arial" w:cs="Arial"/>
          <w:b/>
          <w:bCs/>
          <w:sz w:val="22"/>
          <w:szCs w:val="22"/>
        </w:rPr>
        <w:t>The Spa</w:t>
      </w:r>
      <w:r w:rsidR="005D074E" w:rsidRPr="001E2968">
        <w:rPr>
          <w:rFonts w:ascii="Arial" w:hAnsi="Arial" w:cs="Arial"/>
          <w:b/>
          <w:bCs/>
          <w:sz w:val="22"/>
          <w:szCs w:val="22"/>
        </w:rPr>
        <w:t>in’s</w:t>
      </w:r>
      <w:r w:rsidRPr="001E2968">
        <w:rPr>
          <w:rFonts w:ascii="Arial" w:hAnsi="Arial" w:cs="Arial"/>
          <w:b/>
          <w:bCs/>
          <w:sz w:val="22"/>
          <w:szCs w:val="22"/>
        </w:rPr>
        <w:t xml:space="preserve"> Health System</w:t>
      </w:r>
    </w:p>
    <w:p w14:paraId="0A118EAD" w14:textId="362C5B8B" w:rsidR="009D28F2" w:rsidRPr="009D28F2" w:rsidRDefault="00D106FD"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9D28F2" w:rsidRPr="009D28F2">
        <w:rPr>
          <w:rFonts w:ascii="Arial" w:hAnsi="Arial" w:cs="Arial"/>
          <w:sz w:val="22"/>
          <w:szCs w:val="22"/>
        </w:rPr>
        <w:t>Spain’s National Health System (SNS) operates under a highly decentralised model, with the seventeen autonomous communities responsible for managing healthcare services, including hospitals, primary care, workforce recruitment, investment, and epidemiological surveillance (</w:t>
      </w:r>
      <w:proofErr w:type="spellStart"/>
      <w:r w:rsidR="009D28F2" w:rsidRPr="009D28F2">
        <w:rPr>
          <w:rFonts w:ascii="Arial" w:hAnsi="Arial" w:cs="Arial"/>
          <w:sz w:val="22"/>
          <w:szCs w:val="22"/>
        </w:rPr>
        <w:t>Reverte</w:t>
      </w:r>
      <w:proofErr w:type="spellEnd"/>
      <w:r w:rsidR="009D28F2" w:rsidRPr="009D28F2">
        <w:rPr>
          <w:rFonts w:ascii="Arial" w:hAnsi="Arial" w:cs="Arial"/>
          <w:sz w:val="22"/>
          <w:szCs w:val="22"/>
        </w:rPr>
        <w:t xml:space="preserve">-Cejudo </w:t>
      </w:r>
      <w:r w:rsidR="001B6C17" w:rsidRPr="001E2968">
        <w:rPr>
          <w:rFonts w:ascii="Arial" w:hAnsi="Arial" w:cs="Arial"/>
          <w:sz w:val="22"/>
          <w:szCs w:val="22"/>
        </w:rPr>
        <w:t>and</w:t>
      </w:r>
      <w:r w:rsidR="009D28F2" w:rsidRPr="009D28F2">
        <w:rPr>
          <w:rFonts w:ascii="Arial" w:hAnsi="Arial" w:cs="Arial"/>
          <w:sz w:val="22"/>
          <w:szCs w:val="22"/>
        </w:rPr>
        <w:t xml:space="preserve"> Sánchez-Bayle, 1999). The system is tax-funded and allows services to be adapted to local needs. However, decentralisation has also generated regional inequalities, organisational fragmentation, and coordination challenges (</w:t>
      </w:r>
      <w:proofErr w:type="spellStart"/>
      <w:r w:rsidR="009D28F2" w:rsidRPr="009D28F2">
        <w:rPr>
          <w:rFonts w:ascii="Arial" w:hAnsi="Arial" w:cs="Arial"/>
          <w:sz w:val="22"/>
          <w:szCs w:val="22"/>
        </w:rPr>
        <w:t>Reverte</w:t>
      </w:r>
      <w:proofErr w:type="spellEnd"/>
      <w:r w:rsidR="009D28F2" w:rsidRPr="009D28F2">
        <w:rPr>
          <w:rFonts w:ascii="Arial" w:hAnsi="Arial" w:cs="Arial"/>
          <w:sz w:val="22"/>
          <w:szCs w:val="22"/>
        </w:rPr>
        <w:t xml:space="preserve">-Cejudo </w:t>
      </w:r>
      <w:r w:rsidR="001B6C17" w:rsidRPr="001E2968">
        <w:rPr>
          <w:rFonts w:ascii="Arial" w:hAnsi="Arial" w:cs="Arial"/>
          <w:sz w:val="22"/>
          <w:szCs w:val="22"/>
        </w:rPr>
        <w:t>and</w:t>
      </w:r>
      <w:r w:rsidR="009D28F2" w:rsidRPr="009D28F2">
        <w:rPr>
          <w:rFonts w:ascii="Arial" w:hAnsi="Arial" w:cs="Arial"/>
          <w:sz w:val="22"/>
          <w:szCs w:val="22"/>
        </w:rPr>
        <w:t xml:space="preserve"> Sánchez-Bayle, 1999).</w:t>
      </w:r>
    </w:p>
    <w:p w14:paraId="5E9B3952" w14:textId="727A25BE" w:rsidR="009D28F2" w:rsidRPr="009D28F2" w:rsidRDefault="00D106FD"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9D28F2" w:rsidRPr="009D28F2">
        <w:rPr>
          <w:rFonts w:ascii="Arial" w:hAnsi="Arial" w:cs="Arial"/>
          <w:sz w:val="22"/>
          <w:szCs w:val="22"/>
        </w:rPr>
        <w:t>In 2021, public expenditure represented 71.7% of total health spending. While out-of-pocket payments exist, they rarely lead to catastrophic expenditure. Spain’s medical workforce is above the EU average, though shortages persist in primary care and rural areas. These pre-existing structural issues influenced the system’s capacity to respond effectively during the early stages of the pandemic (Bernal-Delgado et al., 2024).</w:t>
      </w:r>
    </w:p>
    <w:p w14:paraId="7B938198" w14:textId="77777777" w:rsidR="00726C6C" w:rsidRPr="001E2968" w:rsidRDefault="00726C6C" w:rsidP="001E2968">
      <w:pPr>
        <w:suppressAutoHyphens w:val="0"/>
        <w:spacing w:after="0" w:line="360" w:lineRule="auto"/>
        <w:jc w:val="both"/>
        <w:rPr>
          <w:rFonts w:ascii="Arial" w:hAnsi="Arial" w:cs="Arial"/>
          <w:sz w:val="22"/>
          <w:szCs w:val="22"/>
        </w:rPr>
      </w:pPr>
    </w:p>
    <w:p w14:paraId="64DF9A3B" w14:textId="77777777" w:rsidR="00726C6C" w:rsidRPr="001E2968" w:rsidRDefault="00F31BDD" w:rsidP="001E2968">
      <w:pPr>
        <w:suppressAutoHyphens w:val="0"/>
        <w:spacing w:after="0" w:line="360" w:lineRule="auto"/>
        <w:jc w:val="both"/>
        <w:rPr>
          <w:rFonts w:ascii="Arial" w:hAnsi="Arial" w:cs="Arial"/>
          <w:b/>
          <w:bCs/>
          <w:sz w:val="22"/>
          <w:szCs w:val="22"/>
        </w:rPr>
      </w:pPr>
      <w:r w:rsidRPr="001E2968">
        <w:rPr>
          <w:rFonts w:ascii="Arial" w:hAnsi="Arial" w:cs="Arial"/>
          <w:b/>
          <w:bCs/>
          <w:sz w:val="22"/>
          <w:szCs w:val="22"/>
        </w:rPr>
        <w:t>COVID-19 and the Multilevel System Approach</w:t>
      </w:r>
    </w:p>
    <w:p w14:paraId="608FC96F" w14:textId="183AC1B3" w:rsidR="009D28F2" w:rsidRPr="009D28F2" w:rsidRDefault="00D106FD"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9D28F2" w:rsidRPr="009D28F2">
        <w:rPr>
          <w:rFonts w:ascii="Arial" w:hAnsi="Arial" w:cs="Arial"/>
          <w:sz w:val="22"/>
          <w:szCs w:val="22"/>
        </w:rPr>
        <w:t>Spain’s response to COVID-19 alternated between decentralisation and centralisation. Prior to the first state of alarm in March 2020, autonomous communities implemented uncoordinated and heterogeneous measures, resulting in delayed containment and inconsistent public messaging</w:t>
      </w:r>
      <w:r w:rsidRPr="001E2968">
        <w:rPr>
          <w:rFonts w:ascii="Arial" w:hAnsi="Arial" w:cs="Arial"/>
          <w:sz w:val="22"/>
          <w:szCs w:val="22"/>
        </w:rPr>
        <w:t xml:space="preserve"> </w:t>
      </w:r>
      <w:r w:rsidRPr="009D28F2">
        <w:rPr>
          <w:rFonts w:ascii="Arial" w:hAnsi="Arial" w:cs="Arial"/>
          <w:sz w:val="22"/>
          <w:szCs w:val="22"/>
        </w:rPr>
        <w:t>(</w:t>
      </w:r>
      <w:proofErr w:type="spellStart"/>
      <w:r w:rsidRPr="009D28F2">
        <w:rPr>
          <w:rFonts w:ascii="Arial" w:hAnsi="Arial" w:cs="Arial"/>
          <w:sz w:val="22"/>
          <w:szCs w:val="22"/>
        </w:rPr>
        <w:t>Erkoreka</w:t>
      </w:r>
      <w:proofErr w:type="spellEnd"/>
      <w:r w:rsidRPr="009D28F2">
        <w:rPr>
          <w:rFonts w:ascii="Arial" w:hAnsi="Arial" w:cs="Arial"/>
          <w:sz w:val="22"/>
          <w:szCs w:val="22"/>
        </w:rPr>
        <w:t xml:space="preserve"> </w:t>
      </w:r>
      <w:r w:rsidRPr="001E2968">
        <w:rPr>
          <w:rFonts w:ascii="Arial" w:hAnsi="Arial" w:cs="Arial"/>
          <w:sz w:val="22"/>
          <w:szCs w:val="22"/>
        </w:rPr>
        <w:t>and</w:t>
      </w:r>
      <w:r w:rsidRPr="009D28F2">
        <w:rPr>
          <w:rFonts w:ascii="Arial" w:hAnsi="Arial" w:cs="Arial"/>
          <w:sz w:val="22"/>
          <w:szCs w:val="22"/>
        </w:rPr>
        <w:t xml:space="preserve"> Hernando-Pérez, 2022a)</w:t>
      </w:r>
      <w:r w:rsidR="009D28F2" w:rsidRPr="009D28F2">
        <w:rPr>
          <w:rFonts w:ascii="Arial" w:hAnsi="Arial" w:cs="Arial"/>
          <w:sz w:val="22"/>
          <w:szCs w:val="22"/>
        </w:rPr>
        <w:t>. The central government initially underestimated the severity of the crisis, allowing mass gatherings to continue. Chronic underfunding, shortages of personal protective equipment (PPE), limited testing capacity, unreliable data, and political polarisation further hindered an effective early response</w:t>
      </w:r>
      <w:r w:rsidRPr="001E2968">
        <w:rPr>
          <w:rFonts w:ascii="Arial" w:hAnsi="Arial" w:cs="Arial"/>
          <w:sz w:val="22"/>
          <w:szCs w:val="22"/>
        </w:rPr>
        <w:t xml:space="preserve"> </w:t>
      </w:r>
      <w:r w:rsidRPr="009D28F2">
        <w:rPr>
          <w:rFonts w:ascii="Arial" w:hAnsi="Arial" w:cs="Arial"/>
          <w:sz w:val="22"/>
          <w:szCs w:val="22"/>
        </w:rPr>
        <w:t>(</w:t>
      </w:r>
      <w:proofErr w:type="spellStart"/>
      <w:r w:rsidRPr="009D28F2">
        <w:rPr>
          <w:rFonts w:ascii="Arial" w:hAnsi="Arial" w:cs="Arial"/>
          <w:sz w:val="22"/>
          <w:szCs w:val="22"/>
        </w:rPr>
        <w:t>Erkoreka</w:t>
      </w:r>
      <w:proofErr w:type="spellEnd"/>
      <w:r w:rsidRPr="009D28F2">
        <w:rPr>
          <w:rFonts w:ascii="Arial" w:hAnsi="Arial" w:cs="Arial"/>
          <w:sz w:val="22"/>
          <w:szCs w:val="22"/>
        </w:rPr>
        <w:t xml:space="preserve"> </w:t>
      </w:r>
      <w:r w:rsidRPr="001E2968">
        <w:rPr>
          <w:rFonts w:ascii="Arial" w:hAnsi="Arial" w:cs="Arial"/>
          <w:sz w:val="22"/>
          <w:szCs w:val="22"/>
        </w:rPr>
        <w:t>and</w:t>
      </w:r>
      <w:r w:rsidRPr="009D28F2">
        <w:rPr>
          <w:rFonts w:ascii="Arial" w:hAnsi="Arial" w:cs="Arial"/>
          <w:sz w:val="22"/>
          <w:szCs w:val="22"/>
        </w:rPr>
        <w:t xml:space="preserve"> Hernando-Pérez, 2022a)</w:t>
      </w:r>
      <w:r w:rsidR="009D28F2" w:rsidRPr="009D28F2">
        <w:rPr>
          <w:rFonts w:ascii="Arial" w:hAnsi="Arial" w:cs="Arial"/>
          <w:sz w:val="22"/>
          <w:szCs w:val="22"/>
        </w:rPr>
        <w:t>.</w:t>
      </w:r>
    </w:p>
    <w:p w14:paraId="072F885C" w14:textId="18F32349" w:rsidR="009D28F2" w:rsidRPr="009D28F2" w:rsidRDefault="00D106FD"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9D28F2" w:rsidRPr="009D28F2">
        <w:rPr>
          <w:rFonts w:ascii="Arial" w:hAnsi="Arial" w:cs="Arial"/>
          <w:sz w:val="22"/>
          <w:szCs w:val="22"/>
        </w:rPr>
        <w:t>Compared to South Korea’s rapid activation of pre-existing epidemic protocols, Spain’s delayed recognition of risk highlights how political hesitation and limited preparedness may exacerbate the effects of decentralised governance, rather than indicating a failure of decentralisation per se. Subsequent phases involved co-governance, in which the central government set legal frameworks while autonomous communities regained responsibility for implementing testing, tracing, and local restrictions (</w:t>
      </w:r>
      <w:proofErr w:type="spellStart"/>
      <w:r w:rsidR="009D28F2" w:rsidRPr="009D28F2">
        <w:rPr>
          <w:rFonts w:ascii="Arial" w:hAnsi="Arial" w:cs="Arial"/>
          <w:sz w:val="22"/>
          <w:szCs w:val="22"/>
        </w:rPr>
        <w:t>Reverte</w:t>
      </w:r>
      <w:proofErr w:type="spellEnd"/>
      <w:r w:rsidR="009D28F2" w:rsidRPr="009D28F2">
        <w:rPr>
          <w:rFonts w:ascii="Arial" w:hAnsi="Arial" w:cs="Arial"/>
          <w:sz w:val="22"/>
          <w:szCs w:val="22"/>
        </w:rPr>
        <w:t xml:space="preserve">-Cejudo </w:t>
      </w:r>
      <w:r w:rsidR="001B6C17" w:rsidRPr="001E2968">
        <w:rPr>
          <w:rFonts w:ascii="Arial" w:hAnsi="Arial" w:cs="Arial"/>
          <w:sz w:val="22"/>
          <w:szCs w:val="22"/>
        </w:rPr>
        <w:t xml:space="preserve">and </w:t>
      </w:r>
      <w:r w:rsidR="009D28F2" w:rsidRPr="009D28F2">
        <w:rPr>
          <w:rFonts w:ascii="Arial" w:hAnsi="Arial" w:cs="Arial"/>
          <w:sz w:val="22"/>
          <w:szCs w:val="22"/>
        </w:rPr>
        <w:t>Sánchez-Bayle, 1999b</w:t>
      </w:r>
      <w:r w:rsidR="001B6C17" w:rsidRPr="001E2968">
        <w:rPr>
          <w:rFonts w:ascii="Arial" w:hAnsi="Arial" w:cs="Arial"/>
          <w:sz w:val="22"/>
          <w:szCs w:val="22"/>
        </w:rPr>
        <w:t>)</w:t>
      </w:r>
      <w:r w:rsidR="009D28F2" w:rsidRPr="009D28F2">
        <w:rPr>
          <w:rFonts w:ascii="Arial" w:hAnsi="Arial" w:cs="Arial"/>
          <w:sz w:val="22"/>
          <w:szCs w:val="22"/>
        </w:rPr>
        <w:t xml:space="preserve"> </w:t>
      </w:r>
      <w:r w:rsidR="001B6C17" w:rsidRPr="001E2968">
        <w:rPr>
          <w:rFonts w:ascii="Arial" w:hAnsi="Arial" w:cs="Arial"/>
          <w:sz w:val="22"/>
          <w:szCs w:val="22"/>
        </w:rPr>
        <w:lastRenderedPageBreak/>
        <w:t>(</w:t>
      </w:r>
      <w:r w:rsidR="009D28F2" w:rsidRPr="009D28F2">
        <w:rPr>
          <w:rFonts w:ascii="Arial" w:hAnsi="Arial" w:cs="Arial"/>
          <w:sz w:val="22"/>
          <w:szCs w:val="22"/>
        </w:rPr>
        <w:t>Peña-Ramos et al., 2021). During the second state of alarm (25 October 2020–May 2021), legal centralisation persisted, but policy implementation remained largely decentralised without a nationwide lockdown (Bernal-Delgado et al., 2024</w:t>
      </w:r>
      <w:r w:rsidRPr="001E2968">
        <w:rPr>
          <w:rFonts w:ascii="Arial" w:hAnsi="Arial" w:cs="Arial"/>
          <w:sz w:val="22"/>
          <w:szCs w:val="22"/>
        </w:rPr>
        <w:t>)</w:t>
      </w:r>
      <w:r w:rsidR="009D28F2" w:rsidRPr="009D28F2">
        <w:rPr>
          <w:rFonts w:ascii="Arial" w:hAnsi="Arial" w:cs="Arial"/>
          <w:sz w:val="22"/>
          <w:szCs w:val="22"/>
        </w:rPr>
        <w:t xml:space="preserve"> </w:t>
      </w:r>
      <w:r w:rsidRPr="001E2968">
        <w:rPr>
          <w:rFonts w:ascii="Arial" w:hAnsi="Arial" w:cs="Arial"/>
          <w:sz w:val="22"/>
          <w:szCs w:val="22"/>
        </w:rPr>
        <w:t>(</w:t>
      </w:r>
      <w:r w:rsidR="009D28F2" w:rsidRPr="009D28F2">
        <w:rPr>
          <w:rFonts w:ascii="Arial" w:hAnsi="Arial" w:cs="Arial"/>
          <w:sz w:val="22"/>
          <w:szCs w:val="22"/>
        </w:rPr>
        <w:t xml:space="preserve">López-Valcárcel </w:t>
      </w:r>
      <w:r w:rsidRPr="001E2968">
        <w:rPr>
          <w:rFonts w:ascii="Arial" w:hAnsi="Arial" w:cs="Arial"/>
          <w:sz w:val="22"/>
          <w:szCs w:val="22"/>
        </w:rPr>
        <w:t>and</w:t>
      </w:r>
      <w:r w:rsidR="009D28F2" w:rsidRPr="009D28F2">
        <w:rPr>
          <w:rFonts w:ascii="Arial" w:hAnsi="Arial" w:cs="Arial"/>
          <w:sz w:val="22"/>
          <w:szCs w:val="22"/>
        </w:rPr>
        <w:t xml:space="preserve"> López-Casasnovas, 2025).</w:t>
      </w:r>
    </w:p>
    <w:p w14:paraId="458EED84" w14:textId="2289DB5F" w:rsidR="009D28F2" w:rsidRPr="009D28F2" w:rsidRDefault="00D106FD"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9D28F2" w:rsidRPr="009D28F2">
        <w:rPr>
          <w:rFonts w:ascii="Arial" w:hAnsi="Arial" w:cs="Arial"/>
          <w:sz w:val="22"/>
          <w:szCs w:val="22"/>
        </w:rPr>
        <w:t>From a systems perspective, Spain functioned as a multi-level system involving the central government, autonomous communities, regional health services, courts, and EU instruments. Success depended on management quality, resource availability, administrative capacity, and coordination, rather than centralisation or decentralisation alone (</w:t>
      </w:r>
      <w:proofErr w:type="spellStart"/>
      <w:r w:rsidR="009D28F2" w:rsidRPr="009D28F2">
        <w:rPr>
          <w:rFonts w:ascii="Arial" w:hAnsi="Arial" w:cs="Arial"/>
          <w:sz w:val="22"/>
          <w:szCs w:val="22"/>
        </w:rPr>
        <w:t>Erkoreka</w:t>
      </w:r>
      <w:proofErr w:type="spellEnd"/>
      <w:r w:rsidR="009D28F2" w:rsidRPr="009D28F2">
        <w:rPr>
          <w:rFonts w:ascii="Arial" w:hAnsi="Arial" w:cs="Arial"/>
          <w:sz w:val="22"/>
          <w:szCs w:val="22"/>
        </w:rPr>
        <w:t xml:space="preserve"> </w:t>
      </w:r>
      <w:r w:rsidRPr="001E2968">
        <w:rPr>
          <w:rFonts w:ascii="Arial" w:hAnsi="Arial" w:cs="Arial"/>
          <w:sz w:val="22"/>
          <w:szCs w:val="22"/>
        </w:rPr>
        <w:t>and</w:t>
      </w:r>
      <w:r w:rsidR="009D28F2" w:rsidRPr="009D28F2">
        <w:rPr>
          <w:rFonts w:ascii="Arial" w:hAnsi="Arial" w:cs="Arial"/>
          <w:sz w:val="22"/>
          <w:szCs w:val="22"/>
        </w:rPr>
        <w:t xml:space="preserve"> Hernando-Pérez, 2022a). Regions with stronger public health systems demonstrated greater testing and tracing capacity, while less-funded regions exhibited higher incidence and mortality.</w:t>
      </w:r>
    </w:p>
    <w:p w14:paraId="2356A51A" w14:textId="77777777" w:rsidR="00726C6C" w:rsidRPr="001E2968" w:rsidRDefault="00726C6C" w:rsidP="001E2968">
      <w:pPr>
        <w:suppressAutoHyphens w:val="0"/>
        <w:spacing w:after="0" w:line="360" w:lineRule="auto"/>
        <w:jc w:val="both"/>
        <w:rPr>
          <w:rFonts w:ascii="Arial" w:hAnsi="Arial" w:cs="Arial"/>
          <w:b/>
          <w:bCs/>
          <w:sz w:val="22"/>
          <w:szCs w:val="22"/>
        </w:rPr>
      </w:pPr>
    </w:p>
    <w:p w14:paraId="4E088F9D" w14:textId="77777777" w:rsidR="00726C6C" w:rsidRPr="001E2968" w:rsidRDefault="00F31BDD" w:rsidP="001E2968">
      <w:pPr>
        <w:suppressAutoHyphens w:val="0"/>
        <w:spacing w:after="0" w:line="360" w:lineRule="auto"/>
        <w:jc w:val="both"/>
        <w:rPr>
          <w:rFonts w:ascii="Arial" w:hAnsi="Arial" w:cs="Arial"/>
          <w:b/>
          <w:bCs/>
          <w:sz w:val="22"/>
          <w:szCs w:val="22"/>
        </w:rPr>
      </w:pPr>
      <w:r w:rsidRPr="001E2968">
        <w:rPr>
          <w:rFonts w:ascii="Arial" w:hAnsi="Arial" w:cs="Arial"/>
          <w:b/>
          <w:bCs/>
          <w:sz w:val="22"/>
          <w:szCs w:val="22"/>
        </w:rPr>
        <w:t>Advantages and Disadvantages of Centralisation and Decentralisation Model</w:t>
      </w:r>
    </w:p>
    <w:p w14:paraId="2959942F" w14:textId="77E54FEF" w:rsidR="009D28F2" w:rsidRPr="009D28F2" w:rsidRDefault="00D106FD"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9D28F2" w:rsidRPr="009D28F2">
        <w:rPr>
          <w:rFonts w:ascii="Arial" w:hAnsi="Arial" w:cs="Arial"/>
          <w:sz w:val="22"/>
          <w:szCs w:val="22"/>
        </w:rPr>
        <w:t>During the pandemic, Spain’s healthcare system alternated between centralisation and decentralisation, each with advantages and limitations:</w:t>
      </w:r>
    </w:p>
    <w:p w14:paraId="6C969907" w14:textId="21C9A3FD" w:rsidR="009D28F2" w:rsidRPr="009D28F2" w:rsidRDefault="009D28F2" w:rsidP="001E2968">
      <w:pPr>
        <w:suppressAutoHyphens w:val="0"/>
        <w:spacing w:after="0" w:line="360" w:lineRule="auto"/>
        <w:jc w:val="both"/>
        <w:rPr>
          <w:rFonts w:ascii="Arial" w:hAnsi="Arial" w:cs="Arial"/>
          <w:sz w:val="22"/>
          <w:szCs w:val="22"/>
        </w:rPr>
      </w:pPr>
      <w:r w:rsidRPr="009D28F2">
        <w:rPr>
          <w:rFonts w:ascii="Arial" w:hAnsi="Arial" w:cs="Arial"/>
          <w:b/>
          <w:bCs/>
          <w:sz w:val="22"/>
          <w:szCs w:val="22"/>
        </w:rPr>
        <w:t>Centralisation:</w:t>
      </w:r>
      <w:r w:rsidRPr="009D28F2">
        <w:rPr>
          <w:rFonts w:ascii="Arial" w:hAnsi="Arial" w:cs="Arial"/>
          <w:sz w:val="22"/>
          <w:szCs w:val="22"/>
        </w:rPr>
        <w:t xml:space="preserve"> Implemented at the beginning under the state of alarm, it enabled rapid decision-making and uniform implementation of national measures, such as the lockdown, promoting initial control over viral spread (López-Valcárcel </w:t>
      </w:r>
      <w:r w:rsidR="00D106FD" w:rsidRPr="001E2968">
        <w:rPr>
          <w:rFonts w:ascii="Arial" w:hAnsi="Arial" w:cs="Arial"/>
          <w:sz w:val="22"/>
          <w:szCs w:val="22"/>
        </w:rPr>
        <w:t xml:space="preserve">and </w:t>
      </w:r>
      <w:r w:rsidRPr="009D28F2">
        <w:rPr>
          <w:rFonts w:ascii="Arial" w:hAnsi="Arial" w:cs="Arial"/>
          <w:sz w:val="22"/>
          <w:szCs w:val="22"/>
        </w:rPr>
        <w:t>López-Casasnovas, 2025). However, centralisation exposed limitations related to the operational inexperience of the Ministry of Health, logistical challenges, shortages of equipment, and restricted flexibility for regional adaptation. Poorly coordinated early leadership, political polarisation, and weak intergovernmental coordination further exacerbated these challenges (Royo, 2020).</w:t>
      </w:r>
    </w:p>
    <w:p w14:paraId="40441C9F" w14:textId="5848F801" w:rsidR="00726C6C" w:rsidRPr="001E2968" w:rsidRDefault="009D28F2" w:rsidP="001E2968">
      <w:pPr>
        <w:suppressAutoHyphens w:val="0"/>
        <w:spacing w:after="0" w:line="360" w:lineRule="auto"/>
        <w:jc w:val="both"/>
        <w:rPr>
          <w:rFonts w:ascii="Arial" w:hAnsi="Arial" w:cs="Arial"/>
          <w:sz w:val="22"/>
          <w:szCs w:val="22"/>
        </w:rPr>
      </w:pPr>
      <w:r w:rsidRPr="009D28F2">
        <w:rPr>
          <w:rFonts w:ascii="Arial" w:hAnsi="Arial" w:cs="Arial"/>
          <w:b/>
          <w:bCs/>
          <w:sz w:val="22"/>
          <w:szCs w:val="22"/>
        </w:rPr>
        <w:t>Decentralisation:</w:t>
      </w:r>
      <w:r w:rsidRPr="009D28F2">
        <w:rPr>
          <w:rFonts w:ascii="Arial" w:hAnsi="Arial" w:cs="Arial"/>
          <w:sz w:val="22"/>
          <w:szCs w:val="22"/>
        </w:rPr>
        <w:t xml:space="preserve"> Gradually implemented from May 2021, it allowed policies to be tailored to regional needs, fostered local cooperation and information sharing, and enabled agile responses to epidemiological challenges (López-Valcárcel </w:t>
      </w:r>
      <w:r w:rsidR="00D106FD" w:rsidRPr="001E2968">
        <w:rPr>
          <w:rFonts w:ascii="Arial" w:hAnsi="Arial" w:cs="Arial"/>
          <w:sz w:val="22"/>
          <w:szCs w:val="22"/>
        </w:rPr>
        <w:t>and</w:t>
      </w:r>
      <w:r w:rsidRPr="009D28F2">
        <w:rPr>
          <w:rFonts w:ascii="Arial" w:hAnsi="Arial" w:cs="Arial"/>
          <w:sz w:val="22"/>
          <w:szCs w:val="22"/>
        </w:rPr>
        <w:t xml:space="preserve"> López-Casasnovas, 2025). The primary disadvantage was the need for continuous coordination between autonomous communities and the central government to prevent inequalities and ensure national effectiveness of public health measures</w:t>
      </w:r>
      <w:r w:rsidR="00337907" w:rsidRPr="001E2968">
        <w:rPr>
          <w:rFonts w:ascii="Arial" w:hAnsi="Arial" w:cs="Arial"/>
          <w:sz w:val="22"/>
          <w:szCs w:val="22"/>
        </w:rPr>
        <w:t xml:space="preserve"> </w:t>
      </w:r>
      <w:r w:rsidR="00F31BDD" w:rsidRPr="001E2968">
        <w:rPr>
          <w:rStyle w:val="Tipodeletrapredefinidodopargrafo"/>
          <w:rFonts w:ascii="Arial" w:hAnsi="Arial" w:cs="Arial"/>
          <w:sz w:val="22"/>
          <w:szCs w:val="22"/>
        </w:rPr>
        <w:t>(López-Valcárcel and Lopez-Casasnovas, 2025).</w:t>
      </w:r>
    </w:p>
    <w:p w14:paraId="100ACC6B" w14:textId="77777777" w:rsidR="00726C6C" w:rsidRPr="001E2968" w:rsidRDefault="00726C6C" w:rsidP="001E2968">
      <w:pPr>
        <w:suppressAutoHyphens w:val="0"/>
        <w:spacing w:after="0" w:line="360" w:lineRule="auto"/>
        <w:jc w:val="both"/>
        <w:rPr>
          <w:rFonts w:ascii="Arial" w:hAnsi="Arial" w:cs="Arial"/>
          <w:sz w:val="22"/>
          <w:szCs w:val="22"/>
        </w:rPr>
      </w:pPr>
    </w:p>
    <w:p w14:paraId="0950D162" w14:textId="77777777" w:rsidR="00726C6C" w:rsidRPr="001E2968" w:rsidRDefault="00F31BDD" w:rsidP="001E2968">
      <w:pPr>
        <w:suppressAutoHyphens w:val="0"/>
        <w:spacing w:after="0" w:line="360" w:lineRule="auto"/>
        <w:jc w:val="both"/>
        <w:rPr>
          <w:rFonts w:ascii="Arial" w:hAnsi="Arial" w:cs="Arial"/>
          <w:b/>
          <w:bCs/>
          <w:sz w:val="22"/>
          <w:szCs w:val="22"/>
        </w:rPr>
      </w:pPr>
      <w:r w:rsidRPr="001E2968">
        <w:rPr>
          <w:rFonts w:ascii="Arial" w:hAnsi="Arial" w:cs="Arial"/>
          <w:b/>
          <w:bCs/>
          <w:sz w:val="22"/>
          <w:szCs w:val="22"/>
        </w:rPr>
        <w:t>Health Outcomes and Regional Implications</w:t>
      </w:r>
    </w:p>
    <w:p w14:paraId="7C7D4C07" w14:textId="38C91425" w:rsidR="00726C6C" w:rsidRPr="001E2968" w:rsidRDefault="00D106FD"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In terms of health outcomes, provincial-level analysis indicated that the disease burden, measured in quality-adjusted life years (QALYs) lost, decreased throughout the pandemic phases (López-Valcárcel and Lopez-Casasnovas, 2025). Significant regional disparities were observed only during the initial centralised phase, whereas during the decentralised phase, these differences virtually disappeared, indicating that regional management allowed better tailoring of policies to local conditions and reduced inequalities in health outcomes (López-Valcárcel and Lopez-Casasnovas, 2025).</w:t>
      </w:r>
    </w:p>
    <w:p w14:paraId="6DDAA7EB" w14:textId="58ECE96F" w:rsidR="00726C6C" w:rsidRPr="001E2968" w:rsidRDefault="00F31BDD" w:rsidP="001E2968">
      <w:pPr>
        <w:suppressAutoHyphens w:val="0"/>
        <w:spacing w:after="0" w:line="360" w:lineRule="auto"/>
        <w:jc w:val="both"/>
        <w:rPr>
          <w:rFonts w:ascii="Arial" w:hAnsi="Arial" w:cs="Arial"/>
          <w:sz w:val="22"/>
          <w:szCs w:val="22"/>
        </w:rPr>
      </w:pPr>
      <w:r w:rsidRPr="001E2968">
        <w:rPr>
          <w:rStyle w:val="Tipodeletrapredefinidodopargrafo"/>
          <w:rFonts w:ascii="Arial" w:hAnsi="Arial" w:cs="Arial"/>
          <w:sz w:val="22"/>
          <w:szCs w:val="22"/>
        </w:rPr>
        <w:lastRenderedPageBreak/>
        <w:t xml:space="preserve">Despite early challenges, Spain later became a leader in vaccination rollout in Europe, demonstrating that coordinated efforts and adequate resources can overcome initial governance weaknesses (Bernal-Delgado </w:t>
      </w:r>
      <w:r w:rsidRPr="001E2968">
        <w:rPr>
          <w:rStyle w:val="Tipodeletrapredefinidodopargrafo"/>
          <w:rFonts w:ascii="Arial" w:hAnsi="Arial" w:cs="Arial"/>
          <w:i/>
          <w:iCs/>
          <w:sz w:val="22"/>
          <w:szCs w:val="22"/>
        </w:rPr>
        <w:t>et al.</w:t>
      </w:r>
      <w:r w:rsidRPr="001E2968">
        <w:rPr>
          <w:rStyle w:val="Tipodeletrapredefinidodopargrafo"/>
          <w:rFonts w:ascii="Arial" w:hAnsi="Arial" w:cs="Arial"/>
          <w:sz w:val="22"/>
          <w:szCs w:val="22"/>
        </w:rPr>
        <w:t xml:space="preserve">, 2024). Overall, Spain performs well compared to the EU, with high life expectancy and low rates of avoidable hospitalisations and mortality, although gaps remain in dental, optical, mental health care, and certain preventive services </w:t>
      </w:r>
      <w:bookmarkStart w:id="0" w:name="_Hlk215946940"/>
      <w:r w:rsidRPr="001E2968">
        <w:rPr>
          <w:rStyle w:val="Tipodeletrapredefinidodopargrafo"/>
          <w:rFonts w:ascii="Arial" w:hAnsi="Arial" w:cs="Arial"/>
          <w:sz w:val="22"/>
          <w:szCs w:val="22"/>
        </w:rPr>
        <w:t xml:space="preserve">(Bernal-Delgado </w:t>
      </w:r>
      <w:r w:rsidRPr="001E2968">
        <w:rPr>
          <w:rStyle w:val="Tipodeletrapredefinidodopargrafo"/>
          <w:rFonts w:ascii="Arial" w:hAnsi="Arial" w:cs="Arial"/>
          <w:i/>
          <w:iCs/>
          <w:sz w:val="22"/>
          <w:szCs w:val="22"/>
        </w:rPr>
        <w:t>et al.</w:t>
      </w:r>
      <w:r w:rsidRPr="001E2968">
        <w:rPr>
          <w:rStyle w:val="Tipodeletrapredefinidodopargrafo"/>
          <w:rFonts w:ascii="Arial" w:hAnsi="Arial" w:cs="Arial"/>
          <w:sz w:val="22"/>
          <w:szCs w:val="22"/>
        </w:rPr>
        <w:t>, 2024)</w:t>
      </w:r>
      <w:bookmarkEnd w:id="0"/>
      <w:r w:rsidRPr="001E2968">
        <w:rPr>
          <w:rStyle w:val="Tipodeletrapredefinidodopargrafo"/>
          <w:rFonts w:ascii="Arial" w:hAnsi="Arial" w:cs="Arial"/>
          <w:sz w:val="22"/>
          <w:szCs w:val="22"/>
        </w:rPr>
        <w:t>.</w:t>
      </w:r>
      <w:r w:rsidRPr="001E2968">
        <w:rPr>
          <w:rStyle w:val="Tipodeletrapredefinidodopargrafo"/>
          <w:rFonts w:ascii="Arial" w:hAnsi="Arial" w:cs="Arial"/>
          <w:b/>
          <w:bCs/>
          <w:sz w:val="22"/>
          <w:szCs w:val="22"/>
        </w:rPr>
        <w:t xml:space="preserve"> </w:t>
      </w:r>
      <w:r w:rsidRPr="001E2968">
        <w:rPr>
          <w:rStyle w:val="Tipodeletrapredefinidodopargrafo"/>
          <w:rFonts w:ascii="Arial" w:hAnsi="Arial" w:cs="Arial"/>
          <w:sz w:val="22"/>
          <w:szCs w:val="22"/>
        </w:rPr>
        <w:t>This pattern suggests that, in the Spanish context, a combination of coordinated decentralisation, adequate resources, and prior administrative capacity contributed to positive health outcomes during the pandemic (</w:t>
      </w:r>
      <w:proofErr w:type="spellStart"/>
      <w:r w:rsidRPr="001E2968">
        <w:rPr>
          <w:rStyle w:val="Tipodeletrapredefinidodopargrafo"/>
          <w:rFonts w:ascii="Arial" w:hAnsi="Arial" w:cs="Arial"/>
          <w:sz w:val="22"/>
          <w:szCs w:val="22"/>
        </w:rPr>
        <w:t>Erkoreka</w:t>
      </w:r>
      <w:proofErr w:type="spellEnd"/>
      <w:r w:rsidRPr="001E2968">
        <w:rPr>
          <w:rStyle w:val="Tipodeletrapredefinidodopargrafo"/>
          <w:rFonts w:ascii="Arial" w:hAnsi="Arial" w:cs="Arial"/>
          <w:sz w:val="22"/>
          <w:szCs w:val="22"/>
        </w:rPr>
        <w:t xml:space="preserve"> </w:t>
      </w:r>
      <w:r w:rsidR="00D106FD" w:rsidRPr="001E2968">
        <w:rPr>
          <w:rStyle w:val="Tipodeletrapredefinidodopargrafo"/>
          <w:rFonts w:ascii="Arial" w:hAnsi="Arial" w:cs="Arial"/>
          <w:sz w:val="22"/>
          <w:szCs w:val="22"/>
        </w:rPr>
        <w:t>and</w:t>
      </w:r>
      <w:r w:rsidRPr="001E2968">
        <w:rPr>
          <w:rStyle w:val="Tipodeletrapredefinidodopargrafo"/>
          <w:rFonts w:ascii="Arial" w:hAnsi="Arial" w:cs="Arial"/>
          <w:sz w:val="22"/>
          <w:szCs w:val="22"/>
        </w:rPr>
        <w:t xml:space="preserve"> Hernando-Pérez, 2022b).</w:t>
      </w:r>
    </w:p>
    <w:p w14:paraId="7868DA7A" w14:textId="77777777" w:rsidR="00726C6C" w:rsidRPr="001E2968" w:rsidRDefault="00726C6C" w:rsidP="001E2968">
      <w:pPr>
        <w:suppressAutoHyphens w:val="0"/>
        <w:spacing w:after="0" w:line="360" w:lineRule="auto"/>
        <w:jc w:val="both"/>
        <w:rPr>
          <w:rFonts w:ascii="Arial" w:hAnsi="Arial" w:cs="Arial"/>
          <w:sz w:val="22"/>
          <w:szCs w:val="22"/>
        </w:rPr>
      </w:pPr>
    </w:p>
    <w:p w14:paraId="6992811D" w14:textId="77777777" w:rsidR="00726C6C" w:rsidRPr="001E2968" w:rsidRDefault="00F31BDD" w:rsidP="001E2968">
      <w:pPr>
        <w:suppressAutoHyphens w:val="0"/>
        <w:spacing w:after="0" w:line="360" w:lineRule="auto"/>
        <w:jc w:val="both"/>
        <w:rPr>
          <w:rFonts w:ascii="Arial" w:hAnsi="Arial" w:cs="Arial"/>
          <w:b/>
          <w:bCs/>
          <w:sz w:val="22"/>
          <w:szCs w:val="22"/>
        </w:rPr>
      </w:pPr>
      <w:r w:rsidRPr="001E2968">
        <w:rPr>
          <w:rFonts w:ascii="Arial" w:hAnsi="Arial" w:cs="Arial"/>
          <w:b/>
          <w:bCs/>
          <w:sz w:val="22"/>
          <w:szCs w:val="22"/>
        </w:rPr>
        <w:t>Leadership in Spain during the Pandemic</w:t>
      </w:r>
    </w:p>
    <w:p w14:paraId="3AACD739" w14:textId="2BABBB40" w:rsidR="009D28F2" w:rsidRPr="001E2968" w:rsidRDefault="00D106FD" w:rsidP="001E2968">
      <w:pPr>
        <w:suppressAutoHyphens w:val="0"/>
        <w:spacing w:after="0" w:line="360" w:lineRule="auto"/>
        <w:jc w:val="both"/>
        <w:rPr>
          <w:rStyle w:val="Tipodeletrapredefinidodopargrafo"/>
          <w:rFonts w:ascii="Arial" w:hAnsi="Arial" w:cs="Arial"/>
          <w:sz w:val="22"/>
          <w:szCs w:val="22"/>
        </w:rPr>
      </w:pPr>
      <w:r w:rsidRPr="001E2968">
        <w:rPr>
          <w:rStyle w:val="Tipodeletrapredefinidodopargrafo"/>
          <w:rFonts w:ascii="Arial" w:hAnsi="Arial" w:cs="Arial"/>
          <w:sz w:val="22"/>
          <w:szCs w:val="22"/>
        </w:rPr>
        <w:t xml:space="preserve">      </w:t>
      </w:r>
      <w:r w:rsidR="00F31BDD" w:rsidRPr="001E2968">
        <w:rPr>
          <w:rStyle w:val="Tipodeletrapredefinidodopargrafo"/>
          <w:rFonts w:ascii="Arial" w:hAnsi="Arial" w:cs="Arial"/>
          <w:sz w:val="22"/>
          <w:szCs w:val="22"/>
        </w:rPr>
        <w:t>During the Covid-19 pandemic in Spain, the centralised and autocratic leadership style was used, implemented by Prime Minister Pedro Sánchez and the team of the Technical Committee for the Management of the Coronavirus (TCMC), with technical support from the Centre for Coordination of Health Alerts and Emergencies (CCAES), which monitored the evolution of the pandemic, provided daily reports, and offered scientific advice to guide government decisions</w:t>
      </w:r>
      <w:r w:rsidR="00F31BDD" w:rsidRPr="001E2968">
        <w:rPr>
          <w:rStyle w:val="Tipodeletrapredefinidodopargrafo"/>
          <w:rFonts w:ascii="Arial" w:eastAsia="Times New Roman" w:hAnsi="Arial" w:cs="Arial"/>
          <w:kern w:val="0"/>
          <w:sz w:val="22"/>
          <w:szCs w:val="22"/>
          <w:lang w:eastAsia="en-GB"/>
        </w:rPr>
        <w:t xml:space="preserve"> </w:t>
      </w:r>
      <w:r w:rsidR="00F31BDD" w:rsidRPr="001E2968">
        <w:rPr>
          <w:rStyle w:val="Tipodeletrapredefinidodopargrafo"/>
          <w:rFonts w:ascii="Arial" w:hAnsi="Arial" w:cs="Arial"/>
          <w:sz w:val="22"/>
          <w:szCs w:val="22"/>
        </w:rPr>
        <w:t xml:space="preserve">(Teruel, Del Pino and Real-Dato, 2022). </w:t>
      </w:r>
    </w:p>
    <w:p w14:paraId="34702D0C" w14:textId="47964297" w:rsidR="00726C6C" w:rsidRPr="001E2968" w:rsidRDefault="00D106FD" w:rsidP="001E2968">
      <w:pPr>
        <w:suppressAutoHyphens w:val="0"/>
        <w:spacing w:after="0" w:line="360" w:lineRule="auto"/>
        <w:jc w:val="both"/>
        <w:rPr>
          <w:rFonts w:ascii="Arial" w:hAnsi="Arial" w:cs="Arial"/>
          <w:sz w:val="22"/>
          <w:szCs w:val="22"/>
        </w:rPr>
      </w:pPr>
      <w:r w:rsidRPr="001E2968">
        <w:rPr>
          <w:rStyle w:val="Tipodeletrapredefinidodopargrafo"/>
          <w:rFonts w:ascii="Arial" w:hAnsi="Arial" w:cs="Arial"/>
          <w:sz w:val="22"/>
          <w:szCs w:val="22"/>
        </w:rPr>
        <w:t xml:space="preserve">      </w:t>
      </w:r>
      <w:r w:rsidR="009D28F2" w:rsidRPr="001E2968">
        <w:rPr>
          <w:rStyle w:val="Tipodeletrapredefinidodopargrafo"/>
          <w:rFonts w:ascii="Arial" w:hAnsi="Arial" w:cs="Arial"/>
          <w:sz w:val="22"/>
          <w:szCs w:val="22"/>
        </w:rPr>
        <w:t>Autocratic leadership</w:t>
      </w:r>
      <w:r w:rsidR="00F31BDD" w:rsidRPr="001E2968">
        <w:rPr>
          <w:rStyle w:val="Tipodeletrapredefinidodopargrafo"/>
          <w:rFonts w:ascii="Arial" w:hAnsi="Arial" w:cs="Arial"/>
          <w:sz w:val="22"/>
          <w:szCs w:val="22"/>
        </w:rPr>
        <w:t xml:space="preserve"> allowed </w:t>
      </w:r>
      <w:r w:rsidR="00337907" w:rsidRPr="001E2968">
        <w:rPr>
          <w:rStyle w:val="Tipodeletrapredefinidodopargrafo"/>
          <w:rFonts w:ascii="Arial" w:hAnsi="Arial" w:cs="Arial"/>
          <w:sz w:val="22"/>
          <w:szCs w:val="22"/>
        </w:rPr>
        <w:t>the government</w:t>
      </w:r>
      <w:r w:rsidR="00F31BDD" w:rsidRPr="001E2968">
        <w:rPr>
          <w:rStyle w:val="Tipodeletrapredefinidodopargrafo"/>
          <w:rFonts w:ascii="Arial" w:hAnsi="Arial" w:cs="Arial"/>
          <w:sz w:val="22"/>
          <w:szCs w:val="22"/>
        </w:rPr>
        <w:t xml:space="preserve"> to concentrated at the core of the executive, implementing measures such as the state of emergency, national lockdown, and direct coordination with the Ministries of Health, Defence, Interior, and Transport, ensuring rapid and cohesive responses during the early phases of the crisis. During this period, Sánchez also employed transformational communication to encourage compliance, trust in science, and national solidarity (Alemán, 2023) (Teruel, Del Pino and Real-Dato, 2022).</w:t>
      </w:r>
    </w:p>
    <w:p w14:paraId="4E7CF455" w14:textId="1D2FED25" w:rsidR="00726C6C" w:rsidRPr="001E2968" w:rsidRDefault="00D106FD" w:rsidP="001E2968">
      <w:pPr>
        <w:suppressAutoHyphens w:val="0"/>
        <w:spacing w:after="0" w:line="360" w:lineRule="auto"/>
        <w:jc w:val="both"/>
        <w:rPr>
          <w:rStyle w:val="Tipodeletrapredefinidodopargrafo"/>
          <w:rFonts w:ascii="Arial" w:hAnsi="Arial" w:cs="Arial"/>
          <w:sz w:val="22"/>
          <w:szCs w:val="22"/>
        </w:rPr>
      </w:pPr>
      <w:r w:rsidRPr="001E2968">
        <w:rPr>
          <w:rStyle w:val="Tipodeletrapredefinidodopargrafo"/>
          <w:rFonts w:ascii="Arial" w:hAnsi="Arial" w:cs="Arial"/>
          <w:sz w:val="22"/>
          <w:szCs w:val="22"/>
        </w:rPr>
        <w:t xml:space="preserve">     </w:t>
      </w:r>
      <w:r w:rsidR="00F31BDD" w:rsidRPr="001E2968">
        <w:rPr>
          <w:rStyle w:val="Tipodeletrapredefinidodopargrafo"/>
          <w:rFonts w:ascii="Arial" w:hAnsi="Arial" w:cs="Arial"/>
          <w:sz w:val="22"/>
          <w:szCs w:val="22"/>
        </w:rPr>
        <w:t xml:space="preserve">Additionally, the Crisis Management theory was applied in the context of an unprecedented health emergency, explaining how political leaders should act under high uncertainty, time pressure, and resource constraints. This theory justified the concentration of power and emphasis on expert-led decisions. The theory most </w:t>
      </w:r>
      <w:r w:rsidR="00074E32" w:rsidRPr="001E2968">
        <w:rPr>
          <w:rStyle w:val="Tipodeletrapredefinidodopargrafo"/>
          <w:rFonts w:ascii="Arial" w:hAnsi="Arial" w:cs="Arial"/>
          <w:sz w:val="22"/>
          <w:szCs w:val="22"/>
        </w:rPr>
        <w:t>like</w:t>
      </w:r>
      <w:r w:rsidR="00F31BDD" w:rsidRPr="001E2968">
        <w:rPr>
          <w:rStyle w:val="Tipodeletrapredefinidodopargrafo"/>
          <w:rFonts w:ascii="Arial" w:hAnsi="Arial" w:cs="Arial"/>
          <w:sz w:val="22"/>
          <w:szCs w:val="22"/>
        </w:rPr>
        <w:t xml:space="preserve"> this is Situational Leadership as it highlights the need for leaders to adapt their style according to the context, urgency, and capacity of institutions, which in Spain was seen when Sánchez initially centralised decisions and later increased cooperation with regional governments</w:t>
      </w:r>
      <w:r w:rsidR="00F31BDD" w:rsidRPr="001E2968">
        <w:rPr>
          <w:rStyle w:val="Tipodeletrapredefinidodopargrafo"/>
          <w:rFonts w:ascii="Arial" w:eastAsia="Times New Roman" w:hAnsi="Arial" w:cs="Arial"/>
          <w:kern w:val="0"/>
          <w:sz w:val="22"/>
          <w:szCs w:val="22"/>
          <w:lang w:eastAsia="en-GB"/>
        </w:rPr>
        <w:t xml:space="preserve"> </w:t>
      </w:r>
      <w:r w:rsidR="00F31BDD" w:rsidRPr="001E2968">
        <w:rPr>
          <w:rStyle w:val="Tipodeletrapredefinidodopargrafo"/>
          <w:rFonts w:ascii="Arial" w:hAnsi="Arial" w:cs="Arial"/>
          <w:sz w:val="22"/>
          <w:szCs w:val="22"/>
        </w:rPr>
        <w:t>(Teruel, Del Pino and Real-Dato, 2022).</w:t>
      </w:r>
      <w:r w:rsidRPr="001E2968">
        <w:rPr>
          <w:rStyle w:val="Tipodeletrapredefinidodopargrafo"/>
          <w:rFonts w:ascii="Arial" w:hAnsi="Arial" w:cs="Arial"/>
          <w:sz w:val="22"/>
          <w:szCs w:val="22"/>
        </w:rPr>
        <w:t xml:space="preserve">       </w:t>
      </w:r>
      <w:r w:rsidR="00524CFB" w:rsidRPr="001E2968">
        <w:rPr>
          <w:rFonts w:ascii="Arial" w:hAnsi="Arial" w:cs="Arial"/>
          <w:sz w:val="22"/>
          <w:szCs w:val="22"/>
        </w:rPr>
        <w:t>Comparatively, Canada relied on transformational and situational approaches without initial centralised authority, while South Korea blended bureaucratic efficiency with participative styles, achieving faster outcomes. Spain demonstrates that autocratic leadership can be advantageous early but requires adaptive strategies for long-term effectiveness.</w:t>
      </w:r>
    </w:p>
    <w:p w14:paraId="2AB64BF4" w14:textId="77777777" w:rsidR="00726C6C" w:rsidRPr="001E2968" w:rsidRDefault="00726C6C" w:rsidP="001E2968">
      <w:pPr>
        <w:suppressAutoHyphens w:val="0"/>
        <w:spacing w:after="0" w:line="360" w:lineRule="auto"/>
        <w:jc w:val="both"/>
        <w:rPr>
          <w:rFonts w:ascii="Arial" w:hAnsi="Arial" w:cs="Arial"/>
          <w:sz w:val="22"/>
          <w:szCs w:val="22"/>
        </w:rPr>
      </w:pPr>
    </w:p>
    <w:p w14:paraId="18ECD11B" w14:textId="77777777" w:rsidR="00965575" w:rsidRPr="001E2968" w:rsidRDefault="00965575" w:rsidP="001E2968">
      <w:pPr>
        <w:suppressAutoHyphens w:val="0"/>
        <w:spacing w:after="0" w:line="360" w:lineRule="auto"/>
        <w:jc w:val="both"/>
        <w:rPr>
          <w:rFonts w:ascii="Arial" w:hAnsi="Arial" w:cs="Arial"/>
          <w:sz w:val="22"/>
          <w:szCs w:val="22"/>
        </w:rPr>
      </w:pPr>
    </w:p>
    <w:p w14:paraId="54641478" w14:textId="77777777" w:rsidR="0028711B" w:rsidRPr="001E2968" w:rsidRDefault="0028711B" w:rsidP="001E2968">
      <w:pPr>
        <w:suppressAutoHyphens w:val="0"/>
        <w:spacing w:after="0" w:line="360" w:lineRule="auto"/>
        <w:jc w:val="both"/>
        <w:rPr>
          <w:rFonts w:ascii="Arial" w:hAnsi="Arial" w:cs="Arial"/>
          <w:sz w:val="22"/>
          <w:szCs w:val="22"/>
        </w:rPr>
      </w:pPr>
    </w:p>
    <w:p w14:paraId="2E8C98C6" w14:textId="3B8F8C38" w:rsidR="00726C6C" w:rsidRPr="001E2968" w:rsidRDefault="00F31BDD" w:rsidP="001E2968">
      <w:pPr>
        <w:suppressAutoHyphens w:val="0"/>
        <w:spacing w:after="0" w:line="360" w:lineRule="auto"/>
        <w:jc w:val="both"/>
        <w:rPr>
          <w:rFonts w:ascii="Arial" w:hAnsi="Arial" w:cs="Arial"/>
          <w:b/>
          <w:bCs/>
          <w:sz w:val="22"/>
          <w:szCs w:val="22"/>
        </w:rPr>
      </w:pPr>
      <w:r w:rsidRPr="001E2968">
        <w:rPr>
          <w:rFonts w:ascii="Arial" w:hAnsi="Arial" w:cs="Arial"/>
          <w:b/>
          <w:bCs/>
          <w:sz w:val="22"/>
          <w:szCs w:val="22"/>
        </w:rPr>
        <w:lastRenderedPageBreak/>
        <w:t xml:space="preserve">Autocratic leadership: Characteristic and vantages and advantages </w:t>
      </w:r>
    </w:p>
    <w:p w14:paraId="58BC2E35" w14:textId="77777777" w:rsidR="00D106FD" w:rsidRPr="001E2968" w:rsidRDefault="00D106FD"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 xml:space="preserve">Autocratic leadership the leader centralises power, making </w:t>
      </w:r>
      <w:r w:rsidR="000A08AC" w:rsidRPr="001E2968">
        <w:rPr>
          <w:rFonts w:ascii="Arial" w:hAnsi="Arial" w:cs="Arial"/>
          <w:sz w:val="22"/>
          <w:szCs w:val="22"/>
        </w:rPr>
        <w:t>all</w:t>
      </w:r>
      <w:r w:rsidR="00F31BDD" w:rsidRPr="001E2968">
        <w:rPr>
          <w:rFonts w:ascii="Arial" w:hAnsi="Arial" w:cs="Arial"/>
          <w:sz w:val="22"/>
          <w:szCs w:val="22"/>
        </w:rPr>
        <w:t xml:space="preserve"> decisions without consulting group members (Nickerson and McLeod, 2024). Choices are based on the leader’s own judgment and are often enforced through strict rules or punishments to ensure compliance. This type of leadership has several key features. Firstly, group members have limited influence or participation in decision-making. The environment is typically highly structured, with clearly defined roles and hierarchy, which can increase efficiency but may also reduce motivation. </w:t>
      </w:r>
      <w:r w:rsidRPr="001E2968">
        <w:rPr>
          <w:rFonts w:ascii="Arial" w:hAnsi="Arial" w:cs="Arial"/>
          <w:sz w:val="22"/>
          <w:szCs w:val="22"/>
        </w:rPr>
        <w:t xml:space="preserve"> </w:t>
      </w:r>
    </w:p>
    <w:p w14:paraId="62CDA231" w14:textId="108EE45A" w:rsidR="00726C6C" w:rsidRPr="001E2968" w:rsidRDefault="00D106FD"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Additionally, rules and procedures are well established, aiding organisation but potentially restricting creativity and initiative among subordinates (Nickerson and McLeod, 2024). On the positive side, autocratic leadership allows decisions to be made quickly, which is essential in crisis situations. It also provides clear direction and maintains an organised structure, being particularly useful in high-pressure or complex contexts where centralised control improves task execution. However, this style can have negative effects. It tends to lower group morale and job satisfaction, discourage innovation, and generate resentment, especially if members feel ignored or overly controlled. Furthermore, the group’s success is heavily dependent on the leader’s abilities, and poor decisions can have significant consequences for the team (Nickerson and McLeod, 2024).</w:t>
      </w:r>
    </w:p>
    <w:p w14:paraId="05D42FD6" w14:textId="77777777" w:rsidR="00726C6C" w:rsidRPr="001E2968" w:rsidRDefault="00726C6C" w:rsidP="001E2968">
      <w:pPr>
        <w:suppressAutoHyphens w:val="0"/>
        <w:spacing w:after="0" w:line="360" w:lineRule="auto"/>
        <w:jc w:val="both"/>
        <w:rPr>
          <w:rFonts w:ascii="Arial" w:hAnsi="Arial" w:cs="Arial"/>
          <w:sz w:val="22"/>
          <w:szCs w:val="22"/>
        </w:rPr>
      </w:pPr>
    </w:p>
    <w:p w14:paraId="383BC5C9" w14:textId="77777777" w:rsidR="00726C6C" w:rsidRPr="001E2968" w:rsidRDefault="00F31BDD" w:rsidP="001E2968">
      <w:pPr>
        <w:suppressAutoHyphens w:val="0"/>
        <w:spacing w:after="0" w:line="360" w:lineRule="auto"/>
        <w:jc w:val="both"/>
        <w:rPr>
          <w:rFonts w:ascii="Arial" w:hAnsi="Arial" w:cs="Arial"/>
          <w:b/>
          <w:bCs/>
          <w:sz w:val="22"/>
          <w:szCs w:val="22"/>
        </w:rPr>
      </w:pPr>
      <w:r w:rsidRPr="001E2968">
        <w:rPr>
          <w:rFonts w:ascii="Arial" w:hAnsi="Arial" w:cs="Arial"/>
          <w:b/>
          <w:bCs/>
          <w:sz w:val="22"/>
          <w:szCs w:val="22"/>
        </w:rPr>
        <w:t>Situational Leadership: Characteristic and vantages and advantages</w:t>
      </w:r>
    </w:p>
    <w:p w14:paraId="681F8DD4" w14:textId="745D97B2" w:rsidR="00726C6C" w:rsidRPr="001E2968" w:rsidRDefault="00D106FD"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Situational Leadership does not rely on a single approach for all situations. Instead, effective leaders adapt their behaviour according to the needs of the task, the team, and the situation (Cherry and Morin, 2025. This involves assessing the ability, experience, and motivation of team members and adjusting the leadership style to ensure objectives are successfully achieved (Cherry and Morin, 2025).</w:t>
      </w:r>
    </w:p>
    <w:p w14:paraId="1D90E7BE" w14:textId="3F99CB73" w:rsidR="00726C6C" w:rsidRPr="001E2968" w:rsidRDefault="00D106FD"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The Situational Leadership theory identifies four main styles: Directing, where the leader provides detailed instructions and closely guides inexperienced members. Coaching, which combines guidance and encouragement to motivate teams with some ability but limited confidence. Supporting, where the leader offers support and encourages participation from more experienced team members, and delegating, in which highly competent and motivated members take on most responsibilities with minimal leader intervention. The core of this theory is flexibility. Situational leaders change their approach according to the maturity and competence of team members. For example, beginners may require detailed guidance, while experienced employees benefit from autonomy and the freedom to make decisions. This approach allows the team to develop, learn, and become increasingly independent over time (Cherry and Morin, 2025).</w:t>
      </w:r>
    </w:p>
    <w:p w14:paraId="787FFFB7" w14:textId="0E726507" w:rsidR="00726C6C" w:rsidRPr="001E2968" w:rsidRDefault="00D106FD"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 xml:space="preserve">Advantages of Situational Leadership include adaptability, promotion of team development, and increased efficiency in task execution. It is particularly useful in dynamic or crisis </w:t>
      </w:r>
      <w:r w:rsidR="00F31BDD" w:rsidRPr="001E2968">
        <w:rPr>
          <w:rFonts w:ascii="Arial" w:hAnsi="Arial" w:cs="Arial"/>
          <w:sz w:val="22"/>
          <w:szCs w:val="22"/>
        </w:rPr>
        <w:lastRenderedPageBreak/>
        <w:t>environments, such as during the COVID-19 pandemic, when leaders had to quickly adjust strategies to cope with unexpected changes. However, the theory also presents challenges. It requires the leader to accurately assess the situation and understand each team member’s level of maturity. Incorrect assessment can lead to inappropriate decisions. Additionally, effective application of Situational Leadership demands experience, training, and well-developed interpersonal skills (Cherry and Morin, 2025). Overall, Situational Leadership provides a practical approach to managing teams efficiently and flexibly, balancing direction, support, and autonomy according to the needs of each situation and the capabilities of the team (Cherry and Morin, 2025).</w:t>
      </w:r>
    </w:p>
    <w:p w14:paraId="69C31570" w14:textId="0C4B99B7" w:rsidR="00337907" w:rsidRPr="00337907" w:rsidRDefault="00D106FD"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337907" w:rsidRPr="00337907">
        <w:rPr>
          <w:rFonts w:ascii="Arial" w:hAnsi="Arial" w:cs="Arial"/>
          <w:sz w:val="22"/>
          <w:szCs w:val="22"/>
        </w:rPr>
        <w:t>Spain’s experience during COVID-19 illustrates that the effectiveness of pandemic response depends on a combination of healthcare system structure, leadership style, and administrative capacity. Initial centralisation allowed rapid action under high uncertainty, while subsequent decentralisation enabled tailored regional responses, reducing inequalities and enhancing effectiveness. Leadership that adapts to evolving circumstances</w:t>
      </w:r>
      <w:r w:rsidR="00337907" w:rsidRPr="001E2968">
        <w:rPr>
          <w:rFonts w:ascii="Arial" w:hAnsi="Arial" w:cs="Arial"/>
          <w:sz w:val="22"/>
          <w:szCs w:val="22"/>
        </w:rPr>
        <w:t xml:space="preserve"> </w:t>
      </w:r>
      <w:r w:rsidR="00337907" w:rsidRPr="00337907">
        <w:rPr>
          <w:rFonts w:ascii="Arial" w:hAnsi="Arial" w:cs="Arial"/>
          <w:sz w:val="22"/>
          <w:szCs w:val="22"/>
        </w:rPr>
        <w:t>integrating autocratic decisiveness with situational flexibility</w:t>
      </w:r>
      <w:r w:rsidR="00337907" w:rsidRPr="001E2968">
        <w:rPr>
          <w:rFonts w:ascii="Arial" w:hAnsi="Arial" w:cs="Arial"/>
          <w:sz w:val="22"/>
          <w:szCs w:val="22"/>
        </w:rPr>
        <w:t xml:space="preserve"> </w:t>
      </w:r>
      <w:r w:rsidR="00337907" w:rsidRPr="00337907">
        <w:rPr>
          <w:rFonts w:ascii="Arial" w:hAnsi="Arial" w:cs="Arial"/>
          <w:sz w:val="22"/>
          <w:szCs w:val="22"/>
        </w:rPr>
        <w:t>proved crucial. These insights provide valuable lessons for managing future health emergencies in decentralised systems.</w:t>
      </w:r>
    </w:p>
    <w:p w14:paraId="7199ACA9" w14:textId="77777777" w:rsidR="00337907" w:rsidRPr="001E2968" w:rsidRDefault="00337907" w:rsidP="001E2968">
      <w:pPr>
        <w:suppressAutoHyphens w:val="0"/>
        <w:spacing w:after="0" w:line="360" w:lineRule="auto"/>
        <w:jc w:val="both"/>
        <w:rPr>
          <w:rFonts w:ascii="Arial" w:hAnsi="Arial" w:cs="Arial"/>
          <w:sz w:val="22"/>
          <w:szCs w:val="22"/>
        </w:rPr>
      </w:pPr>
    </w:p>
    <w:p w14:paraId="618206FD" w14:textId="77777777" w:rsidR="00726C6C" w:rsidRPr="001E2968" w:rsidRDefault="00726C6C" w:rsidP="001E2968">
      <w:pPr>
        <w:spacing w:line="360" w:lineRule="auto"/>
        <w:jc w:val="both"/>
        <w:rPr>
          <w:rFonts w:ascii="Arial" w:hAnsi="Arial" w:cs="Arial"/>
          <w:b/>
          <w:bCs/>
          <w:sz w:val="22"/>
          <w:szCs w:val="22"/>
        </w:rPr>
      </w:pPr>
    </w:p>
    <w:p w14:paraId="54530D52" w14:textId="77777777" w:rsidR="00726C6C" w:rsidRPr="001E2968" w:rsidRDefault="00726C6C" w:rsidP="001E2968">
      <w:pPr>
        <w:pageBreakBefore/>
        <w:spacing w:line="360" w:lineRule="auto"/>
        <w:jc w:val="both"/>
        <w:rPr>
          <w:rFonts w:ascii="Arial" w:hAnsi="Arial" w:cs="Arial"/>
          <w:b/>
          <w:bCs/>
          <w:sz w:val="22"/>
          <w:szCs w:val="22"/>
        </w:rPr>
      </w:pPr>
    </w:p>
    <w:p w14:paraId="1132F4D5" w14:textId="77777777" w:rsidR="00726C6C" w:rsidRPr="001E2968" w:rsidRDefault="00F31BDD" w:rsidP="001E2968">
      <w:pPr>
        <w:spacing w:line="360" w:lineRule="auto"/>
        <w:jc w:val="both"/>
        <w:rPr>
          <w:rFonts w:ascii="Arial" w:hAnsi="Arial" w:cs="Arial"/>
          <w:b/>
          <w:bCs/>
          <w:sz w:val="22"/>
          <w:szCs w:val="22"/>
        </w:rPr>
      </w:pPr>
      <w:r w:rsidRPr="001E2968">
        <w:rPr>
          <w:rFonts w:ascii="Arial" w:hAnsi="Arial" w:cs="Arial"/>
          <w:b/>
          <w:bCs/>
          <w:sz w:val="22"/>
          <w:szCs w:val="22"/>
        </w:rPr>
        <w:t>Canada: Healthcare System and COVID-19 Response</w:t>
      </w:r>
    </w:p>
    <w:p w14:paraId="6AE75463" w14:textId="140F3BCC" w:rsidR="00726C6C" w:rsidRPr="001E2968" w:rsidRDefault="00F31BDD" w:rsidP="001E2968">
      <w:pPr>
        <w:suppressAutoHyphens w:val="0"/>
        <w:spacing w:line="360" w:lineRule="auto"/>
        <w:jc w:val="both"/>
        <w:rPr>
          <w:rFonts w:ascii="Arial" w:hAnsi="Arial" w:cs="Arial"/>
          <w:b/>
          <w:bCs/>
          <w:sz w:val="22"/>
          <w:szCs w:val="22"/>
        </w:rPr>
      </w:pPr>
      <w:r w:rsidRPr="001E2968">
        <w:rPr>
          <w:rFonts w:ascii="Arial" w:hAnsi="Arial" w:cs="Arial"/>
          <w:b/>
          <w:bCs/>
          <w:sz w:val="22"/>
          <w:szCs w:val="22"/>
        </w:rPr>
        <w:t>General Overview</w:t>
      </w:r>
    </w:p>
    <w:p w14:paraId="479D3EF8" w14:textId="32DD2387" w:rsidR="00726C6C" w:rsidRPr="001E2968" w:rsidRDefault="00D106FD" w:rsidP="001E2968">
      <w:pPr>
        <w:spacing w:line="360" w:lineRule="auto"/>
        <w:jc w:val="both"/>
        <w:rPr>
          <w:rFonts w:ascii="Arial" w:hAnsi="Arial" w:cs="Arial"/>
          <w:sz w:val="22"/>
          <w:szCs w:val="22"/>
        </w:rPr>
      </w:pPr>
      <w:r w:rsidRPr="001E2968">
        <w:rPr>
          <w:rFonts w:ascii="Arial" w:hAnsi="Arial" w:cs="Arial"/>
          <w:sz w:val="22"/>
          <w:szCs w:val="22"/>
        </w:rPr>
        <w:t xml:space="preserve">       </w:t>
      </w:r>
      <w:r w:rsidR="00965575" w:rsidRPr="001E2968">
        <w:rPr>
          <w:rFonts w:ascii="Arial" w:hAnsi="Arial" w:cs="Arial"/>
          <w:sz w:val="22"/>
          <w:szCs w:val="22"/>
        </w:rPr>
        <w:t>Canada is the second-largest country in the world, with a population of about 42.5 million. Its capital is Ottawa, and it is a constitutional monarchy led by Prime Minister Mark Carney and King Charles III. Officially bilingual, Canada has strong cultural diversity and plays an active role in global organisations. Major cities like Toronto, Montreal, and Vancouver are key economic and cultural centres.</w:t>
      </w:r>
      <w:r w:rsidR="00F31BDD" w:rsidRPr="001E2968">
        <w:rPr>
          <w:rFonts w:ascii="Arial" w:hAnsi="Arial" w:cs="Arial"/>
          <w:sz w:val="22"/>
          <w:szCs w:val="22"/>
        </w:rPr>
        <w:t xml:space="preserve"> (Nicholson, 2025).</w:t>
      </w:r>
    </w:p>
    <w:p w14:paraId="7685843C" w14:textId="77777777" w:rsidR="00726C6C" w:rsidRPr="001E2968" w:rsidRDefault="00F31BDD" w:rsidP="001E2968">
      <w:pPr>
        <w:spacing w:line="360" w:lineRule="auto"/>
        <w:jc w:val="both"/>
        <w:rPr>
          <w:rFonts w:ascii="Arial" w:hAnsi="Arial" w:cs="Arial"/>
          <w:b/>
          <w:bCs/>
          <w:sz w:val="22"/>
          <w:szCs w:val="22"/>
        </w:rPr>
      </w:pPr>
      <w:r w:rsidRPr="001E2968">
        <w:rPr>
          <w:rFonts w:ascii="Arial" w:hAnsi="Arial" w:cs="Arial"/>
          <w:b/>
          <w:bCs/>
          <w:sz w:val="22"/>
          <w:szCs w:val="22"/>
        </w:rPr>
        <w:t>Canada’s Medicare System</w:t>
      </w:r>
    </w:p>
    <w:p w14:paraId="6B837A4E" w14:textId="1ADD7B39" w:rsidR="00D940D6" w:rsidRPr="001E2968" w:rsidRDefault="00D106FD"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 xml:space="preserve">The Canadian health system, Medicare is a publicly funded, universal, and decentralised model, primarily administered by the provinces and territories, with federal co-funding targeted at specific populations, including Indigenous peoples, the armed forces, veterans, and </w:t>
      </w:r>
      <w:r w:rsidR="00B30E8E" w:rsidRPr="001E2968">
        <w:rPr>
          <w:rFonts w:ascii="Arial" w:hAnsi="Arial" w:cs="Arial"/>
          <w:sz w:val="22"/>
          <w:szCs w:val="22"/>
        </w:rPr>
        <w:t xml:space="preserve">refugees (Allin et al., 2020) </w:t>
      </w:r>
      <w:r w:rsidR="00B30E8E" w:rsidRPr="001E2968">
        <w:rPr>
          <w:rFonts w:ascii="Arial" w:eastAsia="Times New Roman" w:hAnsi="Arial" w:cs="Arial"/>
          <w:kern w:val="0"/>
          <w:sz w:val="22"/>
          <w:szCs w:val="22"/>
          <w:lang w:eastAsia="zh-CN"/>
        </w:rPr>
        <w:t>(Martin et al., 2018)</w:t>
      </w:r>
      <w:r w:rsidR="00F31BDD" w:rsidRPr="001E2968">
        <w:rPr>
          <w:rFonts w:ascii="Arial" w:hAnsi="Arial" w:cs="Arial"/>
          <w:sz w:val="22"/>
          <w:szCs w:val="22"/>
        </w:rPr>
        <w:t>. Each jurisdiction manages its own health plan, providing comprehensive, free access to essential medical and hospital services, while supplementary services, such as outpatient pharmaceuticals and dental care, rely on private insurance or targeted public programmes</w:t>
      </w:r>
      <w:r w:rsidR="006E55F0" w:rsidRPr="001E2968">
        <w:rPr>
          <w:rFonts w:ascii="Arial" w:hAnsi="Arial" w:cs="Arial"/>
          <w:sz w:val="22"/>
          <w:szCs w:val="22"/>
        </w:rPr>
        <w:t xml:space="preserve">(Allin et al., 2020) </w:t>
      </w:r>
      <w:r w:rsidR="006E55F0" w:rsidRPr="001E2968">
        <w:rPr>
          <w:rFonts w:ascii="Arial" w:eastAsia="Times New Roman" w:hAnsi="Arial" w:cs="Arial"/>
          <w:kern w:val="0"/>
          <w:sz w:val="22"/>
          <w:szCs w:val="22"/>
          <w:lang w:eastAsia="zh-CN"/>
        </w:rPr>
        <w:t>(Martin et al</w:t>
      </w:r>
      <w:r w:rsidR="006E55F0" w:rsidRPr="001E2968">
        <w:rPr>
          <w:rFonts w:ascii="Arial" w:eastAsia="Times New Roman" w:hAnsi="Arial" w:cs="Arial"/>
          <w:i/>
          <w:iCs/>
          <w:kern w:val="0"/>
          <w:sz w:val="22"/>
          <w:szCs w:val="22"/>
          <w:lang w:eastAsia="zh-CN"/>
        </w:rPr>
        <w:t>.</w:t>
      </w:r>
      <w:r w:rsidR="006E55F0" w:rsidRPr="001E2968">
        <w:rPr>
          <w:rFonts w:ascii="Arial" w:eastAsia="Times New Roman" w:hAnsi="Arial" w:cs="Arial"/>
          <w:kern w:val="0"/>
          <w:sz w:val="22"/>
          <w:szCs w:val="22"/>
          <w:lang w:eastAsia="zh-CN"/>
        </w:rPr>
        <w:t>, 2018)</w:t>
      </w:r>
      <w:r w:rsidR="00F31BDD" w:rsidRPr="001E2968">
        <w:rPr>
          <w:rFonts w:ascii="Arial" w:hAnsi="Arial" w:cs="Arial"/>
          <w:sz w:val="22"/>
          <w:szCs w:val="22"/>
        </w:rPr>
        <w:t xml:space="preserve">. </w:t>
      </w:r>
    </w:p>
    <w:p w14:paraId="1D91E4F3" w14:textId="3AC3DCAD" w:rsidR="00D940D6" w:rsidRPr="001E2968" w:rsidRDefault="00D106FD"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 xml:space="preserve">Healthcare provision is characterised by professional autonomy, with family physicians and specialists regulated by provincial bodies. Hospitals operate </w:t>
      </w:r>
      <w:r w:rsidR="000A08AC" w:rsidRPr="001E2968">
        <w:rPr>
          <w:rFonts w:ascii="Arial" w:hAnsi="Arial" w:cs="Arial"/>
          <w:sz w:val="22"/>
          <w:szCs w:val="22"/>
        </w:rPr>
        <w:t>as</w:t>
      </w:r>
      <w:r w:rsidR="00F31BDD" w:rsidRPr="001E2968">
        <w:rPr>
          <w:rFonts w:ascii="Arial" w:hAnsi="Arial" w:cs="Arial"/>
          <w:sz w:val="22"/>
          <w:szCs w:val="22"/>
        </w:rPr>
        <w:t xml:space="preserve"> public or non-profit institutions under global budgets and negotiated funding mechanisms, while primary care and community health initiatives aim to improve access and service coordination. Mental health and long-term care are partially integrated into the system, reflecting a mixed public-private funding approach, with notable disparities in access between Indigenous and non-Indigenous populations</w:t>
      </w:r>
      <w:r w:rsidR="006E55F0" w:rsidRPr="001E2968">
        <w:rPr>
          <w:rFonts w:ascii="Arial" w:hAnsi="Arial" w:cs="Arial"/>
          <w:sz w:val="22"/>
          <w:szCs w:val="22"/>
        </w:rPr>
        <w:t xml:space="preserve">(Allin et al., 2020) </w:t>
      </w:r>
      <w:r w:rsidR="006E55F0" w:rsidRPr="001E2968">
        <w:rPr>
          <w:rFonts w:ascii="Arial" w:eastAsia="Times New Roman" w:hAnsi="Arial" w:cs="Arial"/>
          <w:kern w:val="0"/>
          <w:sz w:val="22"/>
          <w:szCs w:val="22"/>
          <w:lang w:eastAsia="zh-CN"/>
        </w:rPr>
        <w:t>(Martin et al</w:t>
      </w:r>
      <w:r w:rsidR="006E55F0" w:rsidRPr="001E2968">
        <w:rPr>
          <w:rFonts w:ascii="Arial" w:eastAsia="Times New Roman" w:hAnsi="Arial" w:cs="Arial"/>
          <w:i/>
          <w:iCs/>
          <w:kern w:val="0"/>
          <w:sz w:val="22"/>
          <w:szCs w:val="22"/>
          <w:lang w:eastAsia="zh-CN"/>
        </w:rPr>
        <w:t>.</w:t>
      </w:r>
      <w:r w:rsidR="006E55F0" w:rsidRPr="001E2968">
        <w:rPr>
          <w:rFonts w:ascii="Arial" w:eastAsia="Times New Roman" w:hAnsi="Arial" w:cs="Arial"/>
          <w:kern w:val="0"/>
          <w:sz w:val="22"/>
          <w:szCs w:val="22"/>
          <w:lang w:eastAsia="zh-CN"/>
        </w:rPr>
        <w:t>, 2018)</w:t>
      </w:r>
      <w:r w:rsidR="00F31BDD" w:rsidRPr="001E2968">
        <w:rPr>
          <w:rFonts w:ascii="Arial" w:hAnsi="Arial" w:cs="Arial"/>
          <w:sz w:val="22"/>
          <w:szCs w:val="22"/>
        </w:rPr>
        <w:t>.</w:t>
      </w:r>
    </w:p>
    <w:p w14:paraId="084A2880" w14:textId="387DEC85" w:rsidR="006C7D96" w:rsidRPr="001E2968" w:rsidRDefault="00F31BDD"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D106FD" w:rsidRPr="001E2968">
        <w:rPr>
          <w:rFonts w:ascii="Arial" w:hAnsi="Arial" w:cs="Arial"/>
          <w:sz w:val="22"/>
          <w:szCs w:val="22"/>
        </w:rPr>
        <w:t xml:space="preserve">   </w:t>
      </w:r>
      <w:r w:rsidRPr="001E2968">
        <w:rPr>
          <w:rFonts w:ascii="Arial" w:hAnsi="Arial" w:cs="Arial"/>
          <w:sz w:val="22"/>
          <w:szCs w:val="22"/>
        </w:rPr>
        <w:t>Canada employs cost-containment strategies including negotiated fee schedules, health technology assessments, and pharmaceutical price regulation, complemented by initiatives to improve quality, such as performance monitoring and limited financial incentives. Recent reforms have sought greater administrative centralisation and integration of services for patients with complex needs, alongside initiatives to develop a national prescription drug coverage framework. Despite the system’s success in ensuring universal access, challenges remain regarding the variability of supplementary service coverage, limited interoperability of electronic health records, and persistent health inequities, necessitating ongoing evaluation and policy innovation (Allin et al., 2020)</w:t>
      </w:r>
      <w:r w:rsidR="00B30E8E" w:rsidRPr="001E2968">
        <w:rPr>
          <w:rFonts w:ascii="Arial" w:hAnsi="Arial" w:cs="Arial"/>
          <w:sz w:val="22"/>
          <w:szCs w:val="22"/>
        </w:rPr>
        <w:t xml:space="preserve"> </w:t>
      </w:r>
      <w:r w:rsidR="00B30E8E" w:rsidRPr="001E2968">
        <w:rPr>
          <w:rFonts w:ascii="Arial" w:eastAsia="Times New Roman" w:hAnsi="Arial" w:cs="Arial"/>
          <w:kern w:val="0"/>
          <w:sz w:val="22"/>
          <w:szCs w:val="22"/>
          <w:lang w:eastAsia="zh-CN"/>
        </w:rPr>
        <w:t>(Martin et al</w:t>
      </w:r>
      <w:r w:rsidR="00B30E8E" w:rsidRPr="001E2968">
        <w:rPr>
          <w:rFonts w:ascii="Arial" w:eastAsia="Times New Roman" w:hAnsi="Arial" w:cs="Arial"/>
          <w:i/>
          <w:iCs/>
          <w:kern w:val="0"/>
          <w:sz w:val="22"/>
          <w:szCs w:val="22"/>
          <w:lang w:eastAsia="zh-CN"/>
        </w:rPr>
        <w:t>.</w:t>
      </w:r>
      <w:r w:rsidR="00B30E8E" w:rsidRPr="001E2968">
        <w:rPr>
          <w:rFonts w:ascii="Arial" w:eastAsia="Times New Roman" w:hAnsi="Arial" w:cs="Arial"/>
          <w:kern w:val="0"/>
          <w:sz w:val="22"/>
          <w:szCs w:val="22"/>
          <w:lang w:eastAsia="zh-CN"/>
        </w:rPr>
        <w:t>, 2018)</w:t>
      </w:r>
      <w:r w:rsidRPr="001E2968">
        <w:rPr>
          <w:rFonts w:ascii="Arial" w:hAnsi="Arial" w:cs="Arial"/>
          <w:sz w:val="22"/>
          <w:szCs w:val="22"/>
        </w:rPr>
        <w:t>.</w:t>
      </w:r>
    </w:p>
    <w:p w14:paraId="52ECDCFC" w14:textId="77777777" w:rsidR="00726C6C" w:rsidRPr="001E2968" w:rsidRDefault="00726C6C" w:rsidP="001E2968">
      <w:pPr>
        <w:spacing w:line="360" w:lineRule="auto"/>
        <w:jc w:val="both"/>
        <w:rPr>
          <w:rFonts w:ascii="Arial" w:hAnsi="Arial" w:cs="Arial"/>
          <w:sz w:val="22"/>
          <w:szCs w:val="22"/>
        </w:rPr>
      </w:pPr>
    </w:p>
    <w:p w14:paraId="63E695AC" w14:textId="77777777" w:rsidR="00726C6C" w:rsidRPr="001E2968" w:rsidRDefault="00F31BDD" w:rsidP="001E2968">
      <w:pPr>
        <w:spacing w:line="360" w:lineRule="auto"/>
        <w:jc w:val="both"/>
        <w:rPr>
          <w:rFonts w:ascii="Arial" w:hAnsi="Arial" w:cs="Arial"/>
          <w:b/>
          <w:bCs/>
          <w:sz w:val="22"/>
          <w:szCs w:val="22"/>
        </w:rPr>
      </w:pPr>
      <w:r w:rsidRPr="001E2968">
        <w:rPr>
          <w:rFonts w:ascii="Arial" w:hAnsi="Arial" w:cs="Arial"/>
          <w:b/>
          <w:bCs/>
          <w:sz w:val="22"/>
          <w:szCs w:val="22"/>
        </w:rPr>
        <w:lastRenderedPageBreak/>
        <w:t>Canada’s COVID-19 Response: Federalism, Regional Variation, and Lessons for Public Health</w:t>
      </w:r>
    </w:p>
    <w:p w14:paraId="1F4F8680" w14:textId="46454933" w:rsidR="00337907" w:rsidRPr="00337907" w:rsidRDefault="006E55F0" w:rsidP="001E2968">
      <w:pPr>
        <w:suppressAutoHyphens w:val="0"/>
        <w:spacing w:after="0" w:line="360" w:lineRule="auto"/>
        <w:contextualSpacing/>
        <w:jc w:val="both"/>
        <w:rPr>
          <w:rFonts w:ascii="Arial" w:hAnsi="Arial" w:cs="Arial"/>
          <w:sz w:val="22"/>
          <w:szCs w:val="22"/>
        </w:rPr>
      </w:pPr>
      <w:r w:rsidRPr="001E2968">
        <w:rPr>
          <w:rFonts w:ascii="Arial" w:hAnsi="Arial" w:cs="Arial"/>
          <w:sz w:val="22"/>
          <w:szCs w:val="22"/>
        </w:rPr>
        <w:t xml:space="preserve">        </w:t>
      </w:r>
      <w:r w:rsidR="00337907" w:rsidRPr="00337907">
        <w:rPr>
          <w:rFonts w:ascii="Arial" w:hAnsi="Arial" w:cs="Arial"/>
          <w:sz w:val="22"/>
          <w:szCs w:val="22"/>
        </w:rPr>
        <w:t>Canada’s response to the COVID-19 pandemic was strongly shaped by its decentralised federal system, in which healthcare is primarily the responsibility of the provinces and territories. While this system allowed flexibility and adaptation to local conditions, it also created fragmentation, inconsistency, and coordination challenges (Allin et al., 2021).</w:t>
      </w:r>
      <w:r w:rsidRPr="001E2968">
        <w:rPr>
          <w:rFonts w:ascii="Arial" w:hAnsi="Arial" w:cs="Arial"/>
          <w:sz w:val="22"/>
          <w:szCs w:val="22"/>
        </w:rPr>
        <w:t xml:space="preserve"> </w:t>
      </w:r>
      <w:r w:rsidR="00337907" w:rsidRPr="00337907">
        <w:rPr>
          <w:rFonts w:ascii="Arial" w:hAnsi="Arial" w:cs="Arial"/>
          <w:sz w:val="22"/>
          <w:szCs w:val="22"/>
        </w:rPr>
        <w:t>During the first wave, all provinces declared public health emergencies and implemented lockdowns. Post-lockdown, substantial regional variation emerged in mask mandates, school closures, mobility restrictions, and economic support. Smaller provinces often allowed greater freedom of movement, whereas densely populated provinces like Ontario and Quebec implemented stricter measures. Regional zoning and tiered systems sometimes delayed interventions, causing public confusion (Allin et al., 2021</w:t>
      </w:r>
      <w:r w:rsidR="00337907" w:rsidRPr="001E2968">
        <w:rPr>
          <w:rFonts w:ascii="Arial" w:hAnsi="Arial" w:cs="Arial"/>
          <w:sz w:val="22"/>
          <w:szCs w:val="22"/>
        </w:rPr>
        <w:t>) (</w:t>
      </w:r>
      <w:r w:rsidR="00337907" w:rsidRPr="00337907">
        <w:rPr>
          <w:rFonts w:ascii="Arial" w:hAnsi="Arial" w:cs="Arial"/>
          <w:sz w:val="22"/>
          <w:szCs w:val="22"/>
        </w:rPr>
        <w:t xml:space="preserve"> Cameron-Blake et al., 2021).</w:t>
      </w:r>
    </w:p>
    <w:p w14:paraId="48E796F2" w14:textId="20447363" w:rsidR="00337907" w:rsidRPr="00337907" w:rsidRDefault="006E55F0" w:rsidP="001E2968">
      <w:pPr>
        <w:suppressAutoHyphens w:val="0"/>
        <w:spacing w:after="0" w:line="360" w:lineRule="auto"/>
        <w:contextualSpacing/>
        <w:jc w:val="both"/>
        <w:rPr>
          <w:rFonts w:ascii="Arial" w:hAnsi="Arial" w:cs="Arial"/>
          <w:sz w:val="22"/>
          <w:szCs w:val="22"/>
        </w:rPr>
      </w:pPr>
      <w:r w:rsidRPr="001E2968">
        <w:rPr>
          <w:rFonts w:ascii="Arial" w:hAnsi="Arial" w:cs="Arial"/>
          <w:sz w:val="22"/>
          <w:szCs w:val="22"/>
        </w:rPr>
        <w:t xml:space="preserve">      </w:t>
      </w:r>
      <w:r w:rsidR="00337907" w:rsidRPr="00337907">
        <w:rPr>
          <w:rFonts w:ascii="Arial" w:hAnsi="Arial" w:cs="Arial"/>
          <w:sz w:val="22"/>
          <w:szCs w:val="22"/>
        </w:rPr>
        <w:t>Vulnerable populations were disproportionately affected, particularly residents of long-term care (LTC) facilities and Indigenous or remote communities with limited healthcare access. The federal government provided economic support, vaccine procurement, and direct intervention in LTC facilities, deploying the Canadian Armed Forces to assist Ontario and Quebec. It also offered technical guidance, emergency funding, and support for testing, contact tracing, isolation, and other public health measures. However, the lack of a fully coordinated national strategy for travel restrictions, vaccine distribution, and testing limited overall effectiveness. Communication strategies varied between provinces, influencing public adherence (Allin et al., 202</w:t>
      </w:r>
      <w:r w:rsidR="00337907" w:rsidRPr="001E2968">
        <w:rPr>
          <w:rFonts w:ascii="Arial" w:hAnsi="Arial" w:cs="Arial"/>
          <w:sz w:val="22"/>
          <w:szCs w:val="22"/>
        </w:rPr>
        <w:t>) (</w:t>
      </w:r>
      <w:r w:rsidR="00337907" w:rsidRPr="00337907">
        <w:rPr>
          <w:rFonts w:ascii="Arial" w:hAnsi="Arial" w:cs="Arial"/>
          <w:sz w:val="22"/>
          <w:szCs w:val="22"/>
        </w:rPr>
        <w:t>Cameron-Blake et al., 2021).</w:t>
      </w:r>
    </w:p>
    <w:p w14:paraId="2E38644B" w14:textId="1D6E5D57" w:rsidR="00CE0D07" w:rsidRPr="001E2968" w:rsidRDefault="006E55F0" w:rsidP="001E2968">
      <w:pPr>
        <w:suppressAutoHyphens w:val="0"/>
        <w:spacing w:after="0" w:line="360" w:lineRule="auto"/>
        <w:contextualSpacing/>
        <w:jc w:val="both"/>
        <w:rPr>
          <w:rFonts w:ascii="Arial" w:hAnsi="Arial" w:cs="Arial"/>
          <w:sz w:val="22"/>
          <w:szCs w:val="22"/>
        </w:rPr>
      </w:pPr>
      <w:r w:rsidRPr="001E2968">
        <w:rPr>
          <w:rFonts w:ascii="Arial" w:hAnsi="Arial" w:cs="Arial"/>
          <w:sz w:val="22"/>
          <w:szCs w:val="22"/>
        </w:rPr>
        <w:t xml:space="preserve">       </w:t>
      </w:r>
      <w:r w:rsidR="00337907" w:rsidRPr="00337907">
        <w:rPr>
          <w:rFonts w:ascii="Arial" w:hAnsi="Arial" w:cs="Arial"/>
          <w:sz w:val="22"/>
          <w:szCs w:val="22"/>
        </w:rPr>
        <w:t>Canada’s experience demonstrates that federalism provides flexibility and regional adaptation but highlights the need for clear national coordination, standardised LTC oversight, integrated data systems, and transparent communication. When compared to Spain, which initially implemented centralised nationwide lockdowns under a state of alarm, Canada’s decentralised approach allowed regional tailoring but led to slower decision-making and inconsistent outcomes. Whereas Spain’s early centralisation enabled rapid containment, Canada relied heavily on local authorities, demonstrating that decentralisation can be advantageous for regional responsiveness but may impede national uniformity during fast-moving crises.</w:t>
      </w:r>
    </w:p>
    <w:p w14:paraId="0D4C8891" w14:textId="77777777" w:rsidR="00CE0D07" w:rsidRPr="001E2968" w:rsidRDefault="00CE0D07" w:rsidP="001E2968">
      <w:pPr>
        <w:suppressAutoHyphens w:val="0"/>
        <w:spacing w:line="360" w:lineRule="auto"/>
        <w:jc w:val="both"/>
        <w:rPr>
          <w:rFonts w:ascii="Arial" w:hAnsi="Arial" w:cs="Arial"/>
          <w:b/>
          <w:bCs/>
          <w:sz w:val="22"/>
          <w:szCs w:val="22"/>
        </w:rPr>
      </w:pPr>
    </w:p>
    <w:p w14:paraId="041CA2FF" w14:textId="77777777" w:rsidR="005C6B22" w:rsidRPr="001E2968" w:rsidRDefault="005C6B22" w:rsidP="001E2968">
      <w:pPr>
        <w:suppressAutoHyphens w:val="0"/>
        <w:spacing w:line="360" w:lineRule="auto"/>
        <w:jc w:val="both"/>
        <w:rPr>
          <w:rFonts w:ascii="Arial" w:hAnsi="Arial" w:cs="Arial"/>
          <w:b/>
          <w:bCs/>
          <w:sz w:val="22"/>
          <w:szCs w:val="22"/>
        </w:rPr>
      </w:pPr>
    </w:p>
    <w:p w14:paraId="48DCCD23" w14:textId="77777777" w:rsidR="005C6B22" w:rsidRPr="001E2968" w:rsidRDefault="005C6B22" w:rsidP="001E2968">
      <w:pPr>
        <w:suppressAutoHyphens w:val="0"/>
        <w:spacing w:line="360" w:lineRule="auto"/>
        <w:jc w:val="both"/>
        <w:rPr>
          <w:rFonts w:ascii="Arial" w:hAnsi="Arial" w:cs="Arial"/>
          <w:b/>
          <w:bCs/>
          <w:sz w:val="22"/>
          <w:szCs w:val="22"/>
        </w:rPr>
      </w:pPr>
    </w:p>
    <w:p w14:paraId="4AE112EE" w14:textId="77777777" w:rsidR="005C6B22" w:rsidRPr="001E2968" w:rsidRDefault="005C6B22" w:rsidP="001E2968">
      <w:pPr>
        <w:suppressAutoHyphens w:val="0"/>
        <w:spacing w:line="360" w:lineRule="auto"/>
        <w:jc w:val="both"/>
        <w:rPr>
          <w:rFonts w:ascii="Arial" w:hAnsi="Arial" w:cs="Arial"/>
          <w:b/>
          <w:bCs/>
          <w:sz w:val="22"/>
          <w:szCs w:val="22"/>
        </w:rPr>
      </w:pPr>
    </w:p>
    <w:p w14:paraId="51F54AD7" w14:textId="77777777" w:rsidR="00D940D6" w:rsidRPr="001E2968" w:rsidRDefault="00D940D6" w:rsidP="001E2968">
      <w:pPr>
        <w:suppressAutoHyphens w:val="0"/>
        <w:spacing w:line="360" w:lineRule="auto"/>
        <w:jc w:val="both"/>
        <w:rPr>
          <w:rFonts w:ascii="Arial" w:hAnsi="Arial" w:cs="Arial"/>
          <w:b/>
          <w:bCs/>
          <w:sz w:val="22"/>
          <w:szCs w:val="22"/>
        </w:rPr>
      </w:pPr>
    </w:p>
    <w:p w14:paraId="334F4FDE" w14:textId="77777777" w:rsidR="00965575" w:rsidRPr="001E2968" w:rsidRDefault="00965575" w:rsidP="001E2968">
      <w:pPr>
        <w:suppressAutoHyphens w:val="0"/>
        <w:spacing w:line="360" w:lineRule="auto"/>
        <w:jc w:val="both"/>
        <w:rPr>
          <w:rFonts w:ascii="Arial" w:hAnsi="Arial" w:cs="Arial"/>
          <w:b/>
          <w:bCs/>
          <w:sz w:val="22"/>
          <w:szCs w:val="22"/>
        </w:rPr>
      </w:pPr>
    </w:p>
    <w:p w14:paraId="52C9C6EA" w14:textId="01090444" w:rsidR="00726C6C" w:rsidRPr="001E2968" w:rsidRDefault="00F31BDD" w:rsidP="001E2968">
      <w:pPr>
        <w:suppressAutoHyphens w:val="0"/>
        <w:spacing w:line="360" w:lineRule="auto"/>
        <w:jc w:val="both"/>
        <w:rPr>
          <w:rFonts w:ascii="Arial" w:hAnsi="Arial" w:cs="Arial"/>
          <w:b/>
          <w:bCs/>
          <w:sz w:val="22"/>
          <w:szCs w:val="22"/>
        </w:rPr>
      </w:pPr>
      <w:r w:rsidRPr="001E2968">
        <w:rPr>
          <w:rFonts w:ascii="Arial" w:hAnsi="Arial" w:cs="Arial"/>
          <w:b/>
          <w:bCs/>
          <w:sz w:val="22"/>
          <w:szCs w:val="22"/>
        </w:rPr>
        <w:t>Canadian COVID-19 Response: Decentralised Approach with Partial Centralisation</w:t>
      </w:r>
    </w:p>
    <w:p w14:paraId="7BA9B05F" w14:textId="57D48D40" w:rsidR="00CE0D07" w:rsidRPr="001E2968" w:rsidRDefault="00CE0D07" w:rsidP="001E2968">
      <w:pPr>
        <w:suppressAutoHyphens w:val="0"/>
        <w:spacing w:after="0" w:line="360" w:lineRule="auto"/>
        <w:jc w:val="both"/>
        <w:rPr>
          <w:rFonts w:ascii="Arial" w:hAnsi="Arial" w:cs="Arial"/>
          <w:b/>
          <w:bCs/>
          <w:sz w:val="22"/>
          <w:szCs w:val="22"/>
        </w:rPr>
      </w:pPr>
      <w:r w:rsidRPr="001E2968">
        <w:rPr>
          <w:rFonts w:ascii="Arial" w:hAnsi="Arial" w:cs="Arial"/>
          <w:b/>
          <w:bCs/>
          <w:sz w:val="22"/>
          <w:szCs w:val="22"/>
        </w:rPr>
        <w:t>Decentralised model</w:t>
      </w:r>
    </w:p>
    <w:p w14:paraId="5FA7DB9B" w14:textId="6D4BAE8A" w:rsidR="00CE0D07" w:rsidRPr="001E2968" w:rsidRDefault="006E55F0" w:rsidP="001E2968">
      <w:pPr>
        <w:suppressAutoHyphens w:val="0"/>
        <w:spacing w:line="360" w:lineRule="auto"/>
        <w:jc w:val="both"/>
        <w:rPr>
          <w:rFonts w:ascii="Arial" w:eastAsia="Times New Roman" w:hAnsi="Arial" w:cs="Arial"/>
          <w:kern w:val="0"/>
          <w:sz w:val="22"/>
          <w:szCs w:val="22"/>
          <w:lang w:eastAsia="zh-CN"/>
        </w:rPr>
      </w:pPr>
      <w:r w:rsidRPr="001E2968">
        <w:rPr>
          <w:rFonts w:ascii="Arial" w:hAnsi="Arial" w:cs="Arial"/>
          <w:sz w:val="22"/>
          <w:szCs w:val="22"/>
        </w:rPr>
        <w:t xml:space="preserve">       </w:t>
      </w:r>
      <w:r w:rsidR="00CE0D07" w:rsidRPr="001E2968">
        <w:rPr>
          <w:rFonts w:ascii="Arial" w:hAnsi="Arial" w:cs="Arial"/>
          <w:sz w:val="22"/>
          <w:szCs w:val="22"/>
        </w:rPr>
        <w:t xml:space="preserve">Despite federal initiatives, the overall response remained </w:t>
      </w:r>
      <w:r w:rsidR="000A08AC" w:rsidRPr="001E2968">
        <w:rPr>
          <w:rFonts w:ascii="Arial" w:hAnsi="Arial" w:cs="Arial"/>
          <w:sz w:val="22"/>
          <w:szCs w:val="22"/>
        </w:rPr>
        <w:t>decentralised</w:t>
      </w:r>
      <w:r w:rsidR="00CE0D07" w:rsidRPr="001E2968">
        <w:rPr>
          <w:rFonts w:ascii="Arial" w:hAnsi="Arial" w:cs="Arial"/>
          <w:sz w:val="22"/>
          <w:szCs w:val="22"/>
        </w:rPr>
        <w:t>, with provinces and territories exercising considerable autonomy in implementing public health measures</w:t>
      </w:r>
      <w:r w:rsidR="007C6818" w:rsidRPr="001E2968">
        <w:rPr>
          <w:rFonts w:ascii="Arial" w:hAnsi="Arial" w:cs="Arial"/>
          <w:sz w:val="22"/>
          <w:szCs w:val="22"/>
        </w:rPr>
        <w:t xml:space="preserve"> </w:t>
      </w:r>
      <w:r w:rsidR="007C6818" w:rsidRPr="001E2968">
        <w:rPr>
          <w:rFonts w:ascii="Arial" w:eastAsia="Times New Roman" w:hAnsi="Arial" w:cs="Arial"/>
          <w:kern w:val="0"/>
          <w:sz w:val="22"/>
          <w:szCs w:val="22"/>
          <w:lang w:eastAsia="zh-CN"/>
        </w:rPr>
        <w:t>(Hansen and Cyr, 2020)</w:t>
      </w:r>
      <w:r w:rsidR="00CE0D07" w:rsidRPr="001E2968">
        <w:rPr>
          <w:rFonts w:ascii="Arial" w:hAnsi="Arial" w:cs="Arial"/>
          <w:sz w:val="22"/>
          <w:szCs w:val="22"/>
        </w:rPr>
        <w:t>. There was significant variation in the timing and scope of interventions, including travel recommendations, testing protocols, self-isolation guidelines, and social-distancing measures. The decentralised approach emphasised citizen education, voluntary compliance, and the strengthening of human and social capital, reflecting Canada’s focus on local decision-making and respect for individual rights. While decentralisation allowed responses to be tailored to regional epidemiology and capacity, it also contributed to inconsistencies and delays in the national response</w:t>
      </w:r>
      <w:r w:rsidR="007C6818" w:rsidRPr="001E2968">
        <w:rPr>
          <w:rFonts w:ascii="Arial" w:hAnsi="Arial" w:cs="Arial"/>
          <w:sz w:val="22"/>
          <w:szCs w:val="22"/>
        </w:rPr>
        <w:t xml:space="preserve"> </w:t>
      </w:r>
      <w:r w:rsidR="007C6818" w:rsidRPr="001E2968">
        <w:rPr>
          <w:rFonts w:ascii="Arial" w:eastAsia="Times New Roman" w:hAnsi="Arial" w:cs="Arial"/>
          <w:kern w:val="0"/>
          <w:sz w:val="22"/>
          <w:szCs w:val="22"/>
          <w:lang w:eastAsia="zh-CN"/>
        </w:rPr>
        <w:t>(Hansen and Cyr, 2020)</w:t>
      </w:r>
      <w:r w:rsidR="00CE0D07" w:rsidRPr="001E2968">
        <w:rPr>
          <w:rFonts w:ascii="Arial" w:hAnsi="Arial" w:cs="Arial"/>
          <w:sz w:val="22"/>
          <w:szCs w:val="22"/>
        </w:rPr>
        <w:t>.</w:t>
      </w:r>
    </w:p>
    <w:p w14:paraId="5075B9EA" w14:textId="2512E4FB" w:rsidR="00CE0D07" w:rsidRPr="001E2968" w:rsidRDefault="00CE0D07" w:rsidP="001E2968">
      <w:pPr>
        <w:suppressAutoHyphens w:val="0"/>
        <w:spacing w:after="0" w:line="360" w:lineRule="auto"/>
        <w:jc w:val="both"/>
        <w:rPr>
          <w:rFonts w:ascii="Arial" w:hAnsi="Arial" w:cs="Arial"/>
          <w:b/>
          <w:bCs/>
          <w:sz w:val="22"/>
          <w:szCs w:val="22"/>
        </w:rPr>
      </w:pPr>
      <w:r w:rsidRPr="001E2968">
        <w:rPr>
          <w:rFonts w:ascii="Arial" w:hAnsi="Arial" w:cs="Arial"/>
          <w:b/>
          <w:bCs/>
          <w:sz w:val="22"/>
          <w:szCs w:val="22"/>
        </w:rPr>
        <w:t>Advantages and Disadvantages</w:t>
      </w:r>
    </w:p>
    <w:p w14:paraId="73CAB1F2" w14:textId="79A784BC" w:rsidR="00965575" w:rsidRPr="001E2968" w:rsidRDefault="006E55F0"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CE0D07" w:rsidRPr="001E2968">
        <w:rPr>
          <w:rFonts w:ascii="Arial" w:hAnsi="Arial" w:cs="Arial"/>
          <w:sz w:val="22"/>
          <w:szCs w:val="22"/>
        </w:rPr>
        <w:t>The decentralised model offered certain advantages, including flexibility to adapt to local circumstances, accommodation of regional healthcare capacity, and the preservation of individual liberties</w:t>
      </w:r>
      <w:r w:rsidR="007C6818" w:rsidRPr="001E2968">
        <w:rPr>
          <w:rFonts w:ascii="Arial" w:hAnsi="Arial" w:cs="Arial"/>
          <w:sz w:val="22"/>
          <w:szCs w:val="22"/>
        </w:rPr>
        <w:t xml:space="preserve"> </w:t>
      </w:r>
      <w:r w:rsidR="007C6818" w:rsidRPr="001E2968">
        <w:rPr>
          <w:rFonts w:ascii="Arial" w:eastAsia="Times New Roman" w:hAnsi="Arial" w:cs="Arial"/>
          <w:kern w:val="0"/>
          <w:sz w:val="22"/>
          <w:szCs w:val="22"/>
          <w:lang w:eastAsia="zh-CN"/>
        </w:rPr>
        <w:t>(Hansen and Cyr, 2020)</w:t>
      </w:r>
      <w:r w:rsidR="00CE0D07" w:rsidRPr="001E2968">
        <w:rPr>
          <w:rFonts w:ascii="Arial" w:hAnsi="Arial" w:cs="Arial"/>
          <w:sz w:val="22"/>
          <w:szCs w:val="22"/>
        </w:rPr>
        <w:t xml:space="preserve">. These features allowed jurisdictions to design interventions aligned with the needs of their populations and the existing health-care infrastructure. However, the model also presented disadvantages, such as fragmented coordination, uneven testing and reporting, delayed containment measures, and inefficiencies in the mobilisation of resources. Early testing was </w:t>
      </w:r>
      <w:r w:rsidR="000A08AC" w:rsidRPr="001E2968">
        <w:rPr>
          <w:rFonts w:ascii="Arial" w:hAnsi="Arial" w:cs="Arial"/>
          <w:sz w:val="22"/>
          <w:szCs w:val="22"/>
        </w:rPr>
        <w:t>limited</w:t>
      </w:r>
      <w:r w:rsidR="00CE0D07" w:rsidRPr="001E2968">
        <w:rPr>
          <w:rFonts w:ascii="Arial" w:hAnsi="Arial" w:cs="Arial"/>
          <w:sz w:val="22"/>
          <w:szCs w:val="22"/>
        </w:rPr>
        <w:t xml:space="preserve"> to symptomatic individuals and priority groups, leading to under-detection of community transmission</w:t>
      </w:r>
      <w:r w:rsidRPr="001E2968">
        <w:rPr>
          <w:rFonts w:ascii="Arial" w:eastAsia="Times New Roman" w:hAnsi="Arial" w:cs="Arial"/>
          <w:kern w:val="0"/>
          <w:sz w:val="22"/>
          <w:szCs w:val="22"/>
          <w:lang w:eastAsia="zh-CN"/>
        </w:rPr>
        <w:t>(Hansen and Cyr, 2020)</w:t>
      </w:r>
      <w:r w:rsidR="00CE0D07" w:rsidRPr="001E2968">
        <w:rPr>
          <w:rFonts w:ascii="Arial" w:hAnsi="Arial" w:cs="Arial"/>
          <w:sz w:val="22"/>
          <w:szCs w:val="22"/>
        </w:rPr>
        <w:t>.</w:t>
      </w:r>
    </w:p>
    <w:p w14:paraId="46B26781" w14:textId="7CABDBC5" w:rsidR="00CE0D07" w:rsidRPr="001E2968" w:rsidRDefault="006E55F0"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CE0D07" w:rsidRPr="001E2968">
        <w:rPr>
          <w:rFonts w:ascii="Arial" w:hAnsi="Arial" w:cs="Arial"/>
          <w:sz w:val="22"/>
          <w:szCs w:val="22"/>
        </w:rPr>
        <w:t xml:space="preserve"> Disparities in policy implementation across provinces and territories highlighted the challenges faced by a decentralised system during a rapidly evolving pandemic.</w:t>
      </w:r>
      <w:r w:rsidR="007C6818" w:rsidRPr="001E2968">
        <w:rPr>
          <w:rFonts w:ascii="Arial" w:hAnsi="Arial" w:cs="Arial"/>
          <w:sz w:val="22"/>
          <w:szCs w:val="22"/>
        </w:rPr>
        <w:t xml:space="preserve"> </w:t>
      </w:r>
      <w:r w:rsidR="00CE0D07" w:rsidRPr="001E2968">
        <w:rPr>
          <w:rFonts w:ascii="Arial" w:hAnsi="Arial" w:cs="Arial"/>
          <w:sz w:val="22"/>
          <w:szCs w:val="22"/>
        </w:rPr>
        <w:t>Partial centralisation through federal action provided some benefits, including national guidance on border measures, emergency legislative support, and the coordination of strategic resources. Federal intervention ensured a minimum level of consistency nationwide and facilitated later national initiatives, such as the COVID Alert app and the distribution of</w:t>
      </w:r>
      <w:r w:rsidRPr="001E2968">
        <w:rPr>
          <w:rFonts w:ascii="Arial" w:hAnsi="Arial" w:cs="Arial"/>
          <w:sz w:val="22"/>
          <w:szCs w:val="22"/>
        </w:rPr>
        <w:t xml:space="preserve"> </w:t>
      </w:r>
      <w:r w:rsidR="00CE0D07" w:rsidRPr="001E2968">
        <w:rPr>
          <w:rFonts w:ascii="Arial" w:hAnsi="Arial" w:cs="Arial"/>
          <w:sz w:val="22"/>
          <w:szCs w:val="22"/>
        </w:rPr>
        <w:t>Personal Protective Equipment</w:t>
      </w:r>
      <w:r w:rsidRPr="001E2968">
        <w:rPr>
          <w:rFonts w:ascii="Arial" w:hAnsi="Arial" w:cs="Arial"/>
          <w:sz w:val="22"/>
          <w:szCs w:val="22"/>
        </w:rPr>
        <w:t xml:space="preserve"> (PPE)</w:t>
      </w:r>
      <w:r w:rsidR="00CE0D07" w:rsidRPr="001E2968">
        <w:rPr>
          <w:rFonts w:ascii="Arial" w:hAnsi="Arial" w:cs="Arial"/>
          <w:sz w:val="22"/>
          <w:szCs w:val="22"/>
        </w:rPr>
        <w:t>. However, limited central authority meant that provincial autonomy frequently resulted in asynchronous measures and varied outcomes</w:t>
      </w:r>
      <w:r w:rsidR="007C6818" w:rsidRPr="001E2968">
        <w:rPr>
          <w:rFonts w:ascii="Arial" w:hAnsi="Arial" w:cs="Arial"/>
          <w:sz w:val="22"/>
          <w:szCs w:val="22"/>
        </w:rPr>
        <w:t xml:space="preserve"> </w:t>
      </w:r>
      <w:r w:rsidR="007C6818" w:rsidRPr="001E2968">
        <w:rPr>
          <w:rFonts w:ascii="Arial" w:eastAsia="Times New Roman" w:hAnsi="Arial" w:cs="Arial"/>
          <w:kern w:val="0"/>
          <w:sz w:val="22"/>
          <w:szCs w:val="22"/>
          <w:lang w:eastAsia="zh-CN"/>
        </w:rPr>
        <w:t>(Hansen and Cyr, 2020)</w:t>
      </w:r>
      <w:r w:rsidR="00CE0D07" w:rsidRPr="001E2968">
        <w:rPr>
          <w:rFonts w:ascii="Arial" w:hAnsi="Arial" w:cs="Arial"/>
          <w:sz w:val="22"/>
          <w:szCs w:val="22"/>
        </w:rPr>
        <w:t>.</w:t>
      </w:r>
    </w:p>
    <w:p w14:paraId="2B061E66" w14:textId="77777777" w:rsidR="006E55F0" w:rsidRPr="001E2968" w:rsidRDefault="006E55F0" w:rsidP="001E2968">
      <w:pPr>
        <w:suppressAutoHyphens w:val="0"/>
        <w:spacing w:after="0" w:line="360" w:lineRule="auto"/>
        <w:jc w:val="both"/>
        <w:rPr>
          <w:rFonts w:ascii="Arial" w:eastAsia="Times New Roman" w:hAnsi="Arial" w:cs="Arial"/>
          <w:kern w:val="0"/>
          <w:sz w:val="22"/>
          <w:szCs w:val="22"/>
          <w:lang w:eastAsia="zh-CN"/>
        </w:rPr>
      </w:pPr>
    </w:p>
    <w:p w14:paraId="3E05A8DD" w14:textId="5F3BD13A" w:rsidR="007C6818" w:rsidRPr="001E2968" w:rsidRDefault="007C6818" w:rsidP="001E2968">
      <w:pPr>
        <w:pStyle w:val="NormalWeb"/>
        <w:spacing w:before="0" w:beforeAutospacing="0" w:after="0" w:afterAutospacing="0" w:line="360" w:lineRule="auto"/>
        <w:jc w:val="both"/>
        <w:rPr>
          <w:rFonts w:ascii="Arial" w:hAnsi="Arial" w:cs="Arial"/>
          <w:b/>
          <w:bCs/>
          <w:sz w:val="22"/>
          <w:szCs w:val="22"/>
        </w:rPr>
      </w:pPr>
      <w:r w:rsidRPr="001E2968">
        <w:rPr>
          <w:rFonts w:ascii="Arial" w:hAnsi="Arial" w:cs="Arial"/>
          <w:b/>
          <w:bCs/>
          <w:sz w:val="22"/>
          <w:szCs w:val="22"/>
        </w:rPr>
        <w:t>Health outcomes and regional implications</w:t>
      </w:r>
    </w:p>
    <w:p w14:paraId="383717A6" w14:textId="721C14D9" w:rsidR="007C6818" w:rsidRPr="001E2968" w:rsidRDefault="00A5301B" w:rsidP="001E2968">
      <w:pPr>
        <w:suppressAutoHyphens w:val="0"/>
        <w:spacing w:line="360" w:lineRule="auto"/>
        <w:jc w:val="both"/>
        <w:rPr>
          <w:rFonts w:ascii="Arial" w:eastAsia="Times New Roman" w:hAnsi="Arial" w:cs="Arial"/>
          <w:kern w:val="0"/>
          <w:sz w:val="22"/>
          <w:szCs w:val="22"/>
          <w:lang w:eastAsia="zh-CN"/>
        </w:rPr>
      </w:pPr>
      <w:r w:rsidRPr="001E2968">
        <w:rPr>
          <w:rFonts w:ascii="Arial" w:hAnsi="Arial" w:cs="Arial"/>
          <w:sz w:val="22"/>
          <w:szCs w:val="22"/>
        </w:rPr>
        <w:t xml:space="preserve">      </w:t>
      </w:r>
      <w:r w:rsidR="007C6818" w:rsidRPr="001E2968">
        <w:rPr>
          <w:rFonts w:ascii="Arial" w:hAnsi="Arial" w:cs="Arial"/>
          <w:sz w:val="22"/>
          <w:szCs w:val="22"/>
        </w:rPr>
        <w:t xml:space="preserve">The decentralised approach had direct implications for health outcomes in Canada </w:t>
      </w:r>
      <w:r w:rsidR="007C6818" w:rsidRPr="001E2968">
        <w:rPr>
          <w:rFonts w:ascii="Arial" w:eastAsia="Times New Roman" w:hAnsi="Arial" w:cs="Arial"/>
          <w:kern w:val="0"/>
          <w:sz w:val="22"/>
          <w:szCs w:val="22"/>
          <w:lang w:eastAsia="zh-CN"/>
        </w:rPr>
        <w:t>(Hansen and Cyr, 2020)</w:t>
      </w:r>
      <w:r w:rsidR="007C6818" w:rsidRPr="001E2968">
        <w:rPr>
          <w:rFonts w:ascii="Arial" w:hAnsi="Arial" w:cs="Arial"/>
          <w:sz w:val="22"/>
          <w:szCs w:val="22"/>
        </w:rPr>
        <w:t>. Testing capacity, the timing of social-distancing measures, and local compliance varied significantly between provinces, resulting in heterogeneous patterns of transmission and case incidence. Infection and mortality rates were influenced by regional health-</w:t>
      </w:r>
      <w:r w:rsidR="007C6818" w:rsidRPr="001E2968">
        <w:rPr>
          <w:rFonts w:ascii="Arial" w:hAnsi="Arial" w:cs="Arial"/>
          <w:sz w:val="22"/>
          <w:szCs w:val="22"/>
        </w:rPr>
        <w:lastRenderedPageBreak/>
        <w:t xml:space="preserve">system capacity and the speed at which interventions were implemented. Regions that quickly adopted distancing, testing, and isolation protocols achieved better outcomes, whereas areas with delayed or less stringent measures experienced higher transmission. Partial federal centralisation provided some mitigation, but the </w:t>
      </w:r>
      <w:r w:rsidR="000A08AC" w:rsidRPr="001E2968">
        <w:rPr>
          <w:rFonts w:ascii="Arial" w:hAnsi="Arial" w:cs="Arial"/>
          <w:sz w:val="22"/>
          <w:szCs w:val="22"/>
        </w:rPr>
        <w:t>decentralised</w:t>
      </w:r>
      <w:r w:rsidR="007C6818" w:rsidRPr="001E2968">
        <w:rPr>
          <w:rFonts w:ascii="Arial" w:hAnsi="Arial" w:cs="Arial"/>
          <w:sz w:val="22"/>
          <w:szCs w:val="22"/>
        </w:rPr>
        <w:t xml:space="preserve"> structure contributed to uneven pandemic control and highlighted the need for more coordinated preparedness frameworks for future public health emergencies (Hansen and Cyr, 2020).</w:t>
      </w:r>
    </w:p>
    <w:p w14:paraId="32E0444A" w14:textId="77777777" w:rsidR="00726C6C" w:rsidRPr="001E2968" w:rsidRDefault="00F31BDD" w:rsidP="001E2968">
      <w:pPr>
        <w:suppressAutoHyphens w:val="0"/>
        <w:spacing w:after="0" w:line="360" w:lineRule="auto"/>
        <w:jc w:val="both"/>
        <w:rPr>
          <w:rFonts w:ascii="Arial" w:hAnsi="Arial" w:cs="Arial"/>
          <w:sz w:val="22"/>
          <w:szCs w:val="22"/>
        </w:rPr>
      </w:pPr>
      <w:r w:rsidRPr="001E2968">
        <w:rPr>
          <w:rStyle w:val="Tipodeletrapredefinidodopargrafo"/>
          <w:rFonts w:ascii="Arial" w:hAnsi="Arial" w:cs="Arial"/>
          <w:b/>
          <w:bCs/>
          <w:sz w:val="22"/>
          <w:szCs w:val="22"/>
        </w:rPr>
        <w:t>During the COVID-19 pandemic, leadership in Canada</w:t>
      </w:r>
    </w:p>
    <w:p w14:paraId="60A8AC96" w14:textId="6E83C79E" w:rsidR="00726C6C" w:rsidRPr="001E2968" w:rsidRDefault="00953DF1" w:rsidP="001E2968">
      <w:pPr>
        <w:suppressAutoHyphens w:val="0"/>
        <w:spacing w:after="0" w:line="360" w:lineRule="auto"/>
        <w:jc w:val="both"/>
        <w:rPr>
          <w:rFonts w:ascii="Arial" w:eastAsia="Times New Roman" w:hAnsi="Arial" w:cs="Arial"/>
          <w:kern w:val="0"/>
          <w:sz w:val="22"/>
          <w:szCs w:val="22"/>
          <w:lang w:eastAsia="en-GB"/>
        </w:rPr>
      </w:pPr>
      <w:r w:rsidRPr="001E2968">
        <w:rPr>
          <w:rFonts w:ascii="Arial" w:eastAsia="Times New Roman" w:hAnsi="Arial" w:cs="Arial"/>
          <w:kern w:val="0"/>
          <w:sz w:val="22"/>
          <w:szCs w:val="22"/>
          <w:lang w:eastAsia="en-GB"/>
        </w:rPr>
        <w:t>During the COVID-19 pandemic, leadership in Canada combined Transformational and Behavioural approaches, with Prime Minister Justin Trudeau promoting collective responsibility and reinforcing public health behaviours such as travel restrictions and self-isolation</w:t>
      </w:r>
      <w:r w:rsidRPr="001E2968">
        <w:rPr>
          <w:rFonts w:ascii="Arial" w:eastAsia="Times New Roman" w:hAnsi="Arial" w:cs="Arial"/>
          <w:kern w:val="0"/>
          <w:sz w:val="22"/>
          <w:szCs w:val="22"/>
          <w:lang w:eastAsia="en-GB"/>
        </w:rPr>
        <w:t xml:space="preserve"> </w:t>
      </w:r>
      <w:r w:rsidRPr="001E2968">
        <w:rPr>
          <w:rFonts w:ascii="Arial" w:eastAsia="Times New Roman" w:hAnsi="Arial" w:cs="Arial"/>
          <w:kern w:val="0"/>
          <w:sz w:val="22"/>
          <w:szCs w:val="22"/>
          <w:lang w:eastAsia="en-GB"/>
        </w:rPr>
        <w:t>(Zheng et al., 2021).</w:t>
      </w:r>
      <w:r w:rsidR="006B75FD" w:rsidRPr="001E2968">
        <w:rPr>
          <w:rFonts w:ascii="Arial" w:eastAsia="Times New Roman" w:hAnsi="Arial" w:cs="Arial"/>
          <w:kern w:val="0"/>
          <w:sz w:val="22"/>
          <w:szCs w:val="22"/>
          <w:lang w:eastAsia="en-GB"/>
        </w:rPr>
        <w:t xml:space="preserve"> </w:t>
      </w:r>
      <w:r w:rsidR="00F31BDD" w:rsidRPr="001E2968">
        <w:rPr>
          <w:rFonts w:ascii="Arial" w:hAnsi="Arial" w:cs="Arial"/>
          <w:sz w:val="22"/>
          <w:szCs w:val="22"/>
        </w:rPr>
        <w:t xml:space="preserve">In the </w:t>
      </w:r>
      <w:r w:rsidR="000A08AC" w:rsidRPr="001E2968">
        <w:rPr>
          <w:rFonts w:ascii="Arial" w:hAnsi="Arial" w:cs="Arial"/>
          <w:sz w:val="22"/>
          <w:szCs w:val="22"/>
        </w:rPr>
        <w:t>initial stages</w:t>
      </w:r>
      <w:r w:rsidR="00F31BDD" w:rsidRPr="001E2968">
        <w:rPr>
          <w:rFonts w:ascii="Arial" w:hAnsi="Arial" w:cs="Arial"/>
          <w:sz w:val="22"/>
          <w:szCs w:val="22"/>
        </w:rPr>
        <w:t xml:space="preserve"> of the crisis, Canadian leaders emphasised a transformational approach by inspiring public compliance through clear communication, appeals to collective responsibility, and the promotion of shared values. Measures such as mask wearing, self-isolation, and physical distancing relied heavily on voluntary adherence, with leaders modelling behaviours and providing transparent scientific guidance. This approach was effective in encouraging widespread engagement and trust during a period of uncertainty, as citizens were motivated to act for the common good rather than through coercion</w:t>
      </w:r>
      <w:r w:rsidR="006B75FD" w:rsidRPr="001E2968">
        <w:rPr>
          <w:rFonts w:ascii="Arial" w:hAnsi="Arial" w:cs="Arial"/>
          <w:sz w:val="22"/>
          <w:szCs w:val="22"/>
        </w:rPr>
        <w:t xml:space="preserve"> </w:t>
      </w:r>
      <w:r w:rsidR="006B75FD" w:rsidRPr="001E2968">
        <w:rPr>
          <w:rFonts w:ascii="Arial" w:hAnsi="Arial" w:cs="Arial"/>
          <w:sz w:val="22"/>
          <w:szCs w:val="22"/>
        </w:rPr>
        <w:t>(</w:t>
      </w:r>
      <w:proofErr w:type="spellStart"/>
      <w:r w:rsidR="006B75FD" w:rsidRPr="001E2968">
        <w:rPr>
          <w:rFonts w:ascii="Arial" w:hAnsi="Arial" w:cs="Arial"/>
          <w:sz w:val="22"/>
          <w:szCs w:val="22"/>
        </w:rPr>
        <w:t>Chattu</w:t>
      </w:r>
      <w:proofErr w:type="spellEnd"/>
      <w:r w:rsidR="006B75FD" w:rsidRPr="001E2968">
        <w:rPr>
          <w:rFonts w:ascii="Arial" w:hAnsi="Arial" w:cs="Arial"/>
          <w:sz w:val="22"/>
          <w:szCs w:val="22"/>
        </w:rPr>
        <w:t>, Adisesh and Yaya, 2020)</w:t>
      </w:r>
      <w:r w:rsidR="00BA4AAC" w:rsidRPr="001E2968">
        <w:rPr>
          <w:rFonts w:ascii="Arial" w:eastAsia="Times New Roman" w:hAnsi="Arial" w:cs="Arial"/>
          <w:kern w:val="0"/>
          <w:sz w:val="22"/>
          <w:szCs w:val="22"/>
          <w:lang w:eastAsia="en-GB"/>
        </w:rPr>
        <w:t xml:space="preserve"> </w:t>
      </w:r>
      <w:r w:rsidR="00BA4AAC" w:rsidRPr="001E2968">
        <w:rPr>
          <w:rFonts w:ascii="Arial" w:hAnsi="Arial" w:cs="Arial"/>
          <w:sz w:val="22"/>
          <w:szCs w:val="22"/>
        </w:rPr>
        <w:t>(</w:t>
      </w:r>
      <w:proofErr w:type="spellStart"/>
      <w:r w:rsidR="00BA4AAC" w:rsidRPr="001E2968">
        <w:rPr>
          <w:rFonts w:ascii="Arial" w:hAnsi="Arial" w:cs="Arial"/>
          <w:sz w:val="22"/>
          <w:szCs w:val="22"/>
        </w:rPr>
        <w:t>Seijts</w:t>
      </w:r>
      <w:proofErr w:type="spellEnd"/>
      <w:r w:rsidR="00BA4AAC" w:rsidRPr="001E2968">
        <w:rPr>
          <w:rFonts w:ascii="Arial" w:hAnsi="Arial" w:cs="Arial"/>
          <w:sz w:val="22"/>
          <w:szCs w:val="22"/>
        </w:rPr>
        <w:t xml:space="preserve">, De </w:t>
      </w:r>
      <w:proofErr w:type="spellStart"/>
      <w:r w:rsidR="00BA4AAC" w:rsidRPr="001E2968">
        <w:rPr>
          <w:rFonts w:ascii="Arial" w:hAnsi="Arial" w:cs="Arial"/>
          <w:sz w:val="22"/>
          <w:szCs w:val="22"/>
        </w:rPr>
        <w:t>Clercy</w:t>
      </w:r>
      <w:proofErr w:type="spellEnd"/>
      <w:r w:rsidR="00BA4AAC" w:rsidRPr="001E2968">
        <w:rPr>
          <w:rFonts w:ascii="Arial" w:hAnsi="Arial" w:cs="Arial"/>
          <w:sz w:val="22"/>
          <w:szCs w:val="22"/>
        </w:rPr>
        <w:t xml:space="preserve"> and Miller, 2022)</w:t>
      </w:r>
      <w:r w:rsidR="00F31BDD" w:rsidRPr="001E2968">
        <w:rPr>
          <w:rFonts w:ascii="Arial" w:hAnsi="Arial" w:cs="Arial"/>
          <w:sz w:val="22"/>
          <w:szCs w:val="22"/>
        </w:rPr>
        <w:t>.</w:t>
      </w:r>
    </w:p>
    <w:p w14:paraId="41F1F14D" w14:textId="6B32FA63" w:rsidR="00726C6C" w:rsidRPr="001E2968" w:rsidRDefault="00F31BDD"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As the pandemic evolved, elements of Coaching and Situational leadership became more prominent. Authorities adapted testing strategies, vaccination rollouts, and the allocation of </w:t>
      </w:r>
      <w:r w:rsidR="006E55F0" w:rsidRPr="001E2968">
        <w:rPr>
          <w:rFonts w:ascii="Arial" w:hAnsi="Arial" w:cs="Arial"/>
          <w:sz w:val="22"/>
          <w:szCs w:val="22"/>
        </w:rPr>
        <w:t xml:space="preserve">Personal Protective Equipment </w:t>
      </w:r>
      <w:r w:rsidR="006E55F0" w:rsidRPr="001E2968">
        <w:rPr>
          <w:rFonts w:ascii="Arial" w:hAnsi="Arial" w:cs="Arial"/>
          <w:sz w:val="22"/>
          <w:szCs w:val="22"/>
        </w:rPr>
        <w:t>(</w:t>
      </w:r>
      <w:r w:rsidRPr="001E2968">
        <w:rPr>
          <w:rFonts w:ascii="Arial" w:hAnsi="Arial" w:cs="Arial"/>
          <w:sz w:val="22"/>
          <w:szCs w:val="22"/>
        </w:rPr>
        <w:t>PPE</w:t>
      </w:r>
      <w:r w:rsidR="006E55F0" w:rsidRPr="001E2968">
        <w:rPr>
          <w:rFonts w:ascii="Arial" w:hAnsi="Arial" w:cs="Arial"/>
          <w:sz w:val="22"/>
          <w:szCs w:val="22"/>
        </w:rPr>
        <w:t>)</w:t>
      </w:r>
      <w:r w:rsidRPr="001E2968">
        <w:rPr>
          <w:rFonts w:ascii="Arial" w:hAnsi="Arial" w:cs="Arial"/>
          <w:sz w:val="22"/>
          <w:szCs w:val="22"/>
        </w:rPr>
        <w:t xml:space="preserve"> and medical resources according to regional epidemiological conditions and healthcare capacity. Provincial and territorial governments were given the flexibility to implement measures suited to their local context, while the federal </w:t>
      </w:r>
      <w:r w:rsidR="007C6818" w:rsidRPr="001E2968">
        <w:rPr>
          <w:rFonts w:ascii="Arial" w:hAnsi="Arial" w:cs="Arial"/>
          <w:sz w:val="22"/>
          <w:szCs w:val="22"/>
        </w:rPr>
        <w:t>government-maintained</w:t>
      </w:r>
      <w:r w:rsidRPr="001E2968">
        <w:rPr>
          <w:rFonts w:ascii="Arial" w:hAnsi="Arial" w:cs="Arial"/>
          <w:sz w:val="22"/>
          <w:szCs w:val="22"/>
        </w:rPr>
        <w:t xml:space="preserve"> coordination and oversight. This situational adjustment enhanced the effectiveness of public health measures by combining national guidance with local responsiveness.</w:t>
      </w:r>
    </w:p>
    <w:p w14:paraId="79C2E5A5" w14:textId="0539C30F" w:rsidR="00726C6C" w:rsidRPr="001E2968" w:rsidRDefault="00F31BDD" w:rsidP="001E2968">
      <w:pPr>
        <w:suppressAutoHyphens w:val="0"/>
        <w:spacing w:after="0" w:line="360" w:lineRule="auto"/>
        <w:jc w:val="both"/>
        <w:rPr>
          <w:rFonts w:ascii="Arial" w:hAnsi="Arial" w:cs="Arial"/>
          <w:sz w:val="22"/>
          <w:szCs w:val="22"/>
        </w:rPr>
      </w:pPr>
      <w:r w:rsidRPr="001E2968">
        <w:rPr>
          <w:rFonts w:ascii="Arial" w:hAnsi="Arial" w:cs="Arial"/>
          <w:sz w:val="22"/>
          <w:szCs w:val="22"/>
        </w:rPr>
        <w:t>Overall, Canada’s experience demonstrates that Transformational leadership, supported by Behavioural strategies, was particularly useful in fostering trust, engagement, and compliance in the population. Meanwhile, Situational adaptations ensured that regional variations and local needs were addressed effectively. This case highlights the value of combining inspirational leadership with observable behaviours and adaptive strategies in managing complex public health crises</w:t>
      </w:r>
      <w:r w:rsidR="006B75FD" w:rsidRPr="001E2968">
        <w:rPr>
          <w:rFonts w:ascii="Arial" w:eastAsia="Times New Roman" w:hAnsi="Arial" w:cs="Arial"/>
          <w:kern w:val="0"/>
          <w:sz w:val="22"/>
          <w:szCs w:val="22"/>
          <w:lang w:eastAsia="en-GB"/>
        </w:rPr>
        <w:t xml:space="preserve"> </w:t>
      </w:r>
      <w:r w:rsidR="006B75FD" w:rsidRPr="001E2968">
        <w:rPr>
          <w:rFonts w:ascii="Arial" w:hAnsi="Arial" w:cs="Arial"/>
          <w:sz w:val="22"/>
          <w:szCs w:val="22"/>
        </w:rPr>
        <w:t>(</w:t>
      </w:r>
      <w:proofErr w:type="spellStart"/>
      <w:r w:rsidR="006B75FD" w:rsidRPr="001E2968">
        <w:rPr>
          <w:rFonts w:ascii="Arial" w:hAnsi="Arial" w:cs="Arial"/>
          <w:sz w:val="22"/>
          <w:szCs w:val="22"/>
        </w:rPr>
        <w:t>Chattu</w:t>
      </w:r>
      <w:proofErr w:type="spellEnd"/>
      <w:r w:rsidR="006B75FD" w:rsidRPr="001E2968">
        <w:rPr>
          <w:rFonts w:ascii="Arial" w:hAnsi="Arial" w:cs="Arial"/>
          <w:sz w:val="22"/>
          <w:szCs w:val="22"/>
        </w:rPr>
        <w:t>, Adisesh and Yaya, 2020)</w:t>
      </w:r>
      <w:r w:rsidR="00BA4AAC" w:rsidRPr="001E2968">
        <w:rPr>
          <w:rFonts w:ascii="Arial" w:hAnsi="Arial" w:cs="Arial"/>
          <w:sz w:val="22"/>
          <w:szCs w:val="22"/>
        </w:rPr>
        <w:t xml:space="preserve"> </w:t>
      </w:r>
      <w:r w:rsidR="00BA4AAC" w:rsidRPr="001E2968">
        <w:rPr>
          <w:rFonts w:ascii="Arial" w:hAnsi="Arial" w:cs="Arial"/>
          <w:sz w:val="22"/>
          <w:szCs w:val="22"/>
        </w:rPr>
        <w:t>(</w:t>
      </w:r>
      <w:proofErr w:type="spellStart"/>
      <w:r w:rsidR="00BA4AAC" w:rsidRPr="001E2968">
        <w:rPr>
          <w:rFonts w:ascii="Arial" w:hAnsi="Arial" w:cs="Arial"/>
          <w:sz w:val="22"/>
          <w:szCs w:val="22"/>
        </w:rPr>
        <w:t>Seijts</w:t>
      </w:r>
      <w:proofErr w:type="spellEnd"/>
      <w:r w:rsidR="00BA4AAC" w:rsidRPr="001E2968">
        <w:rPr>
          <w:rFonts w:ascii="Arial" w:hAnsi="Arial" w:cs="Arial"/>
          <w:sz w:val="22"/>
          <w:szCs w:val="22"/>
        </w:rPr>
        <w:t xml:space="preserve">, De </w:t>
      </w:r>
      <w:proofErr w:type="spellStart"/>
      <w:r w:rsidR="00BA4AAC" w:rsidRPr="001E2968">
        <w:rPr>
          <w:rFonts w:ascii="Arial" w:hAnsi="Arial" w:cs="Arial"/>
          <w:sz w:val="22"/>
          <w:szCs w:val="22"/>
        </w:rPr>
        <w:t>Clercy</w:t>
      </w:r>
      <w:proofErr w:type="spellEnd"/>
      <w:r w:rsidR="00BA4AAC" w:rsidRPr="001E2968">
        <w:rPr>
          <w:rFonts w:ascii="Arial" w:hAnsi="Arial" w:cs="Arial"/>
          <w:sz w:val="22"/>
          <w:szCs w:val="22"/>
        </w:rPr>
        <w:t xml:space="preserve"> and Miller, 2022)</w:t>
      </w:r>
      <w:r w:rsidRPr="001E2968">
        <w:rPr>
          <w:rFonts w:ascii="Arial" w:hAnsi="Arial" w:cs="Arial"/>
          <w:sz w:val="22"/>
          <w:szCs w:val="22"/>
        </w:rPr>
        <w:t>.</w:t>
      </w:r>
    </w:p>
    <w:p w14:paraId="54ED4898" w14:textId="77777777" w:rsidR="007C6818" w:rsidRPr="001E2968" w:rsidRDefault="007C6818" w:rsidP="001E2968">
      <w:pPr>
        <w:suppressAutoHyphens w:val="0"/>
        <w:spacing w:line="360" w:lineRule="auto"/>
        <w:jc w:val="both"/>
        <w:rPr>
          <w:rFonts w:ascii="Arial" w:hAnsi="Arial" w:cs="Arial"/>
          <w:sz w:val="22"/>
          <w:szCs w:val="22"/>
        </w:rPr>
      </w:pPr>
    </w:p>
    <w:p w14:paraId="54ACBE02" w14:textId="77777777" w:rsidR="007C6818" w:rsidRPr="001E2968" w:rsidRDefault="007C6818" w:rsidP="001E2968">
      <w:pPr>
        <w:suppressAutoHyphens w:val="0"/>
        <w:spacing w:line="360" w:lineRule="auto"/>
        <w:jc w:val="both"/>
        <w:rPr>
          <w:rFonts w:ascii="Arial" w:hAnsi="Arial" w:cs="Arial"/>
          <w:sz w:val="22"/>
          <w:szCs w:val="22"/>
        </w:rPr>
      </w:pPr>
    </w:p>
    <w:p w14:paraId="5E5B6137" w14:textId="77777777" w:rsidR="00785F9B" w:rsidRPr="001E2968" w:rsidRDefault="00785F9B" w:rsidP="001E2968">
      <w:pPr>
        <w:suppressAutoHyphens w:val="0"/>
        <w:spacing w:line="360" w:lineRule="auto"/>
        <w:jc w:val="both"/>
        <w:rPr>
          <w:rFonts w:ascii="Arial" w:hAnsi="Arial" w:cs="Arial"/>
          <w:sz w:val="22"/>
          <w:szCs w:val="22"/>
        </w:rPr>
      </w:pPr>
    </w:p>
    <w:p w14:paraId="036A169D" w14:textId="77777777" w:rsidR="00785F9B" w:rsidRPr="001E2968" w:rsidRDefault="00785F9B" w:rsidP="001E2968">
      <w:pPr>
        <w:suppressAutoHyphens w:val="0"/>
        <w:spacing w:line="360" w:lineRule="auto"/>
        <w:jc w:val="both"/>
        <w:rPr>
          <w:rFonts w:ascii="Arial" w:hAnsi="Arial" w:cs="Arial"/>
          <w:sz w:val="22"/>
          <w:szCs w:val="22"/>
        </w:rPr>
      </w:pPr>
    </w:p>
    <w:p w14:paraId="2905C945" w14:textId="77777777" w:rsidR="00D940D6" w:rsidRPr="001E2968" w:rsidRDefault="00D940D6" w:rsidP="001E2968">
      <w:pPr>
        <w:suppressAutoHyphens w:val="0"/>
        <w:spacing w:line="360" w:lineRule="auto"/>
        <w:jc w:val="both"/>
        <w:rPr>
          <w:rFonts w:ascii="Arial" w:hAnsi="Arial" w:cs="Arial"/>
          <w:sz w:val="22"/>
          <w:szCs w:val="22"/>
        </w:rPr>
      </w:pPr>
    </w:p>
    <w:p w14:paraId="0C07A86D" w14:textId="77777777" w:rsidR="00726C6C" w:rsidRPr="001E2968" w:rsidRDefault="00F31BDD" w:rsidP="001E2968">
      <w:pPr>
        <w:suppressAutoHyphens w:val="0"/>
        <w:spacing w:after="0" w:line="360" w:lineRule="auto"/>
        <w:jc w:val="both"/>
        <w:rPr>
          <w:rFonts w:ascii="Arial" w:hAnsi="Arial" w:cs="Arial"/>
          <w:b/>
          <w:bCs/>
          <w:sz w:val="22"/>
          <w:szCs w:val="22"/>
        </w:rPr>
      </w:pPr>
      <w:r w:rsidRPr="001E2968">
        <w:rPr>
          <w:rFonts w:ascii="Arial" w:hAnsi="Arial" w:cs="Arial"/>
          <w:b/>
          <w:bCs/>
          <w:sz w:val="22"/>
          <w:szCs w:val="22"/>
        </w:rPr>
        <w:t>Transformational Leadership</w:t>
      </w:r>
    </w:p>
    <w:p w14:paraId="09862FD8" w14:textId="5E4CFF81" w:rsidR="00A5301B" w:rsidRPr="001E2968" w:rsidRDefault="00A5301B" w:rsidP="001E2968">
      <w:pPr>
        <w:suppressAutoHyphens w:val="0"/>
        <w:spacing w:after="0" w:line="360" w:lineRule="auto"/>
        <w:contextualSpacing/>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 xml:space="preserve">Transformational Leadership is a leadership style that focuses on the leader’s ability to inspire, motivate, and engage followers to exceed individual and collective expectations, while simultaneously promoting personal and organisational </w:t>
      </w:r>
      <w:r w:rsidR="00217BA6" w:rsidRPr="001E2968">
        <w:rPr>
          <w:rFonts w:ascii="Arial" w:hAnsi="Arial" w:cs="Arial"/>
          <w:sz w:val="22"/>
          <w:szCs w:val="22"/>
        </w:rPr>
        <w:t>growth (NU Editorial Contributors, 2023)</w:t>
      </w:r>
      <w:r w:rsidR="00B30E8E" w:rsidRPr="001E2968">
        <w:rPr>
          <w:rFonts w:ascii="Arial" w:hAnsi="Arial" w:cs="Arial"/>
          <w:sz w:val="22"/>
          <w:szCs w:val="22"/>
        </w:rPr>
        <w:t xml:space="preserve"> </w:t>
      </w:r>
      <w:r w:rsidR="00B30E8E" w:rsidRPr="001E2968">
        <w:rPr>
          <w:rFonts w:ascii="Arial" w:eastAsia="Times New Roman" w:hAnsi="Arial" w:cs="Arial"/>
          <w:kern w:val="0"/>
          <w:sz w:val="22"/>
          <w:szCs w:val="22"/>
          <w:lang w:eastAsia="zh-CN"/>
        </w:rPr>
        <w:t>(Notarnicola et al</w:t>
      </w:r>
      <w:r w:rsidR="00B30E8E" w:rsidRPr="001E2968">
        <w:rPr>
          <w:rFonts w:ascii="Arial" w:eastAsia="Times New Roman" w:hAnsi="Arial" w:cs="Arial"/>
          <w:i/>
          <w:iCs/>
          <w:kern w:val="0"/>
          <w:sz w:val="22"/>
          <w:szCs w:val="22"/>
          <w:lang w:eastAsia="zh-CN"/>
        </w:rPr>
        <w:t>.</w:t>
      </w:r>
      <w:r w:rsidR="00B30E8E" w:rsidRPr="001E2968">
        <w:rPr>
          <w:rFonts w:ascii="Arial" w:eastAsia="Times New Roman" w:hAnsi="Arial" w:cs="Arial"/>
          <w:kern w:val="0"/>
          <w:sz w:val="22"/>
          <w:szCs w:val="22"/>
          <w:lang w:eastAsia="zh-CN"/>
        </w:rPr>
        <w:t>, 2024)</w:t>
      </w:r>
      <w:r w:rsidR="00F31BDD" w:rsidRPr="001E2968">
        <w:rPr>
          <w:rFonts w:ascii="Arial" w:hAnsi="Arial" w:cs="Arial"/>
          <w:sz w:val="22"/>
          <w:szCs w:val="22"/>
        </w:rPr>
        <w:t>. Initially developed in the 1970s, this approach departs from purely transactional or hierarchical models, valuing strategic vision, empathy, innovation, and ethical commitment. Rather than relying solely on control and supervision, transformational leadership seeks to generate positive and sustainable change through the active involvement of people</w:t>
      </w:r>
      <w:r w:rsidR="007C6818" w:rsidRPr="001E2968">
        <w:rPr>
          <w:rFonts w:ascii="Arial" w:hAnsi="Arial" w:cs="Arial"/>
          <w:sz w:val="22"/>
          <w:szCs w:val="22"/>
        </w:rPr>
        <w:t xml:space="preserve"> (</w:t>
      </w:r>
      <w:r w:rsidR="00217BA6" w:rsidRPr="001E2968">
        <w:rPr>
          <w:rFonts w:ascii="Arial" w:hAnsi="Arial" w:cs="Arial"/>
          <w:sz w:val="22"/>
          <w:szCs w:val="22"/>
        </w:rPr>
        <w:t>NU Editorial Contributors, 2023)</w:t>
      </w:r>
      <w:r w:rsidR="00F31BDD" w:rsidRPr="001E2968">
        <w:rPr>
          <w:rFonts w:ascii="Arial" w:hAnsi="Arial" w:cs="Arial"/>
          <w:sz w:val="22"/>
          <w:szCs w:val="22"/>
        </w:rPr>
        <w:t>.</w:t>
      </w:r>
      <w:r w:rsidR="00217BA6" w:rsidRPr="001E2968">
        <w:rPr>
          <w:rFonts w:ascii="Arial" w:hAnsi="Arial" w:cs="Arial"/>
          <w:sz w:val="22"/>
          <w:szCs w:val="22"/>
        </w:rPr>
        <w:t xml:space="preserve"> </w:t>
      </w:r>
    </w:p>
    <w:p w14:paraId="33228CEA" w14:textId="38CD18D0" w:rsidR="00726C6C" w:rsidRPr="001E2968" w:rsidRDefault="00A5301B" w:rsidP="001E2968">
      <w:pPr>
        <w:suppressAutoHyphens w:val="0"/>
        <w:spacing w:after="0" w:line="360" w:lineRule="auto"/>
        <w:contextualSpacing/>
        <w:jc w:val="both"/>
        <w:rPr>
          <w:rFonts w:ascii="Arial" w:eastAsia="Times New Roman" w:hAnsi="Arial" w:cs="Arial"/>
          <w:kern w:val="0"/>
          <w:sz w:val="22"/>
          <w:szCs w:val="22"/>
          <w:lang w:eastAsia="zh-CN"/>
        </w:rPr>
      </w:pPr>
      <w:r w:rsidRPr="001E2968">
        <w:rPr>
          <w:rFonts w:ascii="Arial" w:hAnsi="Arial" w:cs="Arial"/>
          <w:sz w:val="22"/>
          <w:szCs w:val="22"/>
        </w:rPr>
        <w:t xml:space="preserve">     </w:t>
      </w:r>
      <w:r w:rsidR="00F31BDD" w:rsidRPr="001E2968">
        <w:rPr>
          <w:rFonts w:ascii="Arial" w:hAnsi="Arial" w:cs="Arial"/>
          <w:sz w:val="22"/>
          <w:szCs w:val="22"/>
        </w:rPr>
        <w:t>This style is based on four fundamental components, commonly referred to as the “four Is</w:t>
      </w:r>
      <w:r w:rsidR="000A08AC" w:rsidRPr="001E2968">
        <w:rPr>
          <w:rFonts w:ascii="Arial" w:hAnsi="Arial" w:cs="Arial"/>
          <w:sz w:val="22"/>
          <w:szCs w:val="22"/>
        </w:rPr>
        <w:t>.”</w:t>
      </w:r>
      <w:r w:rsidR="00F31BDD" w:rsidRPr="001E2968">
        <w:rPr>
          <w:rFonts w:ascii="Arial" w:hAnsi="Arial" w:cs="Arial"/>
          <w:sz w:val="22"/>
          <w:szCs w:val="22"/>
        </w:rPr>
        <w:t xml:space="preserve"> Intellectual stimulation involves the leader’s ability to encourage creativity, critical thinking, and continuous learning, creating a safe environment for proposing </w:t>
      </w:r>
      <w:r w:rsidR="000A08AC" w:rsidRPr="001E2968">
        <w:rPr>
          <w:rFonts w:ascii="Arial" w:hAnsi="Arial" w:cs="Arial"/>
          <w:sz w:val="22"/>
          <w:szCs w:val="22"/>
        </w:rPr>
        <w:t>innovative solutions</w:t>
      </w:r>
      <w:r w:rsidR="00F31BDD" w:rsidRPr="001E2968">
        <w:rPr>
          <w:rFonts w:ascii="Arial" w:hAnsi="Arial" w:cs="Arial"/>
          <w:sz w:val="22"/>
          <w:szCs w:val="22"/>
        </w:rPr>
        <w:t xml:space="preserve">. Individualised consideration focuses on the specific needs of each team member, reinforcing a sense of value and belonging. Inspirational motivation is expressed through clear and enthusiastic communication of a shared vision, aligning individual efforts with organisational goals. Idealised influence translates into leading by example, with high ethical and performance standards, fostering trust and credibility. Transformational leaders are characterised by traits such as self-awareness, open-mindedness, ethics, adaptability, proactivity, creativity, humility, responsible risk-taking, </w:t>
      </w:r>
      <w:r w:rsidR="000A08AC" w:rsidRPr="001E2968">
        <w:rPr>
          <w:rFonts w:ascii="Arial" w:hAnsi="Arial" w:cs="Arial"/>
          <w:sz w:val="22"/>
          <w:szCs w:val="22"/>
        </w:rPr>
        <w:t>effective communication</w:t>
      </w:r>
      <w:r w:rsidR="00F31BDD" w:rsidRPr="001E2968">
        <w:rPr>
          <w:rFonts w:ascii="Arial" w:hAnsi="Arial" w:cs="Arial"/>
          <w:sz w:val="22"/>
          <w:szCs w:val="22"/>
        </w:rPr>
        <w:t xml:space="preserve"> and active listening skills, and encouragement of professional development among their team members. These attributes underpin their ability to make a positive impact and lead by </w:t>
      </w:r>
      <w:r w:rsidR="00217BA6" w:rsidRPr="001E2968">
        <w:rPr>
          <w:rFonts w:ascii="Arial" w:hAnsi="Arial" w:cs="Arial"/>
          <w:sz w:val="22"/>
          <w:szCs w:val="22"/>
        </w:rPr>
        <w:t>example (NU Editorial Contributors, 2023)</w:t>
      </w:r>
      <w:r w:rsidR="00B30E8E" w:rsidRPr="001E2968">
        <w:rPr>
          <w:rFonts w:ascii="Arial" w:hAnsi="Arial" w:cs="Arial"/>
          <w:sz w:val="22"/>
          <w:szCs w:val="22"/>
        </w:rPr>
        <w:t xml:space="preserve"> </w:t>
      </w:r>
      <w:r w:rsidR="00B30E8E" w:rsidRPr="001E2968">
        <w:rPr>
          <w:rFonts w:ascii="Arial" w:eastAsia="Times New Roman" w:hAnsi="Arial" w:cs="Arial"/>
          <w:kern w:val="0"/>
          <w:sz w:val="22"/>
          <w:szCs w:val="22"/>
          <w:lang w:eastAsia="zh-CN"/>
        </w:rPr>
        <w:t>(Notarnicola et al</w:t>
      </w:r>
      <w:r w:rsidR="00B30E8E" w:rsidRPr="001E2968">
        <w:rPr>
          <w:rFonts w:ascii="Arial" w:eastAsia="Times New Roman" w:hAnsi="Arial" w:cs="Arial"/>
          <w:i/>
          <w:iCs/>
          <w:kern w:val="0"/>
          <w:sz w:val="22"/>
          <w:szCs w:val="22"/>
          <w:lang w:eastAsia="zh-CN"/>
        </w:rPr>
        <w:t>.</w:t>
      </w:r>
      <w:r w:rsidR="00B30E8E" w:rsidRPr="001E2968">
        <w:rPr>
          <w:rFonts w:ascii="Arial" w:eastAsia="Times New Roman" w:hAnsi="Arial" w:cs="Arial"/>
          <w:kern w:val="0"/>
          <w:sz w:val="22"/>
          <w:szCs w:val="22"/>
          <w:lang w:eastAsia="zh-CN"/>
        </w:rPr>
        <w:t>, 2024)</w:t>
      </w:r>
      <w:r w:rsidR="00F31BDD" w:rsidRPr="001E2968">
        <w:rPr>
          <w:rFonts w:ascii="Arial" w:hAnsi="Arial" w:cs="Arial"/>
          <w:sz w:val="22"/>
          <w:szCs w:val="22"/>
        </w:rPr>
        <w:t>.</w:t>
      </w:r>
    </w:p>
    <w:p w14:paraId="3226B784" w14:textId="37ECBF8F" w:rsidR="00726C6C" w:rsidRPr="001E2968" w:rsidRDefault="00A5301B" w:rsidP="001E2968">
      <w:pPr>
        <w:suppressAutoHyphens w:val="0"/>
        <w:spacing w:after="0" w:line="360" w:lineRule="auto"/>
        <w:contextualSpacing/>
        <w:jc w:val="both"/>
        <w:rPr>
          <w:rFonts w:ascii="Arial" w:eastAsia="Times New Roman" w:hAnsi="Arial" w:cs="Arial"/>
          <w:kern w:val="0"/>
          <w:sz w:val="22"/>
          <w:szCs w:val="22"/>
          <w:lang w:eastAsia="zh-CN"/>
        </w:rPr>
      </w:pPr>
      <w:r w:rsidRPr="001E2968">
        <w:rPr>
          <w:rFonts w:ascii="Arial" w:hAnsi="Arial" w:cs="Arial"/>
          <w:sz w:val="22"/>
          <w:szCs w:val="22"/>
        </w:rPr>
        <w:t xml:space="preserve">     </w:t>
      </w:r>
      <w:r w:rsidR="00F31BDD" w:rsidRPr="001E2968">
        <w:rPr>
          <w:rFonts w:ascii="Arial" w:hAnsi="Arial" w:cs="Arial"/>
          <w:sz w:val="22"/>
          <w:szCs w:val="22"/>
        </w:rPr>
        <w:t>The adoption of this leadership style offers clear advantages, including higher employee motivation and satisfaction, stronger team morale, more collaborative professional relationships, improved individual and collective performance, reduced staff turnover, and stimulation of innovation, which can translate into better financial results and increased competitiveness. However, transformational leadership also presents disadvantages, such as more complex and time-consuming decision-making processes, risk of emotional overload and burnout, and, in inappropriate contexts or under less prepared leaders, potential instability, abuse of power, or loss of control over the team</w:t>
      </w:r>
      <w:r w:rsidR="00217BA6" w:rsidRPr="001E2968">
        <w:rPr>
          <w:rFonts w:ascii="Arial" w:hAnsi="Arial" w:cs="Arial"/>
          <w:sz w:val="22"/>
          <w:szCs w:val="22"/>
        </w:rPr>
        <w:t xml:space="preserve"> (NU Editorial Contributors, 2023)</w:t>
      </w:r>
      <w:r w:rsidR="00B30E8E" w:rsidRPr="001E2968">
        <w:rPr>
          <w:rFonts w:ascii="Arial" w:hAnsi="Arial" w:cs="Arial"/>
          <w:sz w:val="22"/>
          <w:szCs w:val="22"/>
        </w:rPr>
        <w:t xml:space="preserve"> </w:t>
      </w:r>
      <w:r w:rsidR="00B30E8E" w:rsidRPr="001E2968">
        <w:rPr>
          <w:rFonts w:ascii="Arial" w:eastAsia="Times New Roman" w:hAnsi="Arial" w:cs="Arial"/>
          <w:kern w:val="0"/>
          <w:sz w:val="22"/>
          <w:szCs w:val="22"/>
          <w:lang w:eastAsia="zh-CN"/>
        </w:rPr>
        <w:t xml:space="preserve">(Notarnicola </w:t>
      </w:r>
      <w:r w:rsidR="00B30E8E" w:rsidRPr="001E2968">
        <w:rPr>
          <w:rFonts w:ascii="Arial" w:eastAsia="Times New Roman" w:hAnsi="Arial" w:cs="Arial"/>
          <w:i/>
          <w:iCs/>
          <w:kern w:val="0"/>
          <w:sz w:val="22"/>
          <w:szCs w:val="22"/>
          <w:lang w:eastAsia="zh-CN"/>
        </w:rPr>
        <w:t>et al.</w:t>
      </w:r>
      <w:r w:rsidR="00B30E8E" w:rsidRPr="001E2968">
        <w:rPr>
          <w:rFonts w:ascii="Arial" w:eastAsia="Times New Roman" w:hAnsi="Arial" w:cs="Arial"/>
          <w:kern w:val="0"/>
          <w:sz w:val="22"/>
          <w:szCs w:val="22"/>
          <w:lang w:eastAsia="zh-CN"/>
        </w:rPr>
        <w:t>, 2024)</w:t>
      </w:r>
      <w:r w:rsidR="00F31BDD" w:rsidRPr="001E2968">
        <w:rPr>
          <w:rFonts w:ascii="Arial" w:hAnsi="Arial" w:cs="Arial"/>
          <w:sz w:val="22"/>
          <w:szCs w:val="22"/>
        </w:rPr>
        <w:t>.</w:t>
      </w:r>
      <w:r w:rsidR="00217BA6" w:rsidRPr="001E2968">
        <w:rPr>
          <w:rFonts w:ascii="Arial" w:hAnsi="Arial" w:cs="Arial"/>
          <w:sz w:val="22"/>
          <w:szCs w:val="22"/>
        </w:rPr>
        <w:t xml:space="preserve"> </w:t>
      </w:r>
      <w:r w:rsidR="00F31BDD" w:rsidRPr="001E2968">
        <w:rPr>
          <w:rStyle w:val="Tipodeletrapredefinidodopargrafo"/>
          <w:rFonts w:ascii="Arial" w:hAnsi="Arial" w:cs="Arial"/>
          <w:sz w:val="22"/>
          <w:szCs w:val="22"/>
        </w:rPr>
        <w:t>In summary, transformational leadership represents a powerful and valued approach, particularly in environments that prioritise innovation, continuous learning, and human development. Its effectiveness, however, depends on the organisational context, the leader’s ability to apply its principles in a balanced manner, and, when necessary, combining it with other leadership styles.</w:t>
      </w:r>
      <w:r w:rsidR="00F31BDD" w:rsidRPr="001E2968">
        <w:rPr>
          <w:rFonts w:ascii="Arial" w:hAnsi="Arial" w:cs="Arial"/>
          <w:sz w:val="22"/>
          <w:szCs w:val="22"/>
        </w:rPr>
        <w:t xml:space="preserve"> </w:t>
      </w:r>
    </w:p>
    <w:p w14:paraId="400C0601" w14:textId="77777777" w:rsidR="00B30E8E" w:rsidRPr="001E2968" w:rsidRDefault="00B30E8E" w:rsidP="001E2968">
      <w:pPr>
        <w:suppressAutoHyphens w:val="0"/>
        <w:spacing w:line="360" w:lineRule="auto"/>
        <w:jc w:val="both"/>
        <w:rPr>
          <w:rFonts w:ascii="Arial" w:hAnsi="Arial" w:cs="Arial"/>
          <w:sz w:val="22"/>
          <w:szCs w:val="22"/>
        </w:rPr>
      </w:pPr>
    </w:p>
    <w:p w14:paraId="2B14FCA7" w14:textId="77777777" w:rsidR="00726C6C" w:rsidRPr="001E2968" w:rsidRDefault="00F31BDD" w:rsidP="001E2968">
      <w:pPr>
        <w:suppressAutoHyphens w:val="0"/>
        <w:spacing w:after="0" w:line="360" w:lineRule="auto"/>
        <w:jc w:val="both"/>
        <w:rPr>
          <w:rFonts w:ascii="Arial" w:hAnsi="Arial" w:cs="Arial"/>
          <w:b/>
          <w:bCs/>
          <w:sz w:val="22"/>
          <w:szCs w:val="22"/>
        </w:rPr>
      </w:pPr>
      <w:r w:rsidRPr="001E2968">
        <w:rPr>
          <w:rFonts w:ascii="Arial" w:hAnsi="Arial" w:cs="Arial"/>
          <w:b/>
          <w:bCs/>
          <w:sz w:val="22"/>
          <w:szCs w:val="22"/>
        </w:rPr>
        <w:t>Behavioural Leadership Theory</w:t>
      </w:r>
    </w:p>
    <w:p w14:paraId="3ED66CBB" w14:textId="1B4E1ECC" w:rsidR="00217BA6" w:rsidRPr="001E2968" w:rsidRDefault="00A5301B" w:rsidP="001E2968">
      <w:pPr>
        <w:pStyle w:val="NormalWeb"/>
        <w:spacing w:before="0" w:beforeAutospacing="0" w:after="0" w:afterAutospacing="0" w:line="360" w:lineRule="auto"/>
        <w:contextualSpacing/>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The Behavioural Leadership Theory focuses on the observable actions and behaviours of leaders rather than inherent traits such as charisma or intelligence</w:t>
      </w:r>
      <w:r w:rsidR="00611D1C" w:rsidRPr="001E2968">
        <w:rPr>
          <w:rFonts w:ascii="Arial" w:hAnsi="Arial" w:cs="Arial"/>
          <w:sz w:val="22"/>
          <w:szCs w:val="22"/>
        </w:rPr>
        <w:t xml:space="preserve"> (Bhandari, 2025).</w:t>
      </w:r>
      <w:r w:rsidR="00F31BDD" w:rsidRPr="001E2968">
        <w:rPr>
          <w:rFonts w:ascii="Arial" w:hAnsi="Arial" w:cs="Arial"/>
          <w:sz w:val="22"/>
          <w:szCs w:val="22"/>
        </w:rPr>
        <w:t xml:space="preserve"> Emerging in the 1940s and 1950s, it challenged traditional trait-based approaches and emphasised that effective leadership is shaped by learned behaviours, adaptable to different situations. This perspective suggests that anyone can become an effective leader through guidance, practice, and self-awareness, highlighting leadership as a skill that can be developed over time.</w:t>
      </w:r>
      <w:r w:rsidR="00217BA6" w:rsidRPr="001E2968">
        <w:rPr>
          <w:rFonts w:ascii="Arial" w:hAnsi="Arial" w:cs="Arial"/>
          <w:sz w:val="22"/>
          <w:szCs w:val="22"/>
        </w:rPr>
        <w:t xml:space="preserve"> Key studies behind this theory such as those from Ohio State University, the University of Michigan, and Blake and Mouton’s Managerial Grid identified important leadership behaviours. These studies showed that leaders need to balance caring for people with achieving results. Behavioural leadership therefore focuses less on who the leader is and more on what the leader does, emphasising practical and flexible ways of managing teams</w:t>
      </w:r>
      <w:r w:rsidR="00611D1C" w:rsidRPr="001E2968">
        <w:rPr>
          <w:rFonts w:ascii="Arial" w:hAnsi="Arial" w:cs="Arial"/>
          <w:sz w:val="22"/>
          <w:szCs w:val="22"/>
        </w:rPr>
        <w:t xml:space="preserve"> (Bhandari, 2025)</w:t>
      </w:r>
      <w:r w:rsidR="00217BA6" w:rsidRPr="001E2968">
        <w:rPr>
          <w:rFonts w:ascii="Arial" w:hAnsi="Arial" w:cs="Arial"/>
          <w:sz w:val="22"/>
          <w:szCs w:val="22"/>
        </w:rPr>
        <w:t>.</w:t>
      </w:r>
    </w:p>
    <w:p w14:paraId="6F9A20D7" w14:textId="4659306B" w:rsidR="00460ED9" w:rsidRPr="001E2968" w:rsidRDefault="00A5301B" w:rsidP="001E2968">
      <w:pPr>
        <w:pStyle w:val="NormalWeb"/>
        <w:spacing w:before="0" w:beforeAutospacing="0" w:after="0" w:afterAutospacing="0" w:line="360" w:lineRule="auto"/>
        <w:contextualSpacing/>
        <w:jc w:val="both"/>
        <w:rPr>
          <w:rFonts w:ascii="Arial" w:hAnsi="Arial" w:cs="Arial"/>
          <w:sz w:val="22"/>
          <w:szCs w:val="22"/>
        </w:rPr>
      </w:pPr>
      <w:r w:rsidRPr="001E2968">
        <w:rPr>
          <w:rFonts w:ascii="Arial" w:hAnsi="Arial" w:cs="Arial"/>
          <w:sz w:val="22"/>
          <w:szCs w:val="22"/>
        </w:rPr>
        <w:t xml:space="preserve">     </w:t>
      </w:r>
      <w:r w:rsidR="00217BA6" w:rsidRPr="001E2968">
        <w:rPr>
          <w:rFonts w:ascii="Arial" w:hAnsi="Arial" w:cs="Arial"/>
          <w:sz w:val="22"/>
          <w:szCs w:val="22"/>
        </w:rPr>
        <w:t xml:space="preserve">Leaders who use this approach usually show qualities such as adapting to different situations, communicating well, showing empathy, making good decisions, and giving team members autonomy. They can adjust their style when needed, </w:t>
      </w:r>
      <w:r w:rsidR="000A08AC" w:rsidRPr="001E2968">
        <w:rPr>
          <w:rFonts w:ascii="Arial" w:hAnsi="Arial" w:cs="Arial"/>
          <w:sz w:val="22"/>
          <w:szCs w:val="22"/>
        </w:rPr>
        <w:t>listen,</w:t>
      </w:r>
      <w:r w:rsidR="00217BA6" w:rsidRPr="001E2968">
        <w:rPr>
          <w:rFonts w:ascii="Arial" w:hAnsi="Arial" w:cs="Arial"/>
          <w:sz w:val="22"/>
          <w:szCs w:val="22"/>
        </w:rPr>
        <w:t xml:space="preserve"> and engage with the team, make informed decisions, and delegate tasks to encourage responsibility and motivation. </w:t>
      </w:r>
      <w:r w:rsidR="00F31BDD" w:rsidRPr="001E2968">
        <w:rPr>
          <w:rFonts w:ascii="Arial" w:hAnsi="Arial" w:cs="Arial"/>
          <w:sz w:val="22"/>
          <w:szCs w:val="22"/>
        </w:rPr>
        <w:t xml:space="preserve">The adoption of behavioural leadership offers clear advantages, including adaptability to diverse circumstances, enhanced team morale and engagement, and improved communication that supports collaboration. However, it also presents disadvantages, such as potential inconsistency in leadership behaviour, significant demands on time and energy to maintain strong relationships and effective communication, and </w:t>
      </w:r>
      <w:r w:rsidR="000A08AC" w:rsidRPr="001E2968">
        <w:rPr>
          <w:rFonts w:ascii="Arial" w:hAnsi="Arial" w:cs="Arial"/>
          <w:sz w:val="22"/>
          <w:szCs w:val="22"/>
        </w:rPr>
        <w:t>challenges</w:t>
      </w:r>
      <w:r w:rsidR="00F31BDD" w:rsidRPr="001E2968">
        <w:rPr>
          <w:rFonts w:ascii="Arial" w:hAnsi="Arial" w:cs="Arial"/>
          <w:sz w:val="22"/>
          <w:szCs w:val="22"/>
        </w:rPr>
        <w:t xml:space="preserve"> in asserting authority in situations that require swift, decisive action.</w:t>
      </w:r>
      <w:r w:rsidR="00217BA6" w:rsidRPr="001E2968">
        <w:rPr>
          <w:rFonts w:ascii="Arial" w:hAnsi="Arial" w:cs="Arial"/>
          <w:sz w:val="22"/>
          <w:szCs w:val="22"/>
        </w:rPr>
        <w:t xml:space="preserve"> </w:t>
      </w:r>
      <w:r w:rsidR="00F31BDD" w:rsidRPr="001E2968">
        <w:rPr>
          <w:rStyle w:val="Tipodeletrapredefinidodopargrafo"/>
          <w:rFonts w:ascii="Arial" w:hAnsi="Arial" w:cs="Arial"/>
          <w:sz w:val="22"/>
          <w:szCs w:val="22"/>
        </w:rPr>
        <w:t xml:space="preserve">In conclusion, the Behavioural Leadership Theory provides a practical and flexible framework for effective leadership. Its emphasis on actions and behaviours over fixed traits makes it </w:t>
      </w:r>
      <w:r w:rsidR="000A08AC" w:rsidRPr="001E2968">
        <w:rPr>
          <w:rStyle w:val="Tipodeletrapredefinidodopargrafo"/>
          <w:rFonts w:ascii="Arial" w:hAnsi="Arial" w:cs="Arial"/>
          <w:sz w:val="22"/>
          <w:szCs w:val="22"/>
        </w:rPr>
        <w:t>applicable</w:t>
      </w:r>
      <w:r w:rsidR="00F31BDD" w:rsidRPr="001E2968">
        <w:rPr>
          <w:rStyle w:val="Tipodeletrapredefinidodopargrafo"/>
          <w:rFonts w:ascii="Arial" w:hAnsi="Arial" w:cs="Arial"/>
          <w:sz w:val="22"/>
          <w:szCs w:val="22"/>
        </w:rPr>
        <w:t xml:space="preserve"> in dynamic organisational contexts, yet its success relies on leaders’ ability to balance adaptability with consistency and to exercise authority when necessary</w:t>
      </w:r>
      <w:r w:rsidR="00611D1C" w:rsidRPr="001E2968">
        <w:rPr>
          <w:rStyle w:val="Tipodeletrapredefinidodopargrafo"/>
          <w:rFonts w:ascii="Arial" w:hAnsi="Arial" w:cs="Arial"/>
          <w:sz w:val="22"/>
          <w:szCs w:val="22"/>
        </w:rPr>
        <w:t xml:space="preserve"> </w:t>
      </w:r>
      <w:r w:rsidR="00611D1C" w:rsidRPr="001E2968">
        <w:rPr>
          <w:rFonts w:ascii="Arial" w:hAnsi="Arial" w:cs="Arial"/>
          <w:sz w:val="22"/>
          <w:szCs w:val="22"/>
        </w:rPr>
        <w:t>(Bhandari, 2025)</w:t>
      </w:r>
      <w:r w:rsidR="00F31BDD" w:rsidRPr="001E2968">
        <w:rPr>
          <w:rFonts w:ascii="Arial" w:hAnsi="Arial" w:cs="Arial"/>
          <w:sz w:val="22"/>
          <w:szCs w:val="22"/>
        </w:rPr>
        <w:t>.</w:t>
      </w:r>
    </w:p>
    <w:p w14:paraId="26B97E46" w14:textId="7F165F03" w:rsidR="00217BA6" w:rsidRPr="001E2968" w:rsidRDefault="00A5301B" w:rsidP="001E2968">
      <w:pPr>
        <w:pStyle w:val="NormalWeb"/>
        <w:spacing w:before="0" w:beforeAutospacing="0" w:after="0" w:afterAutospacing="0" w:line="360" w:lineRule="auto"/>
        <w:contextualSpacing/>
        <w:jc w:val="both"/>
        <w:rPr>
          <w:rStyle w:val="Tipodeletrapredefinidodopargrafo"/>
          <w:rFonts w:ascii="Arial" w:hAnsi="Arial" w:cs="Arial"/>
          <w:sz w:val="22"/>
          <w:szCs w:val="22"/>
        </w:rPr>
      </w:pPr>
      <w:r w:rsidRPr="001E2968">
        <w:rPr>
          <w:rFonts w:ascii="Arial" w:hAnsi="Arial" w:cs="Arial"/>
          <w:sz w:val="22"/>
          <w:szCs w:val="22"/>
        </w:rPr>
        <w:t xml:space="preserve">    </w:t>
      </w:r>
      <w:r w:rsidR="00460ED9" w:rsidRPr="001E2968">
        <w:rPr>
          <w:rFonts w:ascii="Arial" w:hAnsi="Arial" w:cs="Arial"/>
          <w:sz w:val="22"/>
          <w:szCs w:val="22"/>
        </w:rPr>
        <w:t xml:space="preserve">Canada’s response to COVID-19 revealed both the flexibility and the weaknesses of a highly decentralised system. Provincial autonomy allowed measures to be tailored to local conditions, but it also led to delays, inequalities, and inconsistent coordination. Leadership combined transformational elements such as clear communication and appeals to collective </w:t>
      </w:r>
      <w:r w:rsidR="00B30E8E" w:rsidRPr="001E2968">
        <w:rPr>
          <w:rFonts w:ascii="Arial" w:hAnsi="Arial" w:cs="Arial"/>
          <w:sz w:val="22"/>
          <w:szCs w:val="22"/>
        </w:rPr>
        <w:t>responsibility with</w:t>
      </w:r>
      <w:r w:rsidR="00460ED9" w:rsidRPr="001E2968">
        <w:rPr>
          <w:rFonts w:ascii="Arial" w:hAnsi="Arial" w:cs="Arial"/>
          <w:sz w:val="22"/>
          <w:szCs w:val="22"/>
        </w:rPr>
        <w:t xml:space="preserve"> situational approaches that adapted strategies to regional needs. However, the lack of national alignment showed that even effective leadership practices are limited when the governing structure cannot ensure coherence or a unified response.</w:t>
      </w:r>
      <w:r w:rsidR="00F31BDD" w:rsidRPr="001E2968">
        <w:rPr>
          <w:rFonts w:ascii="Arial" w:hAnsi="Arial" w:cs="Arial"/>
          <w:sz w:val="22"/>
          <w:szCs w:val="22"/>
        </w:rPr>
        <w:t xml:space="preserve"> </w:t>
      </w:r>
    </w:p>
    <w:p w14:paraId="71A7AA13" w14:textId="77777777" w:rsidR="00726C6C" w:rsidRPr="001E2968" w:rsidRDefault="00726C6C" w:rsidP="001E2968">
      <w:pPr>
        <w:pageBreakBefore/>
        <w:spacing w:line="360" w:lineRule="auto"/>
        <w:jc w:val="both"/>
        <w:rPr>
          <w:rFonts w:ascii="Arial" w:hAnsi="Arial" w:cs="Arial"/>
          <w:b/>
          <w:bCs/>
          <w:sz w:val="22"/>
          <w:szCs w:val="22"/>
        </w:rPr>
      </w:pPr>
    </w:p>
    <w:p w14:paraId="48348167" w14:textId="6C050CC2" w:rsidR="00726C6C" w:rsidRPr="001E2968" w:rsidRDefault="00F31BDD" w:rsidP="001E2968">
      <w:pPr>
        <w:spacing w:line="360" w:lineRule="auto"/>
        <w:jc w:val="both"/>
        <w:rPr>
          <w:rFonts w:ascii="Arial" w:hAnsi="Arial" w:cs="Arial"/>
          <w:b/>
          <w:bCs/>
          <w:sz w:val="22"/>
          <w:szCs w:val="22"/>
        </w:rPr>
      </w:pPr>
      <w:r w:rsidRPr="001E2968">
        <w:rPr>
          <w:rFonts w:ascii="Arial" w:hAnsi="Arial" w:cs="Arial"/>
          <w:b/>
          <w:bCs/>
          <w:sz w:val="22"/>
          <w:szCs w:val="22"/>
        </w:rPr>
        <w:t>South Korea</w:t>
      </w:r>
      <w:r w:rsidR="00BA4AAC" w:rsidRPr="001E2968">
        <w:rPr>
          <w:rFonts w:ascii="Arial" w:hAnsi="Arial" w:cs="Arial"/>
          <w:b/>
          <w:bCs/>
          <w:sz w:val="22"/>
          <w:szCs w:val="22"/>
        </w:rPr>
        <w:t xml:space="preserve">: </w:t>
      </w:r>
      <w:r w:rsidR="0028711B" w:rsidRPr="001E2968">
        <w:rPr>
          <w:rFonts w:ascii="Arial" w:hAnsi="Arial" w:cs="Arial"/>
          <w:b/>
          <w:bCs/>
          <w:sz w:val="22"/>
          <w:szCs w:val="22"/>
        </w:rPr>
        <w:t>Healthcare</w:t>
      </w:r>
      <w:r w:rsidR="00BA4AAC" w:rsidRPr="001E2968">
        <w:rPr>
          <w:rFonts w:ascii="Arial" w:hAnsi="Arial" w:cs="Arial"/>
          <w:b/>
          <w:bCs/>
          <w:sz w:val="22"/>
          <w:szCs w:val="22"/>
        </w:rPr>
        <w:t xml:space="preserve"> System and Covid-19 </w:t>
      </w:r>
      <w:r w:rsidR="0028711B" w:rsidRPr="001E2968">
        <w:rPr>
          <w:rFonts w:ascii="Arial" w:hAnsi="Arial" w:cs="Arial"/>
          <w:b/>
          <w:bCs/>
          <w:sz w:val="22"/>
          <w:szCs w:val="22"/>
        </w:rPr>
        <w:t>Response</w:t>
      </w:r>
    </w:p>
    <w:p w14:paraId="13A64CA6" w14:textId="2ACF4F76" w:rsidR="00BA4AAC" w:rsidRPr="001E2968" w:rsidRDefault="00BA4AAC" w:rsidP="001E2968">
      <w:pPr>
        <w:spacing w:line="360" w:lineRule="auto"/>
        <w:jc w:val="both"/>
        <w:rPr>
          <w:rFonts w:ascii="Arial" w:hAnsi="Arial" w:cs="Arial"/>
          <w:b/>
          <w:bCs/>
          <w:sz w:val="22"/>
          <w:szCs w:val="22"/>
        </w:rPr>
      </w:pPr>
      <w:r w:rsidRPr="001E2968">
        <w:rPr>
          <w:rFonts w:ascii="Arial" w:hAnsi="Arial" w:cs="Arial"/>
          <w:b/>
          <w:bCs/>
          <w:sz w:val="22"/>
          <w:szCs w:val="22"/>
        </w:rPr>
        <w:t>General Overview</w:t>
      </w:r>
    </w:p>
    <w:p w14:paraId="215538D7" w14:textId="6675A250" w:rsidR="00726C6C" w:rsidRPr="001E2968" w:rsidRDefault="00A5301B" w:rsidP="001E2968">
      <w:pPr>
        <w:spacing w:line="360" w:lineRule="auto"/>
        <w:jc w:val="both"/>
        <w:rPr>
          <w:rFonts w:ascii="Arial" w:hAnsi="Arial" w:cs="Arial"/>
          <w:sz w:val="22"/>
          <w:szCs w:val="22"/>
        </w:rPr>
      </w:pPr>
      <w:r w:rsidRPr="001E2968">
        <w:rPr>
          <w:rFonts w:ascii="Arial" w:hAnsi="Arial" w:cs="Arial"/>
          <w:sz w:val="22"/>
          <w:szCs w:val="22"/>
        </w:rPr>
        <w:t xml:space="preserve">      </w:t>
      </w:r>
      <w:r w:rsidR="00D21D82" w:rsidRPr="001E2968">
        <w:rPr>
          <w:rFonts w:ascii="Arial" w:hAnsi="Arial" w:cs="Arial"/>
          <w:sz w:val="22"/>
          <w:szCs w:val="22"/>
        </w:rPr>
        <w:t>South Korea, on the southern Korean Peninsula, has the capital Seoul. Mountainous terrain and narrow plains influence population distribution and economic hubs</w:t>
      </w:r>
      <w:r w:rsidR="00785F9B" w:rsidRPr="001E2968">
        <w:rPr>
          <w:rStyle w:val="Tipodeletrapredefinidodopargrafo"/>
          <w:rFonts w:ascii="Arial" w:hAnsi="Arial" w:cs="Arial"/>
          <w:sz w:val="22"/>
          <w:szCs w:val="22"/>
        </w:rPr>
        <w:t xml:space="preserve"> (Hahn, 2025)</w:t>
      </w:r>
      <w:r w:rsidR="00F31BDD" w:rsidRPr="001E2968">
        <w:rPr>
          <w:rStyle w:val="Tipodeletrapredefinidodopargrafo"/>
          <w:rFonts w:ascii="Arial" w:hAnsi="Arial" w:cs="Arial"/>
          <w:sz w:val="22"/>
          <w:szCs w:val="22"/>
        </w:rPr>
        <w:t>.</w:t>
      </w:r>
      <w:r w:rsidR="001B5EB4" w:rsidRPr="001E2968">
        <w:rPr>
          <w:rStyle w:val="Tipodeletrapredefinidodopargrafo"/>
          <w:rFonts w:ascii="Arial" w:hAnsi="Arial" w:cs="Arial"/>
          <w:sz w:val="22"/>
          <w:szCs w:val="22"/>
        </w:rPr>
        <w:t xml:space="preserve"> </w:t>
      </w:r>
    </w:p>
    <w:p w14:paraId="0862E595" w14:textId="73157051" w:rsidR="00726C6C" w:rsidRPr="001E2968" w:rsidRDefault="00F31BDD" w:rsidP="001E2968">
      <w:pPr>
        <w:spacing w:after="0" w:line="360" w:lineRule="auto"/>
        <w:jc w:val="both"/>
        <w:rPr>
          <w:rFonts w:ascii="Arial" w:hAnsi="Arial" w:cs="Arial"/>
          <w:b/>
          <w:bCs/>
          <w:sz w:val="22"/>
          <w:szCs w:val="22"/>
        </w:rPr>
      </w:pPr>
      <w:r w:rsidRPr="001E2968">
        <w:rPr>
          <w:rFonts w:ascii="Arial" w:hAnsi="Arial" w:cs="Arial"/>
          <w:b/>
          <w:bCs/>
          <w:sz w:val="22"/>
          <w:szCs w:val="22"/>
        </w:rPr>
        <w:t>The South Korea</w:t>
      </w:r>
      <w:r w:rsidR="00BA4AAC" w:rsidRPr="001E2968">
        <w:rPr>
          <w:rFonts w:ascii="Arial" w:hAnsi="Arial" w:cs="Arial"/>
          <w:b/>
          <w:bCs/>
          <w:sz w:val="22"/>
          <w:szCs w:val="22"/>
        </w:rPr>
        <w:t xml:space="preserve"> </w:t>
      </w:r>
      <w:r w:rsidR="00BA4AAC" w:rsidRPr="001E2968">
        <w:rPr>
          <w:rFonts w:ascii="Arial" w:hAnsi="Arial" w:cs="Arial"/>
          <w:b/>
          <w:bCs/>
          <w:sz w:val="22"/>
          <w:szCs w:val="22"/>
        </w:rPr>
        <w:t>healthcare system</w:t>
      </w:r>
    </w:p>
    <w:p w14:paraId="1E4DBC18" w14:textId="73F1DCAC" w:rsidR="00726C6C" w:rsidRPr="001E2968" w:rsidRDefault="00A5301B" w:rsidP="001E2968">
      <w:pPr>
        <w:suppressAutoHyphens w:val="0"/>
        <w:spacing w:after="0" w:line="360" w:lineRule="auto"/>
        <w:contextualSpacing/>
        <w:jc w:val="both"/>
        <w:rPr>
          <w:rFonts w:ascii="Arial" w:eastAsia="Times New Roman" w:hAnsi="Arial" w:cs="Arial"/>
          <w:kern w:val="0"/>
          <w:sz w:val="22"/>
          <w:szCs w:val="22"/>
          <w:lang w:eastAsia="zh-CN"/>
        </w:rPr>
      </w:pPr>
      <w:r w:rsidRPr="001E2968">
        <w:rPr>
          <w:rFonts w:ascii="Arial" w:hAnsi="Arial" w:cs="Arial"/>
          <w:sz w:val="22"/>
          <w:szCs w:val="22"/>
        </w:rPr>
        <w:t xml:space="preserve">      </w:t>
      </w:r>
      <w:r w:rsidR="00F31BDD" w:rsidRPr="001E2968">
        <w:rPr>
          <w:rFonts w:ascii="Arial" w:hAnsi="Arial" w:cs="Arial"/>
          <w:sz w:val="22"/>
          <w:szCs w:val="22"/>
        </w:rPr>
        <w:t>The healthcare system in South Korea, known as the National Health Insurance (NHI) system, provides universal coverage to all citizens</w:t>
      </w:r>
      <w:r w:rsidR="00785F9B" w:rsidRPr="001E2968">
        <w:rPr>
          <w:rFonts w:ascii="Arial" w:hAnsi="Arial" w:cs="Arial"/>
          <w:sz w:val="22"/>
          <w:szCs w:val="22"/>
        </w:rPr>
        <w:t xml:space="preserve"> (HIRA, n.d.)</w:t>
      </w:r>
      <w:r w:rsidR="00B30E8E" w:rsidRPr="001E2968">
        <w:rPr>
          <w:rFonts w:ascii="Arial" w:hAnsi="Arial" w:cs="Arial"/>
          <w:sz w:val="22"/>
          <w:szCs w:val="22"/>
        </w:rPr>
        <w:t xml:space="preserve"> </w:t>
      </w:r>
      <w:r w:rsidR="00B30E8E" w:rsidRPr="001E2968">
        <w:rPr>
          <w:rFonts w:ascii="Arial" w:eastAsia="Times New Roman" w:hAnsi="Arial" w:cs="Arial"/>
          <w:kern w:val="0"/>
          <w:sz w:val="22"/>
          <w:szCs w:val="22"/>
          <w:lang w:eastAsia="zh-CN"/>
        </w:rPr>
        <w:t>(Lee, 2003)</w:t>
      </w:r>
      <w:r w:rsidR="00F31BDD" w:rsidRPr="001E2968">
        <w:rPr>
          <w:rFonts w:ascii="Arial" w:hAnsi="Arial" w:cs="Arial"/>
          <w:sz w:val="22"/>
          <w:szCs w:val="22"/>
        </w:rPr>
        <w:t>. It is funded through contributions from insured individuals and government subsidies and is overseen by the Ministry of Health and Welfare (MoHW), with support from the NHIS, which acts as the insurer, responsible for reviewing and assessing the quality of healthcare services.</w:t>
      </w:r>
      <w:r w:rsidR="00785F9B" w:rsidRPr="001E2968">
        <w:rPr>
          <w:rFonts w:ascii="Arial" w:hAnsi="Arial" w:cs="Arial"/>
          <w:sz w:val="22"/>
          <w:szCs w:val="22"/>
        </w:rPr>
        <w:t xml:space="preserve"> </w:t>
      </w:r>
      <w:r w:rsidR="00F31BDD" w:rsidRPr="001E2968">
        <w:rPr>
          <w:rFonts w:ascii="Arial" w:hAnsi="Arial" w:cs="Arial"/>
          <w:sz w:val="22"/>
          <w:szCs w:val="22"/>
        </w:rPr>
        <w:t>The Ministry has implemented various social security programmes to ensure a basic standard of living and improve overall quality of life, encompassing social insurance, public assistance, and welfare services. The system has two main components: mandatory social health insurance and medical aid, the latter aimed at low-income groups and funded by government subsidies</w:t>
      </w:r>
      <w:r w:rsidR="00A82823" w:rsidRPr="001E2968">
        <w:rPr>
          <w:rFonts w:ascii="Arial" w:hAnsi="Arial" w:cs="Arial"/>
          <w:sz w:val="22"/>
          <w:szCs w:val="22"/>
        </w:rPr>
        <w:t xml:space="preserve"> (HIRA, n.d.)</w:t>
      </w:r>
      <w:r w:rsidR="00B30E8E" w:rsidRPr="001E2968">
        <w:rPr>
          <w:rFonts w:ascii="Arial" w:hAnsi="Arial" w:cs="Arial"/>
          <w:sz w:val="22"/>
          <w:szCs w:val="22"/>
        </w:rPr>
        <w:t xml:space="preserve"> </w:t>
      </w:r>
      <w:r w:rsidR="00B30E8E" w:rsidRPr="001E2968">
        <w:rPr>
          <w:rFonts w:ascii="Arial" w:eastAsia="Times New Roman" w:hAnsi="Arial" w:cs="Arial"/>
          <w:kern w:val="0"/>
          <w:sz w:val="22"/>
          <w:szCs w:val="22"/>
          <w:lang w:eastAsia="zh-CN"/>
        </w:rPr>
        <w:t>(Lee, 2003)</w:t>
      </w:r>
      <w:r w:rsidR="00F31BDD" w:rsidRPr="001E2968">
        <w:rPr>
          <w:rFonts w:ascii="Arial" w:hAnsi="Arial" w:cs="Arial"/>
          <w:sz w:val="22"/>
          <w:szCs w:val="22"/>
        </w:rPr>
        <w:t>.</w:t>
      </w:r>
    </w:p>
    <w:p w14:paraId="27265D44" w14:textId="36083CE6" w:rsidR="00A82823" w:rsidRPr="001E2968" w:rsidRDefault="00A5301B" w:rsidP="001E2968">
      <w:pPr>
        <w:spacing w:after="0" w:line="360" w:lineRule="auto"/>
        <w:contextualSpacing/>
        <w:jc w:val="both"/>
        <w:rPr>
          <w:rStyle w:val="Tipodeletrapredefinidodopargrafo"/>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In South Korea, the predominant payment model is fee-for-service (FFS), used for outpatient and most hospital care, which encourages a higher volume of services delivered by healthcare professionals. In 2012, diagnosis-related group (DRG) based payment was introduced for seven disease groups.</w:t>
      </w:r>
      <w:r w:rsidR="00785F9B" w:rsidRPr="001E2968">
        <w:rPr>
          <w:rFonts w:ascii="Arial" w:hAnsi="Arial" w:cs="Arial"/>
          <w:sz w:val="22"/>
          <w:szCs w:val="22"/>
        </w:rPr>
        <w:t xml:space="preserve"> </w:t>
      </w:r>
      <w:r w:rsidR="00F31BDD" w:rsidRPr="001E2968">
        <w:rPr>
          <w:rFonts w:ascii="Arial" w:hAnsi="Arial" w:cs="Arial"/>
          <w:sz w:val="22"/>
          <w:szCs w:val="22"/>
        </w:rPr>
        <w:t>Healthcare providers submit reimbursement claims through the Medical Claims Portal (MCPoS). The system uses IT to automatically detect errors or omissions, conducts electronic reviews based on predefined criteria, and examines atypical cases thoroughly with professionals or specialised committees. After review, the results are sent to NHIS for reimbursement processing to providers.</w:t>
      </w:r>
      <w:r w:rsidR="00785F9B" w:rsidRPr="001E2968">
        <w:rPr>
          <w:rFonts w:ascii="Arial" w:hAnsi="Arial" w:cs="Arial"/>
          <w:sz w:val="22"/>
          <w:szCs w:val="22"/>
        </w:rPr>
        <w:t xml:space="preserve"> </w:t>
      </w:r>
      <w:r w:rsidR="00F31BDD" w:rsidRPr="001E2968">
        <w:rPr>
          <w:rStyle w:val="Tipodeletrapredefinidodopargrafo"/>
          <w:rFonts w:ascii="Arial" w:hAnsi="Arial" w:cs="Arial"/>
          <w:sz w:val="22"/>
          <w:szCs w:val="22"/>
        </w:rPr>
        <w:t>Overall, South Korea’s NHI is a centralised, universal, and insurance-based system, combining government oversight, quality assessment, and structured reimbursement mechanisms,</w:t>
      </w:r>
      <w:r w:rsidR="00A82823" w:rsidRPr="001E2968">
        <w:rPr>
          <w:rStyle w:val="Tipodeletrapredefinidodopargrafo"/>
          <w:rFonts w:ascii="Arial" w:hAnsi="Arial" w:cs="Arial"/>
          <w:sz w:val="22"/>
          <w:szCs w:val="22"/>
        </w:rPr>
        <w:t xml:space="preserve"> ensuring broad access to healthcare for the entire population </w:t>
      </w:r>
      <w:r w:rsidR="00A82823" w:rsidRPr="001E2968">
        <w:rPr>
          <w:rFonts w:ascii="Arial" w:hAnsi="Arial" w:cs="Arial"/>
          <w:sz w:val="22"/>
          <w:szCs w:val="22"/>
        </w:rPr>
        <w:t>(HIRA, n.d.).</w:t>
      </w:r>
    </w:p>
    <w:p w14:paraId="21D021CC" w14:textId="77777777" w:rsidR="00726C6C" w:rsidRPr="001E2968" w:rsidRDefault="00726C6C" w:rsidP="001E2968">
      <w:pPr>
        <w:spacing w:line="360" w:lineRule="auto"/>
        <w:jc w:val="both"/>
        <w:rPr>
          <w:rFonts w:ascii="Arial" w:hAnsi="Arial" w:cs="Arial"/>
          <w:b/>
          <w:bCs/>
          <w:sz w:val="22"/>
          <w:szCs w:val="22"/>
        </w:rPr>
      </w:pPr>
    </w:p>
    <w:p w14:paraId="48AD48CE" w14:textId="28735627" w:rsidR="00726C6C" w:rsidRPr="001E2968" w:rsidRDefault="00BA4AAC" w:rsidP="001E2968">
      <w:pPr>
        <w:spacing w:after="0" w:line="360" w:lineRule="auto"/>
        <w:jc w:val="both"/>
        <w:rPr>
          <w:rFonts w:ascii="Arial" w:hAnsi="Arial" w:cs="Arial"/>
          <w:b/>
          <w:bCs/>
          <w:sz w:val="22"/>
          <w:szCs w:val="22"/>
        </w:rPr>
      </w:pPr>
      <w:r w:rsidRPr="001E2968">
        <w:rPr>
          <w:rFonts w:ascii="Arial" w:hAnsi="Arial" w:cs="Arial"/>
          <w:b/>
          <w:bCs/>
          <w:sz w:val="22"/>
          <w:szCs w:val="22"/>
        </w:rPr>
        <w:t xml:space="preserve">Covid-19 and </w:t>
      </w:r>
      <w:r w:rsidR="00F31BDD" w:rsidRPr="001E2968">
        <w:rPr>
          <w:rFonts w:ascii="Arial" w:hAnsi="Arial" w:cs="Arial"/>
          <w:b/>
          <w:bCs/>
          <w:sz w:val="22"/>
          <w:szCs w:val="22"/>
        </w:rPr>
        <w:t xml:space="preserve">South Korea’s response </w:t>
      </w:r>
    </w:p>
    <w:p w14:paraId="2C067CC0" w14:textId="77777777" w:rsidR="00A5301B" w:rsidRPr="001E2968" w:rsidRDefault="00A5301B"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South Korea’s response to COVID-19 can be understood through a combination of centralized and decentralized governance</w:t>
      </w:r>
      <w:r w:rsidR="006574B0" w:rsidRPr="001E2968">
        <w:rPr>
          <w:rFonts w:ascii="Arial" w:hAnsi="Arial" w:cs="Arial"/>
          <w:sz w:val="22"/>
          <w:szCs w:val="22"/>
        </w:rPr>
        <w:t xml:space="preserve"> </w:t>
      </w:r>
      <w:r w:rsidR="006574B0" w:rsidRPr="001E2968">
        <w:rPr>
          <w:rFonts w:ascii="Arial" w:eastAsia="Times New Roman" w:hAnsi="Arial" w:cs="Arial"/>
          <w:kern w:val="0"/>
          <w:sz w:val="22"/>
          <w:szCs w:val="22"/>
          <w:lang w:eastAsia="zh-CN"/>
        </w:rPr>
        <w:t>(Kim and Jeong, 2022</w:t>
      </w:r>
      <w:r w:rsidR="000E1BF3" w:rsidRPr="001E2968">
        <w:rPr>
          <w:rFonts w:ascii="Arial" w:eastAsia="Times New Roman" w:hAnsi="Arial" w:cs="Arial"/>
          <w:kern w:val="0"/>
          <w:sz w:val="22"/>
          <w:szCs w:val="22"/>
          <w:lang w:eastAsia="zh-CN"/>
        </w:rPr>
        <w:t>a</w:t>
      </w:r>
      <w:r w:rsidR="006574B0" w:rsidRPr="001E2968">
        <w:rPr>
          <w:rFonts w:ascii="Arial" w:eastAsia="Times New Roman" w:hAnsi="Arial" w:cs="Arial"/>
          <w:kern w:val="0"/>
          <w:sz w:val="22"/>
          <w:szCs w:val="22"/>
          <w:lang w:eastAsia="zh-CN"/>
        </w:rPr>
        <w:t>)</w:t>
      </w:r>
      <w:r w:rsidR="00F31BDD" w:rsidRPr="001E2968">
        <w:rPr>
          <w:rFonts w:ascii="Arial" w:hAnsi="Arial" w:cs="Arial"/>
          <w:sz w:val="22"/>
          <w:szCs w:val="22"/>
        </w:rPr>
        <w:t xml:space="preserve">. The central government provided national guidelines, strategies, and coordination, while local governments actively adapted these measures to local needs and developed their own initiatives. This dual approach allowed flexibility and rapid implementation at the local level, while maintaining national </w:t>
      </w:r>
      <w:r w:rsidR="006574B0" w:rsidRPr="001E2968">
        <w:rPr>
          <w:rFonts w:ascii="Arial" w:hAnsi="Arial" w:cs="Arial"/>
          <w:sz w:val="22"/>
          <w:szCs w:val="22"/>
        </w:rPr>
        <w:t>coherence. During</w:t>
      </w:r>
      <w:r w:rsidR="00F31BDD" w:rsidRPr="001E2968">
        <w:rPr>
          <w:rFonts w:ascii="Arial" w:hAnsi="Arial" w:cs="Arial"/>
          <w:sz w:val="22"/>
          <w:szCs w:val="22"/>
        </w:rPr>
        <w:t xml:space="preserve"> the first two months of the pandemic, South Korea recorded the second </w:t>
      </w:r>
      <w:r w:rsidR="00F31BDD" w:rsidRPr="001E2968">
        <w:rPr>
          <w:rFonts w:ascii="Arial" w:hAnsi="Arial" w:cs="Arial"/>
          <w:sz w:val="22"/>
          <w:szCs w:val="22"/>
        </w:rPr>
        <w:lastRenderedPageBreak/>
        <w:t xml:space="preserve">highest number of cases globally but successfully reduced new infections and maintained a low mortality rate. The country implemented the 3T strategy: testing, tracing, and treatment, which formed the backbone of its public health response. Testing (diagnostic screening of suspected cases), tracing (tracking and monitoring contacts of infected individuals), and treatment (providing appropriate medical care for confirmed cases) were the key pillars of this approach. </w:t>
      </w:r>
    </w:p>
    <w:p w14:paraId="2CC4E793" w14:textId="783B5219" w:rsidR="00726C6C" w:rsidRPr="001E2968" w:rsidRDefault="00A5301B" w:rsidP="001E2968">
      <w:pPr>
        <w:suppressAutoHyphens w:val="0"/>
        <w:spacing w:after="0" w:line="360" w:lineRule="auto"/>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 xml:space="preserve">The government, both central and local, quickly recognised the threat and activated emergency response protocols. Community transmission was limited through meticulous contact tracing, quarantine (mandatory separation of exposed individuals), isolation (separation of confirmed cases), and selective physical distancing measures. Local governments adapted national guidelines to meet local needs </w:t>
      </w:r>
      <w:r w:rsidR="006574B0" w:rsidRPr="001E2968">
        <w:rPr>
          <w:rFonts w:ascii="Arial" w:hAnsi="Arial" w:cs="Arial"/>
          <w:sz w:val="22"/>
          <w:szCs w:val="22"/>
        </w:rPr>
        <w:t>and</w:t>
      </w:r>
      <w:r w:rsidR="00F31BDD" w:rsidRPr="001E2968">
        <w:rPr>
          <w:rFonts w:ascii="Arial" w:hAnsi="Arial" w:cs="Arial"/>
          <w:sz w:val="22"/>
          <w:szCs w:val="22"/>
        </w:rPr>
        <w:t xml:space="preserve"> developed their own initiatives, such as drive-through testing centres, safe accommodation for self-isolation, financial support for businesses and citizens, and mental health services. The healthcare system was reorganised to separate COVID-19 and non-COVID-19 care, reallocating resources such as hospital beds, medical staff, and equipment</w:t>
      </w:r>
      <w:r w:rsidR="006574B0" w:rsidRPr="001E2968">
        <w:rPr>
          <w:rFonts w:ascii="Arial" w:hAnsi="Arial" w:cs="Arial"/>
          <w:sz w:val="22"/>
          <w:szCs w:val="22"/>
        </w:rPr>
        <w:t xml:space="preserve"> </w:t>
      </w:r>
      <w:r w:rsidR="006574B0" w:rsidRPr="001E2968">
        <w:rPr>
          <w:rFonts w:ascii="Arial" w:eastAsia="Times New Roman" w:hAnsi="Arial" w:cs="Arial"/>
          <w:kern w:val="0"/>
          <w:sz w:val="22"/>
          <w:szCs w:val="22"/>
          <w:lang w:eastAsia="zh-CN"/>
        </w:rPr>
        <w:t>(Kim and Jeong, 2022</w:t>
      </w:r>
      <w:r w:rsidR="000E1BF3" w:rsidRPr="001E2968">
        <w:rPr>
          <w:rFonts w:ascii="Arial" w:eastAsia="Times New Roman" w:hAnsi="Arial" w:cs="Arial"/>
          <w:kern w:val="0"/>
          <w:sz w:val="22"/>
          <w:szCs w:val="22"/>
          <w:lang w:eastAsia="zh-CN"/>
        </w:rPr>
        <w:t>a</w:t>
      </w:r>
      <w:r w:rsidR="006574B0" w:rsidRPr="001E2968">
        <w:rPr>
          <w:rFonts w:ascii="Arial" w:eastAsia="Times New Roman" w:hAnsi="Arial" w:cs="Arial"/>
          <w:kern w:val="0"/>
          <w:sz w:val="22"/>
          <w:szCs w:val="22"/>
          <w:lang w:eastAsia="zh-CN"/>
        </w:rPr>
        <w:t xml:space="preserve">) (Oh </w:t>
      </w:r>
      <w:r w:rsidR="006574B0" w:rsidRPr="001E2968">
        <w:rPr>
          <w:rFonts w:ascii="Arial" w:eastAsia="Times New Roman" w:hAnsi="Arial" w:cs="Arial"/>
          <w:i/>
          <w:iCs/>
          <w:kern w:val="0"/>
          <w:sz w:val="22"/>
          <w:szCs w:val="22"/>
          <w:lang w:eastAsia="zh-CN"/>
        </w:rPr>
        <w:t>et al.</w:t>
      </w:r>
      <w:r w:rsidR="006574B0" w:rsidRPr="001E2968">
        <w:rPr>
          <w:rFonts w:ascii="Arial" w:eastAsia="Times New Roman" w:hAnsi="Arial" w:cs="Arial"/>
          <w:kern w:val="0"/>
          <w:sz w:val="22"/>
          <w:szCs w:val="22"/>
          <w:lang w:eastAsia="zh-CN"/>
        </w:rPr>
        <w:t>, 2020)</w:t>
      </w:r>
      <w:r w:rsidR="00F31BDD" w:rsidRPr="001E2968">
        <w:rPr>
          <w:rFonts w:ascii="Arial" w:hAnsi="Arial" w:cs="Arial"/>
          <w:sz w:val="22"/>
          <w:szCs w:val="22"/>
        </w:rPr>
        <w:t>.</w:t>
      </w:r>
    </w:p>
    <w:p w14:paraId="2286D27A" w14:textId="77777777" w:rsidR="00A5301B" w:rsidRPr="001E2968" w:rsidRDefault="00A5301B" w:rsidP="001E2968">
      <w:pPr>
        <w:spacing w:after="0" w:line="360" w:lineRule="auto"/>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Authorities enforced mandatory mask usage, social distancing, and hygiene measures, while local authorities introduced additional programs like reporting systems for guideline violations, safe zones for businesses, and contactless delivery apps to support the local economy. Public-private partnerships enabled rapid deployment of polymerase chain reaction (PCR) testing, and drive-through testing reduced exposure risk while preserving personal protective equipment (PPE). South Korea avoided large-scale lockdowns and border closures, relying instead on aggressive testing, monitoring, and targeted quarantines, which also helped mitigate economic impacts</w:t>
      </w:r>
      <w:r w:rsidR="006574B0" w:rsidRPr="001E2968">
        <w:rPr>
          <w:rFonts w:ascii="Arial" w:hAnsi="Arial" w:cs="Arial"/>
          <w:sz w:val="22"/>
          <w:szCs w:val="22"/>
        </w:rPr>
        <w:t xml:space="preserve">. </w:t>
      </w:r>
      <w:r w:rsidR="00F31BDD" w:rsidRPr="001E2968">
        <w:rPr>
          <w:rFonts w:ascii="Arial" w:hAnsi="Arial" w:cs="Arial"/>
          <w:sz w:val="22"/>
          <w:szCs w:val="22"/>
        </w:rPr>
        <w:t>The country’s prior experience with the 2015 MERS (Middle East Respiratory Syndrome) outbreak contributed to effective preparedness and rapid, evidence-based decision-making, as well as higher public compliance with health measures. Local governments played a crucial role in implementing policies and addressing gaps, but challenges remained, including maintaining sufficient healthcare personnel and PPE, and managing inequalities between regions in financial resources and public services</w:t>
      </w:r>
      <w:r w:rsidR="006574B0" w:rsidRPr="001E2968">
        <w:rPr>
          <w:rFonts w:ascii="Arial" w:hAnsi="Arial" w:cs="Arial"/>
          <w:sz w:val="22"/>
          <w:szCs w:val="22"/>
        </w:rPr>
        <w:t xml:space="preserve"> </w:t>
      </w:r>
      <w:r w:rsidR="006574B0" w:rsidRPr="001E2968">
        <w:rPr>
          <w:rFonts w:ascii="Arial" w:eastAsia="Times New Roman" w:hAnsi="Arial" w:cs="Arial"/>
          <w:kern w:val="0"/>
          <w:sz w:val="22"/>
          <w:szCs w:val="22"/>
          <w:lang w:eastAsia="zh-CN"/>
        </w:rPr>
        <w:t>(Kim and Jeong, 2022</w:t>
      </w:r>
      <w:r w:rsidR="000E1BF3" w:rsidRPr="001E2968">
        <w:rPr>
          <w:rFonts w:ascii="Arial" w:eastAsia="Times New Roman" w:hAnsi="Arial" w:cs="Arial"/>
          <w:kern w:val="0"/>
          <w:sz w:val="22"/>
          <w:szCs w:val="22"/>
          <w:lang w:eastAsia="zh-CN"/>
        </w:rPr>
        <w:t>a</w:t>
      </w:r>
      <w:r w:rsidR="006574B0" w:rsidRPr="001E2968">
        <w:rPr>
          <w:rFonts w:ascii="Arial" w:eastAsia="Times New Roman" w:hAnsi="Arial" w:cs="Arial"/>
          <w:kern w:val="0"/>
          <w:sz w:val="22"/>
          <w:szCs w:val="22"/>
          <w:lang w:eastAsia="zh-CN"/>
        </w:rPr>
        <w:t xml:space="preserve">) (Oh </w:t>
      </w:r>
      <w:r w:rsidR="006574B0" w:rsidRPr="001E2968">
        <w:rPr>
          <w:rFonts w:ascii="Arial" w:eastAsia="Times New Roman" w:hAnsi="Arial" w:cs="Arial"/>
          <w:i/>
          <w:iCs/>
          <w:kern w:val="0"/>
          <w:sz w:val="22"/>
          <w:szCs w:val="22"/>
          <w:lang w:eastAsia="zh-CN"/>
        </w:rPr>
        <w:t>et al.</w:t>
      </w:r>
      <w:r w:rsidR="006574B0" w:rsidRPr="001E2968">
        <w:rPr>
          <w:rFonts w:ascii="Arial" w:eastAsia="Times New Roman" w:hAnsi="Arial" w:cs="Arial"/>
          <w:kern w:val="0"/>
          <w:sz w:val="22"/>
          <w:szCs w:val="22"/>
          <w:lang w:eastAsia="zh-CN"/>
        </w:rPr>
        <w:t>, 2020)</w:t>
      </w:r>
      <w:r w:rsidR="00F31BDD" w:rsidRPr="001E2968">
        <w:rPr>
          <w:rFonts w:ascii="Arial" w:hAnsi="Arial" w:cs="Arial"/>
          <w:sz w:val="22"/>
          <w:szCs w:val="22"/>
        </w:rPr>
        <w:t>.</w:t>
      </w:r>
      <w:r w:rsidR="006574B0" w:rsidRPr="001E2968">
        <w:rPr>
          <w:rFonts w:ascii="Arial" w:hAnsi="Arial" w:cs="Arial"/>
          <w:sz w:val="22"/>
          <w:szCs w:val="22"/>
        </w:rPr>
        <w:t xml:space="preserve"> </w:t>
      </w:r>
    </w:p>
    <w:p w14:paraId="318B4AD9" w14:textId="2AF13DEA" w:rsidR="00021A36" w:rsidRPr="001E2968" w:rsidRDefault="00A5301B" w:rsidP="001E2968">
      <w:pPr>
        <w:spacing w:after="0" w:line="360" w:lineRule="auto"/>
        <w:jc w:val="both"/>
        <w:rPr>
          <w:rFonts w:ascii="Arial" w:hAnsi="Arial" w:cs="Arial"/>
          <w:sz w:val="22"/>
          <w:szCs w:val="22"/>
        </w:rPr>
      </w:pPr>
      <w:r w:rsidRPr="001E2968">
        <w:rPr>
          <w:rFonts w:ascii="Arial" w:hAnsi="Arial" w:cs="Arial"/>
          <w:sz w:val="22"/>
          <w:szCs w:val="22"/>
        </w:rPr>
        <w:t xml:space="preserve">     </w:t>
      </w:r>
      <w:r w:rsidR="00021A36" w:rsidRPr="001E2968">
        <w:rPr>
          <w:rFonts w:ascii="Arial" w:hAnsi="Arial" w:cs="Arial"/>
          <w:sz w:val="22"/>
          <w:szCs w:val="22"/>
        </w:rPr>
        <w:t>Overall, South Korea’s approach highlights the importance of early threat recognition, large-scale testing, and the prevention of community transmission, combined with flexible allocation of clinical resources. By integrating strong national guidance with local adaptation, the country was able to respond quickly and cohesively. In contrast, Spain’s centralised approach, followed by phased decentralisation, caused operational delays, while Canada’s reliance on provincial autonomy slowed the implementation of uniform measures. South Korea’s strategy shows how balancing central oversight with local flexibility can create an effective model for managing pandemics.</w:t>
      </w:r>
    </w:p>
    <w:p w14:paraId="60C283A7" w14:textId="73878878" w:rsidR="00726C6C" w:rsidRPr="001E2968" w:rsidRDefault="00F31BDD" w:rsidP="001E2968">
      <w:pPr>
        <w:spacing w:after="0" w:line="360" w:lineRule="auto"/>
        <w:jc w:val="both"/>
        <w:rPr>
          <w:rFonts w:ascii="Arial" w:hAnsi="Arial" w:cs="Arial"/>
          <w:sz w:val="22"/>
          <w:szCs w:val="22"/>
        </w:rPr>
      </w:pPr>
      <w:r w:rsidRPr="001E2968">
        <w:rPr>
          <w:rStyle w:val="Tipodeletrapredefinidodopargrafo"/>
          <w:rFonts w:ascii="Arial" w:hAnsi="Arial" w:cs="Arial"/>
          <w:b/>
          <w:bCs/>
          <w:sz w:val="22"/>
          <w:szCs w:val="22"/>
        </w:rPr>
        <w:lastRenderedPageBreak/>
        <w:t>Governance Models in COVID</w:t>
      </w:r>
      <w:r w:rsidRPr="001E2968">
        <w:rPr>
          <w:rStyle w:val="Tipodeletrapredefinidodopargrafo"/>
          <w:rFonts w:ascii="Arial" w:hAnsi="Arial" w:cs="Arial"/>
          <w:b/>
          <w:bCs/>
          <w:sz w:val="22"/>
          <w:szCs w:val="22"/>
        </w:rPr>
        <w:noBreakHyphen/>
        <w:t>19 Response</w:t>
      </w:r>
    </w:p>
    <w:p w14:paraId="1A5F1165" w14:textId="74768200" w:rsidR="00726C6C" w:rsidRPr="001E2968" w:rsidRDefault="00A5301B" w:rsidP="001E2968">
      <w:pPr>
        <w:suppressAutoHyphens w:val="0"/>
        <w:spacing w:after="0" w:line="360" w:lineRule="auto"/>
        <w:contextualSpacing/>
        <w:jc w:val="both"/>
        <w:rPr>
          <w:rStyle w:val="Tipodeletrapredefinidodopargrafo"/>
          <w:rFonts w:ascii="Arial" w:hAnsi="Arial" w:cs="Arial"/>
          <w:sz w:val="22"/>
          <w:szCs w:val="22"/>
        </w:rPr>
      </w:pPr>
      <w:r w:rsidRPr="001E2968">
        <w:rPr>
          <w:rStyle w:val="Tipodeletrapredefinidodopargrafo"/>
          <w:rFonts w:ascii="Arial" w:hAnsi="Arial" w:cs="Arial"/>
          <w:sz w:val="22"/>
          <w:szCs w:val="22"/>
        </w:rPr>
        <w:t xml:space="preserve">       </w:t>
      </w:r>
      <w:r w:rsidR="00F31BDD" w:rsidRPr="001E2968">
        <w:rPr>
          <w:rStyle w:val="Tipodeletrapredefinidodopargrafo"/>
          <w:rFonts w:ascii="Arial" w:hAnsi="Arial" w:cs="Arial"/>
          <w:sz w:val="22"/>
          <w:szCs w:val="22"/>
        </w:rPr>
        <w:t>South Korea has been internationally recognised as a model for COVID</w:t>
      </w:r>
      <w:r w:rsidR="00F31BDD" w:rsidRPr="001E2968">
        <w:rPr>
          <w:rStyle w:val="Tipodeletrapredefinidodopargrafo"/>
          <w:rFonts w:ascii="Arial" w:hAnsi="Arial" w:cs="Arial"/>
          <w:sz w:val="22"/>
          <w:szCs w:val="22"/>
        </w:rPr>
        <w:noBreakHyphen/>
      </w:r>
      <w:r w:rsidR="000A08AC" w:rsidRPr="001E2968">
        <w:rPr>
          <w:rStyle w:val="Tipodeletrapredefinidodopargrafo"/>
          <w:rFonts w:ascii="Arial" w:hAnsi="Arial" w:cs="Arial"/>
          <w:sz w:val="22"/>
          <w:szCs w:val="22"/>
        </w:rPr>
        <w:t>nineteen</w:t>
      </w:r>
      <w:r w:rsidR="00F31BDD" w:rsidRPr="001E2968">
        <w:rPr>
          <w:rStyle w:val="Tipodeletrapredefinidodopargrafo"/>
          <w:rFonts w:ascii="Arial" w:hAnsi="Arial" w:cs="Arial"/>
          <w:sz w:val="22"/>
          <w:szCs w:val="22"/>
        </w:rPr>
        <w:t xml:space="preserve"> response due to its effective approach in reducing virus transmission and maintaining low mortality rates</w:t>
      </w:r>
      <w:r w:rsidR="006574B0" w:rsidRPr="001E2968">
        <w:rPr>
          <w:rStyle w:val="Tipodeletrapredefinidodopargrafo"/>
          <w:rFonts w:ascii="Arial" w:hAnsi="Arial" w:cs="Arial"/>
          <w:sz w:val="22"/>
          <w:szCs w:val="22"/>
        </w:rPr>
        <w:t xml:space="preserve"> </w:t>
      </w:r>
      <w:r w:rsidR="006574B0" w:rsidRPr="001E2968">
        <w:rPr>
          <w:rFonts w:ascii="Arial" w:eastAsia="Times New Roman" w:hAnsi="Arial" w:cs="Arial"/>
          <w:kern w:val="0"/>
          <w:sz w:val="22"/>
          <w:szCs w:val="22"/>
          <w:lang w:eastAsia="zh-CN"/>
        </w:rPr>
        <w:t>(Kim and Jeong, 2022b)</w:t>
      </w:r>
      <w:r w:rsidR="00F31BDD" w:rsidRPr="001E2968">
        <w:rPr>
          <w:rStyle w:val="Tipodeletrapredefinidodopargrafo"/>
          <w:rFonts w:ascii="Arial" w:hAnsi="Arial" w:cs="Arial"/>
          <w:sz w:val="22"/>
          <w:szCs w:val="22"/>
        </w:rPr>
        <w:t>. The response combined two governance models: the centralised model, in which the national government coordinates measures uniformly across the country, such as implementing national quarantine protocols, contact tracing, and public health guidelines; and the decentralised model, where local governments adapt and complement national initiatives to the specific needs of their communities, developing economic support programmes, drive</w:t>
      </w:r>
      <w:r w:rsidR="00F31BDD" w:rsidRPr="001E2968">
        <w:rPr>
          <w:rStyle w:val="Tipodeletrapredefinidodopargrafo"/>
          <w:rFonts w:ascii="Arial" w:hAnsi="Arial" w:cs="Arial"/>
          <w:sz w:val="22"/>
          <w:szCs w:val="22"/>
        </w:rPr>
        <w:noBreakHyphen/>
        <w:t>through testing, and mental health services.</w:t>
      </w:r>
      <w:r w:rsidR="006574B0" w:rsidRPr="001E2968">
        <w:rPr>
          <w:rStyle w:val="Tipodeletrapredefinidodopargrafo"/>
          <w:rFonts w:ascii="Arial" w:hAnsi="Arial" w:cs="Arial"/>
          <w:sz w:val="22"/>
          <w:szCs w:val="22"/>
        </w:rPr>
        <w:t xml:space="preserve"> </w:t>
      </w:r>
      <w:r w:rsidR="00F31BDD" w:rsidRPr="001E2968">
        <w:rPr>
          <w:rStyle w:val="Tipodeletrapredefinidodopargrafo"/>
          <w:rFonts w:ascii="Arial" w:hAnsi="Arial" w:cs="Arial"/>
          <w:sz w:val="22"/>
          <w:szCs w:val="22"/>
        </w:rPr>
        <w:t>The South Korean strategy is known as K</w:t>
      </w:r>
      <w:r w:rsidR="00F31BDD" w:rsidRPr="001E2968">
        <w:rPr>
          <w:rStyle w:val="Tipodeletrapredefinidodopargrafo"/>
          <w:rFonts w:ascii="Arial" w:hAnsi="Arial" w:cs="Arial"/>
          <w:sz w:val="22"/>
          <w:szCs w:val="22"/>
        </w:rPr>
        <w:noBreakHyphen/>
        <w:t>quarantine, a term combining “K” for Korea with quarantine. K</w:t>
      </w:r>
      <w:r w:rsidR="00F31BDD" w:rsidRPr="001E2968">
        <w:rPr>
          <w:rStyle w:val="Tipodeletrapredefinidodopargrafo"/>
          <w:rFonts w:ascii="Arial" w:hAnsi="Arial" w:cs="Arial"/>
          <w:sz w:val="22"/>
          <w:szCs w:val="22"/>
        </w:rPr>
        <w:noBreakHyphen/>
        <w:t>quarantine is based on the 3T approach (Test, Trace, Treat), which includes large</w:t>
      </w:r>
      <w:r w:rsidR="00F31BDD" w:rsidRPr="001E2968">
        <w:rPr>
          <w:rStyle w:val="Tipodeletrapredefinidodopargrafo"/>
          <w:rFonts w:ascii="Arial" w:hAnsi="Arial" w:cs="Arial"/>
          <w:sz w:val="22"/>
          <w:szCs w:val="22"/>
        </w:rPr>
        <w:noBreakHyphen/>
        <w:t xml:space="preserve">scale testing, including asymptomatic individuals; detailed contact tracing using digital technology and surveillance systems; and treatment, with immediate isolation and care for infected individuals, alongside support for family members and those in </w:t>
      </w:r>
      <w:r w:rsidR="006574B0" w:rsidRPr="001E2968">
        <w:rPr>
          <w:rStyle w:val="Tipodeletrapredefinidodopargrafo"/>
          <w:rFonts w:ascii="Arial" w:hAnsi="Arial" w:cs="Arial"/>
          <w:sz w:val="22"/>
          <w:szCs w:val="22"/>
        </w:rPr>
        <w:t>quarantine</w:t>
      </w:r>
      <w:r w:rsidR="006574B0" w:rsidRPr="001E2968">
        <w:rPr>
          <w:rFonts w:ascii="Arial" w:eastAsia="Times New Roman" w:hAnsi="Arial" w:cs="Arial"/>
          <w:kern w:val="0"/>
          <w:sz w:val="22"/>
          <w:szCs w:val="22"/>
          <w:lang w:eastAsia="zh-CN"/>
        </w:rPr>
        <w:t xml:space="preserve"> (Kim and Jeong, 2022b)</w:t>
      </w:r>
      <w:r w:rsidR="00F31BDD" w:rsidRPr="001E2968">
        <w:rPr>
          <w:rStyle w:val="Tipodeletrapredefinidodopargrafo"/>
          <w:rFonts w:ascii="Arial" w:hAnsi="Arial" w:cs="Arial"/>
          <w:sz w:val="22"/>
          <w:szCs w:val="22"/>
        </w:rPr>
        <w:t>.</w:t>
      </w:r>
    </w:p>
    <w:p w14:paraId="411E2CAF" w14:textId="77777777" w:rsidR="0001101C" w:rsidRPr="001E2968" w:rsidRDefault="0001101C" w:rsidP="001E2968">
      <w:pPr>
        <w:suppressAutoHyphens w:val="0"/>
        <w:spacing w:after="0" w:line="360" w:lineRule="auto"/>
        <w:contextualSpacing/>
        <w:jc w:val="both"/>
        <w:rPr>
          <w:rFonts w:ascii="Arial" w:eastAsia="Times New Roman" w:hAnsi="Arial" w:cs="Arial"/>
          <w:kern w:val="0"/>
          <w:sz w:val="22"/>
          <w:szCs w:val="22"/>
          <w:lang w:eastAsia="zh-CN"/>
        </w:rPr>
      </w:pPr>
    </w:p>
    <w:p w14:paraId="4C2B214A" w14:textId="7A21806E" w:rsidR="00726C6C" w:rsidRPr="001E2968" w:rsidRDefault="00F31BDD" w:rsidP="001E2968">
      <w:pPr>
        <w:spacing w:after="0" w:line="360" w:lineRule="auto"/>
        <w:contextualSpacing/>
        <w:jc w:val="both"/>
        <w:rPr>
          <w:rFonts w:ascii="Arial" w:hAnsi="Arial" w:cs="Arial"/>
          <w:b/>
          <w:bCs/>
          <w:sz w:val="22"/>
          <w:szCs w:val="22"/>
        </w:rPr>
      </w:pPr>
      <w:r w:rsidRPr="001E2968">
        <w:rPr>
          <w:rFonts w:ascii="Arial" w:hAnsi="Arial" w:cs="Arial"/>
          <w:b/>
          <w:bCs/>
          <w:sz w:val="22"/>
          <w:szCs w:val="22"/>
        </w:rPr>
        <w:t>Advantages and Disadvantages</w:t>
      </w:r>
      <w:r w:rsidR="0001101C" w:rsidRPr="001E2968">
        <w:rPr>
          <w:rFonts w:ascii="Arial" w:hAnsi="Arial" w:cs="Arial"/>
          <w:b/>
          <w:bCs/>
          <w:sz w:val="22"/>
          <w:szCs w:val="22"/>
        </w:rPr>
        <w:t xml:space="preserve"> of the Centralisation and Decentralization Model</w:t>
      </w:r>
    </w:p>
    <w:p w14:paraId="2DA8E64E" w14:textId="21D5DC56" w:rsidR="00726C6C" w:rsidRPr="001E2968" w:rsidRDefault="00A5301B" w:rsidP="001E2968">
      <w:pPr>
        <w:suppressAutoHyphens w:val="0"/>
        <w:spacing w:after="0" w:line="360" w:lineRule="auto"/>
        <w:contextualSpacing/>
        <w:jc w:val="both"/>
        <w:rPr>
          <w:rStyle w:val="Tipodeletrapredefinidodopargrafo"/>
          <w:rFonts w:ascii="Arial" w:hAnsi="Arial" w:cs="Arial"/>
          <w:sz w:val="22"/>
          <w:szCs w:val="22"/>
        </w:rPr>
      </w:pPr>
      <w:r w:rsidRPr="001E2968">
        <w:rPr>
          <w:rStyle w:val="Tipodeletrapredefinidodopargrafo"/>
          <w:rFonts w:ascii="Arial" w:hAnsi="Arial" w:cs="Arial"/>
          <w:sz w:val="22"/>
          <w:szCs w:val="22"/>
        </w:rPr>
        <w:t xml:space="preserve">      </w:t>
      </w:r>
      <w:r w:rsidR="00F31BDD" w:rsidRPr="001E2968">
        <w:rPr>
          <w:rStyle w:val="Tipodeletrapredefinidodopargrafo"/>
          <w:rFonts w:ascii="Arial" w:hAnsi="Arial" w:cs="Arial"/>
          <w:sz w:val="22"/>
          <w:szCs w:val="22"/>
        </w:rPr>
        <w:t>The advantages of this approach include rapid containment of community transmission, low COVID</w:t>
      </w:r>
      <w:r w:rsidR="00F31BDD" w:rsidRPr="001E2968">
        <w:rPr>
          <w:rStyle w:val="Tipodeletrapredefinidodopargrafo"/>
          <w:rFonts w:ascii="Arial" w:hAnsi="Arial" w:cs="Arial"/>
          <w:sz w:val="22"/>
          <w:szCs w:val="22"/>
        </w:rPr>
        <w:noBreakHyphen/>
      </w:r>
      <w:r w:rsidR="000A08AC" w:rsidRPr="001E2968">
        <w:rPr>
          <w:rStyle w:val="Tipodeletrapredefinidodopargrafo"/>
          <w:rFonts w:ascii="Arial" w:hAnsi="Arial" w:cs="Arial"/>
          <w:sz w:val="22"/>
          <w:szCs w:val="22"/>
        </w:rPr>
        <w:t>nineteen</w:t>
      </w:r>
      <w:r w:rsidR="00F31BDD" w:rsidRPr="001E2968">
        <w:rPr>
          <w:rStyle w:val="Tipodeletrapredefinidodopargrafo"/>
          <w:rFonts w:ascii="Arial" w:hAnsi="Arial" w:cs="Arial"/>
          <w:sz w:val="22"/>
          <w:szCs w:val="22"/>
        </w:rPr>
        <w:t xml:space="preserve"> mortality rates compared to other countries, minimisation of economic impact through the absence of full lockdowns, and efficient integration between central government, local governments, the private sector, and citizens. Disadvantages include the requirement for extensive testing and tracing capacity, reliance on technology and digital systems that may generate access inequality, the need for intense coordination between government levels with a risk of administrative overload, and pressure on healthcare professionals and hospital </w:t>
      </w:r>
      <w:r w:rsidR="000E1BF3" w:rsidRPr="001E2968">
        <w:rPr>
          <w:rStyle w:val="Tipodeletrapredefinidodopargrafo"/>
          <w:rFonts w:ascii="Arial" w:hAnsi="Arial" w:cs="Arial"/>
          <w:sz w:val="22"/>
          <w:szCs w:val="22"/>
        </w:rPr>
        <w:t>resources</w:t>
      </w:r>
      <w:r w:rsidR="000E1BF3" w:rsidRPr="001E2968">
        <w:rPr>
          <w:rFonts w:ascii="Arial" w:eastAsia="Times New Roman" w:hAnsi="Arial" w:cs="Arial"/>
          <w:kern w:val="0"/>
          <w:sz w:val="22"/>
          <w:szCs w:val="22"/>
          <w:lang w:eastAsia="zh-CN"/>
        </w:rPr>
        <w:t xml:space="preserve"> (Kim and Jeong, 2022b)</w:t>
      </w:r>
      <w:r w:rsidR="00F31BDD" w:rsidRPr="001E2968">
        <w:rPr>
          <w:rStyle w:val="Tipodeletrapredefinidodopargrafo"/>
          <w:rFonts w:ascii="Arial" w:hAnsi="Arial" w:cs="Arial"/>
          <w:sz w:val="22"/>
          <w:szCs w:val="22"/>
        </w:rPr>
        <w:t>.</w:t>
      </w:r>
    </w:p>
    <w:p w14:paraId="767A17EE" w14:textId="77777777" w:rsidR="0001101C" w:rsidRPr="001E2968" w:rsidRDefault="0001101C" w:rsidP="001E2968">
      <w:pPr>
        <w:suppressAutoHyphens w:val="0"/>
        <w:spacing w:after="0" w:line="360" w:lineRule="auto"/>
        <w:contextualSpacing/>
        <w:jc w:val="both"/>
        <w:rPr>
          <w:rFonts w:ascii="Arial" w:eastAsia="Times New Roman" w:hAnsi="Arial" w:cs="Arial"/>
          <w:kern w:val="0"/>
          <w:sz w:val="22"/>
          <w:szCs w:val="22"/>
          <w:lang w:eastAsia="zh-CN"/>
        </w:rPr>
      </w:pPr>
    </w:p>
    <w:p w14:paraId="3BC4D4F4" w14:textId="77777777" w:rsidR="00726C6C" w:rsidRPr="001E2968" w:rsidRDefault="00F31BDD" w:rsidP="001E2968">
      <w:pPr>
        <w:spacing w:after="0" w:line="360" w:lineRule="auto"/>
        <w:contextualSpacing/>
        <w:jc w:val="both"/>
        <w:rPr>
          <w:rFonts w:ascii="Arial" w:hAnsi="Arial" w:cs="Arial"/>
          <w:b/>
          <w:bCs/>
          <w:sz w:val="22"/>
          <w:szCs w:val="22"/>
        </w:rPr>
      </w:pPr>
      <w:r w:rsidRPr="001E2968">
        <w:rPr>
          <w:rFonts w:ascii="Arial" w:hAnsi="Arial" w:cs="Arial"/>
          <w:b/>
          <w:bCs/>
          <w:sz w:val="22"/>
          <w:szCs w:val="22"/>
        </w:rPr>
        <w:t>Health Outcomes and Regional Implications</w:t>
      </w:r>
    </w:p>
    <w:p w14:paraId="6A462B5D" w14:textId="04F1FC33" w:rsidR="00D21D82" w:rsidRPr="001E2968" w:rsidRDefault="00A5301B" w:rsidP="001E2968">
      <w:pPr>
        <w:suppressAutoHyphens w:val="0"/>
        <w:spacing w:after="0" w:line="360" w:lineRule="auto"/>
        <w:contextualSpacing/>
        <w:jc w:val="both"/>
        <w:rPr>
          <w:rStyle w:val="Tipodeletrapredefinidodopargrafo"/>
          <w:rFonts w:ascii="Arial" w:hAnsi="Arial" w:cs="Arial"/>
          <w:sz w:val="22"/>
          <w:szCs w:val="22"/>
        </w:rPr>
      </w:pPr>
      <w:r w:rsidRPr="001E2968">
        <w:rPr>
          <w:rStyle w:val="Tipodeletrapredefinidodopargrafo"/>
          <w:rFonts w:ascii="Arial" w:hAnsi="Arial" w:cs="Arial"/>
          <w:sz w:val="22"/>
          <w:szCs w:val="22"/>
        </w:rPr>
        <w:t xml:space="preserve">       </w:t>
      </w:r>
      <w:r w:rsidR="00F31BDD" w:rsidRPr="001E2968">
        <w:rPr>
          <w:rStyle w:val="Tipodeletrapredefinidodopargrafo"/>
          <w:rFonts w:ascii="Arial" w:hAnsi="Arial" w:cs="Arial"/>
          <w:sz w:val="22"/>
          <w:szCs w:val="22"/>
        </w:rPr>
        <w:t>South Korea managed to maintain low COVID</w:t>
      </w:r>
      <w:r w:rsidR="00F31BDD" w:rsidRPr="001E2968">
        <w:rPr>
          <w:rStyle w:val="Tipodeletrapredefinidodopargrafo"/>
          <w:rFonts w:ascii="Arial" w:hAnsi="Arial" w:cs="Arial"/>
          <w:sz w:val="22"/>
          <w:szCs w:val="22"/>
        </w:rPr>
        <w:noBreakHyphen/>
      </w:r>
      <w:r w:rsidR="000A08AC" w:rsidRPr="001E2968">
        <w:rPr>
          <w:rStyle w:val="Tipodeletrapredefinidodopargrafo"/>
          <w:rFonts w:ascii="Arial" w:hAnsi="Arial" w:cs="Arial"/>
          <w:sz w:val="22"/>
          <w:szCs w:val="22"/>
        </w:rPr>
        <w:t>nineteen</w:t>
      </w:r>
      <w:r w:rsidR="00F31BDD" w:rsidRPr="001E2968">
        <w:rPr>
          <w:rStyle w:val="Tipodeletrapredefinidodopargrafo"/>
          <w:rFonts w:ascii="Arial" w:hAnsi="Arial" w:cs="Arial"/>
          <w:sz w:val="22"/>
          <w:szCs w:val="22"/>
        </w:rPr>
        <w:t xml:space="preserve"> case and death rates, showing that combining a centralised response with decentralised local initiatives can be highly effective. Local government actions complement national policies, allowing rapid and locally adapted solutions. Strategies such as drive</w:t>
      </w:r>
      <w:r w:rsidR="00F31BDD" w:rsidRPr="001E2968">
        <w:rPr>
          <w:rStyle w:val="Tipodeletrapredefinidodopargrafo"/>
          <w:rFonts w:ascii="Arial" w:hAnsi="Arial" w:cs="Arial"/>
          <w:sz w:val="22"/>
          <w:szCs w:val="22"/>
        </w:rPr>
        <w:noBreakHyphen/>
        <w:t xml:space="preserve">through testing, safe quarantine facilities, and economic support programmes reduced transmission risks and social impacts. However, differences between regions (fiscal, technological, and population-related) may create inequalities in the implementation of measures, requiring continuous </w:t>
      </w:r>
      <w:r w:rsidR="000E1BF3" w:rsidRPr="001E2968">
        <w:rPr>
          <w:rStyle w:val="Tipodeletrapredefinidodopargrafo"/>
          <w:rFonts w:ascii="Arial" w:hAnsi="Arial" w:cs="Arial"/>
          <w:sz w:val="22"/>
          <w:szCs w:val="22"/>
        </w:rPr>
        <w:t>monitoring</w:t>
      </w:r>
      <w:r w:rsidR="000E1BF3" w:rsidRPr="001E2968">
        <w:rPr>
          <w:rFonts w:ascii="Arial" w:eastAsia="Times New Roman" w:hAnsi="Arial" w:cs="Arial"/>
          <w:kern w:val="0"/>
          <w:sz w:val="22"/>
          <w:szCs w:val="22"/>
          <w:lang w:eastAsia="zh-CN"/>
        </w:rPr>
        <w:t xml:space="preserve"> (Kim and Jeong, 2022b)</w:t>
      </w:r>
      <w:r w:rsidR="00F31BDD" w:rsidRPr="001E2968">
        <w:rPr>
          <w:rStyle w:val="Tipodeletrapredefinidodopargrafo"/>
          <w:rFonts w:ascii="Arial" w:hAnsi="Arial" w:cs="Arial"/>
          <w:sz w:val="22"/>
          <w:szCs w:val="22"/>
        </w:rPr>
        <w:t>.</w:t>
      </w:r>
    </w:p>
    <w:p w14:paraId="06DB9D07" w14:textId="77777777" w:rsidR="0001101C" w:rsidRPr="001E2968" w:rsidRDefault="0001101C" w:rsidP="001E2968">
      <w:pPr>
        <w:suppressAutoHyphens w:val="0"/>
        <w:spacing w:after="0" w:line="360" w:lineRule="auto"/>
        <w:contextualSpacing/>
        <w:jc w:val="both"/>
        <w:rPr>
          <w:rFonts w:ascii="Arial" w:eastAsia="Times New Roman" w:hAnsi="Arial" w:cs="Arial"/>
          <w:kern w:val="0"/>
          <w:sz w:val="22"/>
          <w:szCs w:val="22"/>
          <w:lang w:eastAsia="zh-CN"/>
        </w:rPr>
      </w:pPr>
    </w:p>
    <w:p w14:paraId="02A016A5" w14:textId="77777777" w:rsidR="00A5301B" w:rsidRPr="001E2968" w:rsidRDefault="00A5301B" w:rsidP="001E2968">
      <w:pPr>
        <w:suppressAutoHyphens w:val="0"/>
        <w:spacing w:after="0" w:line="360" w:lineRule="auto"/>
        <w:contextualSpacing/>
        <w:jc w:val="both"/>
        <w:rPr>
          <w:rFonts w:ascii="Arial" w:eastAsia="Times New Roman" w:hAnsi="Arial" w:cs="Arial"/>
          <w:kern w:val="0"/>
          <w:sz w:val="22"/>
          <w:szCs w:val="22"/>
          <w:lang w:eastAsia="zh-CN"/>
        </w:rPr>
      </w:pPr>
    </w:p>
    <w:p w14:paraId="053BC4D4" w14:textId="77777777" w:rsidR="0014417C" w:rsidRDefault="0014417C" w:rsidP="001E2968">
      <w:pPr>
        <w:spacing w:line="360" w:lineRule="auto"/>
        <w:jc w:val="both"/>
        <w:rPr>
          <w:rFonts w:ascii="Arial" w:hAnsi="Arial" w:cs="Arial"/>
          <w:b/>
          <w:bCs/>
          <w:sz w:val="22"/>
          <w:szCs w:val="22"/>
        </w:rPr>
      </w:pPr>
    </w:p>
    <w:p w14:paraId="368F4006" w14:textId="7D0D607E" w:rsidR="00726C6C" w:rsidRPr="001E2968" w:rsidRDefault="00F31BDD" w:rsidP="001E2968">
      <w:pPr>
        <w:spacing w:line="360" w:lineRule="auto"/>
        <w:jc w:val="both"/>
        <w:rPr>
          <w:rFonts w:ascii="Arial" w:hAnsi="Arial" w:cs="Arial"/>
          <w:b/>
          <w:bCs/>
          <w:sz w:val="22"/>
          <w:szCs w:val="22"/>
        </w:rPr>
      </w:pPr>
      <w:r w:rsidRPr="001E2968">
        <w:rPr>
          <w:rFonts w:ascii="Arial" w:hAnsi="Arial" w:cs="Arial"/>
          <w:b/>
          <w:bCs/>
          <w:sz w:val="22"/>
          <w:szCs w:val="22"/>
        </w:rPr>
        <w:lastRenderedPageBreak/>
        <w:t>Leadership Style of Moon Jae-in During COVID-19</w:t>
      </w:r>
    </w:p>
    <w:p w14:paraId="569F15CD" w14:textId="77777777" w:rsidR="00A5301B" w:rsidRPr="001E2968" w:rsidRDefault="00A5301B" w:rsidP="001E2968">
      <w:pPr>
        <w:spacing w:after="0" w:line="360" w:lineRule="auto"/>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During the COVID-19 pandemic, South Korean President Moon Jae-in demonstrated a performance- and bureaucratic competence-oriented leadership style, prioritising practical, evidence-based responses over party ideology</w:t>
      </w:r>
      <w:r w:rsidR="00D54B87" w:rsidRPr="001E2968">
        <w:rPr>
          <w:rFonts w:ascii="Arial" w:hAnsi="Arial" w:cs="Arial"/>
          <w:sz w:val="22"/>
          <w:szCs w:val="22"/>
        </w:rPr>
        <w:t xml:space="preserve"> (Yilmaz, 2021)</w:t>
      </w:r>
      <w:r w:rsidR="00305A64" w:rsidRPr="001E2968">
        <w:rPr>
          <w:rFonts w:ascii="Arial" w:hAnsi="Arial" w:cs="Arial"/>
          <w:sz w:val="22"/>
          <w:szCs w:val="22"/>
        </w:rPr>
        <w:t xml:space="preserve"> (</w:t>
      </w:r>
      <w:r w:rsidR="00B85C16" w:rsidRPr="001E2968">
        <w:rPr>
          <w:rFonts w:ascii="Arial" w:hAnsi="Arial" w:cs="Arial"/>
          <w:sz w:val="22"/>
          <w:szCs w:val="22"/>
        </w:rPr>
        <w:t>Pak, 2020)</w:t>
      </w:r>
      <w:r w:rsidR="00F31BDD" w:rsidRPr="001E2968">
        <w:rPr>
          <w:rFonts w:ascii="Arial" w:hAnsi="Arial" w:cs="Arial"/>
          <w:sz w:val="22"/>
          <w:szCs w:val="22"/>
        </w:rPr>
        <w:t>. His administration focused on effective crisis management, strengthening public institutions, and implementing public health policies aimed at containing the spread of the virus and protecting population well-being. Examples include the rapid implementation of testing, tracing, and quarantine (3T) protocols developed by the</w:t>
      </w:r>
      <w:r w:rsidR="00A7076B" w:rsidRPr="001E2968">
        <w:rPr>
          <w:rFonts w:ascii="Arial" w:hAnsi="Arial" w:cs="Arial"/>
          <w:sz w:val="22"/>
          <w:szCs w:val="22"/>
        </w:rPr>
        <w:t xml:space="preserve"> </w:t>
      </w:r>
      <w:r w:rsidR="00A7076B" w:rsidRPr="001E2968">
        <w:rPr>
          <w:rFonts w:ascii="Arial" w:hAnsi="Arial" w:cs="Arial"/>
          <w:sz w:val="22"/>
          <w:szCs w:val="22"/>
        </w:rPr>
        <w:t xml:space="preserve">Korea </w:t>
      </w:r>
      <w:r w:rsidR="00A7076B" w:rsidRPr="001E2968">
        <w:rPr>
          <w:rFonts w:ascii="Arial" w:hAnsi="Arial" w:cs="Arial"/>
          <w:sz w:val="22"/>
          <w:szCs w:val="22"/>
        </w:rPr>
        <w:t>Centres</w:t>
      </w:r>
      <w:r w:rsidR="00A7076B" w:rsidRPr="001E2968">
        <w:rPr>
          <w:rFonts w:ascii="Arial" w:hAnsi="Arial" w:cs="Arial"/>
          <w:sz w:val="22"/>
          <w:szCs w:val="22"/>
        </w:rPr>
        <w:t xml:space="preserve"> for Disease Control and Prevention</w:t>
      </w:r>
      <w:r w:rsidR="00A7076B" w:rsidRPr="001E2968">
        <w:rPr>
          <w:rFonts w:ascii="Arial" w:hAnsi="Arial" w:cs="Arial"/>
          <w:sz w:val="22"/>
          <w:szCs w:val="22"/>
        </w:rPr>
        <w:t xml:space="preserve"> (</w:t>
      </w:r>
      <w:r w:rsidR="00F31BDD" w:rsidRPr="001E2968">
        <w:rPr>
          <w:rFonts w:ascii="Arial" w:hAnsi="Arial" w:cs="Arial"/>
          <w:sz w:val="22"/>
          <w:szCs w:val="22"/>
        </w:rPr>
        <w:t>KCDC</w:t>
      </w:r>
      <w:r w:rsidR="00A7076B" w:rsidRPr="001E2968">
        <w:rPr>
          <w:rFonts w:ascii="Arial" w:hAnsi="Arial" w:cs="Arial"/>
          <w:sz w:val="22"/>
          <w:szCs w:val="22"/>
        </w:rPr>
        <w:t>)</w:t>
      </w:r>
      <w:r w:rsidR="00F31BDD" w:rsidRPr="001E2968">
        <w:rPr>
          <w:rFonts w:ascii="Arial" w:hAnsi="Arial" w:cs="Arial"/>
          <w:sz w:val="22"/>
          <w:szCs w:val="22"/>
        </w:rPr>
        <w:t xml:space="preserve"> and </w:t>
      </w:r>
      <w:r w:rsidR="00A7076B" w:rsidRPr="001E2968">
        <w:rPr>
          <w:rFonts w:ascii="Arial" w:hAnsi="Arial" w:cs="Arial"/>
          <w:sz w:val="22"/>
          <w:szCs w:val="22"/>
        </w:rPr>
        <w:t>Korea Disease Control and Prevention Agency</w:t>
      </w:r>
      <w:r w:rsidR="00A7076B" w:rsidRPr="001E2968">
        <w:rPr>
          <w:rFonts w:ascii="Arial" w:hAnsi="Arial" w:cs="Arial"/>
          <w:sz w:val="22"/>
          <w:szCs w:val="22"/>
        </w:rPr>
        <w:t xml:space="preserve"> (</w:t>
      </w:r>
      <w:r w:rsidR="00F31BDD" w:rsidRPr="001E2968">
        <w:rPr>
          <w:rFonts w:ascii="Arial" w:hAnsi="Arial" w:cs="Arial"/>
          <w:sz w:val="22"/>
          <w:szCs w:val="22"/>
        </w:rPr>
        <w:t>KDCA</w:t>
      </w:r>
      <w:r w:rsidR="00A7076B" w:rsidRPr="001E2968">
        <w:rPr>
          <w:rFonts w:ascii="Arial" w:hAnsi="Arial" w:cs="Arial"/>
          <w:sz w:val="22"/>
          <w:szCs w:val="22"/>
        </w:rPr>
        <w:t>)</w:t>
      </w:r>
      <w:r w:rsidR="00F31BDD" w:rsidRPr="001E2968">
        <w:rPr>
          <w:rFonts w:ascii="Arial" w:hAnsi="Arial" w:cs="Arial"/>
          <w:sz w:val="22"/>
          <w:szCs w:val="22"/>
        </w:rPr>
        <w:t xml:space="preserve">, coordination with local governments, the use of communication apps to inform and guide citizens, and economic support packages for businesses and “nice landlords”. </w:t>
      </w:r>
    </w:p>
    <w:p w14:paraId="3097E532" w14:textId="794E2DF1" w:rsidR="00726C6C" w:rsidRPr="001E2968" w:rsidRDefault="00A5301B" w:rsidP="001E2968">
      <w:pPr>
        <w:spacing w:after="0" w:line="360" w:lineRule="auto"/>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Moreover, transparency in daily briefings, adapting measures to regional conditions, and mobilising the population while respecting hierarchical and Confucian cultural values demonstrate how Moon applied Transactional, Situational, and Bureaucratic leadership theories, as well as Democratic/Participative and Coaching leadership styles, ensuring tangible results and public trust. Moon’s success reflects aspects of Transactional leadership, focused on the efficient implementation of measures, rule compliance, and tangible results, and Situational leadership, adapting policies to regional needs and responding swiftly to new outbreaks. In terms of leadership styles, his approach can be characterised as Democratic/Participative, involving local governments and the public in decision-making and implementation, and Coaching, by guiding and instructing citizens and officials on appropriate behaviours and public health protocols</w:t>
      </w:r>
      <w:r w:rsidR="00D54B87" w:rsidRPr="001E2968">
        <w:rPr>
          <w:rFonts w:ascii="Arial" w:hAnsi="Arial" w:cs="Arial"/>
          <w:sz w:val="22"/>
          <w:szCs w:val="22"/>
        </w:rPr>
        <w:t xml:space="preserve"> (Yilmaz, 2021)</w:t>
      </w:r>
      <w:r w:rsidR="00B85C16" w:rsidRPr="001E2968">
        <w:rPr>
          <w:rFonts w:ascii="Arial" w:hAnsi="Arial" w:cs="Arial"/>
          <w:sz w:val="22"/>
          <w:szCs w:val="22"/>
        </w:rPr>
        <w:t xml:space="preserve"> (Pak, 2020)</w:t>
      </w:r>
      <w:r w:rsidR="00F31BDD" w:rsidRPr="001E2968">
        <w:rPr>
          <w:rFonts w:ascii="Arial" w:hAnsi="Arial" w:cs="Arial"/>
          <w:sz w:val="22"/>
          <w:szCs w:val="22"/>
        </w:rPr>
        <w:t>.</w:t>
      </w:r>
    </w:p>
    <w:p w14:paraId="5A4D8908" w14:textId="77777777" w:rsidR="00A5301B" w:rsidRPr="001E2968" w:rsidRDefault="00A5301B" w:rsidP="001E2968">
      <w:pPr>
        <w:spacing w:after="0" w:line="360" w:lineRule="auto"/>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 xml:space="preserve">The confidence vote received by Moon during the 2020 national elections was </w:t>
      </w:r>
      <w:r w:rsidR="000A08AC" w:rsidRPr="001E2968">
        <w:rPr>
          <w:rFonts w:ascii="Arial" w:hAnsi="Arial" w:cs="Arial"/>
          <w:sz w:val="22"/>
          <w:szCs w:val="22"/>
        </w:rPr>
        <w:t>interpreted</w:t>
      </w:r>
      <w:r w:rsidR="00F31BDD" w:rsidRPr="001E2968">
        <w:rPr>
          <w:rFonts w:ascii="Arial" w:hAnsi="Arial" w:cs="Arial"/>
          <w:sz w:val="22"/>
          <w:szCs w:val="22"/>
        </w:rPr>
        <w:t xml:space="preserve"> as a referendum on his performance during the COVID-19 crisis rather than ideological support</w:t>
      </w:r>
      <w:r w:rsidR="00D54B87" w:rsidRPr="001E2968">
        <w:rPr>
          <w:rFonts w:ascii="Arial" w:hAnsi="Arial" w:cs="Arial"/>
          <w:sz w:val="22"/>
          <w:szCs w:val="22"/>
        </w:rPr>
        <w:t xml:space="preserve"> (Snyder, 2020)</w:t>
      </w:r>
      <w:r w:rsidR="00F31BDD" w:rsidRPr="001E2968">
        <w:rPr>
          <w:rFonts w:ascii="Arial" w:hAnsi="Arial" w:cs="Arial"/>
          <w:sz w:val="22"/>
          <w:szCs w:val="22"/>
        </w:rPr>
        <w:t xml:space="preserve">. This suggests that the electorate valued the government’s efficiency, competence, and responsiveness more than traditional political alignment. Although concerns exist that Moon could use his mandate to pursue ideological or nationalist agendas, the leadership style demonstrated during the pandemic emphasised tangible results, collaboration across government levels, and a focus on science and public health, reinforcing South Korea’s reputation as a model for democratic crisis </w:t>
      </w:r>
      <w:r w:rsidR="00B85C16" w:rsidRPr="001E2968">
        <w:rPr>
          <w:rFonts w:ascii="Arial" w:hAnsi="Arial" w:cs="Arial"/>
          <w:sz w:val="22"/>
          <w:szCs w:val="22"/>
        </w:rPr>
        <w:t xml:space="preserve">management (Yilmaz, 2021) (Pak, 2020). </w:t>
      </w:r>
    </w:p>
    <w:p w14:paraId="008C60E5" w14:textId="2FDC2DDB" w:rsidR="00A7076B" w:rsidRPr="001E2968" w:rsidRDefault="00A5301B" w:rsidP="001E2968">
      <w:pPr>
        <w:spacing w:after="0" w:line="360" w:lineRule="auto"/>
        <w:jc w:val="both"/>
        <w:rPr>
          <w:rFonts w:ascii="Arial" w:hAnsi="Arial" w:cs="Arial"/>
          <w:sz w:val="22"/>
          <w:szCs w:val="22"/>
        </w:rPr>
      </w:pPr>
      <w:r w:rsidRPr="001E2968">
        <w:rPr>
          <w:rFonts w:ascii="Arial" w:hAnsi="Arial" w:cs="Arial"/>
          <w:sz w:val="22"/>
          <w:szCs w:val="22"/>
        </w:rPr>
        <w:t xml:space="preserve">     </w:t>
      </w:r>
      <w:r w:rsidR="00A7076B" w:rsidRPr="001E2968">
        <w:rPr>
          <w:rFonts w:ascii="Arial" w:hAnsi="Arial" w:cs="Arial"/>
          <w:sz w:val="22"/>
          <w:szCs w:val="22"/>
        </w:rPr>
        <w:t>Moon Jae-in’s COVID-19 leadership shows a pragmatic, results-oriented approach, combining bureaucratic competence, participative governance, and rapid evidence-based decision-making to achieve efficiency and public trust. In contrast, Spain used an initially autocratic approach, and Canada relied on mixed strategies. This highlights that effective leadership must adapt to institutions, culture, and past public health experience.</w:t>
      </w:r>
    </w:p>
    <w:p w14:paraId="368D82BF" w14:textId="77777777" w:rsidR="00D21D82" w:rsidRPr="001E2968" w:rsidRDefault="00D21D82" w:rsidP="001E2968">
      <w:pPr>
        <w:spacing w:after="0" w:line="360" w:lineRule="auto"/>
        <w:jc w:val="both"/>
        <w:rPr>
          <w:rFonts w:ascii="Arial" w:hAnsi="Arial" w:cs="Arial"/>
          <w:sz w:val="22"/>
          <w:szCs w:val="22"/>
        </w:rPr>
      </w:pPr>
    </w:p>
    <w:p w14:paraId="037C1522" w14:textId="77777777" w:rsidR="00726C6C" w:rsidRPr="001E2968" w:rsidRDefault="00F31BDD" w:rsidP="001E2968">
      <w:pPr>
        <w:spacing w:line="360" w:lineRule="auto"/>
        <w:jc w:val="both"/>
        <w:rPr>
          <w:rFonts w:ascii="Arial" w:hAnsi="Arial" w:cs="Arial"/>
          <w:b/>
          <w:bCs/>
          <w:sz w:val="22"/>
          <w:szCs w:val="22"/>
        </w:rPr>
      </w:pPr>
      <w:r w:rsidRPr="001E2968">
        <w:rPr>
          <w:rStyle w:val="Tipodeletrapredefinidodopargrafo"/>
          <w:rFonts w:ascii="Arial" w:hAnsi="Arial" w:cs="Arial"/>
          <w:b/>
          <w:bCs/>
          <w:sz w:val="22"/>
          <w:szCs w:val="22"/>
        </w:rPr>
        <w:lastRenderedPageBreak/>
        <w:t>Bureaucratic leadership</w:t>
      </w:r>
    </w:p>
    <w:p w14:paraId="5F1E459F" w14:textId="77777777" w:rsidR="00A5301B" w:rsidRPr="001E2968" w:rsidRDefault="00A5301B" w:rsidP="001E2968">
      <w:pPr>
        <w:spacing w:after="0" w:line="360" w:lineRule="auto"/>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 xml:space="preserve">Bureaucratic leadership is a management </w:t>
      </w:r>
      <w:r w:rsidR="00D54B87" w:rsidRPr="001E2968">
        <w:rPr>
          <w:rFonts w:ascii="Arial" w:hAnsi="Arial" w:cs="Arial"/>
          <w:sz w:val="22"/>
          <w:szCs w:val="22"/>
        </w:rPr>
        <w:t>theory</w:t>
      </w:r>
      <w:r w:rsidR="00F31BDD" w:rsidRPr="001E2968">
        <w:rPr>
          <w:rFonts w:ascii="Arial" w:hAnsi="Arial" w:cs="Arial"/>
          <w:sz w:val="22"/>
          <w:szCs w:val="22"/>
        </w:rPr>
        <w:t xml:space="preserve"> characterised by strict adherence to hierarchy, rules, and established procedures. In this model, decision-making follows a clear chain of command, and each role within the organisation is assigned based on employees’ skills and competencies, promoting specialisation and efficiency</w:t>
      </w:r>
      <w:r w:rsidR="00D54B87" w:rsidRPr="001E2968">
        <w:rPr>
          <w:rFonts w:ascii="Arial" w:hAnsi="Arial" w:cs="Arial"/>
          <w:sz w:val="22"/>
          <w:szCs w:val="22"/>
        </w:rPr>
        <w:t xml:space="preserve"> (AIHR, </w:t>
      </w:r>
      <w:r w:rsidR="00E96197" w:rsidRPr="001E2968">
        <w:rPr>
          <w:rFonts w:ascii="Arial" w:hAnsi="Arial" w:cs="Arial"/>
          <w:sz w:val="22"/>
          <w:szCs w:val="22"/>
        </w:rPr>
        <w:t>n.d.)</w:t>
      </w:r>
      <w:r w:rsidR="00F31BDD" w:rsidRPr="001E2968">
        <w:rPr>
          <w:rFonts w:ascii="Arial" w:hAnsi="Arial" w:cs="Arial"/>
          <w:sz w:val="22"/>
          <w:szCs w:val="22"/>
        </w:rPr>
        <w:t xml:space="preserve">. Impersonality and impartiality are central to this </w:t>
      </w:r>
      <w:r w:rsidR="00D54B87" w:rsidRPr="001E2968">
        <w:rPr>
          <w:rFonts w:ascii="Arial" w:hAnsi="Arial" w:cs="Arial"/>
          <w:sz w:val="22"/>
          <w:szCs w:val="22"/>
        </w:rPr>
        <w:t>theory</w:t>
      </w:r>
      <w:r w:rsidR="00F31BDD" w:rsidRPr="001E2968">
        <w:rPr>
          <w:rFonts w:ascii="Arial" w:hAnsi="Arial" w:cs="Arial"/>
          <w:sz w:val="22"/>
          <w:szCs w:val="22"/>
        </w:rPr>
        <w:t xml:space="preserve">, as it prioritises organisational performance and the uniform application of rules, minimising </w:t>
      </w:r>
      <w:r w:rsidR="000A08AC" w:rsidRPr="001E2968">
        <w:rPr>
          <w:rFonts w:ascii="Arial" w:hAnsi="Arial" w:cs="Arial"/>
          <w:sz w:val="22"/>
          <w:szCs w:val="22"/>
        </w:rPr>
        <w:t>favouritism,</w:t>
      </w:r>
      <w:r w:rsidR="00F31BDD" w:rsidRPr="001E2968">
        <w:rPr>
          <w:rFonts w:ascii="Arial" w:hAnsi="Arial" w:cs="Arial"/>
          <w:sz w:val="22"/>
          <w:szCs w:val="22"/>
        </w:rPr>
        <w:t xml:space="preserve"> or discrimination.</w:t>
      </w:r>
      <w:r w:rsidR="00E96197" w:rsidRPr="001E2968">
        <w:rPr>
          <w:rFonts w:ascii="Arial" w:hAnsi="Arial" w:cs="Arial"/>
          <w:sz w:val="22"/>
          <w:szCs w:val="22"/>
        </w:rPr>
        <w:t xml:space="preserve"> </w:t>
      </w:r>
    </w:p>
    <w:p w14:paraId="148A020B" w14:textId="77777777" w:rsidR="00A5301B" w:rsidRPr="001E2968" w:rsidRDefault="00A5301B" w:rsidP="001E2968">
      <w:pPr>
        <w:spacing w:after="0" w:line="360" w:lineRule="auto"/>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 xml:space="preserve">This type of leadership is particularly effective in environments where stability, predictability, and standardisation are essential. Sectors such as healthcare, education, </w:t>
      </w:r>
      <w:r w:rsidR="000A08AC" w:rsidRPr="001E2968">
        <w:rPr>
          <w:rFonts w:ascii="Arial" w:hAnsi="Arial" w:cs="Arial"/>
          <w:sz w:val="22"/>
          <w:szCs w:val="22"/>
        </w:rPr>
        <w:t>construction,</w:t>
      </w:r>
      <w:r w:rsidR="00F31BDD" w:rsidRPr="001E2968">
        <w:rPr>
          <w:rFonts w:ascii="Arial" w:hAnsi="Arial" w:cs="Arial"/>
          <w:sz w:val="22"/>
          <w:szCs w:val="22"/>
        </w:rPr>
        <w:t xml:space="preserve"> and engineering, as well as security and intelligence agencies, often adopt this approach, as processes must be rigorously followed and standardised procedures ensure reliability and safety. Among the advantages of bureaucratic leadership are predictable workflows, efficiency resulting from clearly defined roles, organisational stability even during changes in leadership, and standardised processes that ensure consistent results. </w:t>
      </w:r>
    </w:p>
    <w:p w14:paraId="7781267C" w14:textId="1ABE41F3" w:rsidR="00D54B87" w:rsidRPr="001E2968" w:rsidRDefault="00A5301B" w:rsidP="001E2968">
      <w:pPr>
        <w:spacing w:after="0" w:line="360" w:lineRule="auto"/>
        <w:jc w:val="both"/>
        <w:rPr>
          <w:rStyle w:val="Tipodeletrapredefinidodopargrafo"/>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 xml:space="preserve">On the other hand, this style has disadvantages, such as a lack of creativity and innovation, inflexibility in the face of external changes, slow decision-making due to the need for multiple approvals, and resistance to </w:t>
      </w:r>
      <w:r w:rsidR="000A08AC" w:rsidRPr="001E2968">
        <w:rPr>
          <w:rFonts w:ascii="Arial" w:hAnsi="Arial" w:cs="Arial"/>
          <w:sz w:val="22"/>
          <w:szCs w:val="22"/>
        </w:rPr>
        <w:t>innovative ideas</w:t>
      </w:r>
      <w:r w:rsidR="00F31BDD" w:rsidRPr="001E2968">
        <w:rPr>
          <w:rFonts w:ascii="Arial" w:hAnsi="Arial" w:cs="Arial"/>
          <w:sz w:val="22"/>
          <w:szCs w:val="22"/>
        </w:rPr>
        <w:t xml:space="preserve"> that might alter established processes.</w:t>
      </w:r>
      <w:r w:rsidR="00E96197" w:rsidRPr="001E2968">
        <w:rPr>
          <w:rFonts w:ascii="Arial" w:hAnsi="Arial" w:cs="Arial"/>
          <w:sz w:val="22"/>
          <w:szCs w:val="22"/>
        </w:rPr>
        <w:t xml:space="preserve"> </w:t>
      </w:r>
      <w:r w:rsidR="00F31BDD" w:rsidRPr="001E2968">
        <w:rPr>
          <w:rStyle w:val="Tipodeletrapredefinidodopargrafo"/>
          <w:rFonts w:ascii="Arial" w:hAnsi="Arial" w:cs="Arial"/>
          <w:sz w:val="22"/>
          <w:szCs w:val="22"/>
        </w:rPr>
        <w:t>In summary, bureaucratic leadership provides efficiency, order, and impartiality, making it ideal for complex organisations or environments that require strict adherence to regulations. However, its rigid nature can limit creativity and innovation, so it is important to carefully assess the context before adopting this </w:t>
      </w:r>
      <w:r w:rsidR="00D54B87" w:rsidRPr="001E2968">
        <w:rPr>
          <w:rStyle w:val="Tipodeletrapredefinidodopargrafo"/>
          <w:rFonts w:ascii="Arial" w:hAnsi="Arial" w:cs="Arial"/>
          <w:sz w:val="22"/>
          <w:szCs w:val="22"/>
        </w:rPr>
        <w:t>theor</w:t>
      </w:r>
      <w:r w:rsidR="00E96197" w:rsidRPr="001E2968">
        <w:rPr>
          <w:rStyle w:val="Tipodeletrapredefinidodopargrafo"/>
          <w:rFonts w:ascii="Arial" w:hAnsi="Arial" w:cs="Arial"/>
          <w:sz w:val="22"/>
          <w:szCs w:val="22"/>
        </w:rPr>
        <w:t xml:space="preserve">y </w:t>
      </w:r>
      <w:r w:rsidR="00E96197" w:rsidRPr="001E2968">
        <w:rPr>
          <w:rFonts w:ascii="Arial" w:hAnsi="Arial" w:cs="Arial"/>
          <w:sz w:val="22"/>
          <w:szCs w:val="22"/>
        </w:rPr>
        <w:t>(AIHR, n.d.)</w:t>
      </w:r>
      <w:r w:rsidR="00460ED9" w:rsidRPr="001E2968">
        <w:rPr>
          <w:rFonts w:ascii="Arial" w:hAnsi="Arial" w:cs="Arial"/>
          <w:sz w:val="22"/>
          <w:szCs w:val="22"/>
        </w:rPr>
        <w:t xml:space="preserve"> (</w:t>
      </w:r>
      <w:r w:rsidR="000A08AC" w:rsidRPr="001E2968">
        <w:rPr>
          <w:rFonts w:ascii="Arial" w:hAnsi="Arial" w:cs="Arial"/>
          <w:sz w:val="22"/>
          <w:szCs w:val="22"/>
        </w:rPr>
        <w:t>We algo</w:t>
      </w:r>
      <w:r w:rsidR="00460ED9" w:rsidRPr="001E2968">
        <w:rPr>
          <w:rFonts w:ascii="Arial" w:hAnsi="Arial" w:cs="Arial"/>
          <w:sz w:val="22"/>
          <w:szCs w:val="22"/>
        </w:rPr>
        <w:t>, 2025)</w:t>
      </w:r>
      <w:r w:rsidR="00E96197" w:rsidRPr="001E2968">
        <w:rPr>
          <w:rFonts w:ascii="Arial" w:hAnsi="Arial" w:cs="Arial"/>
          <w:sz w:val="22"/>
          <w:szCs w:val="22"/>
        </w:rPr>
        <w:t>.</w:t>
      </w:r>
    </w:p>
    <w:p w14:paraId="50F7AC27" w14:textId="77777777" w:rsidR="00D54B87" w:rsidRPr="001E2968" w:rsidRDefault="00D54B87" w:rsidP="001E2968">
      <w:pPr>
        <w:spacing w:line="360" w:lineRule="auto"/>
        <w:jc w:val="both"/>
        <w:rPr>
          <w:rFonts w:ascii="Arial" w:hAnsi="Arial" w:cs="Arial"/>
          <w:sz w:val="22"/>
          <w:szCs w:val="22"/>
        </w:rPr>
      </w:pPr>
    </w:p>
    <w:p w14:paraId="572993B0" w14:textId="60948139" w:rsidR="00726C6C" w:rsidRPr="001E2968" w:rsidRDefault="00F31BDD" w:rsidP="001E2968">
      <w:pPr>
        <w:spacing w:line="360" w:lineRule="auto"/>
        <w:jc w:val="both"/>
        <w:rPr>
          <w:rFonts w:ascii="Arial" w:hAnsi="Arial" w:cs="Arial"/>
          <w:b/>
          <w:bCs/>
          <w:sz w:val="22"/>
          <w:szCs w:val="22"/>
        </w:rPr>
      </w:pPr>
      <w:r w:rsidRPr="001E2968">
        <w:rPr>
          <w:rStyle w:val="Tipodeletrapredefinidodopargrafo"/>
          <w:rFonts w:ascii="Arial" w:hAnsi="Arial" w:cs="Arial"/>
          <w:b/>
          <w:bCs/>
          <w:sz w:val="22"/>
          <w:szCs w:val="22"/>
        </w:rPr>
        <w:t xml:space="preserve">The democratic leadership </w:t>
      </w:r>
      <w:r w:rsidR="00D54B87" w:rsidRPr="001E2968">
        <w:rPr>
          <w:rStyle w:val="Tipodeletrapredefinidodopargrafo"/>
          <w:rFonts w:ascii="Arial" w:hAnsi="Arial" w:cs="Arial"/>
          <w:b/>
          <w:bCs/>
          <w:sz w:val="22"/>
          <w:szCs w:val="22"/>
        </w:rPr>
        <w:t>style.</w:t>
      </w:r>
    </w:p>
    <w:p w14:paraId="7113AB7D" w14:textId="077C6010" w:rsidR="00726C6C" w:rsidRPr="001E2968" w:rsidRDefault="00A5301B" w:rsidP="001E2968">
      <w:pPr>
        <w:spacing w:after="0" w:line="360" w:lineRule="auto"/>
        <w:jc w:val="both"/>
        <w:rPr>
          <w:rFonts w:ascii="Arial" w:hAnsi="Arial" w:cs="Arial"/>
          <w:sz w:val="22"/>
          <w:szCs w:val="22"/>
        </w:rPr>
      </w:pPr>
      <w:r w:rsidRPr="001E2968">
        <w:rPr>
          <w:rFonts w:ascii="Arial" w:hAnsi="Arial" w:cs="Arial"/>
          <w:sz w:val="22"/>
          <w:szCs w:val="22"/>
        </w:rPr>
        <w:t xml:space="preserve">       </w:t>
      </w:r>
      <w:r w:rsidR="00F31BDD" w:rsidRPr="001E2968">
        <w:rPr>
          <w:rFonts w:ascii="Arial" w:hAnsi="Arial" w:cs="Arial"/>
          <w:sz w:val="22"/>
          <w:szCs w:val="22"/>
        </w:rPr>
        <w:t>The democratic leadership style is characterised by the active involvement of the team in decision-making and problem-</w:t>
      </w:r>
      <w:r w:rsidR="00074E32" w:rsidRPr="001E2968">
        <w:rPr>
          <w:rFonts w:ascii="Arial" w:hAnsi="Arial" w:cs="Arial"/>
          <w:sz w:val="22"/>
          <w:szCs w:val="22"/>
        </w:rPr>
        <w:t>solving (NSLS, 2022)</w:t>
      </w:r>
      <w:r w:rsidR="00F31BDD" w:rsidRPr="001E2968">
        <w:rPr>
          <w:rFonts w:ascii="Arial" w:hAnsi="Arial" w:cs="Arial"/>
          <w:sz w:val="22"/>
          <w:szCs w:val="22"/>
        </w:rPr>
        <w:t xml:space="preserve">. Unlike authoritarian styles, a democratic leader seeks to listen to everyone’s opinions, encouraging dialogue, idea-sharing, and collaboration. This type of leadership values creativity, open communication, and participation, allowing team members to feel more engaged and responsible for outcomes. The leader still provides guidance and support as needed but trusts the team to make decisions within certain </w:t>
      </w:r>
      <w:r w:rsidR="00074E32" w:rsidRPr="001E2968">
        <w:rPr>
          <w:rFonts w:ascii="Arial" w:hAnsi="Arial" w:cs="Arial"/>
          <w:sz w:val="22"/>
          <w:szCs w:val="22"/>
        </w:rPr>
        <w:t>parameters (NSLS, 2022)</w:t>
      </w:r>
      <w:r w:rsidR="00F31BDD" w:rsidRPr="001E2968">
        <w:rPr>
          <w:rFonts w:ascii="Arial" w:hAnsi="Arial" w:cs="Arial"/>
          <w:sz w:val="22"/>
          <w:szCs w:val="22"/>
        </w:rPr>
        <w:t>.</w:t>
      </w:r>
    </w:p>
    <w:p w14:paraId="0CBEDA90" w14:textId="1E1DE5D7" w:rsidR="00726C6C" w:rsidRPr="001E2968" w:rsidRDefault="00F31BDD" w:rsidP="001E2968">
      <w:pPr>
        <w:spacing w:after="0" w:line="360" w:lineRule="auto"/>
        <w:jc w:val="both"/>
        <w:rPr>
          <w:rFonts w:ascii="Arial" w:hAnsi="Arial" w:cs="Arial"/>
          <w:b/>
          <w:bCs/>
          <w:sz w:val="22"/>
          <w:szCs w:val="22"/>
        </w:rPr>
      </w:pPr>
      <w:r w:rsidRPr="001E2968">
        <w:rPr>
          <w:rFonts w:ascii="Arial" w:hAnsi="Arial" w:cs="Arial"/>
          <w:b/>
          <w:bCs/>
          <w:sz w:val="22"/>
          <w:szCs w:val="22"/>
        </w:rPr>
        <w:t>Advantages:</w:t>
      </w:r>
      <w:r w:rsidR="00D21D82" w:rsidRPr="001E2968">
        <w:rPr>
          <w:rFonts w:ascii="Arial" w:hAnsi="Arial" w:cs="Arial"/>
          <w:b/>
          <w:bCs/>
          <w:sz w:val="22"/>
          <w:szCs w:val="22"/>
        </w:rPr>
        <w:t xml:space="preserve"> </w:t>
      </w:r>
      <w:r w:rsidRPr="001E2968">
        <w:rPr>
          <w:rFonts w:ascii="Arial" w:hAnsi="Arial" w:cs="Arial"/>
          <w:sz w:val="22"/>
          <w:szCs w:val="22"/>
        </w:rPr>
        <w:t>Democratic leadership offers numerous benefits for both employees and the organisation</w:t>
      </w:r>
      <w:r w:rsidR="00074E32" w:rsidRPr="001E2968">
        <w:rPr>
          <w:rFonts w:ascii="Arial" w:hAnsi="Arial" w:cs="Arial"/>
          <w:sz w:val="22"/>
          <w:szCs w:val="22"/>
        </w:rPr>
        <w:t xml:space="preserve"> (NSLS, 2022)</w:t>
      </w:r>
      <w:r w:rsidRPr="001E2968">
        <w:rPr>
          <w:rFonts w:ascii="Arial" w:hAnsi="Arial" w:cs="Arial"/>
          <w:sz w:val="22"/>
          <w:szCs w:val="22"/>
        </w:rPr>
        <w:t xml:space="preserve">. It increases team engagement and motivation, as everyone feels heard and valued. This style also fosters creativity and innovation, as different perspectives are considered before decisions are made. Additionally, it promotes a collaborative and transparent working environment, strengthening trust and organisational culture. For the </w:t>
      </w:r>
      <w:r w:rsidRPr="001E2968">
        <w:rPr>
          <w:rFonts w:ascii="Arial" w:hAnsi="Arial" w:cs="Arial"/>
          <w:sz w:val="22"/>
          <w:szCs w:val="22"/>
        </w:rPr>
        <w:lastRenderedPageBreak/>
        <w:t>organisation, the result is often better-informed, higher-quality decisions and lower staff turnover, since engagement and job satisfaction are enhanced</w:t>
      </w:r>
      <w:r w:rsidR="00074E32" w:rsidRPr="001E2968">
        <w:rPr>
          <w:rFonts w:ascii="Arial" w:hAnsi="Arial" w:cs="Arial"/>
          <w:sz w:val="22"/>
          <w:szCs w:val="22"/>
        </w:rPr>
        <w:t xml:space="preserve"> (NSLS, 2022)</w:t>
      </w:r>
      <w:r w:rsidRPr="001E2968">
        <w:rPr>
          <w:rFonts w:ascii="Arial" w:hAnsi="Arial" w:cs="Arial"/>
          <w:sz w:val="22"/>
          <w:szCs w:val="22"/>
        </w:rPr>
        <w:t>.</w:t>
      </w:r>
    </w:p>
    <w:p w14:paraId="2BDD4C20" w14:textId="497E03C7" w:rsidR="00D21D82" w:rsidRPr="001E2968" w:rsidRDefault="00F31BDD" w:rsidP="001E2968">
      <w:pPr>
        <w:spacing w:after="0" w:line="360" w:lineRule="auto"/>
        <w:jc w:val="both"/>
        <w:rPr>
          <w:rFonts w:ascii="Arial" w:hAnsi="Arial" w:cs="Arial"/>
          <w:b/>
          <w:bCs/>
          <w:sz w:val="22"/>
          <w:szCs w:val="22"/>
        </w:rPr>
      </w:pPr>
      <w:r w:rsidRPr="001E2968">
        <w:rPr>
          <w:rFonts w:ascii="Arial" w:hAnsi="Arial" w:cs="Arial"/>
          <w:b/>
          <w:bCs/>
          <w:sz w:val="22"/>
          <w:szCs w:val="22"/>
        </w:rPr>
        <w:t>Disadvantages:</w:t>
      </w:r>
      <w:r w:rsidR="00D21D82" w:rsidRPr="001E2968">
        <w:rPr>
          <w:rFonts w:ascii="Arial" w:hAnsi="Arial" w:cs="Arial"/>
          <w:b/>
          <w:bCs/>
          <w:sz w:val="22"/>
          <w:szCs w:val="22"/>
        </w:rPr>
        <w:t xml:space="preserve"> </w:t>
      </w:r>
      <w:r w:rsidRPr="001E2968">
        <w:rPr>
          <w:rFonts w:ascii="Arial" w:hAnsi="Arial" w:cs="Arial"/>
          <w:sz w:val="22"/>
          <w:szCs w:val="22"/>
        </w:rPr>
        <w:t>However, democratic leadership also presents challenges</w:t>
      </w:r>
      <w:r w:rsidR="00074E32" w:rsidRPr="001E2968">
        <w:rPr>
          <w:rFonts w:ascii="Arial" w:hAnsi="Arial" w:cs="Arial"/>
          <w:sz w:val="22"/>
          <w:szCs w:val="22"/>
        </w:rPr>
        <w:t xml:space="preserve"> (NSLS, 2022)</w:t>
      </w:r>
      <w:r w:rsidRPr="001E2968">
        <w:rPr>
          <w:rFonts w:ascii="Arial" w:hAnsi="Arial" w:cs="Arial"/>
          <w:sz w:val="22"/>
          <w:szCs w:val="22"/>
        </w:rPr>
        <w:t>. The process of gathering opinions, discussing ideas, and reaching consensus can be time-consuming and labour-intensive, which may be problematic in situations requiring quick decisions. Furthermore, not all team members may have the necessary knowledge or experience to contribute effectively, which can lead to less effective decisions or frustration if their views are not fully considered. In high-risk contexts or situations where mistakes cannot be afforded, this style may be unsuitable, as the autonomy given to the team increases shared responsibility for </w:t>
      </w:r>
      <w:r w:rsidR="00074E32" w:rsidRPr="001E2968">
        <w:rPr>
          <w:rFonts w:ascii="Arial" w:hAnsi="Arial" w:cs="Arial"/>
          <w:sz w:val="22"/>
          <w:szCs w:val="22"/>
        </w:rPr>
        <w:t>outcomes (NSLS, 2022).</w:t>
      </w:r>
    </w:p>
    <w:p w14:paraId="07033C03" w14:textId="3FB925DC" w:rsidR="00D21D82" w:rsidRPr="001E2968" w:rsidRDefault="00A5301B" w:rsidP="001E2968">
      <w:pPr>
        <w:spacing w:after="0" w:line="360" w:lineRule="auto"/>
        <w:jc w:val="both"/>
        <w:rPr>
          <w:rFonts w:ascii="Arial" w:hAnsi="Arial" w:cs="Arial"/>
          <w:sz w:val="22"/>
          <w:szCs w:val="22"/>
        </w:rPr>
      </w:pPr>
      <w:r w:rsidRPr="001E2968">
        <w:rPr>
          <w:rFonts w:ascii="Arial" w:hAnsi="Arial" w:cs="Arial"/>
          <w:sz w:val="22"/>
          <w:szCs w:val="22"/>
        </w:rPr>
        <w:t xml:space="preserve">     </w:t>
      </w:r>
      <w:r w:rsidR="00D21D82" w:rsidRPr="001E2968">
        <w:rPr>
          <w:rFonts w:ascii="Arial" w:hAnsi="Arial" w:cs="Arial"/>
          <w:sz w:val="22"/>
          <w:szCs w:val="22"/>
        </w:rPr>
        <w:t>During the COVID-19 pandemic, Spain initially employed autocratic leadership, centralising decisions under Prime Minister Sánchez to implement rapid, uniform measures like the nationwide lockdown. As the crisis evolved, the government shifted to situational leadership, gradually returning responsibilities to autonomous communities, allowing regional adaptation while maintaining coordination. This adaptive approach demonstrates that different leadership styles were effective at different stages, with autocratic leadership suitable for the emergency phase and situational leadership enhancing regional responsiveness and equity later on.</w:t>
      </w:r>
    </w:p>
    <w:p w14:paraId="1F965101" w14:textId="77777777" w:rsidR="0001101C" w:rsidRPr="001E2968" w:rsidRDefault="0001101C" w:rsidP="001E2968">
      <w:pPr>
        <w:spacing w:after="0" w:line="360" w:lineRule="auto"/>
        <w:contextualSpacing/>
        <w:jc w:val="both"/>
        <w:rPr>
          <w:rFonts w:ascii="Arial" w:hAnsi="Arial" w:cs="Arial"/>
          <w:b/>
          <w:bCs/>
          <w:sz w:val="22"/>
          <w:szCs w:val="22"/>
        </w:rPr>
      </w:pPr>
    </w:p>
    <w:p w14:paraId="0CEED722" w14:textId="77777777" w:rsidR="0001101C" w:rsidRPr="001E2968" w:rsidRDefault="0001101C" w:rsidP="001E2968">
      <w:pPr>
        <w:spacing w:after="0" w:line="360" w:lineRule="auto"/>
        <w:contextualSpacing/>
        <w:jc w:val="both"/>
        <w:rPr>
          <w:rFonts w:ascii="Arial" w:hAnsi="Arial" w:cs="Arial"/>
          <w:b/>
          <w:bCs/>
          <w:sz w:val="22"/>
          <w:szCs w:val="22"/>
        </w:rPr>
      </w:pPr>
    </w:p>
    <w:p w14:paraId="7C9F26CF" w14:textId="77777777" w:rsidR="0001101C" w:rsidRPr="001E2968" w:rsidRDefault="0001101C" w:rsidP="001E2968">
      <w:pPr>
        <w:spacing w:after="0" w:line="360" w:lineRule="auto"/>
        <w:contextualSpacing/>
        <w:jc w:val="both"/>
        <w:rPr>
          <w:rFonts w:ascii="Arial" w:hAnsi="Arial" w:cs="Arial"/>
          <w:b/>
          <w:bCs/>
          <w:sz w:val="22"/>
          <w:szCs w:val="22"/>
        </w:rPr>
      </w:pPr>
    </w:p>
    <w:p w14:paraId="35DABC95" w14:textId="77777777" w:rsidR="0001101C" w:rsidRPr="001E2968" w:rsidRDefault="0001101C" w:rsidP="001E2968">
      <w:pPr>
        <w:spacing w:after="0" w:line="360" w:lineRule="auto"/>
        <w:contextualSpacing/>
        <w:jc w:val="both"/>
        <w:rPr>
          <w:rFonts w:ascii="Arial" w:hAnsi="Arial" w:cs="Arial"/>
          <w:b/>
          <w:bCs/>
          <w:sz w:val="22"/>
          <w:szCs w:val="22"/>
        </w:rPr>
      </w:pPr>
    </w:p>
    <w:p w14:paraId="35E6C21F" w14:textId="77777777" w:rsidR="0001101C" w:rsidRPr="001E2968" w:rsidRDefault="0001101C" w:rsidP="001E2968">
      <w:pPr>
        <w:spacing w:after="0" w:line="360" w:lineRule="auto"/>
        <w:contextualSpacing/>
        <w:jc w:val="both"/>
        <w:rPr>
          <w:rFonts w:ascii="Arial" w:hAnsi="Arial" w:cs="Arial"/>
          <w:b/>
          <w:bCs/>
          <w:sz w:val="22"/>
          <w:szCs w:val="22"/>
        </w:rPr>
      </w:pPr>
    </w:p>
    <w:p w14:paraId="7823DB4D" w14:textId="77777777" w:rsidR="0001101C" w:rsidRPr="001E2968" w:rsidRDefault="0001101C" w:rsidP="001E2968">
      <w:pPr>
        <w:spacing w:after="0" w:line="360" w:lineRule="auto"/>
        <w:contextualSpacing/>
        <w:jc w:val="both"/>
        <w:rPr>
          <w:rFonts w:ascii="Arial" w:hAnsi="Arial" w:cs="Arial"/>
          <w:b/>
          <w:bCs/>
          <w:sz w:val="22"/>
          <w:szCs w:val="22"/>
        </w:rPr>
      </w:pPr>
    </w:p>
    <w:p w14:paraId="4972238B" w14:textId="77777777" w:rsidR="0001101C" w:rsidRPr="001E2968" w:rsidRDefault="0001101C" w:rsidP="001E2968">
      <w:pPr>
        <w:spacing w:after="0" w:line="360" w:lineRule="auto"/>
        <w:contextualSpacing/>
        <w:jc w:val="both"/>
        <w:rPr>
          <w:rFonts w:ascii="Arial" w:hAnsi="Arial" w:cs="Arial"/>
          <w:b/>
          <w:bCs/>
          <w:sz w:val="22"/>
          <w:szCs w:val="22"/>
        </w:rPr>
      </w:pPr>
    </w:p>
    <w:p w14:paraId="00EF0DCF" w14:textId="77777777" w:rsidR="0001101C" w:rsidRPr="001E2968" w:rsidRDefault="0001101C" w:rsidP="001E2968">
      <w:pPr>
        <w:spacing w:after="0" w:line="360" w:lineRule="auto"/>
        <w:contextualSpacing/>
        <w:jc w:val="both"/>
        <w:rPr>
          <w:rFonts w:ascii="Arial" w:hAnsi="Arial" w:cs="Arial"/>
          <w:b/>
          <w:bCs/>
          <w:sz w:val="22"/>
          <w:szCs w:val="22"/>
        </w:rPr>
      </w:pPr>
    </w:p>
    <w:p w14:paraId="5FFF49E9" w14:textId="77777777" w:rsidR="0001101C" w:rsidRPr="001E2968" w:rsidRDefault="0001101C" w:rsidP="001E2968">
      <w:pPr>
        <w:spacing w:after="0" w:line="360" w:lineRule="auto"/>
        <w:contextualSpacing/>
        <w:jc w:val="both"/>
        <w:rPr>
          <w:rFonts w:ascii="Arial" w:hAnsi="Arial" w:cs="Arial"/>
          <w:b/>
          <w:bCs/>
          <w:sz w:val="22"/>
          <w:szCs w:val="22"/>
        </w:rPr>
      </w:pPr>
    </w:p>
    <w:p w14:paraId="64FA8848" w14:textId="77777777" w:rsidR="0001101C" w:rsidRPr="001E2968" w:rsidRDefault="0001101C" w:rsidP="001E2968">
      <w:pPr>
        <w:spacing w:after="0" w:line="360" w:lineRule="auto"/>
        <w:contextualSpacing/>
        <w:jc w:val="both"/>
        <w:rPr>
          <w:rFonts w:ascii="Arial" w:hAnsi="Arial" w:cs="Arial"/>
          <w:b/>
          <w:bCs/>
          <w:sz w:val="22"/>
          <w:szCs w:val="22"/>
        </w:rPr>
      </w:pPr>
    </w:p>
    <w:p w14:paraId="2F486295" w14:textId="77777777" w:rsidR="0001101C" w:rsidRPr="001E2968" w:rsidRDefault="0001101C" w:rsidP="001E2968">
      <w:pPr>
        <w:spacing w:after="0" w:line="360" w:lineRule="auto"/>
        <w:contextualSpacing/>
        <w:jc w:val="both"/>
        <w:rPr>
          <w:rFonts w:ascii="Arial" w:hAnsi="Arial" w:cs="Arial"/>
          <w:b/>
          <w:bCs/>
          <w:sz w:val="22"/>
          <w:szCs w:val="22"/>
        </w:rPr>
      </w:pPr>
    </w:p>
    <w:p w14:paraId="5ADF68E8" w14:textId="77777777" w:rsidR="0001101C" w:rsidRPr="001E2968" w:rsidRDefault="0001101C" w:rsidP="001E2968">
      <w:pPr>
        <w:spacing w:after="0" w:line="360" w:lineRule="auto"/>
        <w:contextualSpacing/>
        <w:jc w:val="both"/>
        <w:rPr>
          <w:rFonts w:ascii="Arial" w:hAnsi="Arial" w:cs="Arial"/>
          <w:b/>
          <w:bCs/>
          <w:sz w:val="22"/>
          <w:szCs w:val="22"/>
        </w:rPr>
      </w:pPr>
    </w:p>
    <w:p w14:paraId="70022DE9" w14:textId="77777777" w:rsidR="0001101C" w:rsidRPr="001E2968" w:rsidRDefault="0001101C" w:rsidP="001E2968">
      <w:pPr>
        <w:spacing w:after="0" w:line="360" w:lineRule="auto"/>
        <w:contextualSpacing/>
        <w:jc w:val="both"/>
        <w:rPr>
          <w:rFonts w:ascii="Arial" w:hAnsi="Arial" w:cs="Arial"/>
          <w:b/>
          <w:bCs/>
          <w:sz w:val="22"/>
          <w:szCs w:val="22"/>
        </w:rPr>
      </w:pPr>
    </w:p>
    <w:p w14:paraId="377C3660" w14:textId="77777777" w:rsidR="0001101C" w:rsidRPr="001E2968" w:rsidRDefault="0001101C" w:rsidP="001E2968">
      <w:pPr>
        <w:spacing w:after="0" w:line="360" w:lineRule="auto"/>
        <w:contextualSpacing/>
        <w:jc w:val="both"/>
        <w:rPr>
          <w:rFonts w:ascii="Arial" w:hAnsi="Arial" w:cs="Arial"/>
          <w:b/>
          <w:bCs/>
          <w:sz w:val="22"/>
          <w:szCs w:val="22"/>
        </w:rPr>
      </w:pPr>
    </w:p>
    <w:p w14:paraId="0A5432F2" w14:textId="77777777" w:rsidR="0001101C" w:rsidRPr="001E2968" w:rsidRDefault="0001101C" w:rsidP="001E2968">
      <w:pPr>
        <w:spacing w:after="0" w:line="360" w:lineRule="auto"/>
        <w:contextualSpacing/>
        <w:jc w:val="both"/>
        <w:rPr>
          <w:rFonts w:ascii="Arial" w:hAnsi="Arial" w:cs="Arial"/>
          <w:b/>
          <w:bCs/>
          <w:sz w:val="22"/>
          <w:szCs w:val="22"/>
        </w:rPr>
      </w:pPr>
    </w:p>
    <w:p w14:paraId="52EB32A1" w14:textId="77777777" w:rsidR="0001101C" w:rsidRDefault="0001101C" w:rsidP="001E2968">
      <w:pPr>
        <w:spacing w:after="0" w:line="360" w:lineRule="auto"/>
        <w:contextualSpacing/>
        <w:jc w:val="both"/>
        <w:rPr>
          <w:rFonts w:ascii="Arial" w:hAnsi="Arial" w:cs="Arial"/>
          <w:b/>
          <w:bCs/>
          <w:sz w:val="22"/>
          <w:szCs w:val="22"/>
        </w:rPr>
      </w:pPr>
    </w:p>
    <w:p w14:paraId="09F203E2" w14:textId="77777777" w:rsidR="0014417C" w:rsidRDefault="0014417C" w:rsidP="001E2968">
      <w:pPr>
        <w:spacing w:after="0" w:line="360" w:lineRule="auto"/>
        <w:contextualSpacing/>
        <w:jc w:val="both"/>
        <w:rPr>
          <w:rFonts w:ascii="Arial" w:hAnsi="Arial" w:cs="Arial"/>
          <w:b/>
          <w:bCs/>
          <w:sz w:val="22"/>
          <w:szCs w:val="22"/>
        </w:rPr>
      </w:pPr>
    </w:p>
    <w:p w14:paraId="1C958A07" w14:textId="77777777" w:rsidR="0014417C" w:rsidRDefault="0014417C" w:rsidP="001E2968">
      <w:pPr>
        <w:spacing w:after="0" w:line="360" w:lineRule="auto"/>
        <w:contextualSpacing/>
        <w:jc w:val="both"/>
        <w:rPr>
          <w:rFonts w:ascii="Arial" w:hAnsi="Arial" w:cs="Arial"/>
          <w:b/>
          <w:bCs/>
          <w:sz w:val="22"/>
          <w:szCs w:val="22"/>
        </w:rPr>
      </w:pPr>
    </w:p>
    <w:p w14:paraId="48A0E26F" w14:textId="77777777" w:rsidR="0014417C" w:rsidRPr="001E2968" w:rsidRDefault="0014417C" w:rsidP="001E2968">
      <w:pPr>
        <w:spacing w:after="0" w:line="360" w:lineRule="auto"/>
        <w:contextualSpacing/>
        <w:jc w:val="both"/>
        <w:rPr>
          <w:rFonts w:ascii="Arial" w:hAnsi="Arial" w:cs="Arial"/>
          <w:b/>
          <w:bCs/>
          <w:sz w:val="22"/>
          <w:szCs w:val="22"/>
        </w:rPr>
      </w:pPr>
    </w:p>
    <w:p w14:paraId="03188698" w14:textId="77777777" w:rsidR="0001101C" w:rsidRPr="001E2968" w:rsidRDefault="0001101C" w:rsidP="001E2968">
      <w:pPr>
        <w:spacing w:after="0" w:line="360" w:lineRule="auto"/>
        <w:contextualSpacing/>
        <w:jc w:val="both"/>
        <w:rPr>
          <w:rFonts w:ascii="Arial" w:hAnsi="Arial" w:cs="Arial"/>
          <w:b/>
          <w:bCs/>
          <w:sz w:val="22"/>
          <w:szCs w:val="22"/>
        </w:rPr>
      </w:pPr>
    </w:p>
    <w:p w14:paraId="2BCDE2C1" w14:textId="240230D8" w:rsidR="00726C6C" w:rsidRPr="001E2968" w:rsidRDefault="00F31BDD" w:rsidP="001E2968">
      <w:pPr>
        <w:spacing w:after="0" w:line="360" w:lineRule="auto"/>
        <w:contextualSpacing/>
        <w:jc w:val="both"/>
        <w:rPr>
          <w:rFonts w:ascii="Arial" w:hAnsi="Arial" w:cs="Arial"/>
          <w:b/>
          <w:bCs/>
          <w:sz w:val="22"/>
          <w:szCs w:val="22"/>
        </w:rPr>
      </w:pPr>
      <w:r w:rsidRPr="001E2968">
        <w:rPr>
          <w:rFonts w:ascii="Arial" w:hAnsi="Arial" w:cs="Arial"/>
          <w:b/>
          <w:bCs/>
          <w:sz w:val="22"/>
          <w:szCs w:val="22"/>
        </w:rPr>
        <w:lastRenderedPageBreak/>
        <w:t>Conclusion</w:t>
      </w:r>
    </w:p>
    <w:p w14:paraId="011110B5" w14:textId="77777777" w:rsidR="0001101C" w:rsidRPr="001E2968" w:rsidRDefault="00A5301B" w:rsidP="001E2968">
      <w:pPr>
        <w:pStyle w:val="NormalWeb"/>
        <w:spacing w:before="0" w:beforeAutospacing="0" w:after="0" w:afterAutospacing="0" w:line="360" w:lineRule="auto"/>
        <w:contextualSpacing/>
        <w:jc w:val="both"/>
        <w:rPr>
          <w:rFonts w:ascii="Arial" w:hAnsi="Arial" w:cs="Arial"/>
          <w:sz w:val="22"/>
          <w:szCs w:val="22"/>
        </w:rPr>
      </w:pPr>
      <w:r w:rsidRPr="001E2968">
        <w:rPr>
          <w:rFonts w:ascii="Arial" w:hAnsi="Arial" w:cs="Arial"/>
          <w:sz w:val="22"/>
          <w:szCs w:val="22"/>
        </w:rPr>
        <w:t xml:space="preserve">      </w:t>
      </w:r>
      <w:r w:rsidR="00A82823" w:rsidRPr="001E2968">
        <w:rPr>
          <w:rFonts w:ascii="Arial" w:hAnsi="Arial" w:cs="Arial"/>
          <w:sz w:val="22"/>
          <w:szCs w:val="22"/>
        </w:rPr>
        <w:t xml:space="preserve">The experiences of Spain, Canada, and South Korea during the COVID-19 pandemic illustrate how governance models, health-system organisation, and leadership styles significantly shape national crisis responses. Spain’s highly decentralised system required temporary periods of centralisation to ensure national consistency, yet political polarisation and coordination gaps hindered </w:t>
      </w:r>
      <w:r w:rsidR="000A08AC" w:rsidRPr="001E2968">
        <w:rPr>
          <w:rFonts w:ascii="Arial" w:hAnsi="Arial" w:cs="Arial"/>
          <w:sz w:val="22"/>
          <w:szCs w:val="22"/>
        </w:rPr>
        <w:t>initial action</w:t>
      </w:r>
      <w:r w:rsidR="00A82823" w:rsidRPr="001E2968">
        <w:rPr>
          <w:rFonts w:ascii="Arial" w:hAnsi="Arial" w:cs="Arial"/>
          <w:sz w:val="22"/>
          <w:szCs w:val="22"/>
        </w:rPr>
        <w:t>. Canada’s decentralised federal structure offered flexibility but resulted in uneven implementation, variable health outcomes, and delays in containment. In both countries, strong leadership was most effective when it combined clear communication, behavioural guidance, and situational adaptability.</w:t>
      </w:r>
      <w:r w:rsidR="006574B0" w:rsidRPr="001E2968">
        <w:rPr>
          <w:rFonts w:ascii="Arial" w:hAnsi="Arial" w:cs="Arial"/>
          <w:sz w:val="22"/>
          <w:szCs w:val="22"/>
        </w:rPr>
        <w:t xml:space="preserve"> </w:t>
      </w:r>
      <w:r w:rsidR="00A82823" w:rsidRPr="001E2968">
        <w:rPr>
          <w:rFonts w:ascii="Arial" w:hAnsi="Arial" w:cs="Arial"/>
          <w:sz w:val="22"/>
          <w:szCs w:val="22"/>
        </w:rPr>
        <w:t>South Korea’s success demonstrates the value of preparedness, integrated digital infrastructure, and a governance model that combines national coordination with regional flexibility. Its rapid adoption of the 3T</w:t>
      </w:r>
      <w:r w:rsidR="006574B0" w:rsidRPr="001E2968">
        <w:rPr>
          <w:rFonts w:ascii="Arial" w:hAnsi="Arial" w:cs="Arial"/>
          <w:sz w:val="22"/>
          <w:szCs w:val="22"/>
        </w:rPr>
        <w:t xml:space="preserve"> (Test, Trace, Treat)</w:t>
      </w:r>
      <w:r w:rsidR="00A82823" w:rsidRPr="001E2968">
        <w:rPr>
          <w:rFonts w:ascii="Arial" w:hAnsi="Arial" w:cs="Arial"/>
          <w:sz w:val="22"/>
          <w:szCs w:val="22"/>
        </w:rPr>
        <w:t xml:space="preserve"> strategy and effective cooperation across government levels highlight how clear leadership and administrative competence can minimise both health and economic impacts.</w:t>
      </w:r>
      <w:r w:rsidR="006574B0" w:rsidRPr="001E2968">
        <w:rPr>
          <w:rFonts w:ascii="Arial" w:hAnsi="Arial" w:cs="Arial"/>
          <w:sz w:val="22"/>
          <w:szCs w:val="22"/>
        </w:rPr>
        <w:t xml:space="preserve"> </w:t>
      </w:r>
      <w:r w:rsidRPr="001E2968">
        <w:rPr>
          <w:rFonts w:ascii="Arial" w:hAnsi="Arial" w:cs="Arial"/>
          <w:sz w:val="22"/>
          <w:szCs w:val="22"/>
        </w:rPr>
        <w:t xml:space="preserve">           </w:t>
      </w:r>
      <w:r w:rsidR="0001101C" w:rsidRPr="001E2968">
        <w:rPr>
          <w:rFonts w:ascii="Arial" w:hAnsi="Arial" w:cs="Arial"/>
          <w:sz w:val="22"/>
          <w:szCs w:val="22"/>
        </w:rPr>
        <w:t xml:space="preserve">    </w:t>
      </w:r>
    </w:p>
    <w:p w14:paraId="0A8336E6" w14:textId="3BD2063D" w:rsidR="00A82823" w:rsidRPr="001E2968" w:rsidRDefault="0001101C" w:rsidP="001E2968">
      <w:pPr>
        <w:pStyle w:val="NormalWeb"/>
        <w:spacing w:before="0" w:beforeAutospacing="0" w:after="0" w:afterAutospacing="0" w:line="360" w:lineRule="auto"/>
        <w:contextualSpacing/>
        <w:jc w:val="both"/>
        <w:rPr>
          <w:rFonts w:ascii="Arial" w:hAnsi="Arial" w:cs="Arial"/>
          <w:sz w:val="22"/>
          <w:szCs w:val="22"/>
        </w:rPr>
      </w:pPr>
      <w:r w:rsidRPr="001E2968">
        <w:rPr>
          <w:rFonts w:ascii="Arial" w:hAnsi="Arial" w:cs="Arial"/>
          <w:sz w:val="22"/>
          <w:szCs w:val="22"/>
        </w:rPr>
        <w:t xml:space="preserve">     </w:t>
      </w:r>
      <w:r w:rsidR="00A82823" w:rsidRPr="001E2968">
        <w:rPr>
          <w:rFonts w:ascii="Arial" w:hAnsi="Arial" w:cs="Arial"/>
          <w:sz w:val="22"/>
          <w:szCs w:val="22"/>
        </w:rPr>
        <w:t>Across all three cases, the evidence shows that no governance model</w:t>
      </w:r>
      <w:r w:rsidR="006574B0" w:rsidRPr="001E2968">
        <w:rPr>
          <w:rFonts w:ascii="Arial" w:hAnsi="Arial" w:cs="Arial"/>
          <w:sz w:val="22"/>
          <w:szCs w:val="22"/>
        </w:rPr>
        <w:t xml:space="preserve"> </w:t>
      </w:r>
      <w:r w:rsidR="00A82823" w:rsidRPr="001E2968">
        <w:rPr>
          <w:rFonts w:ascii="Arial" w:hAnsi="Arial" w:cs="Arial"/>
          <w:sz w:val="22"/>
          <w:szCs w:val="22"/>
        </w:rPr>
        <w:t>centralised or decentralised</w:t>
      </w:r>
      <w:r w:rsidR="006574B0" w:rsidRPr="001E2968">
        <w:rPr>
          <w:rFonts w:ascii="Arial" w:hAnsi="Arial" w:cs="Arial"/>
          <w:sz w:val="22"/>
          <w:szCs w:val="22"/>
        </w:rPr>
        <w:t xml:space="preserve"> </w:t>
      </w:r>
      <w:r w:rsidR="00A82823" w:rsidRPr="001E2968">
        <w:rPr>
          <w:rFonts w:ascii="Arial" w:hAnsi="Arial" w:cs="Arial"/>
          <w:sz w:val="22"/>
          <w:szCs w:val="22"/>
        </w:rPr>
        <w:t>is inherently superior; rather, effectiveness depends on coordination, clarity of responsibilities, adequate resources, and the ability of leaders to adapt their approach to evolving circumstances. Leadership styles also need to shift throughout a crisis: autocratic or centralised decision-making may be necessary in the early emergency phase, while participatory and situational approaches become more effective as conditions stabilise and regional needs diverge.</w:t>
      </w:r>
      <w:r w:rsidR="006574B0" w:rsidRPr="001E2968">
        <w:rPr>
          <w:rFonts w:ascii="Arial" w:hAnsi="Arial" w:cs="Arial"/>
          <w:sz w:val="22"/>
          <w:szCs w:val="22"/>
        </w:rPr>
        <w:t xml:space="preserve"> </w:t>
      </w:r>
      <w:r w:rsidR="00A82823" w:rsidRPr="001E2968">
        <w:rPr>
          <w:rFonts w:ascii="Arial" w:hAnsi="Arial" w:cs="Arial"/>
          <w:sz w:val="22"/>
          <w:szCs w:val="22"/>
        </w:rPr>
        <w:t>Overall, the pandemic underscores the importance of resilient health systems, transparent communication, and adaptive, evidence-based leadership. Future public health emergencies will require stronger intergovernmental collaboration, improved data systems, and leadership that balances national direction with local autonomy, ensuring timely and equitable responses that protect all populations.</w:t>
      </w:r>
    </w:p>
    <w:p w14:paraId="1480BF23" w14:textId="77777777" w:rsidR="00726C6C" w:rsidRDefault="00726C6C">
      <w:pPr>
        <w:rPr>
          <w:b/>
          <w:bCs/>
        </w:rPr>
      </w:pPr>
    </w:p>
    <w:p w14:paraId="2A315DF5" w14:textId="1687FC80" w:rsidR="00074E32" w:rsidRDefault="00074E32">
      <w:pPr>
        <w:suppressAutoHyphens w:val="0"/>
        <w:rPr>
          <w:b/>
          <w:bCs/>
        </w:rPr>
      </w:pPr>
      <w:r>
        <w:rPr>
          <w:b/>
          <w:bCs/>
        </w:rPr>
        <w:br w:type="page"/>
      </w:r>
    </w:p>
    <w:p w14:paraId="42EE5B57" w14:textId="1D2AB724" w:rsidR="00726C6C" w:rsidRPr="001B5EB4" w:rsidRDefault="00F31BDD" w:rsidP="001B5EB4">
      <w:pPr>
        <w:suppressAutoHyphens w:val="0"/>
        <w:rPr>
          <w:b/>
          <w:bCs/>
        </w:rPr>
      </w:pPr>
      <w:r w:rsidRPr="001B5EB4">
        <w:rPr>
          <w:rFonts w:ascii="Arial" w:hAnsi="Arial" w:cs="Arial"/>
          <w:b/>
          <w:bCs/>
          <w:sz w:val="22"/>
          <w:szCs w:val="22"/>
          <w:lang w:val="pt-PT"/>
        </w:rPr>
        <w:lastRenderedPageBreak/>
        <w:t>References</w:t>
      </w:r>
    </w:p>
    <w:p w14:paraId="4D33028E" w14:textId="77777777" w:rsidR="00726C6C" w:rsidRPr="001B5EB4" w:rsidRDefault="00726C6C">
      <w:pPr>
        <w:rPr>
          <w:rFonts w:ascii="Arial" w:hAnsi="Arial" w:cs="Arial"/>
          <w:sz w:val="22"/>
          <w:szCs w:val="22"/>
          <w:lang w:val="pt-PT"/>
        </w:rPr>
      </w:pPr>
    </w:p>
    <w:p w14:paraId="3746EB36" w14:textId="3A9EFE9C" w:rsidR="00637E64" w:rsidRPr="001B5EB4" w:rsidRDefault="00637E64" w:rsidP="00637E64">
      <w:pPr>
        <w:pStyle w:val="ListParagraph"/>
        <w:numPr>
          <w:ilvl w:val="0"/>
          <w:numId w:val="1"/>
        </w:numPr>
        <w:spacing w:after="0" w:line="360" w:lineRule="auto"/>
        <w:jc w:val="both"/>
        <w:rPr>
          <w:rStyle w:val="Tipodeletrapredefinidodopargrafo"/>
          <w:rFonts w:ascii="Arial" w:hAnsi="Arial" w:cs="Arial"/>
          <w:sz w:val="22"/>
          <w:szCs w:val="22"/>
        </w:rPr>
      </w:pPr>
      <w:r w:rsidRPr="001B5EB4">
        <w:rPr>
          <w:rStyle w:val="Tipodeletrapredefinidodopargrafo"/>
          <w:rFonts w:ascii="Arial" w:hAnsi="Arial" w:cs="Arial"/>
          <w:sz w:val="22"/>
          <w:szCs w:val="22"/>
        </w:rPr>
        <w:t xml:space="preserve">Academy to Innovate HR (n.d.) </w:t>
      </w:r>
      <w:r w:rsidRPr="001B5EB4">
        <w:rPr>
          <w:rStyle w:val="Tipodeletrapredefinidodopargrafo"/>
          <w:rFonts w:ascii="Arial" w:hAnsi="Arial" w:cs="Arial"/>
          <w:i/>
          <w:iCs/>
          <w:sz w:val="22"/>
          <w:szCs w:val="22"/>
        </w:rPr>
        <w:t>Bureaucratic Leadership.</w:t>
      </w:r>
      <w:r w:rsidRPr="001B5EB4">
        <w:rPr>
          <w:rStyle w:val="Tipodeletrapredefinidodopargrafo"/>
          <w:rFonts w:ascii="Arial" w:hAnsi="Arial" w:cs="Arial"/>
          <w:sz w:val="22"/>
          <w:szCs w:val="22"/>
        </w:rPr>
        <w:t xml:space="preserve"> Available at: </w:t>
      </w:r>
      <w:hyperlink r:id="rId11" w:history="1">
        <w:r w:rsidRPr="001B5EB4">
          <w:rPr>
            <w:rStyle w:val="Hyperlink"/>
            <w:rFonts w:ascii="Arial" w:hAnsi="Arial" w:cs="Arial"/>
            <w:sz w:val="22"/>
            <w:szCs w:val="22"/>
          </w:rPr>
          <w:t xml:space="preserve">What Is Bureaucratic Leadership? </w:t>
        </w:r>
        <w:r w:rsidR="000A08AC" w:rsidRPr="001B5EB4">
          <w:rPr>
            <w:rStyle w:val="Hyperlink"/>
            <w:rFonts w:ascii="Arial" w:hAnsi="Arial" w:cs="Arial"/>
            <w:sz w:val="22"/>
            <w:szCs w:val="22"/>
          </w:rPr>
          <w:t>Plus,</w:t>
        </w:r>
        <w:r w:rsidRPr="001B5EB4">
          <w:rPr>
            <w:rStyle w:val="Hyperlink"/>
            <w:rFonts w:ascii="Arial" w:hAnsi="Arial" w:cs="Arial"/>
            <w:sz w:val="22"/>
            <w:szCs w:val="22"/>
          </w:rPr>
          <w:t xml:space="preserve"> Examples - AIHR</w:t>
        </w:r>
      </w:hyperlink>
      <w:r w:rsidRPr="001B5EB4">
        <w:rPr>
          <w:rFonts w:ascii="Arial" w:hAnsi="Arial" w:cs="Arial"/>
          <w:sz w:val="22"/>
          <w:szCs w:val="22"/>
        </w:rPr>
        <w:t xml:space="preserve"> (Accessed: 25 November 2025)</w:t>
      </w:r>
    </w:p>
    <w:p w14:paraId="38F5D548" w14:textId="2100D061" w:rsidR="00726C6C" w:rsidRPr="001B5EB4" w:rsidRDefault="00F31BDD" w:rsidP="00637E64">
      <w:pPr>
        <w:pStyle w:val="PargrafodaLista"/>
        <w:numPr>
          <w:ilvl w:val="0"/>
          <w:numId w:val="1"/>
        </w:numPr>
        <w:spacing w:line="360" w:lineRule="auto"/>
        <w:jc w:val="both"/>
        <w:rPr>
          <w:rStyle w:val="Tipodeletrapredefinidodopargrafo"/>
          <w:rFonts w:ascii="Arial" w:hAnsi="Arial" w:cs="Arial"/>
          <w:sz w:val="22"/>
          <w:szCs w:val="22"/>
        </w:rPr>
      </w:pPr>
      <w:r w:rsidRPr="001B5EB4">
        <w:rPr>
          <w:rStyle w:val="Tipodeletrapredefinidodopargrafo"/>
          <w:rFonts w:ascii="Arial" w:hAnsi="Arial" w:cs="Arial"/>
          <w:sz w:val="22"/>
          <w:szCs w:val="22"/>
        </w:rPr>
        <w:t>Alemán, E. (2023) 'Political leadership in times of pandemic in the Spanish State and Euskadi,' </w:t>
      </w:r>
      <w:r w:rsidRPr="001B5EB4">
        <w:rPr>
          <w:rStyle w:val="Tipodeletrapredefinidodopargrafo"/>
          <w:rFonts w:ascii="Arial" w:hAnsi="Arial" w:cs="Arial"/>
          <w:i/>
          <w:iCs/>
          <w:sz w:val="22"/>
          <w:szCs w:val="22"/>
        </w:rPr>
        <w:t>Oñati Socio-legal Series</w:t>
      </w:r>
      <w:r w:rsidRPr="001B5EB4">
        <w:rPr>
          <w:rStyle w:val="Tipodeletrapredefinidodopargrafo"/>
          <w:rFonts w:ascii="Arial" w:hAnsi="Arial" w:cs="Arial"/>
          <w:sz w:val="22"/>
          <w:szCs w:val="22"/>
        </w:rPr>
        <w:t>, 13(2), pp. 218–252. </w:t>
      </w:r>
      <w:hyperlink r:id="rId12" w:history="1">
        <w:r w:rsidRPr="001B5EB4">
          <w:rPr>
            <w:rStyle w:val="Hiperligao"/>
            <w:rFonts w:ascii="Arial" w:hAnsi="Arial" w:cs="Arial"/>
            <w:sz w:val="22"/>
            <w:szCs w:val="22"/>
          </w:rPr>
          <w:t>https://doi.org/10.35295/osls.iisl/0000-0000-0000-1337</w:t>
        </w:r>
      </w:hyperlink>
      <w:r w:rsidRPr="001B5EB4">
        <w:rPr>
          <w:rStyle w:val="Tipodeletrapredefinidodopargrafo"/>
          <w:rFonts w:ascii="Arial" w:hAnsi="Arial" w:cs="Arial"/>
          <w:sz w:val="22"/>
          <w:szCs w:val="22"/>
        </w:rPr>
        <w:t>.</w:t>
      </w:r>
    </w:p>
    <w:p w14:paraId="21AADEB7" w14:textId="58073C6D" w:rsidR="00F72484" w:rsidRPr="001B5EB4" w:rsidRDefault="00F72484" w:rsidP="00F72484">
      <w:pPr>
        <w:pStyle w:val="PargrafodaLista"/>
        <w:numPr>
          <w:ilvl w:val="0"/>
          <w:numId w:val="1"/>
        </w:numPr>
        <w:spacing w:line="360" w:lineRule="auto"/>
        <w:jc w:val="both"/>
        <w:rPr>
          <w:rStyle w:val="Tipodeletrapredefinidodopargrafo"/>
          <w:rFonts w:ascii="Arial" w:hAnsi="Arial" w:cs="Arial"/>
          <w:sz w:val="22"/>
          <w:szCs w:val="22"/>
        </w:rPr>
      </w:pPr>
      <w:r w:rsidRPr="001B5EB4">
        <w:rPr>
          <w:rStyle w:val="Tipodeletrapredefinidodopargrafo"/>
          <w:rFonts w:ascii="Arial" w:hAnsi="Arial" w:cs="Arial"/>
          <w:sz w:val="22"/>
          <w:szCs w:val="22"/>
        </w:rPr>
        <w:t xml:space="preserve">Allin, S., Marchildon, G., Peckham, A. (2020) </w:t>
      </w:r>
      <w:r w:rsidRPr="001B5EB4">
        <w:rPr>
          <w:rStyle w:val="Tipodeletrapredefinidodopargrafo"/>
          <w:rFonts w:ascii="Arial" w:hAnsi="Arial" w:cs="Arial"/>
          <w:i/>
          <w:iCs/>
          <w:sz w:val="22"/>
          <w:szCs w:val="22"/>
        </w:rPr>
        <w:t>International Health Care System Profiles</w:t>
      </w:r>
      <w:r w:rsidRPr="001B5EB4">
        <w:rPr>
          <w:rStyle w:val="Tipodeletrapredefinidodopargrafo"/>
          <w:rFonts w:ascii="Arial" w:hAnsi="Arial" w:cs="Arial"/>
          <w:sz w:val="22"/>
          <w:szCs w:val="22"/>
        </w:rPr>
        <w:t xml:space="preserve">. Available at: </w:t>
      </w:r>
      <w:hyperlink r:id="rId13" w:history="1">
        <w:r w:rsidRPr="001B5EB4">
          <w:rPr>
            <w:rStyle w:val="Hiperligao"/>
            <w:rFonts w:ascii="Arial" w:hAnsi="Arial" w:cs="Arial"/>
            <w:sz w:val="22"/>
            <w:szCs w:val="22"/>
          </w:rPr>
          <w:t>https://www.commonwealthfund.org/international-health-policy-center/countries/canada</w:t>
        </w:r>
      </w:hyperlink>
      <w:r w:rsidRPr="001B5EB4">
        <w:rPr>
          <w:rStyle w:val="Tipodeletrapredefinidodopargrafo"/>
          <w:rFonts w:ascii="Arial" w:hAnsi="Arial" w:cs="Arial"/>
          <w:sz w:val="22"/>
          <w:szCs w:val="22"/>
        </w:rPr>
        <w:t xml:space="preserve"> (Accessed: 22 November 2025)</w:t>
      </w:r>
    </w:p>
    <w:p w14:paraId="50821A91" w14:textId="2AC9E70D" w:rsidR="00485457" w:rsidRPr="001B5EB4" w:rsidRDefault="00485457" w:rsidP="00637E64">
      <w:pPr>
        <w:pStyle w:val="PargrafodaLista"/>
        <w:numPr>
          <w:ilvl w:val="0"/>
          <w:numId w:val="1"/>
        </w:numPr>
        <w:spacing w:line="360" w:lineRule="auto"/>
        <w:jc w:val="both"/>
        <w:rPr>
          <w:rFonts w:ascii="Arial" w:hAnsi="Arial" w:cs="Arial"/>
          <w:sz w:val="22"/>
          <w:szCs w:val="22"/>
        </w:rPr>
      </w:pPr>
      <w:r w:rsidRPr="001B5EB4">
        <w:rPr>
          <w:rFonts w:ascii="Arial" w:hAnsi="Arial" w:cs="Arial"/>
          <w:color w:val="05103E"/>
          <w:sz w:val="22"/>
          <w:szCs w:val="22"/>
        </w:rPr>
        <w:t>Allin, S. </w:t>
      </w:r>
      <w:r w:rsidRPr="001B5EB4">
        <w:rPr>
          <w:rFonts w:ascii="Arial" w:hAnsi="Arial" w:cs="Arial"/>
          <w:i/>
          <w:iCs/>
          <w:color w:val="05103E"/>
          <w:sz w:val="22"/>
          <w:szCs w:val="22"/>
          <w:bdr w:val="single" w:sz="2" w:space="0" w:color="ECEDEE" w:frame="1"/>
        </w:rPr>
        <w:t>et al.</w:t>
      </w:r>
      <w:r w:rsidRPr="001B5EB4">
        <w:rPr>
          <w:rFonts w:ascii="Arial" w:hAnsi="Arial" w:cs="Arial"/>
          <w:color w:val="05103E"/>
          <w:sz w:val="22"/>
          <w:szCs w:val="22"/>
        </w:rPr>
        <w:t> (2021) 'The federal government and Canada’s COVID-19 responses: from ‘we’re ready, we’re prepared’ to ‘fires are burning,’' </w:t>
      </w:r>
      <w:r w:rsidRPr="001B5EB4">
        <w:rPr>
          <w:rFonts w:ascii="Arial" w:hAnsi="Arial" w:cs="Arial"/>
          <w:i/>
          <w:iCs/>
          <w:color w:val="05103E"/>
          <w:sz w:val="22"/>
          <w:szCs w:val="22"/>
          <w:bdr w:val="single" w:sz="2" w:space="0" w:color="ECEDEE" w:frame="1"/>
        </w:rPr>
        <w:t>Health Economics Policy and Law</w:t>
      </w:r>
      <w:r w:rsidRPr="001B5EB4">
        <w:rPr>
          <w:rFonts w:ascii="Arial" w:hAnsi="Arial" w:cs="Arial"/>
          <w:color w:val="05103E"/>
          <w:sz w:val="22"/>
          <w:szCs w:val="22"/>
        </w:rPr>
        <w:t>, 17(1), pp. 76–94. </w:t>
      </w:r>
      <w:hyperlink r:id="rId14" w:history="1">
        <w:r w:rsidR="00AB73B1" w:rsidRPr="001B5EB4">
          <w:rPr>
            <w:rStyle w:val="Hyperlink"/>
            <w:rFonts w:ascii="Arial" w:hAnsi="Arial" w:cs="Arial"/>
            <w:sz w:val="22"/>
            <w:szCs w:val="22"/>
            <w:bdr w:val="single" w:sz="2" w:space="0" w:color="ECEDEE" w:frame="1"/>
          </w:rPr>
          <w:t>https://doi.org/10.1017/s1744133121000220</w:t>
        </w:r>
      </w:hyperlink>
      <w:r w:rsidRPr="001B5EB4">
        <w:rPr>
          <w:rFonts w:ascii="Arial" w:hAnsi="Arial" w:cs="Arial"/>
          <w:color w:val="05103E"/>
          <w:sz w:val="22"/>
          <w:szCs w:val="22"/>
        </w:rPr>
        <w:t>.</w:t>
      </w:r>
      <w:r w:rsidR="00AB73B1" w:rsidRPr="001B5EB4">
        <w:rPr>
          <w:rFonts w:ascii="Arial" w:hAnsi="Arial" w:cs="Arial"/>
          <w:color w:val="05103E"/>
          <w:sz w:val="22"/>
          <w:szCs w:val="22"/>
        </w:rPr>
        <w:t xml:space="preserve"> </w:t>
      </w:r>
    </w:p>
    <w:p w14:paraId="16A2636D" w14:textId="1C858CB6" w:rsidR="00726C6C" w:rsidRPr="001B5EB4" w:rsidRDefault="00F31BDD" w:rsidP="00637E64">
      <w:pPr>
        <w:pStyle w:val="PargrafodaLista"/>
        <w:numPr>
          <w:ilvl w:val="0"/>
          <w:numId w:val="1"/>
        </w:numPr>
        <w:spacing w:line="360" w:lineRule="auto"/>
        <w:jc w:val="both"/>
        <w:rPr>
          <w:rStyle w:val="Tipodeletrapredefinidodopargrafo"/>
          <w:rFonts w:ascii="Arial" w:hAnsi="Arial" w:cs="Arial"/>
          <w:sz w:val="22"/>
          <w:szCs w:val="22"/>
        </w:rPr>
      </w:pPr>
      <w:r w:rsidRPr="001B5EB4">
        <w:rPr>
          <w:rStyle w:val="Tipodeletrapredefinidodopargrafo"/>
          <w:rFonts w:ascii="Arial" w:hAnsi="Arial" w:cs="Arial"/>
          <w:sz w:val="22"/>
          <w:szCs w:val="22"/>
          <w:lang w:val="pt-PT"/>
        </w:rPr>
        <w:t>Bernal-Delgado, E. </w:t>
      </w:r>
      <w:proofErr w:type="spellStart"/>
      <w:r w:rsidRPr="001B5EB4">
        <w:rPr>
          <w:rStyle w:val="Tipodeletrapredefinidodopargrafo"/>
          <w:rFonts w:ascii="Arial" w:hAnsi="Arial" w:cs="Arial"/>
          <w:i/>
          <w:iCs/>
          <w:sz w:val="22"/>
          <w:szCs w:val="22"/>
          <w:lang w:val="pt-PT"/>
        </w:rPr>
        <w:t>et</w:t>
      </w:r>
      <w:proofErr w:type="spellEnd"/>
      <w:r w:rsidRPr="001B5EB4">
        <w:rPr>
          <w:rStyle w:val="Tipodeletrapredefinidodopargrafo"/>
          <w:rFonts w:ascii="Arial" w:hAnsi="Arial" w:cs="Arial"/>
          <w:i/>
          <w:iCs/>
          <w:sz w:val="22"/>
          <w:szCs w:val="22"/>
          <w:lang w:val="pt-PT"/>
        </w:rPr>
        <w:t xml:space="preserve"> al.</w:t>
      </w:r>
      <w:r w:rsidRPr="001B5EB4">
        <w:rPr>
          <w:rStyle w:val="Tipodeletrapredefinidodopargrafo"/>
          <w:rFonts w:ascii="Arial" w:hAnsi="Arial" w:cs="Arial"/>
          <w:sz w:val="22"/>
          <w:szCs w:val="22"/>
          <w:lang w:val="pt-PT"/>
        </w:rPr>
        <w:t> </w:t>
      </w:r>
      <w:r w:rsidRPr="001B5EB4">
        <w:rPr>
          <w:rStyle w:val="Tipodeletrapredefinidodopargrafo"/>
          <w:rFonts w:ascii="Arial" w:hAnsi="Arial" w:cs="Arial"/>
          <w:sz w:val="22"/>
          <w:szCs w:val="22"/>
        </w:rPr>
        <w:t>(2024) </w:t>
      </w:r>
      <w:r w:rsidRPr="001B5EB4">
        <w:rPr>
          <w:rStyle w:val="Tipodeletrapredefinidodopargrafo"/>
          <w:rFonts w:ascii="Arial" w:hAnsi="Arial" w:cs="Arial"/>
          <w:i/>
          <w:iCs/>
          <w:sz w:val="22"/>
          <w:szCs w:val="22"/>
        </w:rPr>
        <w:t>Health systems in transition: Spain: Health system review 2024</w:t>
      </w:r>
      <w:r w:rsidRPr="001B5EB4">
        <w:rPr>
          <w:rStyle w:val="Tipodeletrapredefinidodopargrafo"/>
          <w:rFonts w:ascii="Arial" w:hAnsi="Arial" w:cs="Arial"/>
          <w:sz w:val="22"/>
          <w:szCs w:val="22"/>
        </w:rPr>
        <w:t xml:space="preserve">. </w:t>
      </w:r>
      <w:r w:rsidRPr="001B5EB4">
        <w:rPr>
          <w:rStyle w:val="Tipodeletrapredefinidodopargrafo"/>
          <w:rFonts w:ascii="Arial" w:hAnsi="Arial" w:cs="Arial"/>
          <w:sz w:val="22"/>
          <w:szCs w:val="22"/>
          <w:lang w:val="pt-PT"/>
        </w:rPr>
        <w:t>Vol. 26. Instituto Aragones de Ciencias de la Salud. </w:t>
      </w:r>
      <w:hyperlink r:id="rId15" w:history="1">
        <w:r w:rsidRPr="001B5EB4">
          <w:rPr>
            <w:rStyle w:val="Hiperligao"/>
            <w:rFonts w:ascii="Arial" w:hAnsi="Arial" w:cs="Arial"/>
            <w:sz w:val="22"/>
            <w:szCs w:val="22"/>
          </w:rPr>
          <w:t>https://iris.who.int/server/api/core/bitstreams/484a7fc9-b55a-4994-aaa2-b9aa2cc77910/content</w:t>
        </w:r>
      </w:hyperlink>
      <w:r w:rsidRPr="001B5EB4">
        <w:rPr>
          <w:rStyle w:val="Tipodeletrapredefinidodopargrafo"/>
          <w:rFonts w:ascii="Arial" w:hAnsi="Arial" w:cs="Arial"/>
          <w:sz w:val="22"/>
          <w:szCs w:val="22"/>
        </w:rPr>
        <w:t>.</w:t>
      </w:r>
      <w:r w:rsidR="00F72484" w:rsidRPr="001B5EB4">
        <w:rPr>
          <w:rStyle w:val="Tipodeletrapredefinidodopargrafo"/>
          <w:rFonts w:ascii="Arial" w:hAnsi="Arial" w:cs="Arial"/>
          <w:sz w:val="22"/>
          <w:szCs w:val="22"/>
        </w:rPr>
        <w:t xml:space="preserve"> (Accessed: 22 November 2025)</w:t>
      </w:r>
    </w:p>
    <w:p w14:paraId="2A0B9A85" w14:textId="0DE6D4A3" w:rsidR="00611D1C" w:rsidRPr="001B5EB4" w:rsidRDefault="00611D1C" w:rsidP="00637E64">
      <w:pPr>
        <w:pStyle w:val="PargrafodaLista"/>
        <w:numPr>
          <w:ilvl w:val="0"/>
          <w:numId w:val="1"/>
        </w:numPr>
        <w:spacing w:line="360" w:lineRule="auto"/>
        <w:jc w:val="both"/>
        <w:rPr>
          <w:rFonts w:ascii="Arial" w:hAnsi="Arial" w:cs="Arial"/>
          <w:sz w:val="22"/>
          <w:szCs w:val="22"/>
        </w:rPr>
      </w:pPr>
      <w:r w:rsidRPr="001B5EB4">
        <w:rPr>
          <w:rFonts w:ascii="Arial" w:hAnsi="Arial" w:cs="Arial"/>
          <w:sz w:val="22"/>
          <w:szCs w:val="22"/>
        </w:rPr>
        <w:t>Bhandari, R. (2025</w:t>
      </w:r>
      <w:r w:rsidRPr="001B5EB4">
        <w:rPr>
          <w:rFonts w:ascii="Arial" w:hAnsi="Arial" w:cs="Arial"/>
          <w:i/>
          <w:iCs/>
          <w:sz w:val="22"/>
          <w:szCs w:val="22"/>
        </w:rPr>
        <w:t>) Behavioural theory and approach to leadership: Understanding leadership dynamics.</w:t>
      </w:r>
      <w:r w:rsidRPr="001B5EB4">
        <w:rPr>
          <w:rFonts w:ascii="Arial" w:hAnsi="Arial" w:cs="Arial"/>
          <w:sz w:val="22"/>
          <w:szCs w:val="22"/>
        </w:rPr>
        <w:t xml:space="preserve"> Available at: </w:t>
      </w:r>
      <w:hyperlink r:id="rId16" w:history="1">
        <w:r w:rsidRPr="001B5EB4">
          <w:rPr>
            <w:rStyle w:val="Hyperlink"/>
            <w:rFonts w:ascii="Arial" w:hAnsi="Arial" w:cs="Arial"/>
            <w:sz w:val="22"/>
            <w:szCs w:val="22"/>
          </w:rPr>
          <w:t>What Is Behavioral Theory Of Leadership? - Definition, Approach, Principles, &amp; Examples (</w:t>
        </w:r>
        <w:r w:rsidR="000A08AC" w:rsidRPr="001B5EB4">
          <w:rPr>
            <w:rStyle w:val="Hyperlink"/>
            <w:rFonts w:ascii="Arial" w:hAnsi="Arial" w:cs="Arial"/>
            <w:sz w:val="22"/>
            <w:szCs w:val="22"/>
          </w:rPr>
          <w:t>kapable. club</w:t>
        </w:r>
        <w:r w:rsidRPr="001B5EB4">
          <w:rPr>
            <w:rStyle w:val="Hyperlink"/>
            <w:rFonts w:ascii="Arial" w:hAnsi="Arial" w:cs="Arial"/>
            <w:sz w:val="22"/>
            <w:szCs w:val="22"/>
          </w:rPr>
          <w:t>)</w:t>
        </w:r>
      </w:hyperlink>
      <w:r w:rsidRPr="001B5EB4">
        <w:rPr>
          <w:rFonts w:ascii="Arial" w:hAnsi="Arial" w:cs="Arial"/>
          <w:sz w:val="22"/>
          <w:szCs w:val="22"/>
        </w:rPr>
        <w:t xml:space="preserve"> (Accessed: 19 November 2025) </w:t>
      </w:r>
    </w:p>
    <w:p w14:paraId="7D91B4D8" w14:textId="7E634F3D" w:rsidR="00485457" w:rsidRPr="001B5EB4" w:rsidRDefault="00485457" w:rsidP="00637E64">
      <w:pPr>
        <w:pStyle w:val="PargrafodaLista"/>
        <w:numPr>
          <w:ilvl w:val="0"/>
          <w:numId w:val="1"/>
        </w:numPr>
        <w:spacing w:line="360" w:lineRule="auto"/>
        <w:jc w:val="both"/>
        <w:rPr>
          <w:rFonts w:ascii="Arial" w:hAnsi="Arial" w:cs="Arial"/>
          <w:sz w:val="22"/>
          <w:szCs w:val="22"/>
        </w:rPr>
      </w:pPr>
      <w:r w:rsidRPr="001B5EB4">
        <w:rPr>
          <w:rFonts w:ascii="Arial" w:hAnsi="Arial" w:cs="Arial"/>
          <w:color w:val="05103E"/>
          <w:sz w:val="22"/>
          <w:szCs w:val="22"/>
        </w:rPr>
        <w:t>Cameron-Blake, E. </w:t>
      </w:r>
      <w:r w:rsidRPr="001B5EB4">
        <w:rPr>
          <w:rFonts w:ascii="Arial" w:hAnsi="Arial" w:cs="Arial"/>
          <w:i/>
          <w:iCs/>
          <w:color w:val="05103E"/>
          <w:sz w:val="22"/>
          <w:szCs w:val="22"/>
          <w:bdr w:val="single" w:sz="2" w:space="0" w:color="ECEDEE" w:frame="1"/>
        </w:rPr>
        <w:t>et al.</w:t>
      </w:r>
      <w:r w:rsidRPr="001B5EB4">
        <w:rPr>
          <w:rFonts w:ascii="Arial" w:hAnsi="Arial" w:cs="Arial"/>
          <w:color w:val="05103E"/>
          <w:sz w:val="22"/>
          <w:szCs w:val="22"/>
        </w:rPr>
        <w:t> (2021) </w:t>
      </w:r>
      <w:r w:rsidRPr="001B5EB4">
        <w:rPr>
          <w:rFonts w:ascii="Arial" w:hAnsi="Arial" w:cs="Arial"/>
          <w:i/>
          <w:iCs/>
          <w:color w:val="05103E"/>
          <w:sz w:val="22"/>
          <w:szCs w:val="22"/>
          <w:bdr w:val="single" w:sz="2" w:space="0" w:color="ECEDEE" w:frame="1"/>
        </w:rPr>
        <w:t>Variation in the Canadian provincial and territorial responses to COVID-19</w:t>
      </w:r>
      <w:r w:rsidRPr="001B5EB4">
        <w:rPr>
          <w:rFonts w:ascii="Arial" w:hAnsi="Arial" w:cs="Arial"/>
          <w:color w:val="05103E"/>
          <w:sz w:val="22"/>
          <w:szCs w:val="22"/>
        </w:rPr>
        <w:t>, </w:t>
      </w:r>
      <w:r w:rsidRPr="001B5EB4">
        <w:rPr>
          <w:rFonts w:ascii="Arial" w:hAnsi="Arial" w:cs="Arial"/>
          <w:i/>
          <w:iCs/>
          <w:color w:val="05103E"/>
          <w:sz w:val="22"/>
          <w:szCs w:val="22"/>
          <w:bdr w:val="single" w:sz="2" w:space="0" w:color="ECEDEE" w:frame="1"/>
        </w:rPr>
        <w:t>BSG Working Paper Series</w:t>
      </w:r>
      <w:r w:rsidRPr="001B5EB4">
        <w:rPr>
          <w:rFonts w:ascii="Arial" w:hAnsi="Arial" w:cs="Arial"/>
          <w:color w:val="05103E"/>
          <w:sz w:val="22"/>
          <w:szCs w:val="22"/>
        </w:rPr>
        <w:t>. </w:t>
      </w:r>
      <w:hyperlink r:id="rId17" w:history="1">
        <w:r w:rsidR="00F72484" w:rsidRPr="001B5EB4">
          <w:rPr>
            <w:rStyle w:val="Hyperlink"/>
            <w:rFonts w:ascii="Arial" w:hAnsi="Arial" w:cs="Arial"/>
            <w:sz w:val="22"/>
            <w:szCs w:val="22"/>
            <w:bdr w:val="single" w:sz="2" w:space="0" w:color="ECEDEE" w:frame="1"/>
          </w:rPr>
          <w:t>https://www.bsg.ox.ac.uk/sites/default/files/2021-03/BSG-WP-2021-039.pdf</w:t>
        </w:r>
      </w:hyperlink>
      <w:r w:rsidRPr="001B5EB4">
        <w:rPr>
          <w:rFonts w:ascii="Arial" w:hAnsi="Arial" w:cs="Arial"/>
          <w:color w:val="05103E"/>
          <w:sz w:val="22"/>
          <w:szCs w:val="22"/>
        </w:rPr>
        <w:t>.</w:t>
      </w:r>
      <w:r w:rsidR="00F72484" w:rsidRPr="001B5EB4">
        <w:rPr>
          <w:rFonts w:ascii="Arial" w:hAnsi="Arial" w:cs="Arial"/>
          <w:color w:val="05103E"/>
          <w:sz w:val="22"/>
          <w:szCs w:val="22"/>
        </w:rPr>
        <w:t xml:space="preserve"> (Accessed: 22 November 2025)</w:t>
      </w:r>
    </w:p>
    <w:p w14:paraId="6ECCFC1A" w14:textId="1432C1F5" w:rsidR="00726C6C" w:rsidRPr="001B5EB4" w:rsidRDefault="00F31BDD" w:rsidP="00637E64">
      <w:pPr>
        <w:pStyle w:val="PargrafodaLista"/>
        <w:numPr>
          <w:ilvl w:val="0"/>
          <w:numId w:val="1"/>
        </w:numPr>
        <w:spacing w:line="360" w:lineRule="auto"/>
        <w:jc w:val="both"/>
        <w:rPr>
          <w:rStyle w:val="Tipodeletrapredefinidodopargrafo"/>
          <w:rFonts w:ascii="Arial" w:hAnsi="Arial" w:cs="Arial"/>
          <w:sz w:val="22"/>
          <w:szCs w:val="22"/>
        </w:rPr>
      </w:pPr>
      <w:r w:rsidRPr="001B5EB4">
        <w:rPr>
          <w:rStyle w:val="Tipodeletrapredefinidodopargrafo"/>
          <w:rFonts w:ascii="Arial" w:hAnsi="Arial" w:cs="Arial"/>
          <w:sz w:val="22"/>
          <w:szCs w:val="22"/>
        </w:rPr>
        <w:t xml:space="preserve">Cherry, K. and Morin, A. (2025) </w:t>
      </w:r>
      <w:r w:rsidRPr="001B5EB4">
        <w:rPr>
          <w:rStyle w:val="Tipodeletrapredefinidodopargrafo"/>
          <w:rFonts w:ascii="Arial" w:hAnsi="Arial" w:cs="Arial"/>
          <w:i/>
          <w:iCs/>
          <w:sz w:val="22"/>
          <w:szCs w:val="22"/>
        </w:rPr>
        <w:t>Situational Leadership Theory</w:t>
      </w:r>
      <w:r w:rsidRPr="001B5EB4">
        <w:rPr>
          <w:rStyle w:val="Tipodeletrapredefinidodopargrafo"/>
          <w:rFonts w:ascii="Arial" w:hAnsi="Arial" w:cs="Arial"/>
          <w:sz w:val="22"/>
          <w:szCs w:val="22"/>
        </w:rPr>
        <w:t xml:space="preserve">. Available at: </w:t>
      </w:r>
      <w:hyperlink r:id="rId18" w:history="1">
        <w:r w:rsidRPr="001B5EB4">
          <w:rPr>
            <w:rStyle w:val="Hiperligao"/>
            <w:rFonts w:ascii="Arial" w:hAnsi="Arial" w:cs="Arial"/>
            <w:sz w:val="22"/>
            <w:szCs w:val="22"/>
          </w:rPr>
          <w:t>Situational Leadership Theory</w:t>
        </w:r>
      </w:hyperlink>
      <w:r w:rsidRPr="001B5EB4">
        <w:rPr>
          <w:rStyle w:val="Tipodeletrapredefinidodopargrafo"/>
          <w:rFonts w:ascii="Arial" w:hAnsi="Arial" w:cs="Arial"/>
          <w:sz w:val="22"/>
          <w:szCs w:val="22"/>
        </w:rPr>
        <w:t xml:space="preserve"> (Accessed: 18 November 2025)</w:t>
      </w:r>
    </w:p>
    <w:p w14:paraId="538A8137" w14:textId="2C533EE3" w:rsidR="006B75FD" w:rsidRPr="001B5EB4" w:rsidRDefault="006B75FD" w:rsidP="00637E64">
      <w:pPr>
        <w:pStyle w:val="PargrafodaLista"/>
        <w:numPr>
          <w:ilvl w:val="0"/>
          <w:numId w:val="1"/>
        </w:numPr>
        <w:spacing w:line="360" w:lineRule="auto"/>
        <w:jc w:val="both"/>
        <w:rPr>
          <w:rFonts w:ascii="Arial" w:hAnsi="Arial" w:cs="Arial"/>
          <w:sz w:val="22"/>
          <w:szCs w:val="22"/>
        </w:rPr>
      </w:pPr>
      <w:proofErr w:type="spellStart"/>
      <w:r w:rsidRPr="001B5EB4">
        <w:rPr>
          <w:rFonts w:ascii="Arial" w:hAnsi="Arial" w:cs="Arial"/>
          <w:sz w:val="22"/>
          <w:szCs w:val="22"/>
        </w:rPr>
        <w:t>Chattu</w:t>
      </w:r>
      <w:proofErr w:type="spellEnd"/>
      <w:r w:rsidRPr="001B5EB4">
        <w:rPr>
          <w:rFonts w:ascii="Arial" w:hAnsi="Arial" w:cs="Arial"/>
          <w:sz w:val="22"/>
          <w:szCs w:val="22"/>
        </w:rPr>
        <w:t>, V.K., Adisesh, A. and Yaya, S. (2020) 'Canada’s role in strengthening global health security during the COVID-19 pandemic,' </w:t>
      </w:r>
      <w:r w:rsidRPr="001B5EB4">
        <w:rPr>
          <w:rFonts w:ascii="Arial" w:hAnsi="Arial" w:cs="Arial"/>
          <w:i/>
          <w:iCs/>
          <w:sz w:val="22"/>
          <w:szCs w:val="22"/>
        </w:rPr>
        <w:t>Global Health Research and Policy</w:t>
      </w:r>
      <w:r w:rsidRPr="001B5EB4">
        <w:rPr>
          <w:rFonts w:ascii="Arial" w:hAnsi="Arial" w:cs="Arial"/>
          <w:sz w:val="22"/>
          <w:szCs w:val="22"/>
        </w:rPr>
        <w:t>, 5(1), p. 16. https://doi.org/10.1186/s41256-020-00146-3.</w:t>
      </w:r>
    </w:p>
    <w:p w14:paraId="48F0516E" w14:textId="7A4793C4" w:rsidR="00726C6C" w:rsidRPr="001B5EB4" w:rsidRDefault="00F31BDD" w:rsidP="00637E64">
      <w:pPr>
        <w:pStyle w:val="PargrafodaLista"/>
        <w:numPr>
          <w:ilvl w:val="0"/>
          <w:numId w:val="1"/>
        </w:numPr>
        <w:spacing w:line="360" w:lineRule="auto"/>
        <w:jc w:val="both"/>
        <w:rPr>
          <w:rFonts w:ascii="Arial" w:hAnsi="Arial" w:cs="Arial"/>
          <w:sz w:val="22"/>
          <w:szCs w:val="22"/>
        </w:rPr>
      </w:pPr>
      <w:r w:rsidRPr="001B5EB4">
        <w:rPr>
          <w:rStyle w:val="Tipodeletrapredefinidodopargrafo"/>
          <w:rFonts w:ascii="Arial" w:hAnsi="Arial" w:cs="Arial"/>
          <w:sz w:val="22"/>
          <w:szCs w:val="22"/>
        </w:rPr>
        <w:t>Erkoreka, M. and Hernando</w:t>
      </w:r>
      <w:r w:rsidRPr="001B5EB4">
        <w:rPr>
          <w:rStyle w:val="Tipodeletrapredefinidodopargrafo"/>
          <w:rFonts w:ascii="Cambria Math" w:hAnsi="Cambria Math" w:cs="Cambria Math"/>
          <w:sz w:val="22"/>
          <w:szCs w:val="22"/>
        </w:rPr>
        <w:t>‐</w:t>
      </w:r>
      <w:r w:rsidRPr="001B5EB4">
        <w:rPr>
          <w:rStyle w:val="Tipodeletrapredefinidodopargrafo"/>
          <w:rFonts w:ascii="Arial" w:hAnsi="Arial" w:cs="Arial"/>
          <w:sz w:val="22"/>
          <w:szCs w:val="22"/>
        </w:rPr>
        <w:t>Pérez, J. (2022a) 'Decentralization: A handicap in fighting the COVID</w:t>
      </w:r>
      <w:r w:rsidRPr="001B5EB4">
        <w:rPr>
          <w:rStyle w:val="Tipodeletrapredefinidodopargrafo"/>
          <w:rFonts w:ascii="Cambria Math" w:hAnsi="Cambria Math" w:cs="Cambria Math"/>
          <w:sz w:val="22"/>
          <w:szCs w:val="22"/>
        </w:rPr>
        <w:t>‐</w:t>
      </w:r>
      <w:r w:rsidRPr="001B5EB4">
        <w:rPr>
          <w:rStyle w:val="Tipodeletrapredefinidodopargrafo"/>
          <w:rFonts w:ascii="Arial" w:hAnsi="Arial" w:cs="Arial"/>
          <w:sz w:val="22"/>
          <w:szCs w:val="22"/>
        </w:rPr>
        <w:t>19 pandemic? The response of the regional governments in Spain,' </w:t>
      </w:r>
      <w:r w:rsidRPr="001B5EB4">
        <w:rPr>
          <w:rStyle w:val="Tipodeletrapredefinidodopargrafo"/>
          <w:rFonts w:ascii="Arial" w:hAnsi="Arial" w:cs="Arial"/>
          <w:i/>
          <w:iCs/>
          <w:sz w:val="22"/>
          <w:szCs w:val="22"/>
        </w:rPr>
        <w:t xml:space="preserve">Public </w:t>
      </w:r>
      <w:r w:rsidRPr="001B5EB4">
        <w:rPr>
          <w:rStyle w:val="Tipodeletrapredefinidodopargrafo"/>
          <w:rFonts w:ascii="Arial" w:hAnsi="Arial" w:cs="Arial"/>
          <w:i/>
          <w:iCs/>
          <w:sz w:val="22"/>
          <w:szCs w:val="22"/>
        </w:rPr>
        <w:lastRenderedPageBreak/>
        <w:t>Administration and Development</w:t>
      </w:r>
      <w:r w:rsidRPr="001B5EB4">
        <w:rPr>
          <w:rStyle w:val="Tipodeletrapredefinidodopargrafo"/>
          <w:rFonts w:ascii="Arial" w:hAnsi="Arial" w:cs="Arial"/>
          <w:sz w:val="22"/>
          <w:szCs w:val="22"/>
        </w:rPr>
        <w:t>, 43(2), pp. 129–140. </w:t>
      </w:r>
      <w:hyperlink r:id="rId19" w:history="1">
        <w:r w:rsidRPr="001B5EB4">
          <w:rPr>
            <w:rStyle w:val="Hiperligao"/>
            <w:rFonts w:ascii="Arial" w:hAnsi="Arial" w:cs="Arial"/>
            <w:sz w:val="22"/>
            <w:szCs w:val="22"/>
          </w:rPr>
          <w:t>https://doi.org/10.1002/pad.1988</w:t>
        </w:r>
      </w:hyperlink>
      <w:r w:rsidRPr="001B5EB4">
        <w:rPr>
          <w:rStyle w:val="Tipodeletrapredefinidodopargrafo"/>
          <w:rFonts w:ascii="Arial" w:hAnsi="Arial" w:cs="Arial"/>
          <w:sz w:val="22"/>
          <w:szCs w:val="22"/>
        </w:rPr>
        <w:t>.</w:t>
      </w:r>
    </w:p>
    <w:p w14:paraId="4670B6A9" w14:textId="26FCB626" w:rsidR="00726C6C" w:rsidRPr="001B5EB4" w:rsidRDefault="00F31BDD" w:rsidP="00637E64">
      <w:pPr>
        <w:pStyle w:val="PargrafodaLista"/>
        <w:numPr>
          <w:ilvl w:val="0"/>
          <w:numId w:val="1"/>
        </w:numPr>
        <w:spacing w:line="360" w:lineRule="auto"/>
        <w:jc w:val="both"/>
        <w:rPr>
          <w:rStyle w:val="Tipodeletrapredefinidodopargrafo"/>
          <w:rFonts w:ascii="Arial" w:hAnsi="Arial" w:cs="Arial"/>
          <w:sz w:val="22"/>
          <w:szCs w:val="22"/>
        </w:rPr>
      </w:pPr>
      <w:r w:rsidRPr="001B5EB4">
        <w:rPr>
          <w:rStyle w:val="Tipodeletrapredefinidodopargrafo"/>
          <w:rFonts w:ascii="Arial" w:hAnsi="Arial" w:cs="Arial"/>
          <w:sz w:val="22"/>
          <w:szCs w:val="22"/>
        </w:rPr>
        <w:t>Erkoreka, M. and Hernando</w:t>
      </w:r>
      <w:r w:rsidRPr="001B5EB4">
        <w:rPr>
          <w:rStyle w:val="Tipodeletrapredefinidodopargrafo"/>
          <w:rFonts w:ascii="Cambria Math" w:hAnsi="Cambria Math" w:cs="Cambria Math"/>
          <w:sz w:val="22"/>
          <w:szCs w:val="22"/>
        </w:rPr>
        <w:t>‐</w:t>
      </w:r>
      <w:r w:rsidRPr="001B5EB4">
        <w:rPr>
          <w:rStyle w:val="Tipodeletrapredefinidodopargrafo"/>
          <w:rFonts w:ascii="Arial" w:hAnsi="Arial" w:cs="Arial"/>
          <w:sz w:val="22"/>
          <w:szCs w:val="22"/>
        </w:rPr>
        <w:t>Pérez, J. (2022b) 'Decentralization: A handicap in fighting the COVID</w:t>
      </w:r>
      <w:r w:rsidRPr="001B5EB4">
        <w:rPr>
          <w:rStyle w:val="Tipodeletrapredefinidodopargrafo"/>
          <w:rFonts w:ascii="Cambria Math" w:hAnsi="Cambria Math" w:cs="Cambria Math"/>
          <w:sz w:val="22"/>
          <w:szCs w:val="22"/>
        </w:rPr>
        <w:t>‐</w:t>
      </w:r>
      <w:r w:rsidRPr="001B5EB4">
        <w:rPr>
          <w:rStyle w:val="Tipodeletrapredefinidodopargrafo"/>
          <w:rFonts w:ascii="Arial" w:hAnsi="Arial" w:cs="Arial"/>
          <w:sz w:val="22"/>
          <w:szCs w:val="22"/>
        </w:rPr>
        <w:t>19 pandemic? The response of the regional governments in Spain,' </w:t>
      </w:r>
      <w:r w:rsidRPr="001B5EB4">
        <w:rPr>
          <w:rStyle w:val="Tipodeletrapredefinidodopargrafo"/>
          <w:rFonts w:ascii="Arial" w:hAnsi="Arial" w:cs="Arial"/>
          <w:i/>
          <w:iCs/>
          <w:sz w:val="22"/>
          <w:szCs w:val="22"/>
        </w:rPr>
        <w:t>Public Administration and Development</w:t>
      </w:r>
      <w:r w:rsidRPr="001B5EB4">
        <w:rPr>
          <w:rStyle w:val="Tipodeletrapredefinidodopargrafo"/>
          <w:rFonts w:ascii="Arial" w:hAnsi="Arial" w:cs="Arial"/>
          <w:sz w:val="22"/>
          <w:szCs w:val="22"/>
        </w:rPr>
        <w:t>, 43(2), pp. 129–140. </w:t>
      </w:r>
      <w:hyperlink r:id="rId20" w:history="1">
        <w:r w:rsidRPr="001B5EB4">
          <w:rPr>
            <w:rStyle w:val="Hiperligao"/>
            <w:rFonts w:ascii="Arial" w:hAnsi="Arial" w:cs="Arial"/>
            <w:sz w:val="22"/>
            <w:szCs w:val="22"/>
          </w:rPr>
          <w:t>https://doi.org/10.1002/pad.1988</w:t>
        </w:r>
      </w:hyperlink>
      <w:r w:rsidRPr="001B5EB4">
        <w:rPr>
          <w:rStyle w:val="Tipodeletrapredefinidodopargrafo"/>
          <w:rFonts w:ascii="Arial" w:hAnsi="Arial" w:cs="Arial"/>
          <w:sz w:val="22"/>
          <w:szCs w:val="22"/>
        </w:rPr>
        <w:t>.</w:t>
      </w:r>
    </w:p>
    <w:p w14:paraId="768F6D4B" w14:textId="3B532C34" w:rsidR="00785F9B" w:rsidRPr="001B5EB4" w:rsidRDefault="00785F9B" w:rsidP="00637E64">
      <w:pPr>
        <w:pStyle w:val="PargrafodaLista"/>
        <w:numPr>
          <w:ilvl w:val="0"/>
          <w:numId w:val="1"/>
        </w:numPr>
        <w:spacing w:line="360" w:lineRule="auto"/>
        <w:jc w:val="both"/>
        <w:rPr>
          <w:rFonts w:ascii="Arial" w:hAnsi="Arial" w:cs="Arial"/>
          <w:sz w:val="22"/>
          <w:szCs w:val="22"/>
        </w:rPr>
      </w:pPr>
      <w:r w:rsidRPr="001B5EB4">
        <w:rPr>
          <w:rStyle w:val="Tipodeletrapredefinidodopargrafo"/>
          <w:rFonts w:ascii="Arial" w:hAnsi="Arial" w:cs="Arial"/>
          <w:sz w:val="22"/>
          <w:szCs w:val="22"/>
        </w:rPr>
        <w:t xml:space="preserve">Hahn, B. (2025) </w:t>
      </w:r>
      <w:r w:rsidRPr="001B5EB4">
        <w:rPr>
          <w:rStyle w:val="Tipodeletrapredefinidodopargrafo"/>
          <w:rFonts w:ascii="Arial" w:hAnsi="Arial" w:cs="Arial"/>
          <w:i/>
          <w:iCs/>
          <w:sz w:val="22"/>
          <w:szCs w:val="22"/>
        </w:rPr>
        <w:t>South Korea</w:t>
      </w:r>
      <w:r w:rsidRPr="001B5EB4">
        <w:rPr>
          <w:rStyle w:val="Tipodeletrapredefinidodopargrafo"/>
          <w:rFonts w:ascii="Arial" w:hAnsi="Arial" w:cs="Arial"/>
          <w:sz w:val="22"/>
          <w:szCs w:val="22"/>
        </w:rPr>
        <w:t xml:space="preserve">. Available at: </w:t>
      </w:r>
      <w:hyperlink r:id="rId21" w:history="1">
        <w:r w:rsidRPr="001B5EB4">
          <w:rPr>
            <w:rStyle w:val="Hyperlink"/>
            <w:rFonts w:ascii="Arial" w:hAnsi="Arial" w:cs="Arial"/>
            <w:sz w:val="22"/>
            <w:szCs w:val="22"/>
          </w:rPr>
          <w:t>South Korea | History, Map, Flag, Capital, Population, President, &amp; Facts | Britannica</w:t>
        </w:r>
      </w:hyperlink>
      <w:r w:rsidRPr="001B5EB4">
        <w:rPr>
          <w:rFonts w:ascii="Arial" w:hAnsi="Arial" w:cs="Arial"/>
          <w:sz w:val="22"/>
          <w:szCs w:val="22"/>
        </w:rPr>
        <w:t xml:space="preserve"> (Accessed: 20 November 2025) </w:t>
      </w:r>
    </w:p>
    <w:p w14:paraId="6D1C5918" w14:textId="68752B41" w:rsidR="00726C6C" w:rsidRPr="001B5EB4" w:rsidRDefault="00F31BDD" w:rsidP="00637E64">
      <w:pPr>
        <w:pStyle w:val="PargrafodaLista"/>
        <w:numPr>
          <w:ilvl w:val="0"/>
          <w:numId w:val="1"/>
        </w:numPr>
        <w:spacing w:line="360" w:lineRule="auto"/>
        <w:jc w:val="both"/>
        <w:rPr>
          <w:rStyle w:val="Tipodeletrapredefinidodopargrafo"/>
          <w:rFonts w:ascii="Arial" w:hAnsi="Arial" w:cs="Arial"/>
          <w:sz w:val="22"/>
          <w:szCs w:val="22"/>
        </w:rPr>
      </w:pPr>
      <w:r w:rsidRPr="001B5EB4">
        <w:rPr>
          <w:rStyle w:val="Tipodeletrapredefinidodopargrafo"/>
          <w:rFonts w:ascii="Arial" w:hAnsi="Arial" w:cs="Arial"/>
          <w:sz w:val="22"/>
          <w:szCs w:val="22"/>
        </w:rPr>
        <w:t>Hansen, G. and Cyr, A. (2020) 'Canada’s decentralized “Human-Driven” approach during the early COVID-19 pandemic,' </w:t>
      </w:r>
      <w:r w:rsidRPr="001B5EB4">
        <w:rPr>
          <w:rStyle w:val="Tipodeletrapredefinidodopargrafo"/>
          <w:rFonts w:ascii="Arial" w:hAnsi="Arial" w:cs="Arial"/>
          <w:i/>
          <w:iCs/>
          <w:sz w:val="22"/>
          <w:szCs w:val="22"/>
        </w:rPr>
        <w:t>JMIR Public Health and Surveillance</w:t>
      </w:r>
      <w:r w:rsidRPr="001B5EB4">
        <w:rPr>
          <w:rStyle w:val="Tipodeletrapredefinidodopargrafo"/>
          <w:rFonts w:ascii="Arial" w:hAnsi="Arial" w:cs="Arial"/>
          <w:sz w:val="22"/>
          <w:szCs w:val="22"/>
        </w:rPr>
        <w:t>, 6(4), p. e20343. </w:t>
      </w:r>
      <w:hyperlink r:id="rId22" w:history="1">
        <w:r w:rsidR="00A82823" w:rsidRPr="001B5EB4">
          <w:rPr>
            <w:rStyle w:val="Hyperlink"/>
            <w:rFonts w:ascii="Arial" w:hAnsi="Arial" w:cs="Arial"/>
            <w:sz w:val="22"/>
            <w:szCs w:val="22"/>
          </w:rPr>
          <w:t>https://doi.org/10.2196/20343</w:t>
        </w:r>
      </w:hyperlink>
      <w:r w:rsidRPr="001B5EB4">
        <w:rPr>
          <w:rStyle w:val="Tipodeletrapredefinidodopargrafo"/>
          <w:rFonts w:ascii="Arial" w:hAnsi="Arial" w:cs="Arial"/>
          <w:sz w:val="22"/>
          <w:szCs w:val="22"/>
        </w:rPr>
        <w:t>.</w:t>
      </w:r>
    </w:p>
    <w:p w14:paraId="1DB8B4A4" w14:textId="094A3829" w:rsidR="0083177B" w:rsidRPr="001B5EB4" w:rsidRDefault="00A82823" w:rsidP="00637E64">
      <w:pPr>
        <w:pStyle w:val="PargrafodaLista"/>
        <w:numPr>
          <w:ilvl w:val="0"/>
          <w:numId w:val="1"/>
        </w:numPr>
        <w:spacing w:line="360" w:lineRule="auto"/>
        <w:jc w:val="both"/>
        <w:rPr>
          <w:rFonts w:ascii="Arial" w:hAnsi="Arial" w:cs="Arial"/>
          <w:sz w:val="22"/>
          <w:szCs w:val="22"/>
        </w:rPr>
      </w:pPr>
      <w:r w:rsidRPr="001B5EB4">
        <w:rPr>
          <w:rStyle w:val="Tipodeletrapredefinidodopargrafo"/>
          <w:rFonts w:ascii="Arial" w:hAnsi="Arial" w:cs="Arial"/>
          <w:sz w:val="22"/>
          <w:szCs w:val="22"/>
        </w:rPr>
        <w:t xml:space="preserve">Health Insurance Review &amp; Assessment Service (n.d.) </w:t>
      </w:r>
      <w:r w:rsidRPr="001B5EB4">
        <w:rPr>
          <w:rStyle w:val="Tipodeletrapredefinidodopargrafo"/>
          <w:rFonts w:ascii="Arial" w:hAnsi="Arial" w:cs="Arial"/>
          <w:i/>
          <w:iCs/>
          <w:sz w:val="22"/>
          <w:szCs w:val="22"/>
        </w:rPr>
        <w:t>Healthcare system in Korea.</w:t>
      </w:r>
      <w:r w:rsidRPr="001B5EB4">
        <w:rPr>
          <w:rStyle w:val="Tipodeletrapredefinidodopargrafo"/>
          <w:rFonts w:ascii="Arial" w:hAnsi="Arial" w:cs="Arial"/>
          <w:sz w:val="22"/>
          <w:szCs w:val="22"/>
        </w:rPr>
        <w:t xml:space="preserve"> Available at: </w:t>
      </w:r>
      <w:hyperlink r:id="rId23" w:history="1">
        <w:r w:rsidRPr="001B5EB4">
          <w:rPr>
            <w:rStyle w:val="Hyperlink"/>
            <w:rFonts w:ascii="Arial" w:hAnsi="Arial" w:cs="Arial"/>
            <w:sz w:val="22"/>
            <w:szCs w:val="22"/>
          </w:rPr>
          <w:t>Healthcare System in Korea &lt; Overview &lt; What we do &lt; HIRA</w:t>
        </w:r>
      </w:hyperlink>
      <w:r w:rsidRPr="001B5EB4">
        <w:rPr>
          <w:rFonts w:ascii="Arial" w:hAnsi="Arial" w:cs="Arial"/>
          <w:sz w:val="22"/>
          <w:szCs w:val="22"/>
        </w:rPr>
        <w:t xml:space="preserve"> (Accessed: 22 November 2025)</w:t>
      </w:r>
    </w:p>
    <w:p w14:paraId="3AB15E51" w14:textId="33CA2E13" w:rsidR="006574B0" w:rsidRPr="001B5EB4" w:rsidRDefault="006574B0" w:rsidP="00637E64">
      <w:pPr>
        <w:pStyle w:val="PargrafodaLista"/>
        <w:numPr>
          <w:ilvl w:val="0"/>
          <w:numId w:val="1"/>
        </w:numPr>
        <w:spacing w:line="360" w:lineRule="auto"/>
        <w:jc w:val="both"/>
        <w:rPr>
          <w:rFonts w:ascii="Arial" w:hAnsi="Arial" w:cs="Arial"/>
          <w:sz w:val="22"/>
          <w:szCs w:val="22"/>
        </w:rPr>
      </w:pPr>
      <w:r w:rsidRPr="001B5EB4">
        <w:rPr>
          <w:rFonts w:ascii="Arial" w:hAnsi="Arial" w:cs="Arial"/>
          <w:color w:val="05103E"/>
          <w:sz w:val="22"/>
          <w:szCs w:val="22"/>
          <w:shd w:val="clear" w:color="auto" w:fill="FFFFFF"/>
        </w:rPr>
        <w:t xml:space="preserve">Kim, </w:t>
      </w:r>
      <w:r w:rsidR="000A08AC" w:rsidRPr="001B5EB4">
        <w:rPr>
          <w:rFonts w:ascii="Arial" w:hAnsi="Arial" w:cs="Arial"/>
          <w:color w:val="05103E"/>
          <w:sz w:val="22"/>
          <w:szCs w:val="22"/>
          <w:shd w:val="clear" w:color="auto" w:fill="FFFFFF"/>
        </w:rPr>
        <w:t>Y.,</w:t>
      </w:r>
      <w:r w:rsidRPr="001B5EB4">
        <w:rPr>
          <w:rFonts w:ascii="Arial" w:hAnsi="Arial" w:cs="Arial"/>
          <w:color w:val="05103E"/>
          <w:sz w:val="22"/>
          <w:szCs w:val="22"/>
          <w:shd w:val="clear" w:color="auto" w:fill="FFFFFF"/>
        </w:rPr>
        <w:t xml:space="preserve"> and Jeong, Y.A. (2022</w:t>
      </w:r>
      <w:r w:rsidR="000E1BF3" w:rsidRPr="001B5EB4">
        <w:rPr>
          <w:rFonts w:ascii="Arial" w:hAnsi="Arial" w:cs="Arial"/>
          <w:color w:val="05103E"/>
          <w:sz w:val="22"/>
          <w:szCs w:val="22"/>
          <w:shd w:val="clear" w:color="auto" w:fill="FFFFFF"/>
        </w:rPr>
        <w:t>a</w:t>
      </w:r>
      <w:r w:rsidRPr="001B5EB4">
        <w:rPr>
          <w:rFonts w:ascii="Arial" w:hAnsi="Arial" w:cs="Arial"/>
          <w:color w:val="05103E"/>
          <w:sz w:val="22"/>
          <w:szCs w:val="22"/>
          <w:shd w:val="clear" w:color="auto" w:fill="FFFFFF"/>
        </w:rPr>
        <w:t>) 'The role of local governments in South Korea’s COVID</w:t>
      </w:r>
      <w:r w:rsidRPr="001B5EB4">
        <w:rPr>
          <w:rFonts w:ascii="Cambria Math" w:hAnsi="Cambria Math" w:cs="Cambria Math"/>
          <w:color w:val="05103E"/>
          <w:sz w:val="22"/>
          <w:szCs w:val="22"/>
          <w:shd w:val="clear" w:color="auto" w:fill="FFFFFF"/>
        </w:rPr>
        <w:t>‐</w:t>
      </w:r>
      <w:r w:rsidRPr="001B5EB4">
        <w:rPr>
          <w:rFonts w:ascii="Arial" w:hAnsi="Arial" w:cs="Arial"/>
          <w:color w:val="05103E"/>
          <w:sz w:val="22"/>
          <w:szCs w:val="22"/>
          <w:shd w:val="clear" w:color="auto" w:fill="FFFFFF"/>
        </w:rPr>
        <w:t>19 response,' </w:t>
      </w:r>
      <w:r w:rsidRPr="001B5EB4">
        <w:rPr>
          <w:rFonts w:ascii="Arial" w:hAnsi="Arial" w:cs="Arial"/>
          <w:i/>
          <w:iCs/>
          <w:color w:val="05103E"/>
          <w:sz w:val="22"/>
          <w:szCs w:val="22"/>
          <w:bdr w:val="single" w:sz="2" w:space="0" w:color="ECEDEE" w:frame="1"/>
          <w:shd w:val="clear" w:color="auto" w:fill="FFFFFF"/>
        </w:rPr>
        <w:t>Public Administration and Development</w:t>
      </w:r>
      <w:r w:rsidRPr="001B5EB4">
        <w:rPr>
          <w:rFonts w:ascii="Arial" w:hAnsi="Arial" w:cs="Arial"/>
          <w:color w:val="05103E"/>
          <w:sz w:val="22"/>
          <w:szCs w:val="22"/>
          <w:shd w:val="clear" w:color="auto" w:fill="FFFFFF"/>
        </w:rPr>
        <w:t>, 43(2), pp. 120–128. </w:t>
      </w:r>
      <w:hyperlink r:id="rId24" w:history="1">
        <w:r w:rsidR="000E1BF3" w:rsidRPr="001B5EB4">
          <w:rPr>
            <w:rStyle w:val="Hyperlink"/>
            <w:rFonts w:ascii="Arial" w:hAnsi="Arial" w:cs="Arial"/>
            <w:sz w:val="22"/>
            <w:szCs w:val="22"/>
            <w:bdr w:val="single" w:sz="2" w:space="0" w:color="ECEDEE" w:frame="1"/>
            <w:shd w:val="clear" w:color="auto" w:fill="FFFFFF"/>
          </w:rPr>
          <w:t>https://doi.org/10.1002/pad.1986</w:t>
        </w:r>
      </w:hyperlink>
      <w:r w:rsidRPr="001B5EB4">
        <w:rPr>
          <w:rFonts w:ascii="Arial" w:hAnsi="Arial" w:cs="Arial"/>
          <w:color w:val="05103E"/>
          <w:sz w:val="22"/>
          <w:szCs w:val="22"/>
          <w:shd w:val="clear" w:color="auto" w:fill="FFFFFF"/>
        </w:rPr>
        <w:t>.</w:t>
      </w:r>
    </w:p>
    <w:p w14:paraId="54A2E240" w14:textId="5BC99CED" w:rsidR="000E1BF3" w:rsidRPr="001B5EB4" w:rsidRDefault="000E1BF3" w:rsidP="00637E64">
      <w:pPr>
        <w:pStyle w:val="PargrafodaLista"/>
        <w:numPr>
          <w:ilvl w:val="0"/>
          <w:numId w:val="1"/>
        </w:numPr>
        <w:spacing w:line="360" w:lineRule="auto"/>
        <w:jc w:val="both"/>
        <w:rPr>
          <w:rFonts w:ascii="Arial" w:hAnsi="Arial" w:cs="Arial"/>
          <w:sz w:val="22"/>
          <w:szCs w:val="22"/>
        </w:rPr>
      </w:pPr>
      <w:r w:rsidRPr="001B5EB4">
        <w:rPr>
          <w:rFonts w:ascii="Arial" w:hAnsi="Arial" w:cs="Arial"/>
          <w:color w:val="05103E"/>
          <w:sz w:val="22"/>
          <w:szCs w:val="22"/>
        </w:rPr>
        <w:t xml:space="preserve">Kim, </w:t>
      </w:r>
      <w:r w:rsidR="000A08AC" w:rsidRPr="001B5EB4">
        <w:rPr>
          <w:rFonts w:ascii="Arial" w:hAnsi="Arial" w:cs="Arial"/>
          <w:color w:val="05103E"/>
          <w:sz w:val="22"/>
          <w:szCs w:val="22"/>
        </w:rPr>
        <w:t>Y.,</w:t>
      </w:r>
      <w:r w:rsidRPr="001B5EB4">
        <w:rPr>
          <w:rFonts w:ascii="Arial" w:hAnsi="Arial" w:cs="Arial"/>
          <w:color w:val="05103E"/>
          <w:sz w:val="22"/>
          <w:szCs w:val="22"/>
        </w:rPr>
        <w:t xml:space="preserve"> and Jeong, Y.A. (2022b) 'The role of local governments in South Korea’s COVID</w:t>
      </w:r>
      <w:r w:rsidRPr="001B5EB4">
        <w:rPr>
          <w:rFonts w:ascii="Cambria Math" w:hAnsi="Cambria Math" w:cs="Cambria Math"/>
          <w:color w:val="05103E"/>
          <w:sz w:val="22"/>
          <w:szCs w:val="22"/>
        </w:rPr>
        <w:t>‐</w:t>
      </w:r>
      <w:r w:rsidRPr="001B5EB4">
        <w:rPr>
          <w:rFonts w:ascii="Arial" w:hAnsi="Arial" w:cs="Arial"/>
          <w:color w:val="05103E"/>
          <w:sz w:val="22"/>
          <w:szCs w:val="22"/>
        </w:rPr>
        <w:t>19 response,' </w:t>
      </w:r>
      <w:r w:rsidRPr="001B5EB4">
        <w:rPr>
          <w:rFonts w:ascii="Arial" w:hAnsi="Arial" w:cs="Arial"/>
          <w:i/>
          <w:iCs/>
          <w:color w:val="05103E"/>
          <w:sz w:val="22"/>
          <w:szCs w:val="22"/>
          <w:bdr w:val="single" w:sz="2" w:space="0" w:color="ECEDEE" w:frame="1"/>
        </w:rPr>
        <w:t>Public Administration and Development</w:t>
      </w:r>
      <w:r w:rsidRPr="001B5EB4">
        <w:rPr>
          <w:rFonts w:ascii="Arial" w:hAnsi="Arial" w:cs="Arial"/>
          <w:color w:val="05103E"/>
          <w:sz w:val="22"/>
          <w:szCs w:val="22"/>
        </w:rPr>
        <w:t>, 43(2), pp. 120–128. </w:t>
      </w:r>
      <w:hyperlink r:id="rId25" w:history="1">
        <w:r w:rsidR="00305A64" w:rsidRPr="001B5EB4">
          <w:rPr>
            <w:rStyle w:val="Hyperlink"/>
            <w:rFonts w:ascii="Arial" w:hAnsi="Arial" w:cs="Arial"/>
            <w:sz w:val="22"/>
            <w:szCs w:val="22"/>
            <w:bdr w:val="single" w:sz="2" w:space="0" w:color="ECEDEE" w:frame="1"/>
          </w:rPr>
          <w:t>https://doi.org/10.1002/pad.1986</w:t>
        </w:r>
      </w:hyperlink>
      <w:r w:rsidRPr="001B5EB4">
        <w:rPr>
          <w:rFonts w:ascii="Arial" w:hAnsi="Arial" w:cs="Arial"/>
          <w:color w:val="05103E"/>
          <w:sz w:val="22"/>
          <w:szCs w:val="22"/>
        </w:rPr>
        <w:t>.</w:t>
      </w:r>
    </w:p>
    <w:p w14:paraId="17F1EAE7" w14:textId="7DD64CEE" w:rsidR="00637E64" w:rsidRPr="001B5EB4" w:rsidRDefault="00637E64" w:rsidP="00637E64">
      <w:pPr>
        <w:pStyle w:val="NormalWeb"/>
        <w:numPr>
          <w:ilvl w:val="0"/>
          <w:numId w:val="1"/>
        </w:numPr>
        <w:spacing w:before="0" w:beforeAutospacing="0" w:after="0" w:afterAutospacing="0" w:line="360" w:lineRule="auto"/>
        <w:jc w:val="both"/>
        <w:rPr>
          <w:rFonts w:ascii="Arial" w:hAnsi="Arial" w:cs="Arial"/>
          <w:sz w:val="22"/>
          <w:szCs w:val="22"/>
        </w:rPr>
      </w:pPr>
      <w:r w:rsidRPr="001B5EB4">
        <w:rPr>
          <w:rFonts w:ascii="Arial" w:hAnsi="Arial" w:cs="Arial"/>
          <w:sz w:val="22"/>
          <w:szCs w:val="22"/>
        </w:rPr>
        <w:t xml:space="preserve">Lee, J.-C. (2003) 'Health care reform in South Korea: success or </w:t>
      </w:r>
      <w:r w:rsidR="000A08AC" w:rsidRPr="001B5EB4">
        <w:rPr>
          <w:rFonts w:ascii="Arial" w:hAnsi="Arial" w:cs="Arial"/>
          <w:sz w:val="22"/>
          <w:szCs w:val="22"/>
        </w:rPr>
        <w:t>failure?</w:t>
      </w:r>
      <w:r w:rsidRPr="001B5EB4">
        <w:rPr>
          <w:rFonts w:ascii="Arial" w:hAnsi="Arial" w:cs="Arial"/>
          <w:sz w:val="22"/>
          <w:szCs w:val="22"/>
        </w:rPr>
        <w:t xml:space="preserve">' </w:t>
      </w:r>
      <w:r w:rsidRPr="001B5EB4">
        <w:rPr>
          <w:rFonts w:ascii="Arial" w:hAnsi="Arial" w:cs="Arial"/>
          <w:i/>
          <w:iCs/>
          <w:sz w:val="22"/>
          <w:szCs w:val="22"/>
        </w:rPr>
        <w:t>American Journal of Public Health</w:t>
      </w:r>
      <w:r w:rsidRPr="001B5EB4">
        <w:rPr>
          <w:rFonts w:ascii="Arial" w:hAnsi="Arial" w:cs="Arial"/>
          <w:sz w:val="22"/>
          <w:szCs w:val="22"/>
        </w:rPr>
        <w:t xml:space="preserve">, 93(1), pp. 48–51. </w:t>
      </w:r>
      <w:r w:rsidRPr="001B5EB4">
        <w:rPr>
          <w:rStyle w:val="url"/>
          <w:rFonts w:ascii="Arial" w:hAnsi="Arial" w:cs="Arial"/>
          <w:sz w:val="22"/>
          <w:szCs w:val="22"/>
        </w:rPr>
        <w:t>https://doi.org/10.2105/ajph.93.1.48</w:t>
      </w:r>
      <w:r w:rsidRPr="001B5EB4">
        <w:rPr>
          <w:rFonts w:ascii="Arial" w:hAnsi="Arial" w:cs="Arial"/>
          <w:sz w:val="22"/>
          <w:szCs w:val="22"/>
        </w:rPr>
        <w:t>.</w:t>
      </w:r>
    </w:p>
    <w:p w14:paraId="0C400269" w14:textId="3021F822" w:rsidR="00305A64" w:rsidRPr="001B5EB4" w:rsidRDefault="00305A64" w:rsidP="00637E64">
      <w:pPr>
        <w:pStyle w:val="PargrafodaLista"/>
        <w:numPr>
          <w:ilvl w:val="0"/>
          <w:numId w:val="1"/>
        </w:numPr>
        <w:spacing w:line="360" w:lineRule="auto"/>
        <w:jc w:val="both"/>
        <w:rPr>
          <w:rFonts w:ascii="Arial" w:hAnsi="Arial" w:cs="Arial"/>
          <w:sz w:val="22"/>
          <w:szCs w:val="22"/>
        </w:rPr>
      </w:pPr>
      <w:r w:rsidRPr="001B5EB4">
        <w:rPr>
          <w:rFonts w:ascii="Arial" w:hAnsi="Arial" w:cs="Arial"/>
          <w:color w:val="05103E"/>
          <w:sz w:val="22"/>
          <w:szCs w:val="22"/>
        </w:rPr>
        <w:t>Martin, D. </w:t>
      </w:r>
      <w:r w:rsidRPr="001B5EB4">
        <w:rPr>
          <w:rFonts w:ascii="Arial" w:hAnsi="Arial" w:cs="Arial"/>
          <w:i/>
          <w:iCs/>
          <w:color w:val="05103E"/>
          <w:sz w:val="22"/>
          <w:szCs w:val="22"/>
          <w:bdr w:val="single" w:sz="2" w:space="0" w:color="ECEDEE" w:frame="1"/>
        </w:rPr>
        <w:t>et al.</w:t>
      </w:r>
      <w:r w:rsidRPr="001B5EB4">
        <w:rPr>
          <w:rFonts w:ascii="Arial" w:hAnsi="Arial" w:cs="Arial"/>
          <w:color w:val="05103E"/>
          <w:sz w:val="22"/>
          <w:szCs w:val="22"/>
        </w:rPr>
        <w:t> (2018) 'Canada’s universal health-care system: achieving its potential,' </w:t>
      </w:r>
      <w:r w:rsidRPr="001B5EB4">
        <w:rPr>
          <w:rFonts w:ascii="Arial" w:hAnsi="Arial" w:cs="Arial"/>
          <w:i/>
          <w:iCs/>
          <w:color w:val="05103E"/>
          <w:sz w:val="22"/>
          <w:szCs w:val="22"/>
          <w:bdr w:val="single" w:sz="2" w:space="0" w:color="ECEDEE" w:frame="1"/>
        </w:rPr>
        <w:t>The Lancet</w:t>
      </w:r>
      <w:r w:rsidRPr="001B5EB4">
        <w:rPr>
          <w:rFonts w:ascii="Arial" w:hAnsi="Arial" w:cs="Arial"/>
          <w:color w:val="05103E"/>
          <w:sz w:val="22"/>
          <w:szCs w:val="22"/>
        </w:rPr>
        <w:t>, 391(10131), pp. 1718–1735. </w:t>
      </w:r>
      <w:r w:rsidRPr="001B5EB4">
        <w:rPr>
          <w:rStyle w:val="url"/>
          <w:rFonts w:ascii="Arial" w:hAnsi="Arial" w:cs="Arial"/>
          <w:color w:val="05103E"/>
          <w:sz w:val="22"/>
          <w:szCs w:val="22"/>
          <w:bdr w:val="single" w:sz="2" w:space="0" w:color="ECEDEE" w:frame="1"/>
        </w:rPr>
        <w:t>https://doi.org/10.1016/s0140-6736(18)30181-8</w:t>
      </w:r>
      <w:r w:rsidRPr="001B5EB4">
        <w:rPr>
          <w:rFonts w:ascii="Arial" w:hAnsi="Arial" w:cs="Arial"/>
          <w:color w:val="05103E"/>
          <w:sz w:val="22"/>
          <w:szCs w:val="22"/>
        </w:rPr>
        <w:t>.</w:t>
      </w:r>
    </w:p>
    <w:p w14:paraId="7392D68A" w14:textId="47E491AB" w:rsidR="00726C6C" w:rsidRPr="001B5EB4" w:rsidRDefault="00F31BDD" w:rsidP="00637E64">
      <w:pPr>
        <w:pStyle w:val="PargrafodaLista"/>
        <w:numPr>
          <w:ilvl w:val="0"/>
          <w:numId w:val="1"/>
        </w:numPr>
        <w:spacing w:line="360" w:lineRule="auto"/>
        <w:jc w:val="both"/>
        <w:rPr>
          <w:rStyle w:val="Tipodeletrapredefinidodopargrafo"/>
          <w:rFonts w:ascii="Arial" w:hAnsi="Arial" w:cs="Arial"/>
          <w:sz w:val="22"/>
          <w:szCs w:val="22"/>
        </w:rPr>
      </w:pPr>
      <w:r w:rsidRPr="001B5EB4">
        <w:rPr>
          <w:rStyle w:val="Tipodeletrapredefinidodopargrafo"/>
          <w:rFonts w:ascii="Arial" w:hAnsi="Arial" w:cs="Arial"/>
          <w:sz w:val="22"/>
          <w:szCs w:val="22"/>
        </w:rPr>
        <w:t>Morales-Contreras, M.F., Leporati, M. and Fratocchi, L. (2021) 'The impact of COVID-19 on supply decision-makers: the case of personal protective equipment in Spanish hospitals,' </w:t>
      </w:r>
      <w:r w:rsidRPr="001B5EB4">
        <w:rPr>
          <w:rStyle w:val="Tipodeletrapredefinidodopargrafo"/>
          <w:rFonts w:ascii="Arial" w:hAnsi="Arial" w:cs="Arial"/>
          <w:i/>
          <w:iCs/>
          <w:sz w:val="22"/>
          <w:szCs w:val="22"/>
        </w:rPr>
        <w:t>BMC Health Services Research</w:t>
      </w:r>
      <w:r w:rsidRPr="001B5EB4">
        <w:rPr>
          <w:rStyle w:val="Tipodeletrapredefinidodopargrafo"/>
          <w:rFonts w:ascii="Arial" w:hAnsi="Arial" w:cs="Arial"/>
          <w:sz w:val="22"/>
          <w:szCs w:val="22"/>
        </w:rPr>
        <w:t>, 21(1), p. 1170. </w:t>
      </w:r>
      <w:hyperlink r:id="rId26" w:history="1">
        <w:r w:rsidRPr="001B5EB4">
          <w:rPr>
            <w:rStyle w:val="Hiperligao"/>
            <w:rFonts w:ascii="Arial" w:hAnsi="Arial" w:cs="Arial"/>
            <w:sz w:val="22"/>
            <w:szCs w:val="22"/>
          </w:rPr>
          <w:t>https://doi.org/10.1186/s12913-021-07202-9</w:t>
        </w:r>
      </w:hyperlink>
      <w:r w:rsidRPr="001B5EB4">
        <w:rPr>
          <w:rStyle w:val="Tipodeletrapredefinidodopargrafo"/>
          <w:rFonts w:ascii="Arial" w:hAnsi="Arial" w:cs="Arial"/>
          <w:sz w:val="22"/>
          <w:szCs w:val="22"/>
        </w:rPr>
        <w:t>.</w:t>
      </w:r>
    </w:p>
    <w:p w14:paraId="44189339" w14:textId="77777777" w:rsidR="00F72484" w:rsidRPr="001B5EB4" w:rsidRDefault="00F72484" w:rsidP="00F72484">
      <w:pPr>
        <w:pStyle w:val="PargrafodaLista"/>
        <w:numPr>
          <w:ilvl w:val="0"/>
          <w:numId w:val="1"/>
        </w:numPr>
        <w:spacing w:line="360" w:lineRule="auto"/>
        <w:jc w:val="both"/>
        <w:rPr>
          <w:rFonts w:ascii="Arial" w:hAnsi="Arial" w:cs="Arial"/>
          <w:sz w:val="22"/>
          <w:szCs w:val="22"/>
        </w:rPr>
      </w:pPr>
      <w:r w:rsidRPr="001B5EB4">
        <w:rPr>
          <w:rStyle w:val="Tipodeletrapredefinidodopargrafo"/>
          <w:rFonts w:ascii="Arial" w:hAnsi="Arial" w:cs="Arial"/>
          <w:sz w:val="22"/>
          <w:szCs w:val="22"/>
        </w:rPr>
        <w:t xml:space="preserve">Nickerson, C. and McLeod, S. (2024) </w:t>
      </w:r>
      <w:r w:rsidRPr="001B5EB4">
        <w:rPr>
          <w:rStyle w:val="Tipodeletrapredefinidodopargrafo"/>
          <w:rFonts w:ascii="Arial" w:hAnsi="Arial" w:cs="Arial"/>
          <w:i/>
          <w:iCs/>
          <w:sz w:val="22"/>
          <w:szCs w:val="22"/>
        </w:rPr>
        <w:t>Autocratic Leadership Style.</w:t>
      </w:r>
      <w:r w:rsidRPr="001B5EB4">
        <w:rPr>
          <w:rStyle w:val="Tipodeletrapredefinidodopargrafo"/>
          <w:rFonts w:ascii="Arial" w:hAnsi="Arial" w:cs="Arial"/>
          <w:sz w:val="22"/>
          <w:szCs w:val="22"/>
        </w:rPr>
        <w:t xml:space="preserve"> Available at: </w:t>
      </w:r>
      <w:hyperlink r:id="rId27" w:history="1">
        <w:r w:rsidRPr="001B5EB4">
          <w:rPr>
            <w:rStyle w:val="Hiperligao"/>
            <w:rFonts w:ascii="Arial" w:hAnsi="Arial" w:cs="Arial"/>
            <w:sz w:val="22"/>
            <w:szCs w:val="22"/>
          </w:rPr>
          <w:t>https://www.simplypsychology.org/autocratic-leadership.html</w:t>
        </w:r>
      </w:hyperlink>
      <w:r w:rsidRPr="001B5EB4">
        <w:rPr>
          <w:rStyle w:val="Tipodeletrapredefinidodopargrafo"/>
          <w:rFonts w:ascii="Arial" w:hAnsi="Arial" w:cs="Arial"/>
          <w:sz w:val="22"/>
          <w:szCs w:val="22"/>
        </w:rPr>
        <w:t xml:space="preserve">. (Accessed: 18 November 2025) </w:t>
      </w:r>
    </w:p>
    <w:p w14:paraId="5E497BA0" w14:textId="3032A2A0" w:rsidR="00F72484" w:rsidRPr="001B5EB4" w:rsidRDefault="00F72484" w:rsidP="00F72484">
      <w:pPr>
        <w:pStyle w:val="PargrafodaLista"/>
        <w:numPr>
          <w:ilvl w:val="0"/>
          <w:numId w:val="1"/>
        </w:numPr>
        <w:spacing w:line="360" w:lineRule="auto"/>
        <w:jc w:val="both"/>
        <w:rPr>
          <w:rStyle w:val="Tipodeletrapredefinidodopargrafo"/>
          <w:rFonts w:ascii="Arial" w:hAnsi="Arial" w:cs="Arial"/>
          <w:sz w:val="22"/>
          <w:szCs w:val="22"/>
        </w:rPr>
      </w:pPr>
      <w:r w:rsidRPr="001B5EB4">
        <w:rPr>
          <w:rStyle w:val="Tipodeletrapredefinidodopargrafo"/>
          <w:rFonts w:ascii="Arial" w:hAnsi="Arial" w:cs="Arial"/>
          <w:sz w:val="22"/>
          <w:szCs w:val="22"/>
        </w:rPr>
        <w:lastRenderedPageBreak/>
        <w:t xml:space="preserve">Nicholson, N. (2025) </w:t>
      </w:r>
      <w:r w:rsidRPr="001B5EB4">
        <w:rPr>
          <w:rStyle w:val="Tipodeletrapredefinidodopargrafo"/>
          <w:rFonts w:ascii="Arial" w:hAnsi="Arial" w:cs="Arial"/>
          <w:i/>
          <w:iCs/>
          <w:sz w:val="22"/>
          <w:szCs w:val="22"/>
        </w:rPr>
        <w:t>Canada.</w:t>
      </w:r>
      <w:r w:rsidRPr="001B5EB4">
        <w:rPr>
          <w:rStyle w:val="Tipodeletrapredefinidodopargrafo"/>
          <w:rFonts w:ascii="Arial" w:hAnsi="Arial" w:cs="Arial"/>
          <w:sz w:val="22"/>
          <w:szCs w:val="22"/>
        </w:rPr>
        <w:t xml:space="preserve"> Available at: </w:t>
      </w:r>
      <w:hyperlink r:id="rId28" w:history="1">
        <w:r w:rsidRPr="001B5EB4">
          <w:rPr>
            <w:rStyle w:val="Hiperligao"/>
            <w:rFonts w:ascii="Arial" w:hAnsi="Arial" w:cs="Arial"/>
            <w:sz w:val="22"/>
            <w:szCs w:val="22"/>
          </w:rPr>
          <w:t>Canada | History, Population, Immigration, Capital, &amp; Currency | Britannica</w:t>
        </w:r>
      </w:hyperlink>
      <w:r w:rsidRPr="001B5EB4">
        <w:rPr>
          <w:rStyle w:val="Tipodeletrapredefinidodopargrafo"/>
          <w:rFonts w:ascii="Arial" w:hAnsi="Arial" w:cs="Arial"/>
          <w:sz w:val="22"/>
          <w:szCs w:val="22"/>
        </w:rPr>
        <w:t xml:space="preserve"> (Accessed: 22 November 2025) </w:t>
      </w:r>
    </w:p>
    <w:p w14:paraId="05525BE8" w14:textId="56256F1A" w:rsidR="00F72484" w:rsidRPr="001B5EB4" w:rsidRDefault="00F72484" w:rsidP="00F72484">
      <w:pPr>
        <w:pStyle w:val="PargrafodaLista"/>
        <w:numPr>
          <w:ilvl w:val="0"/>
          <w:numId w:val="1"/>
        </w:numPr>
        <w:spacing w:line="360" w:lineRule="auto"/>
        <w:jc w:val="both"/>
        <w:rPr>
          <w:rStyle w:val="Tipodeletrapredefinidodopargrafo"/>
          <w:rFonts w:ascii="Arial" w:hAnsi="Arial" w:cs="Arial"/>
          <w:sz w:val="22"/>
          <w:szCs w:val="22"/>
        </w:rPr>
      </w:pPr>
      <w:r w:rsidRPr="001B5EB4">
        <w:rPr>
          <w:rFonts w:ascii="Arial" w:hAnsi="Arial" w:cs="Arial"/>
          <w:color w:val="05103E"/>
          <w:sz w:val="22"/>
          <w:szCs w:val="22"/>
        </w:rPr>
        <w:t>Notarnicola, I. </w:t>
      </w:r>
      <w:r w:rsidRPr="001B5EB4">
        <w:rPr>
          <w:rFonts w:ascii="Arial" w:hAnsi="Arial" w:cs="Arial"/>
          <w:i/>
          <w:iCs/>
          <w:color w:val="05103E"/>
          <w:sz w:val="22"/>
          <w:szCs w:val="22"/>
          <w:bdr w:val="single" w:sz="2" w:space="0" w:color="ECEDEE" w:frame="1"/>
        </w:rPr>
        <w:t>et al.</w:t>
      </w:r>
      <w:r w:rsidRPr="001B5EB4">
        <w:rPr>
          <w:rFonts w:ascii="Arial" w:hAnsi="Arial" w:cs="Arial"/>
          <w:color w:val="05103E"/>
          <w:sz w:val="22"/>
          <w:szCs w:val="22"/>
        </w:rPr>
        <w:t> (2024) 'Transformational leadership and its impact on job satisfaction and personal mastery for nursing leaders in healthcare organizations,' </w:t>
      </w:r>
      <w:r w:rsidRPr="001B5EB4">
        <w:rPr>
          <w:rFonts w:ascii="Arial" w:hAnsi="Arial" w:cs="Arial"/>
          <w:i/>
          <w:iCs/>
          <w:color w:val="05103E"/>
          <w:sz w:val="22"/>
          <w:szCs w:val="22"/>
          <w:bdr w:val="single" w:sz="2" w:space="0" w:color="ECEDEE" w:frame="1"/>
        </w:rPr>
        <w:t>Nursing Reports</w:t>
      </w:r>
      <w:r w:rsidRPr="001B5EB4">
        <w:rPr>
          <w:rFonts w:ascii="Arial" w:hAnsi="Arial" w:cs="Arial"/>
          <w:color w:val="05103E"/>
          <w:sz w:val="22"/>
          <w:szCs w:val="22"/>
        </w:rPr>
        <w:t>, 14(4), pp. 3561–3574. </w:t>
      </w:r>
      <w:r w:rsidRPr="001B5EB4">
        <w:rPr>
          <w:rStyle w:val="url"/>
          <w:rFonts w:ascii="Arial" w:hAnsi="Arial" w:cs="Arial"/>
          <w:color w:val="05103E"/>
          <w:sz w:val="22"/>
          <w:szCs w:val="22"/>
          <w:bdr w:val="single" w:sz="2" w:space="0" w:color="ECEDEE" w:frame="1"/>
        </w:rPr>
        <w:t>https://doi.org/10.3390/nursrep14040260</w:t>
      </w:r>
      <w:r w:rsidRPr="001B5EB4">
        <w:rPr>
          <w:rFonts w:ascii="Arial" w:hAnsi="Arial" w:cs="Arial"/>
          <w:color w:val="05103E"/>
          <w:sz w:val="22"/>
          <w:szCs w:val="22"/>
        </w:rPr>
        <w:t>.</w:t>
      </w:r>
    </w:p>
    <w:p w14:paraId="27E56E63" w14:textId="584E3B16" w:rsidR="00217BA6" w:rsidRPr="001B5EB4" w:rsidRDefault="00217BA6" w:rsidP="00637E64">
      <w:pPr>
        <w:pStyle w:val="PargrafodaLista"/>
        <w:numPr>
          <w:ilvl w:val="0"/>
          <w:numId w:val="1"/>
        </w:numPr>
        <w:spacing w:line="360" w:lineRule="auto"/>
        <w:jc w:val="both"/>
        <w:rPr>
          <w:rFonts w:ascii="Arial" w:hAnsi="Arial" w:cs="Arial"/>
          <w:sz w:val="22"/>
          <w:szCs w:val="22"/>
        </w:rPr>
      </w:pPr>
      <w:r w:rsidRPr="001B5EB4">
        <w:rPr>
          <w:rFonts w:ascii="Arial" w:hAnsi="Arial" w:cs="Arial"/>
          <w:sz w:val="22"/>
          <w:szCs w:val="22"/>
        </w:rPr>
        <w:t>NU Editorial Contributors (202</w:t>
      </w:r>
      <w:r w:rsidRPr="001B5EB4">
        <w:rPr>
          <w:rFonts w:ascii="Arial" w:hAnsi="Arial" w:cs="Arial"/>
          <w:i/>
          <w:iCs/>
          <w:sz w:val="22"/>
          <w:szCs w:val="22"/>
        </w:rPr>
        <w:t>3) What is Transformational Leadership.</w:t>
      </w:r>
      <w:r w:rsidRPr="001B5EB4">
        <w:rPr>
          <w:rFonts w:ascii="Arial" w:hAnsi="Arial" w:cs="Arial"/>
          <w:sz w:val="22"/>
          <w:szCs w:val="22"/>
        </w:rPr>
        <w:t xml:space="preserve"> Available at: </w:t>
      </w:r>
      <w:hyperlink r:id="rId29" w:history="1">
        <w:r w:rsidRPr="001B5EB4">
          <w:rPr>
            <w:rStyle w:val="Hyperlink"/>
            <w:rFonts w:ascii="Arial" w:hAnsi="Arial" w:cs="Arial"/>
            <w:sz w:val="22"/>
            <w:szCs w:val="22"/>
          </w:rPr>
          <w:t>What Is Transformational Leadership? | Transformational Leadership Style | National University (nu.edu)</w:t>
        </w:r>
      </w:hyperlink>
      <w:r w:rsidRPr="001B5EB4">
        <w:rPr>
          <w:rFonts w:ascii="Arial" w:hAnsi="Arial" w:cs="Arial"/>
          <w:sz w:val="22"/>
          <w:szCs w:val="22"/>
        </w:rPr>
        <w:t xml:space="preserve"> (Accessed: 19 November 2025) </w:t>
      </w:r>
    </w:p>
    <w:p w14:paraId="03AFDB5E" w14:textId="0AD91059" w:rsidR="00B30E8E" w:rsidRPr="001B5EB4" w:rsidRDefault="00B30E8E" w:rsidP="00637E64">
      <w:pPr>
        <w:pStyle w:val="PargrafodaLista"/>
        <w:numPr>
          <w:ilvl w:val="0"/>
          <w:numId w:val="1"/>
        </w:numPr>
        <w:spacing w:line="360" w:lineRule="auto"/>
        <w:jc w:val="both"/>
        <w:rPr>
          <w:rFonts w:ascii="Arial" w:hAnsi="Arial" w:cs="Arial"/>
          <w:sz w:val="22"/>
          <w:szCs w:val="22"/>
        </w:rPr>
      </w:pPr>
      <w:r w:rsidRPr="001B5EB4">
        <w:rPr>
          <w:rFonts w:ascii="Arial" w:hAnsi="Arial" w:cs="Arial"/>
          <w:color w:val="05103E"/>
          <w:sz w:val="22"/>
          <w:szCs w:val="22"/>
        </w:rPr>
        <w:t>Notarnicola, I. </w:t>
      </w:r>
      <w:r w:rsidRPr="001B5EB4">
        <w:rPr>
          <w:rFonts w:ascii="Arial" w:hAnsi="Arial" w:cs="Arial"/>
          <w:i/>
          <w:iCs/>
          <w:color w:val="05103E"/>
          <w:sz w:val="22"/>
          <w:szCs w:val="22"/>
          <w:bdr w:val="single" w:sz="2" w:space="0" w:color="ECEDEE" w:frame="1"/>
        </w:rPr>
        <w:t>et al.</w:t>
      </w:r>
      <w:r w:rsidRPr="001B5EB4">
        <w:rPr>
          <w:rFonts w:ascii="Arial" w:hAnsi="Arial" w:cs="Arial"/>
          <w:color w:val="05103E"/>
          <w:sz w:val="22"/>
          <w:szCs w:val="22"/>
        </w:rPr>
        <w:t> (2024) 'Transformational leadership and its impact on job satisfaction and personal mastery for nursing leaders in healthcare organizations,' </w:t>
      </w:r>
      <w:r w:rsidRPr="001B5EB4">
        <w:rPr>
          <w:rFonts w:ascii="Arial" w:hAnsi="Arial" w:cs="Arial"/>
          <w:i/>
          <w:iCs/>
          <w:color w:val="05103E"/>
          <w:sz w:val="22"/>
          <w:szCs w:val="22"/>
          <w:bdr w:val="single" w:sz="2" w:space="0" w:color="ECEDEE" w:frame="1"/>
        </w:rPr>
        <w:t>Nursing Reports</w:t>
      </w:r>
      <w:r w:rsidRPr="001B5EB4">
        <w:rPr>
          <w:rFonts w:ascii="Arial" w:hAnsi="Arial" w:cs="Arial"/>
          <w:color w:val="05103E"/>
          <w:sz w:val="22"/>
          <w:szCs w:val="22"/>
        </w:rPr>
        <w:t>, 14(4), pp. 3561–3574. </w:t>
      </w:r>
      <w:r w:rsidRPr="001B5EB4">
        <w:rPr>
          <w:rStyle w:val="url"/>
          <w:rFonts w:ascii="Arial" w:hAnsi="Arial" w:cs="Arial"/>
          <w:color w:val="05103E"/>
          <w:sz w:val="22"/>
          <w:szCs w:val="22"/>
          <w:bdr w:val="single" w:sz="2" w:space="0" w:color="ECEDEE" w:frame="1"/>
        </w:rPr>
        <w:t>https://doi.org/10.3390/nursrep14040260</w:t>
      </w:r>
      <w:r w:rsidRPr="001B5EB4">
        <w:rPr>
          <w:rFonts w:ascii="Arial" w:hAnsi="Arial" w:cs="Arial"/>
          <w:color w:val="05103E"/>
          <w:sz w:val="22"/>
          <w:szCs w:val="22"/>
        </w:rPr>
        <w:t>.</w:t>
      </w:r>
    </w:p>
    <w:p w14:paraId="399A2805" w14:textId="186755BD" w:rsidR="006574B0" w:rsidRPr="001B5EB4" w:rsidRDefault="006574B0" w:rsidP="00637E64">
      <w:pPr>
        <w:pStyle w:val="PargrafodaLista"/>
        <w:numPr>
          <w:ilvl w:val="0"/>
          <w:numId w:val="1"/>
        </w:numPr>
        <w:spacing w:line="360" w:lineRule="auto"/>
        <w:jc w:val="both"/>
        <w:rPr>
          <w:rFonts w:ascii="Arial" w:hAnsi="Arial" w:cs="Arial"/>
          <w:sz w:val="22"/>
          <w:szCs w:val="22"/>
        </w:rPr>
      </w:pPr>
      <w:r w:rsidRPr="001B5EB4">
        <w:rPr>
          <w:rFonts w:ascii="Arial" w:hAnsi="Arial" w:cs="Arial"/>
          <w:color w:val="05103E"/>
          <w:sz w:val="22"/>
          <w:szCs w:val="22"/>
          <w:shd w:val="clear" w:color="auto" w:fill="FFFFFF"/>
        </w:rPr>
        <w:t>Oh, J. </w:t>
      </w:r>
      <w:r w:rsidRPr="001B5EB4">
        <w:rPr>
          <w:rFonts w:ascii="Arial" w:hAnsi="Arial" w:cs="Arial"/>
          <w:i/>
          <w:iCs/>
          <w:color w:val="05103E"/>
          <w:sz w:val="22"/>
          <w:szCs w:val="22"/>
          <w:bdr w:val="single" w:sz="2" w:space="0" w:color="ECEDEE" w:frame="1"/>
          <w:shd w:val="clear" w:color="auto" w:fill="FFFFFF"/>
        </w:rPr>
        <w:t>et al.</w:t>
      </w:r>
      <w:r w:rsidRPr="001B5EB4">
        <w:rPr>
          <w:rFonts w:ascii="Arial" w:hAnsi="Arial" w:cs="Arial"/>
          <w:color w:val="05103E"/>
          <w:sz w:val="22"/>
          <w:szCs w:val="22"/>
          <w:shd w:val="clear" w:color="auto" w:fill="FFFFFF"/>
        </w:rPr>
        <w:t> (2020) 'National response to COVID-19 in the Republic of Korea and lessons learned for other countries,' </w:t>
      </w:r>
      <w:r w:rsidRPr="001B5EB4">
        <w:rPr>
          <w:rFonts w:ascii="Arial" w:hAnsi="Arial" w:cs="Arial"/>
          <w:i/>
          <w:iCs/>
          <w:color w:val="05103E"/>
          <w:sz w:val="22"/>
          <w:szCs w:val="22"/>
          <w:bdr w:val="single" w:sz="2" w:space="0" w:color="ECEDEE" w:frame="1"/>
          <w:shd w:val="clear" w:color="auto" w:fill="FFFFFF"/>
        </w:rPr>
        <w:t>Health Systems &amp; Reform</w:t>
      </w:r>
      <w:r w:rsidRPr="001B5EB4">
        <w:rPr>
          <w:rFonts w:ascii="Arial" w:hAnsi="Arial" w:cs="Arial"/>
          <w:color w:val="05103E"/>
          <w:sz w:val="22"/>
          <w:szCs w:val="22"/>
          <w:shd w:val="clear" w:color="auto" w:fill="FFFFFF"/>
        </w:rPr>
        <w:t>, 6(1), p. e1753464. </w:t>
      </w:r>
      <w:hyperlink r:id="rId30" w:history="1">
        <w:r w:rsidR="00637E64" w:rsidRPr="001B5EB4">
          <w:rPr>
            <w:rStyle w:val="Hyperlink"/>
            <w:rFonts w:ascii="Arial" w:hAnsi="Arial" w:cs="Arial"/>
            <w:sz w:val="22"/>
            <w:szCs w:val="22"/>
            <w:bdr w:val="single" w:sz="2" w:space="0" w:color="ECEDEE" w:frame="1"/>
            <w:shd w:val="clear" w:color="auto" w:fill="FFFFFF"/>
          </w:rPr>
          <w:t>https://doi.org/10.1080/23288604.2020.1753464</w:t>
        </w:r>
      </w:hyperlink>
      <w:r w:rsidRPr="001B5EB4">
        <w:rPr>
          <w:rFonts w:ascii="Arial" w:hAnsi="Arial" w:cs="Arial"/>
          <w:color w:val="05103E"/>
          <w:sz w:val="22"/>
          <w:szCs w:val="22"/>
          <w:shd w:val="clear" w:color="auto" w:fill="FFFFFF"/>
        </w:rPr>
        <w:t>.</w:t>
      </w:r>
    </w:p>
    <w:p w14:paraId="718247B9" w14:textId="0CB3336A" w:rsidR="00637E64" w:rsidRPr="001B5EB4" w:rsidRDefault="00637E64" w:rsidP="00637E64">
      <w:pPr>
        <w:pStyle w:val="PargrafodaLista"/>
        <w:numPr>
          <w:ilvl w:val="0"/>
          <w:numId w:val="1"/>
        </w:numPr>
        <w:spacing w:line="360" w:lineRule="auto"/>
        <w:jc w:val="both"/>
        <w:rPr>
          <w:rFonts w:ascii="Arial" w:hAnsi="Arial" w:cs="Arial"/>
          <w:sz w:val="22"/>
          <w:szCs w:val="22"/>
        </w:rPr>
      </w:pPr>
      <w:r w:rsidRPr="001B5EB4">
        <w:rPr>
          <w:rStyle w:val="Tipodeletrapredefinidodopargrafo"/>
          <w:rFonts w:ascii="Arial" w:hAnsi="Arial" w:cs="Arial"/>
          <w:sz w:val="22"/>
          <w:szCs w:val="22"/>
        </w:rPr>
        <w:t xml:space="preserve">Pak, J. (202) </w:t>
      </w:r>
      <w:r w:rsidRPr="001B5EB4">
        <w:rPr>
          <w:rStyle w:val="Tipodeletrapredefinidodopargrafo"/>
          <w:rFonts w:ascii="Arial" w:hAnsi="Arial" w:cs="Arial"/>
          <w:i/>
          <w:iCs/>
          <w:sz w:val="22"/>
          <w:szCs w:val="22"/>
        </w:rPr>
        <w:t>Moon’s moment in the sun.</w:t>
      </w:r>
      <w:r w:rsidRPr="001B5EB4">
        <w:rPr>
          <w:rStyle w:val="Tipodeletrapredefinidodopargrafo"/>
          <w:rFonts w:ascii="Arial" w:hAnsi="Arial" w:cs="Arial"/>
          <w:sz w:val="22"/>
          <w:szCs w:val="22"/>
        </w:rPr>
        <w:t xml:space="preserve"> Available at: </w:t>
      </w:r>
      <w:hyperlink r:id="rId31" w:history="1">
        <w:r w:rsidRPr="001B5EB4">
          <w:rPr>
            <w:rStyle w:val="Hyperlink"/>
            <w:rFonts w:ascii="Arial" w:hAnsi="Arial" w:cs="Arial"/>
            <w:sz w:val="22"/>
            <w:szCs w:val="22"/>
          </w:rPr>
          <w:t>https://www.brookings.edu/articles/moons-moment-in-the-sun/</w:t>
        </w:r>
      </w:hyperlink>
      <w:r w:rsidRPr="001B5EB4">
        <w:rPr>
          <w:rStyle w:val="Tipodeletrapredefinidodopargrafo"/>
          <w:rFonts w:ascii="Arial" w:hAnsi="Arial" w:cs="Arial"/>
          <w:sz w:val="22"/>
          <w:szCs w:val="22"/>
        </w:rPr>
        <w:t xml:space="preserve"> (23 November 2025)</w:t>
      </w:r>
    </w:p>
    <w:p w14:paraId="481059B5" w14:textId="39313226" w:rsidR="00637E64" w:rsidRPr="001B5EB4" w:rsidRDefault="00637E64" w:rsidP="00637E64">
      <w:pPr>
        <w:pStyle w:val="PargrafodaLista"/>
        <w:numPr>
          <w:ilvl w:val="0"/>
          <w:numId w:val="1"/>
        </w:numPr>
        <w:spacing w:line="360" w:lineRule="auto"/>
        <w:jc w:val="both"/>
        <w:rPr>
          <w:rFonts w:ascii="Arial" w:hAnsi="Arial" w:cs="Arial"/>
          <w:sz w:val="22"/>
          <w:szCs w:val="22"/>
        </w:rPr>
      </w:pPr>
      <w:r w:rsidRPr="001B5EB4">
        <w:rPr>
          <w:rStyle w:val="Tipodeletrapredefinidodopargrafo"/>
          <w:rFonts w:ascii="Arial" w:hAnsi="Arial" w:cs="Arial"/>
          <w:sz w:val="22"/>
          <w:szCs w:val="22"/>
        </w:rPr>
        <w:t>Peña-Ramos, J.A. </w:t>
      </w:r>
      <w:r w:rsidRPr="001B5EB4">
        <w:rPr>
          <w:rStyle w:val="Tipodeletrapredefinidodopargrafo"/>
          <w:rFonts w:ascii="Arial" w:hAnsi="Arial" w:cs="Arial"/>
          <w:i/>
          <w:iCs/>
          <w:sz w:val="22"/>
          <w:szCs w:val="22"/>
        </w:rPr>
        <w:t>et al.</w:t>
      </w:r>
      <w:r w:rsidRPr="001B5EB4">
        <w:rPr>
          <w:rStyle w:val="Tipodeletrapredefinidodopargrafo"/>
          <w:rFonts w:ascii="Arial" w:hAnsi="Arial" w:cs="Arial"/>
          <w:sz w:val="22"/>
          <w:szCs w:val="22"/>
        </w:rPr>
        <w:t> (2021) 'Evaluation of Spanish Health System during the COVID-19 Pandemic: Accountability and Wellbeing Results,' </w:t>
      </w:r>
      <w:r w:rsidRPr="001B5EB4">
        <w:rPr>
          <w:rStyle w:val="Tipodeletrapredefinidodopargrafo"/>
          <w:rFonts w:ascii="Arial" w:hAnsi="Arial" w:cs="Arial"/>
          <w:i/>
          <w:iCs/>
          <w:sz w:val="22"/>
          <w:szCs w:val="22"/>
        </w:rPr>
        <w:t>International Journal of Environmental Research and Public Health</w:t>
      </w:r>
      <w:r w:rsidRPr="001B5EB4">
        <w:rPr>
          <w:rStyle w:val="Tipodeletrapredefinidodopargrafo"/>
          <w:rFonts w:ascii="Arial" w:hAnsi="Arial" w:cs="Arial"/>
          <w:sz w:val="22"/>
          <w:szCs w:val="22"/>
        </w:rPr>
        <w:t>, 18(24), p. 12907. </w:t>
      </w:r>
      <w:hyperlink r:id="rId32" w:history="1">
        <w:r w:rsidRPr="001B5EB4">
          <w:rPr>
            <w:rStyle w:val="Hyperlink"/>
            <w:rFonts w:ascii="Arial" w:hAnsi="Arial" w:cs="Arial"/>
            <w:sz w:val="22"/>
            <w:szCs w:val="22"/>
          </w:rPr>
          <w:t>https://doi.org/10.3390/ijerph182412907</w:t>
        </w:r>
      </w:hyperlink>
      <w:r w:rsidRPr="001B5EB4">
        <w:rPr>
          <w:rStyle w:val="Tipodeletrapredefinidodopargrafo"/>
          <w:rFonts w:ascii="Arial" w:hAnsi="Arial" w:cs="Arial"/>
          <w:sz w:val="22"/>
          <w:szCs w:val="22"/>
        </w:rPr>
        <w:t>.</w:t>
      </w:r>
    </w:p>
    <w:p w14:paraId="74B7CBB4" w14:textId="51C832F0" w:rsidR="00726C6C" w:rsidRPr="001B5EB4" w:rsidRDefault="00F31BDD" w:rsidP="00637E64">
      <w:pPr>
        <w:pStyle w:val="PargrafodaLista"/>
        <w:numPr>
          <w:ilvl w:val="0"/>
          <w:numId w:val="1"/>
        </w:numPr>
        <w:spacing w:line="360" w:lineRule="auto"/>
        <w:jc w:val="both"/>
        <w:rPr>
          <w:rFonts w:ascii="Arial" w:hAnsi="Arial" w:cs="Arial"/>
          <w:sz w:val="22"/>
          <w:szCs w:val="22"/>
        </w:rPr>
      </w:pPr>
      <w:r w:rsidRPr="001B5EB4">
        <w:rPr>
          <w:rStyle w:val="Tipodeletrapredefinidodopargrafo"/>
          <w:rFonts w:ascii="Arial" w:hAnsi="Arial" w:cs="Arial"/>
          <w:sz w:val="22"/>
          <w:szCs w:val="22"/>
        </w:rPr>
        <w:t>Reverte-Cejudo, D. and Sanchez-Bayle, M. (1999) 'Devolving health services to Spain’s autonomous regions,' </w:t>
      </w:r>
      <w:r w:rsidRPr="001B5EB4">
        <w:rPr>
          <w:rStyle w:val="Tipodeletrapredefinidodopargrafo"/>
          <w:rFonts w:ascii="Arial" w:hAnsi="Arial" w:cs="Arial"/>
          <w:i/>
          <w:iCs/>
          <w:sz w:val="22"/>
          <w:szCs w:val="22"/>
        </w:rPr>
        <w:t>BMJ</w:t>
      </w:r>
      <w:r w:rsidRPr="001B5EB4">
        <w:rPr>
          <w:rStyle w:val="Tipodeletrapredefinidodopargrafo"/>
          <w:rFonts w:ascii="Arial" w:hAnsi="Arial" w:cs="Arial"/>
          <w:sz w:val="22"/>
          <w:szCs w:val="22"/>
        </w:rPr>
        <w:t>, 318(7192), pp. 1204–1205. </w:t>
      </w:r>
      <w:hyperlink r:id="rId33" w:history="1">
        <w:r w:rsidRPr="001B5EB4">
          <w:rPr>
            <w:rStyle w:val="Hiperligao"/>
            <w:rFonts w:ascii="Arial" w:hAnsi="Arial" w:cs="Arial"/>
            <w:sz w:val="22"/>
            <w:szCs w:val="22"/>
          </w:rPr>
          <w:t>https://doi.org/10.1136/bmj.318.7192.1204</w:t>
        </w:r>
      </w:hyperlink>
      <w:r w:rsidRPr="001B5EB4">
        <w:rPr>
          <w:rStyle w:val="Tipodeletrapredefinidodopargrafo"/>
          <w:rFonts w:ascii="Arial" w:hAnsi="Arial" w:cs="Arial"/>
          <w:sz w:val="22"/>
          <w:szCs w:val="22"/>
        </w:rPr>
        <w:t>.</w:t>
      </w:r>
    </w:p>
    <w:p w14:paraId="4A0EBF56" w14:textId="0856FB54" w:rsidR="00726C6C" w:rsidRPr="001B5EB4" w:rsidRDefault="00F31BDD" w:rsidP="00637E64">
      <w:pPr>
        <w:pStyle w:val="PargrafodaLista"/>
        <w:numPr>
          <w:ilvl w:val="0"/>
          <w:numId w:val="1"/>
        </w:numPr>
        <w:spacing w:line="360" w:lineRule="auto"/>
        <w:jc w:val="both"/>
        <w:rPr>
          <w:rStyle w:val="Tipodeletrapredefinidodopargrafo"/>
          <w:rFonts w:ascii="Arial" w:hAnsi="Arial" w:cs="Arial"/>
          <w:sz w:val="22"/>
          <w:szCs w:val="22"/>
        </w:rPr>
      </w:pPr>
      <w:r w:rsidRPr="001B5EB4">
        <w:rPr>
          <w:rStyle w:val="Tipodeletrapredefinidodopargrafo"/>
          <w:rFonts w:ascii="Arial" w:hAnsi="Arial" w:cs="Arial"/>
          <w:sz w:val="22"/>
          <w:szCs w:val="22"/>
        </w:rPr>
        <w:t>Royo, S. (2020) 'Responding to COVID</w:t>
      </w:r>
      <w:r w:rsidRPr="001B5EB4">
        <w:rPr>
          <w:rStyle w:val="Tipodeletrapredefinidodopargrafo"/>
          <w:rFonts w:ascii="Cambria Math" w:hAnsi="Cambria Math" w:cs="Cambria Math"/>
          <w:sz w:val="22"/>
          <w:szCs w:val="22"/>
        </w:rPr>
        <w:t>‐</w:t>
      </w:r>
      <w:r w:rsidRPr="001B5EB4">
        <w:rPr>
          <w:rStyle w:val="Tipodeletrapredefinidodopargrafo"/>
          <w:rFonts w:ascii="Arial" w:hAnsi="Arial" w:cs="Arial"/>
          <w:sz w:val="22"/>
          <w:szCs w:val="22"/>
        </w:rPr>
        <w:t>19: The case of Spain,' </w:t>
      </w:r>
      <w:r w:rsidRPr="001B5EB4">
        <w:rPr>
          <w:rStyle w:val="Tipodeletrapredefinidodopargrafo"/>
          <w:rFonts w:ascii="Arial" w:hAnsi="Arial" w:cs="Arial"/>
          <w:i/>
          <w:iCs/>
          <w:sz w:val="22"/>
          <w:szCs w:val="22"/>
        </w:rPr>
        <w:t>European Policy Analysis</w:t>
      </w:r>
      <w:r w:rsidRPr="001B5EB4">
        <w:rPr>
          <w:rStyle w:val="Tipodeletrapredefinidodopargrafo"/>
          <w:rFonts w:ascii="Arial" w:hAnsi="Arial" w:cs="Arial"/>
          <w:sz w:val="22"/>
          <w:szCs w:val="22"/>
        </w:rPr>
        <w:t>, 6(2), pp. 180–190. </w:t>
      </w:r>
      <w:hyperlink r:id="rId34" w:history="1">
        <w:r w:rsidRPr="001B5EB4">
          <w:rPr>
            <w:rStyle w:val="Hiperligao"/>
            <w:rFonts w:ascii="Arial" w:hAnsi="Arial" w:cs="Arial"/>
            <w:sz w:val="22"/>
            <w:szCs w:val="22"/>
          </w:rPr>
          <w:t>https://doi.org/10.1002/epa2.1099</w:t>
        </w:r>
      </w:hyperlink>
      <w:r w:rsidRPr="001B5EB4">
        <w:rPr>
          <w:rStyle w:val="Tipodeletrapredefinidodopargrafo"/>
          <w:rFonts w:ascii="Arial" w:hAnsi="Arial" w:cs="Arial"/>
          <w:sz w:val="22"/>
          <w:szCs w:val="22"/>
        </w:rPr>
        <w:t>.</w:t>
      </w:r>
    </w:p>
    <w:p w14:paraId="10142211" w14:textId="7AC1F544" w:rsidR="00BA4AAC" w:rsidRPr="001B5EB4" w:rsidRDefault="00BA4AAC" w:rsidP="00637E64">
      <w:pPr>
        <w:pStyle w:val="PargrafodaLista"/>
        <w:numPr>
          <w:ilvl w:val="0"/>
          <w:numId w:val="1"/>
        </w:numPr>
        <w:spacing w:line="360" w:lineRule="auto"/>
        <w:jc w:val="both"/>
        <w:rPr>
          <w:rStyle w:val="Tipodeletrapredefinidodopargrafo"/>
          <w:rFonts w:ascii="Arial" w:hAnsi="Arial" w:cs="Arial"/>
          <w:sz w:val="22"/>
          <w:szCs w:val="22"/>
        </w:rPr>
      </w:pPr>
      <w:proofErr w:type="spellStart"/>
      <w:r w:rsidRPr="001B5EB4">
        <w:rPr>
          <w:rFonts w:ascii="Arial" w:hAnsi="Arial" w:cs="Arial"/>
          <w:sz w:val="22"/>
          <w:szCs w:val="22"/>
        </w:rPr>
        <w:t>Seijts</w:t>
      </w:r>
      <w:proofErr w:type="spellEnd"/>
      <w:r w:rsidRPr="001B5EB4">
        <w:rPr>
          <w:rFonts w:ascii="Arial" w:hAnsi="Arial" w:cs="Arial"/>
          <w:sz w:val="22"/>
          <w:szCs w:val="22"/>
        </w:rPr>
        <w:t xml:space="preserve">, G., De </w:t>
      </w:r>
      <w:proofErr w:type="spellStart"/>
      <w:r w:rsidRPr="001B5EB4">
        <w:rPr>
          <w:rFonts w:ascii="Arial" w:hAnsi="Arial" w:cs="Arial"/>
          <w:sz w:val="22"/>
          <w:szCs w:val="22"/>
        </w:rPr>
        <w:t>Clercy</w:t>
      </w:r>
      <w:proofErr w:type="spellEnd"/>
      <w:r w:rsidRPr="001B5EB4">
        <w:rPr>
          <w:rFonts w:ascii="Arial" w:hAnsi="Arial" w:cs="Arial"/>
          <w:sz w:val="22"/>
          <w:szCs w:val="22"/>
        </w:rPr>
        <w:t>, C. and Miller, R. (2022) 'Character and Trust in Crisis Leadership: Probing the relationships among character, Identification-Based Trust, and perceptions of Effectiveness in political leadership during the COVID-19 pandemic,' </w:t>
      </w:r>
      <w:r w:rsidRPr="001B5EB4">
        <w:rPr>
          <w:rFonts w:ascii="Arial" w:hAnsi="Arial" w:cs="Arial"/>
          <w:i/>
          <w:iCs/>
          <w:sz w:val="22"/>
          <w:szCs w:val="22"/>
        </w:rPr>
        <w:t xml:space="preserve">The Journal of Applied </w:t>
      </w:r>
      <w:proofErr w:type="spellStart"/>
      <w:r w:rsidRPr="001B5EB4">
        <w:rPr>
          <w:rFonts w:ascii="Arial" w:hAnsi="Arial" w:cs="Arial"/>
          <w:i/>
          <w:iCs/>
          <w:sz w:val="22"/>
          <w:szCs w:val="22"/>
        </w:rPr>
        <w:t>Behavioral</w:t>
      </w:r>
      <w:proofErr w:type="spellEnd"/>
      <w:r w:rsidRPr="001B5EB4">
        <w:rPr>
          <w:rFonts w:ascii="Arial" w:hAnsi="Arial" w:cs="Arial"/>
          <w:i/>
          <w:iCs/>
          <w:sz w:val="22"/>
          <w:szCs w:val="22"/>
        </w:rPr>
        <w:t xml:space="preserve"> Science</w:t>
      </w:r>
      <w:r w:rsidRPr="001B5EB4">
        <w:rPr>
          <w:rFonts w:ascii="Arial" w:hAnsi="Arial" w:cs="Arial"/>
          <w:sz w:val="22"/>
          <w:szCs w:val="22"/>
        </w:rPr>
        <w:t>, 59(1), pp. 127–154. https://doi.org/10.1177/00218863221110627.</w:t>
      </w:r>
    </w:p>
    <w:p w14:paraId="54C91710" w14:textId="0FB05955" w:rsidR="00D54B87" w:rsidRPr="001B5EB4" w:rsidRDefault="00D54B87" w:rsidP="00637E64">
      <w:pPr>
        <w:pStyle w:val="ListParagraph"/>
        <w:numPr>
          <w:ilvl w:val="0"/>
          <w:numId w:val="1"/>
        </w:numPr>
        <w:spacing w:after="0" w:line="360" w:lineRule="auto"/>
        <w:jc w:val="both"/>
        <w:rPr>
          <w:rFonts w:ascii="Arial" w:hAnsi="Arial" w:cs="Arial"/>
          <w:sz w:val="22"/>
          <w:szCs w:val="22"/>
        </w:rPr>
      </w:pPr>
      <w:r w:rsidRPr="001B5EB4">
        <w:rPr>
          <w:rFonts w:ascii="Arial" w:hAnsi="Arial" w:cs="Arial"/>
          <w:sz w:val="22"/>
          <w:szCs w:val="22"/>
        </w:rPr>
        <w:lastRenderedPageBreak/>
        <w:t xml:space="preserve">Snyder, S. (2020) </w:t>
      </w:r>
      <w:r w:rsidRPr="001B5EB4">
        <w:rPr>
          <w:rFonts w:ascii="Arial" w:hAnsi="Arial" w:cs="Arial"/>
          <w:i/>
          <w:iCs/>
          <w:sz w:val="22"/>
          <w:szCs w:val="22"/>
        </w:rPr>
        <w:t>The Pandemic election and Moon’s leadership choices</w:t>
      </w:r>
      <w:r w:rsidRPr="001B5EB4">
        <w:rPr>
          <w:rFonts w:ascii="Arial" w:hAnsi="Arial" w:cs="Arial"/>
          <w:sz w:val="22"/>
          <w:szCs w:val="22"/>
        </w:rPr>
        <w:t xml:space="preserve">. Available at: </w:t>
      </w:r>
      <w:hyperlink r:id="rId35" w:history="1">
        <w:r w:rsidRPr="001B5EB4">
          <w:rPr>
            <w:rStyle w:val="Hyperlink"/>
            <w:rFonts w:ascii="Arial" w:hAnsi="Arial" w:cs="Arial"/>
            <w:sz w:val="22"/>
            <w:szCs w:val="22"/>
          </w:rPr>
          <w:t>The Pandemic Election and Moon's Leadership Choices | Council on Foreign Relations (cfr.org)</w:t>
        </w:r>
      </w:hyperlink>
      <w:r w:rsidRPr="001B5EB4">
        <w:rPr>
          <w:rFonts w:ascii="Arial" w:hAnsi="Arial" w:cs="Arial"/>
          <w:sz w:val="22"/>
          <w:szCs w:val="22"/>
        </w:rPr>
        <w:t xml:space="preserve"> (Accessed: 23 November 2025)</w:t>
      </w:r>
    </w:p>
    <w:p w14:paraId="22562727" w14:textId="25ACCC92" w:rsidR="00074E32" w:rsidRPr="001B5EB4" w:rsidRDefault="00074E32" w:rsidP="00637E64">
      <w:pPr>
        <w:pStyle w:val="ListParagraph"/>
        <w:numPr>
          <w:ilvl w:val="0"/>
          <w:numId w:val="1"/>
        </w:numPr>
        <w:spacing w:after="0" w:line="360" w:lineRule="auto"/>
        <w:jc w:val="both"/>
        <w:rPr>
          <w:rFonts w:ascii="Arial" w:hAnsi="Arial" w:cs="Arial"/>
          <w:sz w:val="22"/>
          <w:szCs w:val="22"/>
        </w:rPr>
      </w:pPr>
      <w:r w:rsidRPr="001B5EB4">
        <w:rPr>
          <w:rFonts w:ascii="Arial" w:hAnsi="Arial" w:cs="Arial"/>
          <w:sz w:val="22"/>
          <w:szCs w:val="22"/>
        </w:rPr>
        <w:t xml:space="preserve">The National Society of Leadership and Success (2022) </w:t>
      </w:r>
      <w:r w:rsidRPr="001B5EB4">
        <w:rPr>
          <w:rFonts w:ascii="Arial" w:hAnsi="Arial" w:cs="Arial"/>
          <w:i/>
          <w:iCs/>
          <w:sz w:val="22"/>
          <w:szCs w:val="22"/>
        </w:rPr>
        <w:t>Key characteristics of democratic leadership</w:t>
      </w:r>
      <w:r w:rsidRPr="001B5EB4">
        <w:rPr>
          <w:rFonts w:ascii="Arial" w:hAnsi="Arial" w:cs="Arial"/>
          <w:sz w:val="22"/>
          <w:szCs w:val="22"/>
        </w:rPr>
        <w:t xml:space="preserve">. Available at: </w:t>
      </w:r>
      <w:hyperlink r:id="rId36" w:history="1">
        <w:r w:rsidRPr="001B5EB4">
          <w:rPr>
            <w:rStyle w:val="Hyperlink"/>
            <w:rFonts w:ascii="Arial" w:hAnsi="Arial" w:cs="Arial"/>
            <w:sz w:val="22"/>
            <w:szCs w:val="22"/>
          </w:rPr>
          <w:t>Key Characteristics of Democratic Leadership (nsls.org)</w:t>
        </w:r>
      </w:hyperlink>
      <w:r w:rsidRPr="001B5EB4">
        <w:rPr>
          <w:rFonts w:ascii="Arial" w:hAnsi="Arial" w:cs="Arial"/>
          <w:sz w:val="22"/>
          <w:szCs w:val="22"/>
        </w:rPr>
        <w:t xml:space="preserve"> (Accessed: 26 November 2025)</w:t>
      </w:r>
    </w:p>
    <w:p w14:paraId="32CF2554" w14:textId="6C35EEE2" w:rsidR="00726C6C" w:rsidRPr="001B5EB4" w:rsidRDefault="00F31BDD" w:rsidP="00637E64">
      <w:pPr>
        <w:pStyle w:val="PargrafodaLista"/>
        <w:numPr>
          <w:ilvl w:val="0"/>
          <w:numId w:val="1"/>
        </w:numPr>
        <w:spacing w:line="360" w:lineRule="auto"/>
        <w:jc w:val="both"/>
        <w:rPr>
          <w:rStyle w:val="Tipodeletrapredefinidodopargrafo"/>
          <w:rFonts w:ascii="Arial" w:hAnsi="Arial" w:cs="Arial"/>
          <w:sz w:val="22"/>
          <w:szCs w:val="22"/>
        </w:rPr>
      </w:pPr>
      <w:r w:rsidRPr="001B5EB4">
        <w:rPr>
          <w:rStyle w:val="Tipodeletrapredefinidodopargrafo"/>
          <w:rFonts w:ascii="Arial" w:hAnsi="Arial" w:cs="Arial"/>
          <w:sz w:val="22"/>
          <w:szCs w:val="22"/>
        </w:rPr>
        <w:t>Teruel, J.R., Del Pino, E. and Real-Dato, J. (2022) 'The Limits of Power Concentration and Expert Knowledge in Emergency Management: Spain’s Government Response during the First Phase of the Covid-19 Pandemic,' </w:t>
      </w:r>
      <w:r w:rsidRPr="001B5EB4">
        <w:rPr>
          <w:rStyle w:val="Tipodeletrapredefinidodopargrafo"/>
          <w:rFonts w:ascii="Arial" w:hAnsi="Arial" w:cs="Arial"/>
          <w:i/>
          <w:iCs/>
          <w:sz w:val="22"/>
          <w:szCs w:val="22"/>
        </w:rPr>
        <w:t>South European Society &amp; Politics</w:t>
      </w:r>
      <w:r w:rsidRPr="001B5EB4">
        <w:rPr>
          <w:rStyle w:val="Tipodeletrapredefinidodopargrafo"/>
          <w:rFonts w:ascii="Arial" w:hAnsi="Arial" w:cs="Arial"/>
          <w:sz w:val="22"/>
          <w:szCs w:val="22"/>
        </w:rPr>
        <w:t>, 27(4), pp. 487–519. </w:t>
      </w:r>
      <w:hyperlink r:id="rId37" w:history="1">
        <w:r w:rsidR="00637E64" w:rsidRPr="001B5EB4">
          <w:rPr>
            <w:rStyle w:val="Hyperlink"/>
            <w:rFonts w:ascii="Arial" w:hAnsi="Arial" w:cs="Arial"/>
            <w:sz w:val="22"/>
            <w:szCs w:val="22"/>
          </w:rPr>
          <w:t>https://doi.org/10.1080/13608746.2022.2091861</w:t>
        </w:r>
      </w:hyperlink>
      <w:r w:rsidRPr="001B5EB4">
        <w:rPr>
          <w:rStyle w:val="Tipodeletrapredefinidodopargrafo"/>
          <w:rFonts w:ascii="Arial" w:hAnsi="Arial" w:cs="Arial"/>
          <w:sz w:val="22"/>
          <w:szCs w:val="22"/>
        </w:rPr>
        <w:t>.</w:t>
      </w:r>
    </w:p>
    <w:p w14:paraId="2D32FCDF" w14:textId="77777777" w:rsidR="00D54B87" w:rsidRPr="001B5EB4" w:rsidRDefault="00D54B87" w:rsidP="00637E64">
      <w:pPr>
        <w:pStyle w:val="ListParagraph"/>
        <w:numPr>
          <w:ilvl w:val="0"/>
          <w:numId w:val="1"/>
        </w:numPr>
        <w:spacing w:after="0" w:line="360" w:lineRule="auto"/>
        <w:jc w:val="both"/>
        <w:rPr>
          <w:rFonts w:ascii="Arial" w:hAnsi="Arial" w:cs="Arial"/>
          <w:sz w:val="22"/>
          <w:szCs w:val="22"/>
        </w:rPr>
      </w:pPr>
      <w:r w:rsidRPr="001B5EB4">
        <w:rPr>
          <w:rFonts w:ascii="Arial" w:hAnsi="Arial" w:cs="Arial"/>
          <w:sz w:val="22"/>
          <w:szCs w:val="22"/>
        </w:rPr>
        <w:t xml:space="preserve">Yilmaz, E. (2021) </w:t>
      </w:r>
      <w:r w:rsidRPr="001B5EB4">
        <w:rPr>
          <w:rFonts w:ascii="Arial" w:hAnsi="Arial" w:cs="Arial"/>
          <w:i/>
          <w:iCs/>
          <w:sz w:val="22"/>
          <w:szCs w:val="22"/>
        </w:rPr>
        <w:t>Covid-19 pandemic management in South Korea: Culture, Politics, and Governance.</w:t>
      </w:r>
      <w:r w:rsidRPr="001B5EB4">
        <w:rPr>
          <w:rFonts w:ascii="Arial" w:hAnsi="Arial" w:cs="Arial"/>
          <w:sz w:val="22"/>
          <w:szCs w:val="22"/>
        </w:rPr>
        <w:t xml:space="preserve"> Available: </w:t>
      </w:r>
      <w:hyperlink r:id="rId38" w:history="1">
        <w:r w:rsidRPr="001B5EB4">
          <w:rPr>
            <w:rStyle w:val="Hyperlink"/>
            <w:rFonts w:ascii="Arial" w:hAnsi="Arial" w:cs="Arial"/>
            <w:sz w:val="22"/>
            <w:szCs w:val="22"/>
          </w:rPr>
          <w:t>COVID-19 Pandemic Management in South Korea: Culture, Politics, and Governance - Center for Asian Studies (ku.edu.tr)</w:t>
        </w:r>
      </w:hyperlink>
      <w:r w:rsidRPr="001B5EB4">
        <w:rPr>
          <w:rFonts w:ascii="Arial" w:hAnsi="Arial" w:cs="Arial"/>
          <w:sz w:val="22"/>
          <w:szCs w:val="22"/>
        </w:rPr>
        <w:t xml:space="preserve"> (Accessed: 23 November 2025) </w:t>
      </w:r>
    </w:p>
    <w:p w14:paraId="40024500" w14:textId="2CB8D2A5" w:rsidR="00953DF1" w:rsidRPr="001B5EB4" w:rsidRDefault="00953DF1" w:rsidP="00637E64">
      <w:pPr>
        <w:pStyle w:val="ListParagraph"/>
        <w:numPr>
          <w:ilvl w:val="0"/>
          <w:numId w:val="1"/>
        </w:numPr>
        <w:spacing w:after="0" w:line="360" w:lineRule="auto"/>
        <w:jc w:val="both"/>
        <w:rPr>
          <w:rFonts w:ascii="Arial" w:hAnsi="Arial" w:cs="Arial"/>
          <w:sz w:val="22"/>
          <w:szCs w:val="22"/>
        </w:rPr>
      </w:pPr>
      <w:r w:rsidRPr="001B5EB4">
        <w:rPr>
          <w:rFonts w:ascii="Arial" w:hAnsi="Arial" w:cs="Arial"/>
          <w:sz w:val="22"/>
          <w:szCs w:val="22"/>
        </w:rPr>
        <w:t>Zheng, C. </w:t>
      </w:r>
      <w:r w:rsidRPr="001B5EB4">
        <w:rPr>
          <w:rFonts w:ascii="Arial" w:hAnsi="Arial" w:cs="Arial"/>
          <w:i/>
          <w:iCs/>
          <w:sz w:val="22"/>
          <w:szCs w:val="22"/>
        </w:rPr>
        <w:t>et al.</w:t>
      </w:r>
      <w:r w:rsidRPr="001B5EB4">
        <w:rPr>
          <w:rFonts w:ascii="Arial" w:hAnsi="Arial" w:cs="Arial"/>
          <w:sz w:val="22"/>
          <w:szCs w:val="22"/>
        </w:rPr>
        <w:t> (2021) 'Public opinions and concerns regarding the Canadian Prime Minister’s daily COVID-19 briefing: Longitudinal study of YouTube comments using Machine Learning techniques,' </w:t>
      </w:r>
      <w:r w:rsidRPr="001B5EB4">
        <w:rPr>
          <w:rFonts w:ascii="Arial" w:hAnsi="Arial" w:cs="Arial"/>
          <w:i/>
          <w:iCs/>
          <w:sz w:val="22"/>
          <w:szCs w:val="22"/>
        </w:rPr>
        <w:t>Journal of Medical Internet Research</w:t>
      </w:r>
      <w:r w:rsidRPr="001B5EB4">
        <w:rPr>
          <w:rFonts w:ascii="Arial" w:hAnsi="Arial" w:cs="Arial"/>
          <w:sz w:val="22"/>
          <w:szCs w:val="22"/>
        </w:rPr>
        <w:t>, 23(2), p. e23957. https://doi.org/10.2196/23957.</w:t>
      </w:r>
    </w:p>
    <w:p w14:paraId="256D0DFA" w14:textId="77777777" w:rsidR="0083177B" w:rsidRPr="001B5EB4" w:rsidRDefault="0083177B" w:rsidP="00AB73B1">
      <w:pPr>
        <w:pStyle w:val="PargrafodaLista"/>
        <w:spacing w:line="360" w:lineRule="auto"/>
        <w:jc w:val="both"/>
        <w:rPr>
          <w:rFonts w:ascii="Arial" w:hAnsi="Arial" w:cs="Arial"/>
          <w:sz w:val="22"/>
          <w:szCs w:val="22"/>
        </w:rPr>
      </w:pPr>
    </w:p>
    <w:p w14:paraId="251032B6" w14:textId="77777777" w:rsidR="00726C6C" w:rsidRDefault="00726C6C"/>
    <w:sectPr w:rsidR="00726C6C">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5547F3" w14:textId="77777777" w:rsidR="00CC583B" w:rsidRDefault="00CC583B">
      <w:pPr>
        <w:spacing w:after="0" w:line="240" w:lineRule="auto"/>
      </w:pPr>
      <w:r>
        <w:separator/>
      </w:r>
    </w:p>
  </w:endnote>
  <w:endnote w:type="continuationSeparator" w:id="0">
    <w:p w14:paraId="3007CAC2" w14:textId="77777777" w:rsidR="00CC583B" w:rsidRDefault="00CC583B">
      <w:pPr>
        <w:spacing w:after="0" w:line="240" w:lineRule="auto"/>
      </w:pPr>
      <w:r>
        <w:continuationSeparator/>
      </w:r>
    </w:p>
  </w:endnote>
  <w:endnote w:type="continuationNotice" w:id="1">
    <w:p w14:paraId="5BF209BF" w14:textId="77777777" w:rsidR="00CC583B" w:rsidRDefault="00CC583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C91452" w14:textId="77777777" w:rsidR="00CC583B" w:rsidRDefault="00CC583B">
      <w:pPr>
        <w:spacing w:after="0" w:line="240" w:lineRule="auto"/>
      </w:pPr>
      <w:r>
        <w:rPr>
          <w:color w:val="000000"/>
        </w:rPr>
        <w:separator/>
      </w:r>
    </w:p>
  </w:footnote>
  <w:footnote w:type="continuationSeparator" w:id="0">
    <w:p w14:paraId="7D913189" w14:textId="77777777" w:rsidR="00CC583B" w:rsidRDefault="00CC583B">
      <w:pPr>
        <w:spacing w:after="0" w:line="240" w:lineRule="auto"/>
      </w:pPr>
      <w:r>
        <w:continuationSeparator/>
      </w:r>
    </w:p>
  </w:footnote>
  <w:footnote w:type="continuationNotice" w:id="1">
    <w:p w14:paraId="44AE27A0" w14:textId="77777777" w:rsidR="00CC583B" w:rsidRDefault="00CC583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7444CF"/>
    <w:multiLevelType w:val="multilevel"/>
    <w:tmpl w:val="E09E960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2265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C6C"/>
    <w:rsid w:val="0001101C"/>
    <w:rsid w:val="00021A36"/>
    <w:rsid w:val="00074E32"/>
    <w:rsid w:val="000806E7"/>
    <w:rsid w:val="000A08AC"/>
    <w:rsid w:val="000E1BF3"/>
    <w:rsid w:val="000E3CD5"/>
    <w:rsid w:val="0014417C"/>
    <w:rsid w:val="001B5EB4"/>
    <w:rsid w:val="001B6C17"/>
    <w:rsid w:val="001E2968"/>
    <w:rsid w:val="00217BA6"/>
    <w:rsid w:val="002436ED"/>
    <w:rsid w:val="00265EAB"/>
    <w:rsid w:val="0028711B"/>
    <w:rsid w:val="00305A64"/>
    <w:rsid w:val="00337907"/>
    <w:rsid w:val="0037682A"/>
    <w:rsid w:val="003D37EE"/>
    <w:rsid w:val="004071E0"/>
    <w:rsid w:val="004114B7"/>
    <w:rsid w:val="00424D93"/>
    <w:rsid w:val="00435943"/>
    <w:rsid w:val="00460ED9"/>
    <w:rsid w:val="00485457"/>
    <w:rsid w:val="00524CFB"/>
    <w:rsid w:val="00533DC8"/>
    <w:rsid w:val="005B5534"/>
    <w:rsid w:val="005B61BC"/>
    <w:rsid w:val="005C6B22"/>
    <w:rsid w:val="005D074E"/>
    <w:rsid w:val="005D34D7"/>
    <w:rsid w:val="00611D1C"/>
    <w:rsid w:val="00615DF2"/>
    <w:rsid w:val="00637E64"/>
    <w:rsid w:val="006574B0"/>
    <w:rsid w:val="006B75FD"/>
    <w:rsid w:val="006C7D96"/>
    <w:rsid w:val="006E55F0"/>
    <w:rsid w:val="0070154A"/>
    <w:rsid w:val="00726C6C"/>
    <w:rsid w:val="00750724"/>
    <w:rsid w:val="00785F9B"/>
    <w:rsid w:val="007C6818"/>
    <w:rsid w:val="0083177B"/>
    <w:rsid w:val="008E2A87"/>
    <w:rsid w:val="00953DF1"/>
    <w:rsid w:val="00965575"/>
    <w:rsid w:val="009C7B0F"/>
    <w:rsid w:val="009D28F2"/>
    <w:rsid w:val="00A5301B"/>
    <w:rsid w:val="00A7076B"/>
    <w:rsid w:val="00A82823"/>
    <w:rsid w:val="00A960AE"/>
    <w:rsid w:val="00AB73B1"/>
    <w:rsid w:val="00B30E8E"/>
    <w:rsid w:val="00B42865"/>
    <w:rsid w:val="00B85C16"/>
    <w:rsid w:val="00BA4AAC"/>
    <w:rsid w:val="00C03102"/>
    <w:rsid w:val="00C4571C"/>
    <w:rsid w:val="00C97AD8"/>
    <w:rsid w:val="00CC583B"/>
    <w:rsid w:val="00CE0D07"/>
    <w:rsid w:val="00CE4687"/>
    <w:rsid w:val="00D106FD"/>
    <w:rsid w:val="00D21D82"/>
    <w:rsid w:val="00D54B87"/>
    <w:rsid w:val="00D940D6"/>
    <w:rsid w:val="00E013AF"/>
    <w:rsid w:val="00E2029D"/>
    <w:rsid w:val="00E96197"/>
    <w:rsid w:val="00F31BDD"/>
    <w:rsid w:val="00F724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8D11F"/>
  <w15:docId w15:val="{3F870250-262C-4F2B-9519-4D40A1ED5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tulo1">
    <w:name w:val="Título 1"/>
    <w:basedOn w:val="Normal"/>
    <w:next w:val="Normal"/>
    <w:pPr>
      <w:keepNext/>
      <w:keepLines/>
      <w:spacing w:before="360" w:after="80"/>
      <w:outlineLvl w:val="0"/>
    </w:pPr>
    <w:rPr>
      <w:rFonts w:ascii="Aptos Display" w:eastAsia="Times New Roman" w:hAnsi="Aptos Display"/>
      <w:color w:val="0F4761"/>
      <w:sz w:val="40"/>
      <w:szCs w:val="40"/>
    </w:rPr>
  </w:style>
  <w:style w:type="paragraph" w:customStyle="1" w:styleId="Ttulo2">
    <w:name w:val="Título 2"/>
    <w:basedOn w:val="Normal"/>
    <w:next w:val="Normal"/>
    <w:pPr>
      <w:keepNext/>
      <w:keepLines/>
      <w:spacing w:before="160" w:after="80"/>
      <w:outlineLvl w:val="1"/>
    </w:pPr>
    <w:rPr>
      <w:rFonts w:ascii="Aptos Display" w:eastAsia="Times New Roman" w:hAnsi="Aptos Display"/>
      <w:color w:val="0F4761"/>
      <w:sz w:val="32"/>
      <w:szCs w:val="32"/>
    </w:rPr>
  </w:style>
  <w:style w:type="paragraph" w:customStyle="1" w:styleId="Ttulo3">
    <w:name w:val="Título 3"/>
    <w:basedOn w:val="Normal"/>
    <w:next w:val="Normal"/>
    <w:pPr>
      <w:keepNext/>
      <w:keepLines/>
      <w:spacing w:before="160" w:after="80"/>
      <w:outlineLvl w:val="2"/>
    </w:pPr>
    <w:rPr>
      <w:rFonts w:eastAsia="Times New Roman"/>
      <w:color w:val="0F4761"/>
      <w:sz w:val="28"/>
      <w:szCs w:val="28"/>
    </w:rPr>
  </w:style>
  <w:style w:type="paragraph" w:customStyle="1" w:styleId="Ttulo4">
    <w:name w:val="Título 4"/>
    <w:basedOn w:val="Normal"/>
    <w:next w:val="Normal"/>
    <w:pPr>
      <w:keepNext/>
      <w:keepLines/>
      <w:spacing w:before="80" w:after="40"/>
      <w:outlineLvl w:val="3"/>
    </w:pPr>
    <w:rPr>
      <w:rFonts w:eastAsia="Times New Roman"/>
      <w:i/>
      <w:iCs/>
      <w:color w:val="0F4761"/>
    </w:rPr>
  </w:style>
  <w:style w:type="paragraph" w:customStyle="1" w:styleId="Ttulo5">
    <w:name w:val="Título 5"/>
    <w:basedOn w:val="Normal"/>
    <w:next w:val="Normal"/>
    <w:pPr>
      <w:keepNext/>
      <w:keepLines/>
      <w:spacing w:before="80" w:after="40"/>
      <w:outlineLvl w:val="4"/>
    </w:pPr>
    <w:rPr>
      <w:rFonts w:eastAsia="Times New Roman"/>
      <w:color w:val="0F4761"/>
    </w:rPr>
  </w:style>
  <w:style w:type="paragraph" w:customStyle="1" w:styleId="Ttulo6">
    <w:name w:val="Título 6"/>
    <w:basedOn w:val="Normal"/>
    <w:next w:val="Normal"/>
    <w:pPr>
      <w:keepNext/>
      <w:keepLines/>
      <w:spacing w:before="40" w:after="0"/>
      <w:outlineLvl w:val="5"/>
    </w:pPr>
    <w:rPr>
      <w:rFonts w:eastAsia="Times New Roman"/>
      <w:i/>
      <w:iCs/>
      <w:color w:val="595959"/>
    </w:rPr>
  </w:style>
  <w:style w:type="paragraph" w:customStyle="1" w:styleId="Ttulo7">
    <w:name w:val="Título 7"/>
    <w:basedOn w:val="Normal"/>
    <w:next w:val="Normal"/>
    <w:pPr>
      <w:keepNext/>
      <w:keepLines/>
      <w:spacing w:before="40" w:after="0"/>
      <w:outlineLvl w:val="6"/>
    </w:pPr>
    <w:rPr>
      <w:rFonts w:eastAsia="Times New Roman"/>
      <w:color w:val="595959"/>
    </w:rPr>
  </w:style>
  <w:style w:type="paragraph" w:customStyle="1" w:styleId="Ttulo8">
    <w:name w:val="Título 8"/>
    <w:basedOn w:val="Normal"/>
    <w:next w:val="Normal"/>
    <w:pPr>
      <w:keepNext/>
      <w:keepLines/>
      <w:spacing w:after="0"/>
      <w:outlineLvl w:val="7"/>
    </w:pPr>
    <w:rPr>
      <w:rFonts w:eastAsia="Times New Roman"/>
      <w:i/>
      <w:iCs/>
      <w:color w:val="272727"/>
    </w:rPr>
  </w:style>
  <w:style w:type="paragraph" w:customStyle="1" w:styleId="Ttulo9">
    <w:name w:val="Título 9"/>
    <w:basedOn w:val="Normal"/>
    <w:next w:val="Normal"/>
    <w:pPr>
      <w:keepNext/>
      <w:keepLines/>
      <w:spacing w:after="0"/>
      <w:outlineLvl w:val="8"/>
    </w:pPr>
    <w:rPr>
      <w:rFonts w:eastAsia="Times New Roman"/>
      <w:color w:val="272727"/>
    </w:rPr>
  </w:style>
  <w:style w:type="character" w:customStyle="1" w:styleId="Tipodeletrapredefinidodopargrafo">
    <w:name w:val="Tipo de letra predefinido do parágrafo"/>
  </w:style>
  <w:style w:type="character" w:customStyle="1" w:styleId="Heading1Char">
    <w:name w:val="Heading 1 Char"/>
    <w:basedOn w:val="Tipodeletrapredefinidodopargrafo"/>
    <w:rPr>
      <w:rFonts w:ascii="Aptos Display" w:eastAsia="Times New Roman" w:hAnsi="Aptos Display" w:cs="Times New Roman"/>
      <w:color w:val="0F4761"/>
      <w:sz w:val="40"/>
      <w:szCs w:val="40"/>
    </w:rPr>
  </w:style>
  <w:style w:type="character" w:customStyle="1" w:styleId="Heading2Char">
    <w:name w:val="Heading 2 Char"/>
    <w:basedOn w:val="Tipodeletrapredefinidodopargrafo"/>
    <w:rPr>
      <w:rFonts w:ascii="Aptos Display" w:eastAsia="Times New Roman" w:hAnsi="Aptos Display" w:cs="Times New Roman"/>
      <w:color w:val="0F4761"/>
      <w:sz w:val="32"/>
      <w:szCs w:val="32"/>
    </w:rPr>
  </w:style>
  <w:style w:type="character" w:customStyle="1" w:styleId="Heading3Char">
    <w:name w:val="Heading 3 Char"/>
    <w:basedOn w:val="Tipodeletrapredefinidodopargrafo"/>
    <w:rPr>
      <w:rFonts w:eastAsia="Times New Roman" w:cs="Times New Roman"/>
      <w:color w:val="0F4761"/>
      <w:sz w:val="28"/>
      <w:szCs w:val="28"/>
    </w:rPr>
  </w:style>
  <w:style w:type="character" w:customStyle="1" w:styleId="Heading4Char">
    <w:name w:val="Heading 4 Char"/>
    <w:basedOn w:val="Tipodeletrapredefinidodopargrafo"/>
    <w:rPr>
      <w:rFonts w:eastAsia="Times New Roman" w:cs="Times New Roman"/>
      <w:i/>
      <w:iCs/>
      <w:color w:val="0F4761"/>
    </w:rPr>
  </w:style>
  <w:style w:type="character" w:customStyle="1" w:styleId="Heading5Char">
    <w:name w:val="Heading 5 Char"/>
    <w:basedOn w:val="Tipodeletrapredefinidodopargrafo"/>
    <w:rPr>
      <w:rFonts w:eastAsia="Times New Roman" w:cs="Times New Roman"/>
      <w:color w:val="0F4761"/>
    </w:rPr>
  </w:style>
  <w:style w:type="character" w:customStyle="1" w:styleId="Heading6Char">
    <w:name w:val="Heading 6 Char"/>
    <w:basedOn w:val="Tipodeletrapredefinidodopargrafo"/>
    <w:rPr>
      <w:rFonts w:eastAsia="Times New Roman" w:cs="Times New Roman"/>
      <w:i/>
      <w:iCs/>
      <w:color w:val="595959"/>
    </w:rPr>
  </w:style>
  <w:style w:type="character" w:customStyle="1" w:styleId="Heading7Char">
    <w:name w:val="Heading 7 Char"/>
    <w:basedOn w:val="Tipodeletrapredefinidodopargrafo"/>
    <w:rPr>
      <w:rFonts w:eastAsia="Times New Roman" w:cs="Times New Roman"/>
      <w:color w:val="595959"/>
    </w:rPr>
  </w:style>
  <w:style w:type="character" w:customStyle="1" w:styleId="Heading8Char">
    <w:name w:val="Heading 8 Char"/>
    <w:basedOn w:val="Tipodeletrapredefinidodopargrafo"/>
    <w:rPr>
      <w:rFonts w:eastAsia="Times New Roman" w:cs="Times New Roman"/>
      <w:i/>
      <w:iCs/>
      <w:color w:val="272727"/>
    </w:rPr>
  </w:style>
  <w:style w:type="character" w:customStyle="1" w:styleId="Heading9Char">
    <w:name w:val="Heading 9 Char"/>
    <w:basedOn w:val="Tipodeletrapredefinidodopargrafo"/>
    <w:rPr>
      <w:rFonts w:eastAsia="Times New Roman" w:cs="Times New Roman"/>
      <w:color w:val="272727"/>
    </w:rPr>
  </w:style>
  <w:style w:type="paragraph" w:customStyle="1" w:styleId="Ttulo">
    <w:name w:val="Título"/>
    <w:basedOn w:val="Normal"/>
    <w:next w:val="Normal"/>
    <w:pPr>
      <w:spacing w:after="80" w:line="240" w:lineRule="auto"/>
    </w:pPr>
    <w:rPr>
      <w:rFonts w:ascii="Aptos Display" w:eastAsia="Times New Roman" w:hAnsi="Aptos Display"/>
      <w:spacing w:val="-10"/>
      <w:sz w:val="56"/>
      <w:szCs w:val="56"/>
    </w:rPr>
  </w:style>
  <w:style w:type="character" w:customStyle="1" w:styleId="TitleChar">
    <w:name w:val="Title Char"/>
    <w:basedOn w:val="Tipodeletrapredefinidodopargrafo"/>
    <w:rPr>
      <w:rFonts w:ascii="Aptos Display" w:eastAsia="Times New Roman" w:hAnsi="Aptos Display" w:cs="Times New Roman"/>
      <w:spacing w:val="-10"/>
      <w:kern w:val="3"/>
      <w:sz w:val="56"/>
      <w:szCs w:val="56"/>
    </w:rPr>
  </w:style>
  <w:style w:type="paragraph" w:customStyle="1" w:styleId="Subttulo">
    <w:name w:val="Subtítulo"/>
    <w:basedOn w:val="Normal"/>
    <w:next w:val="Normal"/>
    <w:rPr>
      <w:rFonts w:eastAsia="Times New Roman"/>
      <w:color w:val="595959"/>
      <w:spacing w:val="15"/>
      <w:sz w:val="28"/>
      <w:szCs w:val="28"/>
    </w:rPr>
  </w:style>
  <w:style w:type="character" w:customStyle="1" w:styleId="SubtitleChar">
    <w:name w:val="Subtitle Char"/>
    <w:basedOn w:val="Tipodeletrapredefinidodopargrafo"/>
    <w:rPr>
      <w:rFonts w:eastAsia="Times New Roman" w:cs="Times New Roman"/>
      <w:color w:val="595959"/>
      <w:spacing w:val="15"/>
      <w:sz w:val="28"/>
      <w:szCs w:val="28"/>
    </w:rPr>
  </w:style>
  <w:style w:type="paragraph" w:customStyle="1" w:styleId="Citao">
    <w:name w:val="Citação"/>
    <w:basedOn w:val="Normal"/>
    <w:next w:val="Normal"/>
    <w:pPr>
      <w:spacing w:before="160"/>
      <w:jc w:val="center"/>
    </w:pPr>
    <w:rPr>
      <w:i/>
      <w:iCs/>
      <w:color w:val="404040"/>
    </w:rPr>
  </w:style>
  <w:style w:type="character" w:customStyle="1" w:styleId="QuoteChar">
    <w:name w:val="Quote Char"/>
    <w:basedOn w:val="Tipodeletrapredefinidodopargrafo"/>
    <w:rPr>
      <w:i/>
      <w:iCs/>
      <w:color w:val="404040"/>
    </w:rPr>
  </w:style>
  <w:style w:type="paragraph" w:customStyle="1" w:styleId="PargrafodaLista">
    <w:name w:val="Parágrafo da Lista"/>
    <w:basedOn w:val="Normal"/>
    <w:pPr>
      <w:ind w:left="720"/>
    </w:pPr>
  </w:style>
  <w:style w:type="character" w:customStyle="1" w:styleId="nfaseIntensa">
    <w:name w:val="Ênfase Intensa"/>
    <w:basedOn w:val="Tipodeletrapredefinidodopargrafo"/>
    <w:rPr>
      <w:i/>
      <w:iCs/>
      <w:color w:val="0F4761"/>
    </w:rPr>
  </w:style>
  <w:style w:type="paragraph" w:customStyle="1" w:styleId="CitaoIntensa">
    <w:name w:val="Citação Intensa"/>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Tipodeletrapredefinidodopargrafo"/>
    <w:rPr>
      <w:i/>
      <w:iCs/>
      <w:color w:val="0F4761"/>
    </w:rPr>
  </w:style>
  <w:style w:type="character" w:customStyle="1" w:styleId="RefernciaIntensa">
    <w:name w:val="Referência Intensa"/>
    <w:basedOn w:val="Tipodeletrapredefinidodopargrafo"/>
    <w:rPr>
      <w:b/>
      <w:bCs/>
      <w:smallCaps/>
      <w:color w:val="0F4761"/>
      <w:spacing w:val="5"/>
    </w:rPr>
  </w:style>
  <w:style w:type="character" w:customStyle="1" w:styleId="Hiperligao">
    <w:name w:val="Hiperligação"/>
    <w:basedOn w:val="Tipodeletrapredefinidodopargrafo"/>
    <w:rPr>
      <w:color w:val="467886"/>
      <w:u w:val="single"/>
    </w:rPr>
  </w:style>
  <w:style w:type="character" w:customStyle="1" w:styleId="MenoNoResolvida">
    <w:name w:val="Menção Não Resolvida"/>
    <w:basedOn w:val="Tipodeletrapredefinidodopargrafo"/>
    <w:rPr>
      <w:color w:val="605E5C"/>
      <w:shd w:val="clear" w:color="auto" w:fill="E1DFDD"/>
    </w:rPr>
  </w:style>
  <w:style w:type="character" w:customStyle="1" w:styleId="Hiperligaovisitada">
    <w:name w:val="Hiperligação visitada"/>
    <w:basedOn w:val="Tipodeletrapredefinidodopargrafo"/>
    <w:rPr>
      <w:color w:val="96607D"/>
      <w:u w:val="single"/>
    </w:rPr>
  </w:style>
  <w:style w:type="character" w:customStyle="1" w:styleId="url">
    <w:name w:val="url"/>
    <w:basedOn w:val="DefaultParagraphFont"/>
    <w:rsid w:val="00485457"/>
  </w:style>
  <w:style w:type="paragraph" w:styleId="NormalWeb">
    <w:name w:val="Normal (Web)"/>
    <w:basedOn w:val="Normal"/>
    <w:uiPriority w:val="99"/>
    <w:unhideWhenUsed/>
    <w:rsid w:val="00CE0D07"/>
    <w:pPr>
      <w:suppressAutoHyphens w:val="0"/>
      <w:autoSpaceDN/>
      <w:spacing w:before="100" w:beforeAutospacing="1" w:after="100" w:afterAutospacing="1" w:line="240" w:lineRule="auto"/>
      <w:textAlignment w:val="auto"/>
    </w:pPr>
    <w:rPr>
      <w:rFonts w:ascii="Times New Roman" w:eastAsia="Times New Roman" w:hAnsi="Times New Roman"/>
      <w:kern w:val="0"/>
      <w:lang w:eastAsia="zh-CN"/>
    </w:rPr>
  </w:style>
  <w:style w:type="character" w:styleId="Hyperlink">
    <w:name w:val="Hyperlink"/>
    <w:basedOn w:val="DefaultParagraphFont"/>
    <w:uiPriority w:val="99"/>
    <w:unhideWhenUsed/>
    <w:rsid w:val="00217BA6"/>
    <w:rPr>
      <w:color w:val="0000FF"/>
      <w:u w:val="single"/>
    </w:rPr>
  </w:style>
  <w:style w:type="character" w:styleId="UnresolvedMention">
    <w:name w:val="Unresolved Mention"/>
    <w:basedOn w:val="DefaultParagraphFont"/>
    <w:uiPriority w:val="99"/>
    <w:semiHidden/>
    <w:unhideWhenUsed/>
    <w:rsid w:val="00785F9B"/>
    <w:rPr>
      <w:color w:val="605E5C"/>
      <w:shd w:val="clear" w:color="auto" w:fill="E1DFDD"/>
    </w:rPr>
  </w:style>
  <w:style w:type="paragraph" w:styleId="ListParagraph">
    <w:name w:val="List Paragraph"/>
    <w:basedOn w:val="Normal"/>
    <w:uiPriority w:val="34"/>
    <w:qFormat/>
    <w:rsid w:val="00D54B87"/>
    <w:pPr>
      <w:ind w:left="720"/>
      <w:contextualSpacing/>
    </w:pPr>
  </w:style>
  <w:style w:type="paragraph" w:styleId="Header">
    <w:name w:val="header"/>
    <w:basedOn w:val="Normal"/>
    <w:link w:val="HeaderChar"/>
    <w:uiPriority w:val="99"/>
    <w:semiHidden/>
    <w:unhideWhenUsed/>
    <w:rsid w:val="00C0310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03102"/>
  </w:style>
  <w:style w:type="paragraph" w:styleId="Footer">
    <w:name w:val="footer"/>
    <w:basedOn w:val="Normal"/>
    <w:link w:val="FooterChar"/>
    <w:uiPriority w:val="99"/>
    <w:semiHidden/>
    <w:unhideWhenUsed/>
    <w:rsid w:val="00C0310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031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8471">
      <w:bodyDiv w:val="1"/>
      <w:marLeft w:val="0"/>
      <w:marRight w:val="0"/>
      <w:marTop w:val="0"/>
      <w:marBottom w:val="0"/>
      <w:divBdr>
        <w:top w:val="none" w:sz="0" w:space="0" w:color="auto"/>
        <w:left w:val="none" w:sz="0" w:space="0" w:color="auto"/>
        <w:bottom w:val="none" w:sz="0" w:space="0" w:color="auto"/>
        <w:right w:val="none" w:sz="0" w:space="0" w:color="auto"/>
      </w:divBdr>
    </w:div>
    <w:div w:id="7604426">
      <w:bodyDiv w:val="1"/>
      <w:marLeft w:val="0"/>
      <w:marRight w:val="0"/>
      <w:marTop w:val="0"/>
      <w:marBottom w:val="0"/>
      <w:divBdr>
        <w:top w:val="none" w:sz="0" w:space="0" w:color="auto"/>
        <w:left w:val="none" w:sz="0" w:space="0" w:color="auto"/>
        <w:bottom w:val="none" w:sz="0" w:space="0" w:color="auto"/>
        <w:right w:val="none" w:sz="0" w:space="0" w:color="auto"/>
      </w:divBdr>
    </w:div>
    <w:div w:id="17394887">
      <w:bodyDiv w:val="1"/>
      <w:marLeft w:val="0"/>
      <w:marRight w:val="0"/>
      <w:marTop w:val="0"/>
      <w:marBottom w:val="0"/>
      <w:divBdr>
        <w:top w:val="none" w:sz="0" w:space="0" w:color="auto"/>
        <w:left w:val="none" w:sz="0" w:space="0" w:color="auto"/>
        <w:bottom w:val="none" w:sz="0" w:space="0" w:color="auto"/>
        <w:right w:val="none" w:sz="0" w:space="0" w:color="auto"/>
      </w:divBdr>
    </w:div>
    <w:div w:id="53629572">
      <w:bodyDiv w:val="1"/>
      <w:marLeft w:val="0"/>
      <w:marRight w:val="0"/>
      <w:marTop w:val="0"/>
      <w:marBottom w:val="0"/>
      <w:divBdr>
        <w:top w:val="none" w:sz="0" w:space="0" w:color="auto"/>
        <w:left w:val="none" w:sz="0" w:space="0" w:color="auto"/>
        <w:bottom w:val="none" w:sz="0" w:space="0" w:color="auto"/>
        <w:right w:val="none" w:sz="0" w:space="0" w:color="auto"/>
      </w:divBdr>
    </w:div>
    <w:div w:id="97069694">
      <w:bodyDiv w:val="1"/>
      <w:marLeft w:val="0"/>
      <w:marRight w:val="0"/>
      <w:marTop w:val="0"/>
      <w:marBottom w:val="0"/>
      <w:divBdr>
        <w:top w:val="none" w:sz="0" w:space="0" w:color="auto"/>
        <w:left w:val="none" w:sz="0" w:space="0" w:color="auto"/>
        <w:bottom w:val="none" w:sz="0" w:space="0" w:color="auto"/>
        <w:right w:val="none" w:sz="0" w:space="0" w:color="auto"/>
      </w:divBdr>
    </w:div>
    <w:div w:id="100341247">
      <w:bodyDiv w:val="1"/>
      <w:marLeft w:val="0"/>
      <w:marRight w:val="0"/>
      <w:marTop w:val="0"/>
      <w:marBottom w:val="0"/>
      <w:divBdr>
        <w:top w:val="none" w:sz="0" w:space="0" w:color="auto"/>
        <w:left w:val="none" w:sz="0" w:space="0" w:color="auto"/>
        <w:bottom w:val="none" w:sz="0" w:space="0" w:color="auto"/>
        <w:right w:val="none" w:sz="0" w:space="0" w:color="auto"/>
      </w:divBdr>
    </w:div>
    <w:div w:id="123282274">
      <w:bodyDiv w:val="1"/>
      <w:marLeft w:val="0"/>
      <w:marRight w:val="0"/>
      <w:marTop w:val="0"/>
      <w:marBottom w:val="0"/>
      <w:divBdr>
        <w:top w:val="none" w:sz="0" w:space="0" w:color="auto"/>
        <w:left w:val="none" w:sz="0" w:space="0" w:color="auto"/>
        <w:bottom w:val="none" w:sz="0" w:space="0" w:color="auto"/>
        <w:right w:val="none" w:sz="0" w:space="0" w:color="auto"/>
      </w:divBdr>
    </w:div>
    <w:div w:id="153184592">
      <w:bodyDiv w:val="1"/>
      <w:marLeft w:val="0"/>
      <w:marRight w:val="0"/>
      <w:marTop w:val="0"/>
      <w:marBottom w:val="0"/>
      <w:divBdr>
        <w:top w:val="none" w:sz="0" w:space="0" w:color="auto"/>
        <w:left w:val="none" w:sz="0" w:space="0" w:color="auto"/>
        <w:bottom w:val="none" w:sz="0" w:space="0" w:color="auto"/>
        <w:right w:val="none" w:sz="0" w:space="0" w:color="auto"/>
      </w:divBdr>
    </w:div>
    <w:div w:id="269045637">
      <w:bodyDiv w:val="1"/>
      <w:marLeft w:val="0"/>
      <w:marRight w:val="0"/>
      <w:marTop w:val="0"/>
      <w:marBottom w:val="0"/>
      <w:divBdr>
        <w:top w:val="none" w:sz="0" w:space="0" w:color="auto"/>
        <w:left w:val="none" w:sz="0" w:space="0" w:color="auto"/>
        <w:bottom w:val="none" w:sz="0" w:space="0" w:color="auto"/>
        <w:right w:val="none" w:sz="0" w:space="0" w:color="auto"/>
      </w:divBdr>
    </w:div>
    <w:div w:id="288636266">
      <w:bodyDiv w:val="1"/>
      <w:marLeft w:val="0"/>
      <w:marRight w:val="0"/>
      <w:marTop w:val="0"/>
      <w:marBottom w:val="0"/>
      <w:divBdr>
        <w:top w:val="none" w:sz="0" w:space="0" w:color="auto"/>
        <w:left w:val="none" w:sz="0" w:space="0" w:color="auto"/>
        <w:bottom w:val="none" w:sz="0" w:space="0" w:color="auto"/>
        <w:right w:val="none" w:sz="0" w:space="0" w:color="auto"/>
      </w:divBdr>
    </w:div>
    <w:div w:id="366567885">
      <w:bodyDiv w:val="1"/>
      <w:marLeft w:val="0"/>
      <w:marRight w:val="0"/>
      <w:marTop w:val="0"/>
      <w:marBottom w:val="0"/>
      <w:divBdr>
        <w:top w:val="none" w:sz="0" w:space="0" w:color="auto"/>
        <w:left w:val="none" w:sz="0" w:space="0" w:color="auto"/>
        <w:bottom w:val="none" w:sz="0" w:space="0" w:color="auto"/>
        <w:right w:val="none" w:sz="0" w:space="0" w:color="auto"/>
      </w:divBdr>
    </w:div>
    <w:div w:id="399524212">
      <w:bodyDiv w:val="1"/>
      <w:marLeft w:val="0"/>
      <w:marRight w:val="0"/>
      <w:marTop w:val="0"/>
      <w:marBottom w:val="0"/>
      <w:divBdr>
        <w:top w:val="none" w:sz="0" w:space="0" w:color="auto"/>
        <w:left w:val="none" w:sz="0" w:space="0" w:color="auto"/>
        <w:bottom w:val="none" w:sz="0" w:space="0" w:color="auto"/>
        <w:right w:val="none" w:sz="0" w:space="0" w:color="auto"/>
      </w:divBdr>
    </w:div>
    <w:div w:id="494759865">
      <w:bodyDiv w:val="1"/>
      <w:marLeft w:val="0"/>
      <w:marRight w:val="0"/>
      <w:marTop w:val="0"/>
      <w:marBottom w:val="0"/>
      <w:divBdr>
        <w:top w:val="none" w:sz="0" w:space="0" w:color="auto"/>
        <w:left w:val="none" w:sz="0" w:space="0" w:color="auto"/>
        <w:bottom w:val="none" w:sz="0" w:space="0" w:color="auto"/>
        <w:right w:val="none" w:sz="0" w:space="0" w:color="auto"/>
      </w:divBdr>
    </w:div>
    <w:div w:id="552233453">
      <w:bodyDiv w:val="1"/>
      <w:marLeft w:val="0"/>
      <w:marRight w:val="0"/>
      <w:marTop w:val="0"/>
      <w:marBottom w:val="0"/>
      <w:divBdr>
        <w:top w:val="none" w:sz="0" w:space="0" w:color="auto"/>
        <w:left w:val="none" w:sz="0" w:space="0" w:color="auto"/>
        <w:bottom w:val="none" w:sz="0" w:space="0" w:color="auto"/>
        <w:right w:val="none" w:sz="0" w:space="0" w:color="auto"/>
      </w:divBdr>
    </w:div>
    <w:div w:id="575748405">
      <w:bodyDiv w:val="1"/>
      <w:marLeft w:val="0"/>
      <w:marRight w:val="0"/>
      <w:marTop w:val="0"/>
      <w:marBottom w:val="0"/>
      <w:divBdr>
        <w:top w:val="none" w:sz="0" w:space="0" w:color="auto"/>
        <w:left w:val="none" w:sz="0" w:space="0" w:color="auto"/>
        <w:bottom w:val="none" w:sz="0" w:space="0" w:color="auto"/>
        <w:right w:val="none" w:sz="0" w:space="0" w:color="auto"/>
      </w:divBdr>
    </w:div>
    <w:div w:id="608660529">
      <w:bodyDiv w:val="1"/>
      <w:marLeft w:val="0"/>
      <w:marRight w:val="0"/>
      <w:marTop w:val="0"/>
      <w:marBottom w:val="0"/>
      <w:divBdr>
        <w:top w:val="none" w:sz="0" w:space="0" w:color="auto"/>
        <w:left w:val="none" w:sz="0" w:space="0" w:color="auto"/>
        <w:bottom w:val="none" w:sz="0" w:space="0" w:color="auto"/>
        <w:right w:val="none" w:sz="0" w:space="0" w:color="auto"/>
      </w:divBdr>
    </w:div>
    <w:div w:id="628316040">
      <w:bodyDiv w:val="1"/>
      <w:marLeft w:val="0"/>
      <w:marRight w:val="0"/>
      <w:marTop w:val="0"/>
      <w:marBottom w:val="0"/>
      <w:divBdr>
        <w:top w:val="none" w:sz="0" w:space="0" w:color="auto"/>
        <w:left w:val="none" w:sz="0" w:space="0" w:color="auto"/>
        <w:bottom w:val="none" w:sz="0" w:space="0" w:color="auto"/>
        <w:right w:val="none" w:sz="0" w:space="0" w:color="auto"/>
      </w:divBdr>
    </w:div>
    <w:div w:id="758984147">
      <w:bodyDiv w:val="1"/>
      <w:marLeft w:val="0"/>
      <w:marRight w:val="0"/>
      <w:marTop w:val="0"/>
      <w:marBottom w:val="0"/>
      <w:divBdr>
        <w:top w:val="none" w:sz="0" w:space="0" w:color="auto"/>
        <w:left w:val="none" w:sz="0" w:space="0" w:color="auto"/>
        <w:bottom w:val="none" w:sz="0" w:space="0" w:color="auto"/>
        <w:right w:val="none" w:sz="0" w:space="0" w:color="auto"/>
      </w:divBdr>
    </w:div>
    <w:div w:id="787899002">
      <w:bodyDiv w:val="1"/>
      <w:marLeft w:val="0"/>
      <w:marRight w:val="0"/>
      <w:marTop w:val="0"/>
      <w:marBottom w:val="0"/>
      <w:divBdr>
        <w:top w:val="none" w:sz="0" w:space="0" w:color="auto"/>
        <w:left w:val="none" w:sz="0" w:space="0" w:color="auto"/>
        <w:bottom w:val="none" w:sz="0" w:space="0" w:color="auto"/>
        <w:right w:val="none" w:sz="0" w:space="0" w:color="auto"/>
      </w:divBdr>
    </w:div>
    <w:div w:id="788552969">
      <w:bodyDiv w:val="1"/>
      <w:marLeft w:val="0"/>
      <w:marRight w:val="0"/>
      <w:marTop w:val="0"/>
      <w:marBottom w:val="0"/>
      <w:divBdr>
        <w:top w:val="none" w:sz="0" w:space="0" w:color="auto"/>
        <w:left w:val="none" w:sz="0" w:space="0" w:color="auto"/>
        <w:bottom w:val="none" w:sz="0" w:space="0" w:color="auto"/>
        <w:right w:val="none" w:sz="0" w:space="0" w:color="auto"/>
      </w:divBdr>
    </w:div>
    <w:div w:id="819855686">
      <w:bodyDiv w:val="1"/>
      <w:marLeft w:val="0"/>
      <w:marRight w:val="0"/>
      <w:marTop w:val="0"/>
      <w:marBottom w:val="0"/>
      <w:divBdr>
        <w:top w:val="none" w:sz="0" w:space="0" w:color="auto"/>
        <w:left w:val="none" w:sz="0" w:space="0" w:color="auto"/>
        <w:bottom w:val="none" w:sz="0" w:space="0" w:color="auto"/>
        <w:right w:val="none" w:sz="0" w:space="0" w:color="auto"/>
      </w:divBdr>
    </w:div>
    <w:div w:id="848833663">
      <w:bodyDiv w:val="1"/>
      <w:marLeft w:val="0"/>
      <w:marRight w:val="0"/>
      <w:marTop w:val="0"/>
      <w:marBottom w:val="0"/>
      <w:divBdr>
        <w:top w:val="none" w:sz="0" w:space="0" w:color="auto"/>
        <w:left w:val="none" w:sz="0" w:space="0" w:color="auto"/>
        <w:bottom w:val="none" w:sz="0" w:space="0" w:color="auto"/>
        <w:right w:val="none" w:sz="0" w:space="0" w:color="auto"/>
      </w:divBdr>
    </w:div>
    <w:div w:id="898172782">
      <w:bodyDiv w:val="1"/>
      <w:marLeft w:val="0"/>
      <w:marRight w:val="0"/>
      <w:marTop w:val="0"/>
      <w:marBottom w:val="0"/>
      <w:divBdr>
        <w:top w:val="none" w:sz="0" w:space="0" w:color="auto"/>
        <w:left w:val="none" w:sz="0" w:space="0" w:color="auto"/>
        <w:bottom w:val="none" w:sz="0" w:space="0" w:color="auto"/>
        <w:right w:val="none" w:sz="0" w:space="0" w:color="auto"/>
      </w:divBdr>
    </w:div>
    <w:div w:id="909999460">
      <w:bodyDiv w:val="1"/>
      <w:marLeft w:val="0"/>
      <w:marRight w:val="0"/>
      <w:marTop w:val="0"/>
      <w:marBottom w:val="0"/>
      <w:divBdr>
        <w:top w:val="none" w:sz="0" w:space="0" w:color="auto"/>
        <w:left w:val="none" w:sz="0" w:space="0" w:color="auto"/>
        <w:bottom w:val="none" w:sz="0" w:space="0" w:color="auto"/>
        <w:right w:val="none" w:sz="0" w:space="0" w:color="auto"/>
      </w:divBdr>
    </w:div>
    <w:div w:id="961111376">
      <w:bodyDiv w:val="1"/>
      <w:marLeft w:val="0"/>
      <w:marRight w:val="0"/>
      <w:marTop w:val="0"/>
      <w:marBottom w:val="0"/>
      <w:divBdr>
        <w:top w:val="none" w:sz="0" w:space="0" w:color="auto"/>
        <w:left w:val="none" w:sz="0" w:space="0" w:color="auto"/>
        <w:bottom w:val="none" w:sz="0" w:space="0" w:color="auto"/>
        <w:right w:val="none" w:sz="0" w:space="0" w:color="auto"/>
      </w:divBdr>
    </w:div>
    <w:div w:id="986322785">
      <w:bodyDiv w:val="1"/>
      <w:marLeft w:val="0"/>
      <w:marRight w:val="0"/>
      <w:marTop w:val="0"/>
      <w:marBottom w:val="0"/>
      <w:divBdr>
        <w:top w:val="none" w:sz="0" w:space="0" w:color="auto"/>
        <w:left w:val="none" w:sz="0" w:space="0" w:color="auto"/>
        <w:bottom w:val="none" w:sz="0" w:space="0" w:color="auto"/>
        <w:right w:val="none" w:sz="0" w:space="0" w:color="auto"/>
      </w:divBdr>
    </w:div>
    <w:div w:id="1018580919">
      <w:bodyDiv w:val="1"/>
      <w:marLeft w:val="0"/>
      <w:marRight w:val="0"/>
      <w:marTop w:val="0"/>
      <w:marBottom w:val="0"/>
      <w:divBdr>
        <w:top w:val="none" w:sz="0" w:space="0" w:color="auto"/>
        <w:left w:val="none" w:sz="0" w:space="0" w:color="auto"/>
        <w:bottom w:val="none" w:sz="0" w:space="0" w:color="auto"/>
        <w:right w:val="none" w:sz="0" w:space="0" w:color="auto"/>
      </w:divBdr>
    </w:div>
    <w:div w:id="1051074403">
      <w:bodyDiv w:val="1"/>
      <w:marLeft w:val="0"/>
      <w:marRight w:val="0"/>
      <w:marTop w:val="0"/>
      <w:marBottom w:val="0"/>
      <w:divBdr>
        <w:top w:val="none" w:sz="0" w:space="0" w:color="auto"/>
        <w:left w:val="none" w:sz="0" w:space="0" w:color="auto"/>
        <w:bottom w:val="none" w:sz="0" w:space="0" w:color="auto"/>
        <w:right w:val="none" w:sz="0" w:space="0" w:color="auto"/>
      </w:divBdr>
    </w:div>
    <w:div w:id="1064571000">
      <w:bodyDiv w:val="1"/>
      <w:marLeft w:val="0"/>
      <w:marRight w:val="0"/>
      <w:marTop w:val="0"/>
      <w:marBottom w:val="0"/>
      <w:divBdr>
        <w:top w:val="none" w:sz="0" w:space="0" w:color="auto"/>
        <w:left w:val="none" w:sz="0" w:space="0" w:color="auto"/>
        <w:bottom w:val="none" w:sz="0" w:space="0" w:color="auto"/>
        <w:right w:val="none" w:sz="0" w:space="0" w:color="auto"/>
      </w:divBdr>
    </w:div>
    <w:div w:id="1228495133">
      <w:bodyDiv w:val="1"/>
      <w:marLeft w:val="0"/>
      <w:marRight w:val="0"/>
      <w:marTop w:val="0"/>
      <w:marBottom w:val="0"/>
      <w:divBdr>
        <w:top w:val="none" w:sz="0" w:space="0" w:color="auto"/>
        <w:left w:val="none" w:sz="0" w:space="0" w:color="auto"/>
        <w:bottom w:val="none" w:sz="0" w:space="0" w:color="auto"/>
        <w:right w:val="none" w:sz="0" w:space="0" w:color="auto"/>
      </w:divBdr>
    </w:div>
    <w:div w:id="1297031687">
      <w:bodyDiv w:val="1"/>
      <w:marLeft w:val="0"/>
      <w:marRight w:val="0"/>
      <w:marTop w:val="0"/>
      <w:marBottom w:val="0"/>
      <w:divBdr>
        <w:top w:val="none" w:sz="0" w:space="0" w:color="auto"/>
        <w:left w:val="none" w:sz="0" w:space="0" w:color="auto"/>
        <w:bottom w:val="none" w:sz="0" w:space="0" w:color="auto"/>
        <w:right w:val="none" w:sz="0" w:space="0" w:color="auto"/>
      </w:divBdr>
    </w:div>
    <w:div w:id="1309942410">
      <w:bodyDiv w:val="1"/>
      <w:marLeft w:val="0"/>
      <w:marRight w:val="0"/>
      <w:marTop w:val="0"/>
      <w:marBottom w:val="0"/>
      <w:divBdr>
        <w:top w:val="none" w:sz="0" w:space="0" w:color="auto"/>
        <w:left w:val="none" w:sz="0" w:space="0" w:color="auto"/>
        <w:bottom w:val="none" w:sz="0" w:space="0" w:color="auto"/>
        <w:right w:val="none" w:sz="0" w:space="0" w:color="auto"/>
      </w:divBdr>
    </w:div>
    <w:div w:id="1357468357">
      <w:bodyDiv w:val="1"/>
      <w:marLeft w:val="0"/>
      <w:marRight w:val="0"/>
      <w:marTop w:val="0"/>
      <w:marBottom w:val="0"/>
      <w:divBdr>
        <w:top w:val="none" w:sz="0" w:space="0" w:color="auto"/>
        <w:left w:val="none" w:sz="0" w:space="0" w:color="auto"/>
        <w:bottom w:val="none" w:sz="0" w:space="0" w:color="auto"/>
        <w:right w:val="none" w:sz="0" w:space="0" w:color="auto"/>
      </w:divBdr>
    </w:div>
    <w:div w:id="1377316175">
      <w:bodyDiv w:val="1"/>
      <w:marLeft w:val="0"/>
      <w:marRight w:val="0"/>
      <w:marTop w:val="0"/>
      <w:marBottom w:val="0"/>
      <w:divBdr>
        <w:top w:val="none" w:sz="0" w:space="0" w:color="auto"/>
        <w:left w:val="none" w:sz="0" w:space="0" w:color="auto"/>
        <w:bottom w:val="none" w:sz="0" w:space="0" w:color="auto"/>
        <w:right w:val="none" w:sz="0" w:space="0" w:color="auto"/>
      </w:divBdr>
    </w:div>
    <w:div w:id="1395932494">
      <w:bodyDiv w:val="1"/>
      <w:marLeft w:val="0"/>
      <w:marRight w:val="0"/>
      <w:marTop w:val="0"/>
      <w:marBottom w:val="0"/>
      <w:divBdr>
        <w:top w:val="none" w:sz="0" w:space="0" w:color="auto"/>
        <w:left w:val="none" w:sz="0" w:space="0" w:color="auto"/>
        <w:bottom w:val="none" w:sz="0" w:space="0" w:color="auto"/>
        <w:right w:val="none" w:sz="0" w:space="0" w:color="auto"/>
      </w:divBdr>
    </w:div>
    <w:div w:id="1397314778">
      <w:bodyDiv w:val="1"/>
      <w:marLeft w:val="0"/>
      <w:marRight w:val="0"/>
      <w:marTop w:val="0"/>
      <w:marBottom w:val="0"/>
      <w:divBdr>
        <w:top w:val="none" w:sz="0" w:space="0" w:color="auto"/>
        <w:left w:val="none" w:sz="0" w:space="0" w:color="auto"/>
        <w:bottom w:val="none" w:sz="0" w:space="0" w:color="auto"/>
        <w:right w:val="none" w:sz="0" w:space="0" w:color="auto"/>
      </w:divBdr>
    </w:div>
    <w:div w:id="1413232948">
      <w:bodyDiv w:val="1"/>
      <w:marLeft w:val="0"/>
      <w:marRight w:val="0"/>
      <w:marTop w:val="0"/>
      <w:marBottom w:val="0"/>
      <w:divBdr>
        <w:top w:val="none" w:sz="0" w:space="0" w:color="auto"/>
        <w:left w:val="none" w:sz="0" w:space="0" w:color="auto"/>
        <w:bottom w:val="none" w:sz="0" w:space="0" w:color="auto"/>
        <w:right w:val="none" w:sz="0" w:space="0" w:color="auto"/>
      </w:divBdr>
    </w:div>
    <w:div w:id="1415665924">
      <w:bodyDiv w:val="1"/>
      <w:marLeft w:val="0"/>
      <w:marRight w:val="0"/>
      <w:marTop w:val="0"/>
      <w:marBottom w:val="0"/>
      <w:divBdr>
        <w:top w:val="none" w:sz="0" w:space="0" w:color="auto"/>
        <w:left w:val="none" w:sz="0" w:space="0" w:color="auto"/>
        <w:bottom w:val="none" w:sz="0" w:space="0" w:color="auto"/>
        <w:right w:val="none" w:sz="0" w:space="0" w:color="auto"/>
      </w:divBdr>
    </w:div>
    <w:div w:id="1426730068">
      <w:bodyDiv w:val="1"/>
      <w:marLeft w:val="0"/>
      <w:marRight w:val="0"/>
      <w:marTop w:val="0"/>
      <w:marBottom w:val="0"/>
      <w:divBdr>
        <w:top w:val="none" w:sz="0" w:space="0" w:color="auto"/>
        <w:left w:val="none" w:sz="0" w:space="0" w:color="auto"/>
        <w:bottom w:val="none" w:sz="0" w:space="0" w:color="auto"/>
        <w:right w:val="none" w:sz="0" w:space="0" w:color="auto"/>
      </w:divBdr>
    </w:div>
    <w:div w:id="1553342056">
      <w:bodyDiv w:val="1"/>
      <w:marLeft w:val="0"/>
      <w:marRight w:val="0"/>
      <w:marTop w:val="0"/>
      <w:marBottom w:val="0"/>
      <w:divBdr>
        <w:top w:val="none" w:sz="0" w:space="0" w:color="auto"/>
        <w:left w:val="none" w:sz="0" w:space="0" w:color="auto"/>
        <w:bottom w:val="none" w:sz="0" w:space="0" w:color="auto"/>
        <w:right w:val="none" w:sz="0" w:space="0" w:color="auto"/>
      </w:divBdr>
    </w:div>
    <w:div w:id="1565943987">
      <w:bodyDiv w:val="1"/>
      <w:marLeft w:val="0"/>
      <w:marRight w:val="0"/>
      <w:marTop w:val="0"/>
      <w:marBottom w:val="0"/>
      <w:divBdr>
        <w:top w:val="none" w:sz="0" w:space="0" w:color="auto"/>
        <w:left w:val="none" w:sz="0" w:space="0" w:color="auto"/>
        <w:bottom w:val="none" w:sz="0" w:space="0" w:color="auto"/>
        <w:right w:val="none" w:sz="0" w:space="0" w:color="auto"/>
      </w:divBdr>
    </w:div>
    <w:div w:id="1592540691">
      <w:bodyDiv w:val="1"/>
      <w:marLeft w:val="0"/>
      <w:marRight w:val="0"/>
      <w:marTop w:val="0"/>
      <w:marBottom w:val="0"/>
      <w:divBdr>
        <w:top w:val="none" w:sz="0" w:space="0" w:color="auto"/>
        <w:left w:val="none" w:sz="0" w:space="0" w:color="auto"/>
        <w:bottom w:val="none" w:sz="0" w:space="0" w:color="auto"/>
        <w:right w:val="none" w:sz="0" w:space="0" w:color="auto"/>
      </w:divBdr>
    </w:div>
    <w:div w:id="1661805994">
      <w:bodyDiv w:val="1"/>
      <w:marLeft w:val="0"/>
      <w:marRight w:val="0"/>
      <w:marTop w:val="0"/>
      <w:marBottom w:val="0"/>
      <w:divBdr>
        <w:top w:val="none" w:sz="0" w:space="0" w:color="auto"/>
        <w:left w:val="none" w:sz="0" w:space="0" w:color="auto"/>
        <w:bottom w:val="none" w:sz="0" w:space="0" w:color="auto"/>
        <w:right w:val="none" w:sz="0" w:space="0" w:color="auto"/>
      </w:divBdr>
    </w:div>
    <w:div w:id="1694723436">
      <w:bodyDiv w:val="1"/>
      <w:marLeft w:val="0"/>
      <w:marRight w:val="0"/>
      <w:marTop w:val="0"/>
      <w:marBottom w:val="0"/>
      <w:divBdr>
        <w:top w:val="none" w:sz="0" w:space="0" w:color="auto"/>
        <w:left w:val="none" w:sz="0" w:space="0" w:color="auto"/>
        <w:bottom w:val="none" w:sz="0" w:space="0" w:color="auto"/>
        <w:right w:val="none" w:sz="0" w:space="0" w:color="auto"/>
      </w:divBdr>
    </w:div>
    <w:div w:id="1718386616">
      <w:bodyDiv w:val="1"/>
      <w:marLeft w:val="0"/>
      <w:marRight w:val="0"/>
      <w:marTop w:val="0"/>
      <w:marBottom w:val="0"/>
      <w:divBdr>
        <w:top w:val="none" w:sz="0" w:space="0" w:color="auto"/>
        <w:left w:val="none" w:sz="0" w:space="0" w:color="auto"/>
        <w:bottom w:val="none" w:sz="0" w:space="0" w:color="auto"/>
        <w:right w:val="none" w:sz="0" w:space="0" w:color="auto"/>
      </w:divBdr>
    </w:div>
    <w:div w:id="1731423811">
      <w:bodyDiv w:val="1"/>
      <w:marLeft w:val="0"/>
      <w:marRight w:val="0"/>
      <w:marTop w:val="0"/>
      <w:marBottom w:val="0"/>
      <w:divBdr>
        <w:top w:val="none" w:sz="0" w:space="0" w:color="auto"/>
        <w:left w:val="none" w:sz="0" w:space="0" w:color="auto"/>
        <w:bottom w:val="none" w:sz="0" w:space="0" w:color="auto"/>
        <w:right w:val="none" w:sz="0" w:space="0" w:color="auto"/>
      </w:divBdr>
    </w:div>
    <w:div w:id="1774352067">
      <w:bodyDiv w:val="1"/>
      <w:marLeft w:val="0"/>
      <w:marRight w:val="0"/>
      <w:marTop w:val="0"/>
      <w:marBottom w:val="0"/>
      <w:divBdr>
        <w:top w:val="none" w:sz="0" w:space="0" w:color="auto"/>
        <w:left w:val="none" w:sz="0" w:space="0" w:color="auto"/>
        <w:bottom w:val="none" w:sz="0" w:space="0" w:color="auto"/>
        <w:right w:val="none" w:sz="0" w:space="0" w:color="auto"/>
      </w:divBdr>
    </w:div>
    <w:div w:id="1782214571">
      <w:bodyDiv w:val="1"/>
      <w:marLeft w:val="0"/>
      <w:marRight w:val="0"/>
      <w:marTop w:val="0"/>
      <w:marBottom w:val="0"/>
      <w:divBdr>
        <w:top w:val="none" w:sz="0" w:space="0" w:color="auto"/>
        <w:left w:val="none" w:sz="0" w:space="0" w:color="auto"/>
        <w:bottom w:val="none" w:sz="0" w:space="0" w:color="auto"/>
        <w:right w:val="none" w:sz="0" w:space="0" w:color="auto"/>
      </w:divBdr>
    </w:div>
    <w:div w:id="1806387304">
      <w:bodyDiv w:val="1"/>
      <w:marLeft w:val="0"/>
      <w:marRight w:val="0"/>
      <w:marTop w:val="0"/>
      <w:marBottom w:val="0"/>
      <w:divBdr>
        <w:top w:val="none" w:sz="0" w:space="0" w:color="auto"/>
        <w:left w:val="none" w:sz="0" w:space="0" w:color="auto"/>
        <w:bottom w:val="none" w:sz="0" w:space="0" w:color="auto"/>
        <w:right w:val="none" w:sz="0" w:space="0" w:color="auto"/>
      </w:divBdr>
    </w:div>
    <w:div w:id="1917857251">
      <w:bodyDiv w:val="1"/>
      <w:marLeft w:val="0"/>
      <w:marRight w:val="0"/>
      <w:marTop w:val="0"/>
      <w:marBottom w:val="0"/>
      <w:divBdr>
        <w:top w:val="none" w:sz="0" w:space="0" w:color="auto"/>
        <w:left w:val="none" w:sz="0" w:space="0" w:color="auto"/>
        <w:bottom w:val="none" w:sz="0" w:space="0" w:color="auto"/>
        <w:right w:val="none" w:sz="0" w:space="0" w:color="auto"/>
      </w:divBdr>
    </w:div>
    <w:div w:id="1951207103">
      <w:bodyDiv w:val="1"/>
      <w:marLeft w:val="0"/>
      <w:marRight w:val="0"/>
      <w:marTop w:val="0"/>
      <w:marBottom w:val="0"/>
      <w:divBdr>
        <w:top w:val="none" w:sz="0" w:space="0" w:color="auto"/>
        <w:left w:val="none" w:sz="0" w:space="0" w:color="auto"/>
        <w:bottom w:val="none" w:sz="0" w:space="0" w:color="auto"/>
        <w:right w:val="none" w:sz="0" w:space="0" w:color="auto"/>
      </w:divBdr>
      <w:divsChild>
        <w:div w:id="1914310647">
          <w:marLeft w:val="-720"/>
          <w:marRight w:val="0"/>
          <w:marTop w:val="0"/>
          <w:marBottom w:val="0"/>
          <w:divBdr>
            <w:top w:val="none" w:sz="0" w:space="0" w:color="auto"/>
            <w:left w:val="none" w:sz="0" w:space="0" w:color="auto"/>
            <w:bottom w:val="none" w:sz="0" w:space="0" w:color="auto"/>
            <w:right w:val="none" w:sz="0" w:space="0" w:color="auto"/>
          </w:divBdr>
        </w:div>
      </w:divsChild>
    </w:div>
    <w:div w:id="1969048835">
      <w:bodyDiv w:val="1"/>
      <w:marLeft w:val="0"/>
      <w:marRight w:val="0"/>
      <w:marTop w:val="0"/>
      <w:marBottom w:val="0"/>
      <w:divBdr>
        <w:top w:val="none" w:sz="0" w:space="0" w:color="auto"/>
        <w:left w:val="none" w:sz="0" w:space="0" w:color="auto"/>
        <w:bottom w:val="none" w:sz="0" w:space="0" w:color="auto"/>
        <w:right w:val="none" w:sz="0" w:space="0" w:color="auto"/>
      </w:divBdr>
    </w:div>
    <w:div w:id="1981961219">
      <w:bodyDiv w:val="1"/>
      <w:marLeft w:val="0"/>
      <w:marRight w:val="0"/>
      <w:marTop w:val="0"/>
      <w:marBottom w:val="0"/>
      <w:divBdr>
        <w:top w:val="none" w:sz="0" w:space="0" w:color="auto"/>
        <w:left w:val="none" w:sz="0" w:space="0" w:color="auto"/>
        <w:bottom w:val="none" w:sz="0" w:space="0" w:color="auto"/>
        <w:right w:val="none" w:sz="0" w:space="0" w:color="auto"/>
      </w:divBdr>
    </w:div>
    <w:div w:id="2026205677">
      <w:bodyDiv w:val="1"/>
      <w:marLeft w:val="0"/>
      <w:marRight w:val="0"/>
      <w:marTop w:val="0"/>
      <w:marBottom w:val="0"/>
      <w:divBdr>
        <w:top w:val="none" w:sz="0" w:space="0" w:color="auto"/>
        <w:left w:val="none" w:sz="0" w:space="0" w:color="auto"/>
        <w:bottom w:val="none" w:sz="0" w:space="0" w:color="auto"/>
        <w:right w:val="none" w:sz="0" w:space="0" w:color="auto"/>
      </w:divBdr>
    </w:div>
    <w:div w:id="2032874038">
      <w:bodyDiv w:val="1"/>
      <w:marLeft w:val="0"/>
      <w:marRight w:val="0"/>
      <w:marTop w:val="0"/>
      <w:marBottom w:val="0"/>
      <w:divBdr>
        <w:top w:val="none" w:sz="0" w:space="0" w:color="auto"/>
        <w:left w:val="none" w:sz="0" w:space="0" w:color="auto"/>
        <w:bottom w:val="none" w:sz="0" w:space="0" w:color="auto"/>
        <w:right w:val="none" w:sz="0" w:space="0" w:color="auto"/>
      </w:divBdr>
    </w:div>
    <w:div w:id="2074233508">
      <w:bodyDiv w:val="1"/>
      <w:marLeft w:val="0"/>
      <w:marRight w:val="0"/>
      <w:marTop w:val="0"/>
      <w:marBottom w:val="0"/>
      <w:divBdr>
        <w:top w:val="none" w:sz="0" w:space="0" w:color="auto"/>
        <w:left w:val="none" w:sz="0" w:space="0" w:color="auto"/>
        <w:bottom w:val="none" w:sz="0" w:space="0" w:color="auto"/>
        <w:right w:val="none" w:sz="0" w:space="0" w:color="auto"/>
      </w:divBdr>
    </w:div>
    <w:div w:id="21421877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ommonwealthfund.org/international-health-policy-center/countries/canada" TargetMode="External"/><Relationship Id="rId18" Type="http://schemas.openxmlformats.org/officeDocument/2006/relationships/hyperlink" Target="https://www.verywellmind.com/what-is-the-situational-theory-of-leadership-2795321" TargetMode="External"/><Relationship Id="rId26" Type="http://schemas.openxmlformats.org/officeDocument/2006/relationships/hyperlink" Target="https://doi.org/10.1186/s12913-021-07202-9" TargetMode="External"/><Relationship Id="rId39" Type="http://schemas.openxmlformats.org/officeDocument/2006/relationships/fontTable" Target="fontTable.xml"/><Relationship Id="rId21" Type="http://schemas.openxmlformats.org/officeDocument/2006/relationships/hyperlink" Target="https://www.britannica.com/place/South-Korea" TargetMode="External"/><Relationship Id="rId34" Type="http://schemas.openxmlformats.org/officeDocument/2006/relationships/hyperlink" Target="https://doi.org/10.1002/epa2.1099" TargetMode="External"/><Relationship Id="rId7" Type="http://schemas.openxmlformats.org/officeDocument/2006/relationships/webSettings" Target="webSettings.xml"/><Relationship Id="rId12" Type="http://schemas.openxmlformats.org/officeDocument/2006/relationships/hyperlink" Target="https://doi.org/10.35295/osls.iisl/0000-0000-0000-1337" TargetMode="External"/><Relationship Id="rId17" Type="http://schemas.openxmlformats.org/officeDocument/2006/relationships/hyperlink" Target="https://www.bsg.ox.ac.uk/sites/default/files/2021-03/BSG-WP-2021-039.pdf" TargetMode="External"/><Relationship Id="rId25" Type="http://schemas.openxmlformats.org/officeDocument/2006/relationships/hyperlink" Target="https://doi.org/10.1002/pad.1986" TargetMode="External"/><Relationship Id="rId33" Type="http://schemas.openxmlformats.org/officeDocument/2006/relationships/hyperlink" Target="https://doi.org/10.1136/bmj.318.7192.1204" TargetMode="External"/><Relationship Id="rId38" Type="http://schemas.openxmlformats.org/officeDocument/2006/relationships/hyperlink" Target="https://kuasia.ku.edu.tr/covid-19-pandemic-management-in-south-korea-culture-politics-and-governance/" TargetMode="External"/><Relationship Id="rId2" Type="http://schemas.openxmlformats.org/officeDocument/2006/relationships/customXml" Target="../customXml/item2.xml"/><Relationship Id="rId16" Type="http://schemas.openxmlformats.org/officeDocument/2006/relationships/hyperlink" Target="https://kapable.club/blog/leadership/behavioral-theory-of-leadership/" TargetMode="External"/><Relationship Id="rId20" Type="http://schemas.openxmlformats.org/officeDocument/2006/relationships/hyperlink" Target="https://doi.org/10.1002/pad.1988" TargetMode="External"/><Relationship Id="rId29" Type="http://schemas.openxmlformats.org/officeDocument/2006/relationships/hyperlink" Target="https://www.nu.edu/blog/what-is-transformational-leadership/"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ihr.com/hr-glossary/bureaucratic-leadership/" TargetMode="External"/><Relationship Id="rId24" Type="http://schemas.openxmlformats.org/officeDocument/2006/relationships/hyperlink" Target="https://doi.org/10.1002/pad.1986" TargetMode="External"/><Relationship Id="rId32" Type="http://schemas.openxmlformats.org/officeDocument/2006/relationships/hyperlink" Target="https://doi.org/10.3390/ijerph182412907" TargetMode="External"/><Relationship Id="rId37" Type="http://schemas.openxmlformats.org/officeDocument/2006/relationships/hyperlink" Target="https://doi.org/10.1080/13608746.2022.2091861" TargetMode="Externa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iris.who.int/server/api/core/bitstreams/484a7fc9-b55a-4994-aaa2-b9aa2cc77910/content" TargetMode="External"/><Relationship Id="rId23" Type="http://schemas.openxmlformats.org/officeDocument/2006/relationships/hyperlink" Target="https://www.hira.or.kr/dummy.do?pgmid=HIRAJ010000006000" TargetMode="External"/><Relationship Id="rId28" Type="http://schemas.openxmlformats.org/officeDocument/2006/relationships/hyperlink" Target="https://www.britannica.com/place/Canada" TargetMode="External"/><Relationship Id="rId36" Type="http://schemas.openxmlformats.org/officeDocument/2006/relationships/hyperlink" Target="https://www.nsls.org/blog/key-characteristics-of-democratic-leadership" TargetMode="External"/><Relationship Id="rId10" Type="http://schemas.openxmlformats.org/officeDocument/2006/relationships/image" Target="media/image1.png"/><Relationship Id="rId19" Type="http://schemas.openxmlformats.org/officeDocument/2006/relationships/hyperlink" Target="https://doi.org/10.1002/pad.1988" TargetMode="External"/><Relationship Id="rId31" Type="http://schemas.openxmlformats.org/officeDocument/2006/relationships/hyperlink" Target="https://www.brookings.edu/articles/moons-moment-in-the-su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17/s1744133121000220" TargetMode="External"/><Relationship Id="rId22" Type="http://schemas.openxmlformats.org/officeDocument/2006/relationships/hyperlink" Target="https://doi.org/10.2196/20343" TargetMode="External"/><Relationship Id="rId27" Type="http://schemas.openxmlformats.org/officeDocument/2006/relationships/hyperlink" Target="https://www.simplypsychology.org/autocratic-leadership.html" TargetMode="External"/><Relationship Id="rId30" Type="http://schemas.openxmlformats.org/officeDocument/2006/relationships/hyperlink" Target="https://doi.org/10.1080/23288604.2020.1753464" TargetMode="External"/><Relationship Id="rId35" Type="http://schemas.openxmlformats.org/officeDocument/2006/relationships/hyperlink" Target="https://www.cfr.org/blog/pandemic-election-and-moons-leadership-choices"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a572c88c7135a4f9287fc943a6276e1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a59aba3dd707360fa48a2503c2b467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70F3235-6045-49CD-AC2C-4CB9E8E2E226}">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67A97E52-3BAF-4FE7-84D8-B5B4E776BF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357CC3-0A38-45F4-B3D6-F12D8CC62BF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8724</Words>
  <Characters>49733</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Katia Ferreira Amado (2211924)</dc:creator>
  <dc:description/>
  <cp:lastModifiedBy>Katia Ferreira Amado (2211924)</cp:lastModifiedBy>
  <cp:revision>24</cp:revision>
  <dcterms:created xsi:type="dcterms:W3CDTF">2025-12-15T20:24:00Z</dcterms:created>
  <dcterms:modified xsi:type="dcterms:W3CDTF">2025-12-16T02:12:00Z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