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E78A0" w14:textId="0342735D" w:rsidR="00A85E6A" w:rsidRDefault="00A85E6A" w:rsidP="00A85E6A">
      <w:pPr>
        <w:spacing w:after="160" w:line="259" w:lineRule="auto"/>
        <w:ind w:firstLine="0"/>
        <w:rPr>
          <w:b/>
          <w:bCs/>
        </w:rPr>
      </w:pPr>
      <w:bookmarkStart w:id="0" w:name="_Toc110866464"/>
      <w:r>
        <w:rPr>
          <w:b/>
          <w:bCs/>
        </w:rPr>
        <w:t>1904571</w:t>
      </w:r>
    </w:p>
    <w:p w14:paraId="659E3A2C" w14:textId="17578D90" w:rsidR="00A06144" w:rsidRPr="00A85E6A" w:rsidRDefault="00A85E6A" w:rsidP="00A85E6A">
      <w:pPr>
        <w:spacing w:after="160" w:line="259" w:lineRule="auto"/>
        <w:ind w:firstLine="0"/>
        <w:rPr>
          <w:b/>
          <w:bCs/>
        </w:rPr>
      </w:pPr>
      <w:r>
        <w:rPr>
          <w:b/>
          <w:bCs/>
        </w:rPr>
        <w:t>P</w:t>
      </w:r>
      <w:r w:rsidR="006D56B4" w:rsidRPr="00A85E6A">
        <w:rPr>
          <w:b/>
          <w:bCs/>
        </w:rPr>
        <w:t>art 1</w:t>
      </w:r>
      <w:bookmarkEnd w:id="0"/>
    </w:p>
    <w:p w14:paraId="022AA7F1" w14:textId="77777777" w:rsidR="00FC5F54" w:rsidRPr="00FC5F54" w:rsidRDefault="006D56B4" w:rsidP="00FC5F54">
      <w:pPr>
        <w:pStyle w:val="Heading2"/>
      </w:pPr>
      <w:bookmarkStart w:id="1" w:name="_Toc110866465"/>
      <w:r>
        <w:t>Catalytic leadership</w:t>
      </w:r>
      <w:bookmarkEnd w:id="1"/>
    </w:p>
    <w:p w14:paraId="397988FD" w14:textId="77777777" w:rsidR="009115EF" w:rsidRPr="00E92031" w:rsidRDefault="006D56B4" w:rsidP="00773B40">
      <w:pPr>
        <w:jc w:val="both"/>
        <w:rPr>
          <w:rFonts w:cs="Times New Roman"/>
          <w:szCs w:val="24"/>
          <w:shd w:val="clear" w:color="auto" w:fill="F8F8F8"/>
        </w:rPr>
      </w:pPr>
      <w:r w:rsidRPr="00E92031">
        <w:rPr>
          <w:rFonts w:cs="Times New Roman"/>
          <w:szCs w:val="24"/>
          <w:shd w:val="clear" w:color="auto" w:fill="F8F8F8"/>
        </w:rPr>
        <w:t>The purpose of outreach in guiding community transformation must move from conventional leadership concepts to catalytic leadership. The expertise-driven leadership model of the project's history must be substituted by one that involves mobilising and engaging participants and enabling problem-solving procedures that tackle growing concerns jointly. Catalytic Leadership by Jeffrey Luke highlights the fundamental duties of popular or "catalytic" leadership</w:t>
      </w:r>
      <w:r w:rsidR="00CC72F9" w:rsidRPr="00E92031">
        <w:rPr>
          <w:rFonts w:cs="Times New Roman"/>
          <w:szCs w:val="24"/>
          <w:shd w:val="clear" w:color="auto" w:fill="F8F8F8"/>
        </w:rPr>
        <w:t xml:space="preserve"> (</w:t>
      </w:r>
      <w:proofErr w:type="spellStart"/>
      <w:r w:rsidR="00CC72F9" w:rsidRPr="00E92031">
        <w:rPr>
          <w:rFonts w:cs="Times New Roman"/>
          <w:szCs w:val="24"/>
          <w:shd w:val="clear" w:color="auto" w:fill="F8F8F8"/>
        </w:rPr>
        <w:t>Dzordzormenyoh</w:t>
      </w:r>
      <w:proofErr w:type="spellEnd"/>
      <w:r w:rsidR="00CC72F9" w:rsidRPr="00E92031">
        <w:rPr>
          <w:rFonts w:cs="Times New Roman"/>
          <w:szCs w:val="24"/>
          <w:shd w:val="clear" w:color="auto" w:fill="F8F8F8"/>
        </w:rPr>
        <w:t>, 2021)</w:t>
      </w:r>
      <w:r w:rsidRPr="00E92031">
        <w:rPr>
          <w:rFonts w:cs="Times New Roman"/>
          <w:szCs w:val="24"/>
          <w:shd w:val="clear" w:color="auto" w:fill="F8F8F8"/>
        </w:rPr>
        <w:t xml:space="preserve">. They are composed of the following </w:t>
      </w:r>
      <w:proofErr w:type="gramStart"/>
      <w:r w:rsidRPr="00E92031">
        <w:rPr>
          <w:rFonts w:cs="Times New Roman"/>
          <w:szCs w:val="24"/>
          <w:shd w:val="clear" w:color="auto" w:fill="F8F8F8"/>
        </w:rPr>
        <w:t>components;</w:t>
      </w:r>
      <w:proofErr w:type="gramEnd"/>
      <w:r w:rsidR="00CC72F9" w:rsidRPr="00E92031">
        <w:rPr>
          <w:rFonts w:cs="Times New Roman"/>
          <w:szCs w:val="24"/>
          <w:shd w:val="clear" w:color="auto" w:fill="F8F8F8"/>
        </w:rPr>
        <w:t xml:space="preserve"> creating awareness, establishing </w:t>
      </w:r>
      <w:r w:rsidR="00DD7C2E" w:rsidRPr="00E92031">
        <w:rPr>
          <w:rFonts w:cs="Times New Roman"/>
          <w:szCs w:val="24"/>
          <w:shd w:val="clear" w:color="auto" w:fill="F8F8F8"/>
        </w:rPr>
        <w:t>the task force</w:t>
      </w:r>
      <w:r w:rsidR="00CC72F9" w:rsidRPr="00E92031">
        <w:rPr>
          <w:rFonts w:cs="Times New Roman"/>
          <w:szCs w:val="24"/>
          <w:shd w:val="clear" w:color="auto" w:fill="F8F8F8"/>
        </w:rPr>
        <w:t>, developing strategies and maintaining engagement.</w:t>
      </w:r>
    </w:p>
    <w:p w14:paraId="068933D9" w14:textId="77777777" w:rsidR="00CC72F9" w:rsidRPr="00E92031" w:rsidRDefault="006D56B4" w:rsidP="00773B40">
      <w:pPr>
        <w:jc w:val="both"/>
        <w:rPr>
          <w:rFonts w:cs="Times New Roman"/>
          <w:szCs w:val="24"/>
        </w:rPr>
      </w:pPr>
      <w:r w:rsidRPr="00E92031">
        <w:rPr>
          <w:rFonts w:cs="Times New Roman"/>
          <w:szCs w:val="24"/>
        </w:rPr>
        <w:t>McDowall Clark proposed the term "catalytic leadership," which leans significantly on organisational innovation and early years education functioning as change agents (</w:t>
      </w:r>
      <w:r w:rsidR="006F7A92" w:rsidRPr="00E92031">
        <w:rPr>
          <w:rFonts w:cs="Times New Roman"/>
          <w:szCs w:val="24"/>
        </w:rPr>
        <w:t>Wainwright, 2018</w:t>
      </w:r>
      <w:r w:rsidRPr="00E92031">
        <w:rPr>
          <w:rFonts w:cs="Times New Roman"/>
          <w:szCs w:val="24"/>
        </w:rPr>
        <w:t xml:space="preserve">). This design also focuses on the notion that leadership resides with all early </w:t>
      </w:r>
      <w:r w:rsidR="00DD7C2E" w:rsidRPr="00E92031">
        <w:rPr>
          <w:rFonts w:cs="Times New Roman"/>
          <w:szCs w:val="24"/>
        </w:rPr>
        <w:t>year</w:t>
      </w:r>
      <w:r w:rsidRPr="00E92031">
        <w:rPr>
          <w:rFonts w:cs="Times New Roman"/>
          <w:szCs w:val="24"/>
        </w:rPr>
        <w:t xml:space="preserve"> teachers instead of with a single prominent person who occupies a statutory level of leadership in the early childhood education context, noting the "position of power and influence instead of authority" as the essential aspect (</w:t>
      </w:r>
      <w:r w:rsidR="006F7A92" w:rsidRPr="00E92031">
        <w:rPr>
          <w:rFonts w:cs="Times New Roman"/>
          <w:szCs w:val="24"/>
        </w:rPr>
        <w:t>Yates, and Simmons, 2020</w:t>
      </w:r>
      <w:r w:rsidRPr="00E92031">
        <w:rPr>
          <w:rFonts w:cs="Times New Roman"/>
          <w:szCs w:val="24"/>
        </w:rPr>
        <w:t>).</w:t>
      </w:r>
    </w:p>
    <w:p w14:paraId="5896BF75" w14:textId="77777777" w:rsidR="00CC72F9" w:rsidRPr="00E92031" w:rsidRDefault="006D56B4" w:rsidP="00773B40">
      <w:pPr>
        <w:jc w:val="both"/>
        <w:rPr>
          <w:rFonts w:cs="Times New Roman"/>
          <w:szCs w:val="24"/>
        </w:rPr>
      </w:pPr>
      <w:r w:rsidRPr="00E92031">
        <w:rPr>
          <w:rFonts w:cs="Times New Roman"/>
          <w:szCs w:val="24"/>
        </w:rPr>
        <w:t>Using McDowall Clark's catalytic leadership, the opportunity to impact elementary teachers is evaluated instead of their power</w:t>
      </w:r>
      <w:r w:rsidR="008506DE" w:rsidRPr="00E92031">
        <w:rPr>
          <w:rFonts w:cs="Times New Roman"/>
          <w:szCs w:val="24"/>
        </w:rPr>
        <w:t xml:space="preserve"> (Nicholson et al., 2020)</w:t>
      </w:r>
      <w:r w:rsidRPr="00E92031">
        <w:rPr>
          <w:rFonts w:cs="Times New Roman"/>
          <w:szCs w:val="24"/>
        </w:rPr>
        <w:t>. Colmer (2017) highlighted leadership as influencing others to participate in joint and collaborative goals. Because of the powerful concepts of leadership (</w:t>
      </w:r>
      <w:r w:rsidR="008506DE" w:rsidRPr="00E92031">
        <w:rPr>
          <w:rFonts w:cs="Times New Roman"/>
          <w:szCs w:val="24"/>
        </w:rPr>
        <w:t>Fernandez and Shaw, 2020</w:t>
      </w:r>
      <w:r w:rsidRPr="00E92031">
        <w:rPr>
          <w:rFonts w:cs="Times New Roman"/>
          <w:szCs w:val="24"/>
        </w:rPr>
        <w:t>)</w:t>
      </w:r>
      <w:r w:rsidR="008506DE" w:rsidRPr="00E92031">
        <w:rPr>
          <w:rFonts w:cs="Times New Roman"/>
          <w:szCs w:val="24"/>
        </w:rPr>
        <w:t xml:space="preserve">, </w:t>
      </w:r>
      <w:r w:rsidRPr="00E92031">
        <w:rPr>
          <w:rFonts w:cs="Times New Roman"/>
          <w:szCs w:val="24"/>
        </w:rPr>
        <w:t>Hackman and Wageman (</w:t>
      </w:r>
      <w:r w:rsidR="008506DE" w:rsidRPr="00E92031">
        <w:rPr>
          <w:rFonts w:cs="Times New Roman"/>
          <w:szCs w:val="24"/>
        </w:rPr>
        <w:t>Channing, 2020</w:t>
      </w:r>
      <w:r w:rsidRPr="00E92031">
        <w:rPr>
          <w:rFonts w:cs="Times New Roman"/>
          <w:szCs w:val="24"/>
        </w:rPr>
        <w:t>) argue that anybody may exercise leadership since Schon (</w:t>
      </w:r>
      <w:proofErr w:type="spellStart"/>
      <w:r w:rsidR="008506DE" w:rsidRPr="00E92031">
        <w:rPr>
          <w:rFonts w:cs="Times New Roman"/>
          <w:szCs w:val="24"/>
        </w:rPr>
        <w:t>Nurkamto</w:t>
      </w:r>
      <w:proofErr w:type="spellEnd"/>
      <w:r w:rsidR="008506DE" w:rsidRPr="00E92031">
        <w:rPr>
          <w:rFonts w:cs="Times New Roman"/>
          <w:szCs w:val="24"/>
        </w:rPr>
        <w:t xml:space="preserve"> and Sarosa, 2020</w:t>
      </w:r>
      <w:r w:rsidRPr="00E92031">
        <w:rPr>
          <w:rFonts w:cs="Times New Roman"/>
          <w:szCs w:val="24"/>
        </w:rPr>
        <w:t>) defines leadership as "symbolic, inspiring, and instructional" in character, and how one can be a leader without even a formal qualification.</w:t>
      </w:r>
    </w:p>
    <w:p w14:paraId="2A3BCB1D" w14:textId="77777777" w:rsidR="00CC72F9" w:rsidRDefault="006D56B4" w:rsidP="00773B40">
      <w:pPr>
        <w:jc w:val="both"/>
        <w:rPr>
          <w:rFonts w:cs="Times New Roman"/>
          <w:szCs w:val="24"/>
        </w:rPr>
      </w:pPr>
      <w:r w:rsidRPr="00E92031">
        <w:rPr>
          <w:rFonts w:cs="Times New Roman"/>
          <w:szCs w:val="24"/>
        </w:rPr>
        <w:t>The innovation implicit in this form of leadership is a critical element that works well within the moral mission' and stated value framework of early childhood institutions (</w:t>
      </w:r>
      <w:r w:rsidR="002506CE" w:rsidRPr="00E92031">
        <w:rPr>
          <w:rFonts w:cs="Times New Roman"/>
          <w:szCs w:val="24"/>
        </w:rPr>
        <w:t>Jambon and Smetana, 2020</w:t>
      </w:r>
      <w:r w:rsidRPr="00E92031">
        <w:rPr>
          <w:rFonts w:cs="Times New Roman"/>
          <w:szCs w:val="24"/>
        </w:rPr>
        <w:t xml:space="preserve">). Leadership emerges from the interplay of </w:t>
      </w:r>
      <w:proofErr w:type="gramStart"/>
      <w:r w:rsidRPr="00E92031">
        <w:rPr>
          <w:rFonts w:cs="Times New Roman"/>
          <w:szCs w:val="24"/>
        </w:rPr>
        <w:t>particular tactics</w:t>
      </w:r>
      <w:proofErr w:type="gramEnd"/>
      <w:r w:rsidRPr="00E92031">
        <w:rPr>
          <w:rFonts w:cs="Times New Roman"/>
          <w:szCs w:val="24"/>
        </w:rPr>
        <w:t xml:space="preserve"> and the cultural and societal circumstances where they are implemented. As a result, leadership may be viewed as a systemic instead of an individualised structure, a democratic and egalitarian idea encouraged by society (</w:t>
      </w:r>
      <w:r w:rsidR="002506CE" w:rsidRPr="00E92031">
        <w:rPr>
          <w:rFonts w:cs="Times New Roman"/>
          <w:szCs w:val="24"/>
        </w:rPr>
        <w:t>Sabina and Colwell, 2020</w:t>
      </w:r>
      <w:r w:rsidRPr="00E92031">
        <w:rPr>
          <w:rFonts w:cs="Times New Roman"/>
          <w:szCs w:val="24"/>
        </w:rPr>
        <w:t>). Recognising the significance of the early stages as the significant underlying component in predicting a child's future performance is now well proven (</w:t>
      </w:r>
      <w:r w:rsidR="002506CE" w:rsidRPr="00E92031">
        <w:rPr>
          <w:rFonts w:cs="Times New Roman"/>
          <w:szCs w:val="24"/>
        </w:rPr>
        <w:t>Pugh, 2022</w:t>
      </w:r>
      <w:r w:rsidRPr="00E92031">
        <w:rPr>
          <w:rFonts w:cs="Times New Roman"/>
          <w:szCs w:val="24"/>
        </w:rPr>
        <w:t xml:space="preserve">). </w:t>
      </w:r>
      <w:proofErr w:type="gramStart"/>
      <w:r w:rsidRPr="00E92031">
        <w:rPr>
          <w:rFonts w:cs="Times New Roman"/>
          <w:szCs w:val="24"/>
        </w:rPr>
        <w:t>Therefore</w:t>
      </w:r>
      <w:proofErr w:type="gramEnd"/>
      <w:r w:rsidRPr="00E92031">
        <w:rPr>
          <w:rFonts w:cs="Times New Roman"/>
          <w:szCs w:val="24"/>
        </w:rPr>
        <w:t xml:space="preserve"> discussion concerning leadership is most likely to continue. The </w:t>
      </w:r>
      <w:r w:rsidRPr="00E92031">
        <w:rPr>
          <w:rFonts w:cs="Times New Roman"/>
          <w:szCs w:val="24"/>
        </w:rPr>
        <w:lastRenderedPageBreak/>
        <w:t>responsibilities and objectives of early childhood leaders should be comprehensive and adaptable enough to accommodate the program's uniqueness and diversity and the requirement to build multi-professional collaboration. Above all, the sector distinguishes leaders of practice from those who run environments. It is a future role, and the demands of those who assume it must be investigated and stated to enable those who do so without the authority or ability to validate their acts. The catalytic leadership approach accomplishes this. It is especially relevant for the formative years since professionals' and environments' training experiences can be shown to progress in tandem with the children to build dynamic collaborative learning and a participatory paradigm of continuous learning.</w:t>
      </w:r>
    </w:p>
    <w:p w14:paraId="52EBE8AF" w14:textId="77777777" w:rsidR="00FC5F54" w:rsidRPr="00E92031" w:rsidRDefault="006D56B4" w:rsidP="00FC5F54">
      <w:pPr>
        <w:pStyle w:val="Heading2"/>
      </w:pPr>
      <w:bookmarkStart w:id="2" w:name="_Toc110866466"/>
      <w:r>
        <w:t>Challenging nature of leading and managing</w:t>
      </w:r>
      <w:bookmarkEnd w:id="2"/>
    </w:p>
    <w:p w14:paraId="3F4A508D" w14:textId="77777777" w:rsidR="007668C8" w:rsidRPr="00E92031" w:rsidRDefault="006D56B4" w:rsidP="00773B40">
      <w:pPr>
        <w:jc w:val="both"/>
        <w:rPr>
          <w:rFonts w:cs="Times New Roman"/>
          <w:szCs w:val="24"/>
        </w:rPr>
      </w:pPr>
      <w:bookmarkStart w:id="3" w:name="_Hlk110533856"/>
      <w:r w:rsidRPr="00E92031">
        <w:rPr>
          <w:rFonts w:cs="Times New Roman"/>
          <w:szCs w:val="24"/>
        </w:rPr>
        <w:t xml:space="preserve">The increased focus on transparency and achieving perfection has highlighted the need for talented and successful leaders </w:t>
      </w:r>
      <w:bookmarkEnd w:id="3"/>
      <w:r w:rsidRPr="00E92031">
        <w:rPr>
          <w:rFonts w:cs="Times New Roman"/>
          <w:szCs w:val="24"/>
        </w:rPr>
        <w:t>(</w:t>
      </w:r>
      <w:r w:rsidR="002506CE" w:rsidRPr="00E92031">
        <w:rPr>
          <w:rFonts w:cs="Times New Roman"/>
          <w:szCs w:val="24"/>
        </w:rPr>
        <w:t>Rodd, 2020</w:t>
      </w:r>
      <w:r w:rsidRPr="00E92031">
        <w:rPr>
          <w:rFonts w:cs="Times New Roman"/>
          <w:szCs w:val="24"/>
        </w:rPr>
        <w:t xml:space="preserve">). In </w:t>
      </w:r>
      <w:r w:rsidR="00275FF2" w:rsidRPr="00E92031">
        <w:rPr>
          <w:rFonts w:cs="Times New Roman"/>
          <w:szCs w:val="24"/>
        </w:rPr>
        <w:t xml:space="preserve">the </w:t>
      </w:r>
      <w:r w:rsidRPr="00E92031">
        <w:rPr>
          <w:rFonts w:cs="Times New Roman"/>
          <w:szCs w:val="24"/>
        </w:rPr>
        <w:t>past few years, there seems to be an increased emphasis on leadership (</w:t>
      </w:r>
      <w:r w:rsidR="00275FF2" w:rsidRPr="00E92031">
        <w:rPr>
          <w:rFonts w:cs="Times New Roman"/>
          <w:szCs w:val="24"/>
        </w:rPr>
        <w:t>Yates and Simmons, 2020</w:t>
      </w:r>
      <w:r w:rsidRPr="00E92031">
        <w:rPr>
          <w:rFonts w:cs="Times New Roman"/>
          <w:szCs w:val="24"/>
        </w:rPr>
        <w:t xml:space="preserve">; </w:t>
      </w:r>
      <w:r w:rsidR="00275FF2" w:rsidRPr="00E92031">
        <w:rPr>
          <w:rFonts w:cs="Times New Roman"/>
          <w:szCs w:val="24"/>
        </w:rPr>
        <w:t>Wainwright, 2018</w:t>
      </w:r>
      <w:r w:rsidRPr="00E92031">
        <w:rPr>
          <w:rFonts w:cs="Times New Roman"/>
          <w:szCs w:val="24"/>
        </w:rPr>
        <w:t xml:space="preserve">; </w:t>
      </w:r>
      <w:proofErr w:type="spellStart"/>
      <w:r w:rsidR="00275FF2" w:rsidRPr="00E92031">
        <w:rPr>
          <w:rFonts w:cs="Times New Roman"/>
          <w:szCs w:val="24"/>
        </w:rPr>
        <w:t>Fonsén</w:t>
      </w:r>
      <w:proofErr w:type="spellEnd"/>
      <w:r w:rsidR="00275FF2" w:rsidRPr="00E92031">
        <w:rPr>
          <w:rFonts w:cs="Times New Roman"/>
          <w:szCs w:val="24"/>
        </w:rPr>
        <w:t xml:space="preserve"> and </w:t>
      </w:r>
      <w:proofErr w:type="spellStart"/>
      <w:r w:rsidR="00275FF2" w:rsidRPr="00E92031">
        <w:rPr>
          <w:rFonts w:cs="Times New Roman"/>
          <w:szCs w:val="24"/>
        </w:rPr>
        <w:t>Keski-Rauska</w:t>
      </w:r>
      <w:proofErr w:type="spellEnd"/>
      <w:r w:rsidR="00275FF2" w:rsidRPr="00E92031">
        <w:rPr>
          <w:rFonts w:cs="Times New Roman"/>
          <w:szCs w:val="24"/>
        </w:rPr>
        <w:t>, 2018</w:t>
      </w:r>
      <w:r w:rsidRPr="00E92031">
        <w:rPr>
          <w:rFonts w:cs="Times New Roman"/>
          <w:szCs w:val="24"/>
        </w:rPr>
        <w:t xml:space="preserve">) and discussion over the </w:t>
      </w:r>
      <w:proofErr w:type="gramStart"/>
      <w:r w:rsidRPr="00E92031">
        <w:rPr>
          <w:rFonts w:cs="Times New Roman"/>
          <w:szCs w:val="24"/>
        </w:rPr>
        <w:t>particular components</w:t>
      </w:r>
      <w:proofErr w:type="gramEnd"/>
      <w:r w:rsidRPr="00E92031">
        <w:rPr>
          <w:rFonts w:cs="Times New Roman"/>
          <w:szCs w:val="24"/>
        </w:rPr>
        <w:t xml:space="preserve"> of the field that distinguish early childhood leadership. Even though </w:t>
      </w:r>
      <w:r w:rsidR="00917AE8" w:rsidRPr="00E92031">
        <w:rPr>
          <w:rFonts w:cs="Times New Roman"/>
          <w:szCs w:val="24"/>
        </w:rPr>
        <w:t xml:space="preserve">catalytic </w:t>
      </w:r>
      <w:r w:rsidRPr="00E92031">
        <w:rPr>
          <w:rFonts w:cs="Times New Roman"/>
          <w:szCs w:val="24"/>
        </w:rPr>
        <w:t>leadership is recognised as a crucial aspect of efficiency in early childhood programs (</w:t>
      </w:r>
      <w:r w:rsidR="00275FF2" w:rsidRPr="00E92031">
        <w:rPr>
          <w:rFonts w:cs="Times New Roman"/>
          <w:szCs w:val="24"/>
        </w:rPr>
        <w:t>Grantham-Caston, and DiCarlo, 2021</w:t>
      </w:r>
      <w:r w:rsidRPr="00E92031">
        <w:rPr>
          <w:rFonts w:cs="Times New Roman"/>
          <w:szCs w:val="24"/>
        </w:rPr>
        <w:t xml:space="preserve">), there are currently few important empirical analyses, and </w:t>
      </w:r>
      <w:r w:rsidR="00275FF2" w:rsidRPr="00E92031">
        <w:rPr>
          <w:rFonts w:cs="Times New Roman"/>
          <w:szCs w:val="24"/>
        </w:rPr>
        <w:t xml:space="preserve">Page and </w:t>
      </w:r>
      <w:proofErr w:type="spellStart"/>
      <w:r w:rsidR="00275FF2" w:rsidRPr="00E92031">
        <w:rPr>
          <w:rFonts w:cs="Times New Roman"/>
          <w:szCs w:val="24"/>
        </w:rPr>
        <w:t>Waniganayake</w:t>
      </w:r>
      <w:proofErr w:type="spellEnd"/>
      <w:r w:rsidR="00275FF2" w:rsidRPr="00E92031">
        <w:rPr>
          <w:rFonts w:cs="Times New Roman"/>
          <w:szCs w:val="24"/>
        </w:rPr>
        <w:t xml:space="preserve"> (2019</w:t>
      </w:r>
      <w:r w:rsidRPr="00E92031">
        <w:rPr>
          <w:rFonts w:cs="Times New Roman"/>
          <w:szCs w:val="24"/>
        </w:rPr>
        <w:t xml:space="preserve">) confront the 'dearth' of scientific basis in connection to the specific context of primary childhood requirement. </w:t>
      </w:r>
    </w:p>
    <w:p w14:paraId="2100F5EF" w14:textId="3B7F76EA" w:rsidR="002A4189" w:rsidRPr="00E92031" w:rsidRDefault="006D56B4" w:rsidP="00773B40">
      <w:pPr>
        <w:jc w:val="both"/>
        <w:rPr>
          <w:rFonts w:cs="Times New Roman"/>
          <w:szCs w:val="24"/>
        </w:rPr>
      </w:pPr>
      <w:r w:rsidRPr="00E92031">
        <w:rPr>
          <w:rFonts w:cs="Times New Roman"/>
          <w:szCs w:val="24"/>
        </w:rPr>
        <w:t xml:space="preserve">This section of the essay is meant to contribute to solving that shortage while also interrogating and challenging myths and preconceptions about </w:t>
      </w:r>
      <w:r w:rsidR="00917AE8" w:rsidRPr="00E92031">
        <w:rPr>
          <w:rFonts w:cs="Times New Roman"/>
          <w:szCs w:val="24"/>
        </w:rPr>
        <w:t xml:space="preserve">catalytic </w:t>
      </w:r>
      <w:r w:rsidRPr="00E92031">
        <w:rPr>
          <w:rFonts w:cs="Times New Roman"/>
          <w:szCs w:val="24"/>
        </w:rPr>
        <w:t xml:space="preserve">leadership altogether. Nowadays, much leadership research assumes the </w:t>
      </w:r>
      <w:r w:rsidR="00917AE8" w:rsidRPr="00E92031">
        <w:rPr>
          <w:rFonts w:cs="Times New Roman"/>
          <w:szCs w:val="24"/>
        </w:rPr>
        <w:t>complementary</w:t>
      </w:r>
      <w:r w:rsidRPr="00E92031">
        <w:rPr>
          <w:rFonts w:cs="Times New Roman"/>
          <w:szCs w:val="24"/>
        </w:rPr>
        <w:t xml:space="preserve"> structure of leadership and management (Dunlop 2008, 4). </w:t>
      </w:r>
      <w:r w:rsidR="00A85E6A" w:rsidRPr="00E92031">
        <w:rPr>
          <w:rFonts w:cs="Times New Roman"/>
          <w:szCs w:val="24"/>
        </w:rPr>
        <w:t>Therefore,</w:t>
      </w:r>
      <w:r w:rsidRPr="00E92031">
        <w:rPr>
          <w:rFonts w:cs="Times New Roman"/>
          <w:szCs w:val="24"/>
        </w:rPr>
        <w:t xml:space="preserve"> the emphasis has focused on managerial leaders' qualities, abilities, and behaviours. Whether leadership and management are confounded (</w:t>
      </w:r>
      <w:r w:rsidR="00275FF2" w:rsidRPr="00E92031">
        <w:rPr>
          <w:rFonts w:cs="Times New Roman"/>
          <w:szCs w:val="24"/>
        </w:rPr>
        <w:t>Douglass, 2019</w:t>
      </w:r>
      <w:r w:rsidRPr="00E92031">
        <w:rPr>
          <w:rFonts w:cs="Times New Roman"/>
          <w:szCs w:val="24"/>
        </w:rPr>
        <w:t>) or acknowledged as independent characteristics (</w:t>
      </w:r>
      <w:proofErr w:type="spellStart"/>
      <w:r w:rsidR="00275FF2" w:rsidRPr="00E92031">
        <w:rPr>
          <w:rFonts w:cs="Times New Roman"/>
          <w:szCs w:val="24"/>
        </w:rPr>
        <w:t>Fonsén</w:t>
      </w:r>
      <w:proofErr w:type="spellEnd"/>
      <w:r w:rsidR="00275FF2" w:rsidRPr="00E92031">
        <w:rPr>
          <w:rFonts w:cs="Times New Roman"/>
          <w:szCs w:val="24"/>
        </w:rPr>
        <w:t xml:space="preserve"> and </w:t>
      </w:r>
      <w:proofErr w:type="spellStart"/>
      <w:r w:rsidR="00275FF2" w:rsidRPr="00E92031">
        <w:rPr>
          <w:rFonts w:cs="Times New Roman"/>
          <w:szCs w:val="24"/>
        </w:rPr>
        <w:t>Keski-Rauska</w:t>
      </w:r>
      <w:proofErr w:type="spellEnd"/>
      <w:r w:rsidR="00275FF2" w:rsidRPr="00E92031">
        <w:rPr>
          <w:rFonts w:cs="Times New Roman"/>
          <w:szCs w:val="24"/>
        </w:rPr>
        <w:t>, 2018</w:t>
      </w:r>
      <w:r w:rsidRPr="00E92031">
        <w:rPr>
          <w:rFonts w:cs="Times New Roman"/>
          <w:szCs w:val="24"/>
        </w:rPr>
        <w:t xml:space="preserve">), the presumption is that leadership is associated with control and power. </w:t>
      </w:r>
    </w:p>
    <w:p w14:paraId="3CE79AF4" w14:textId="77777777" w:rsidR="007668C8" w:rsidRPr="00E92031" w:rsidRDefault="006D56B4" w:rsidP="00773B40">
      <w:pPr>
        <w:jc w:val="both"/>
        <w:rPr>
          <w:rFonts w:cs="Times New Roman"/>
          <w:szCs w:val="24"/>
        </w:rPr>
      </w:pPr>
      <w:r w:rsidRPr="00E92031">
        <w:rPr>
          <w:rFonts w:cs="Times New Roman"/>
          <w:szCs w:val="24"/>
        </w:rPr>
        <w:t xml:space="preserve"> </w:t>
      </w:r>
      <w:r w:rsidR="002A4189" w:rsidRPr="00E92031">
        <w:rPr>
          <w:rFonts w:cs="Times New Roman"/>
          <w:szCs w:val="24"/>
        </w:rPr>
        <w:t xml:space="preserve">The unique and difficult situations of leaders of practice, who are frequently incurred with bringing about transformation and performance improvement in roles separate from structured hierarchical structures of power, go largely unexplored, and there is scant knowledge of what leadership means in this sense. There is a distinction between educational leadership and typical organisational leadership, </w:t>
      </w:r>
      <w:r w:rsidR="00917AE8" w:rsidRPr="00E92031">
        <w:rPr>
          <w:rFonts w:cs="Times New Roman"/>
          <w:szCs w:val="24"/>
        </w:rPr>
        <w:t>which</w:t>
      </w:r>
      <w:r w:rsidR="002A4189" w:rsidRPr="00E92031">
        <w:rPr>
          <w:rFonts w:cs="Times New Roman"/>
          <w:szCs w:val="24"/>
        </w:rPr>
        <w:t xml:space="preserve"> </w:t>
      </w:r>
      <w:r w:rsidR="00275FF2" w:rsidRPr="00E92031">
        <w:rPr>
          <w:rFonts w:cs="Times New Roman"/>
          <w:szCs w:val="24"/>
        </w:rPr>
        <w:t xml:space="preserve">Wainwright (2018) </w:t>
      </w:r>
      <w:r w:rsidR="002A4189" w:rsidRPr="00E92031">
        <w:rPr>
          <w:rFonts w:cs="Times New Roman"/>
          <w:szCs w:val="24"/>
        </w:rPr>
        <w:t xml:space="preserve">defines as "connecting study and </w:t>
      </w:r>
      <w:r w:rsidR="002A4189" w:rsidRPr="00E92031">
        <w:rPr>
          <w:rFonts w:cs="Times New Roman"/>
          <w:szCs w:val="24"/>
        </w:rPr>
        <w:lastRenderedPageBreak/>
        <w:t>experimentation," In small contexts, one individual may be accountable for both responsibilities. Furthermore, due to market-led expansion in the offering, private environments can be controlled and owned by persons with less technical and conceptual training or comprehension. Pragmatism implies that students qualified for early year professionals typically come from "within the ranks." Different viewpoints, objectives, and backgrounds lead to implicit components in this cooperative activity diagram, in which the labour force provides distinct places for individuals with diverse backgrounds (</w:t>
      </w:r>
      <w:r w:rsidR="00275FF2" w:rsidRPr="00E92031">
        <w:rPr>
          <w:rFonts w:cs="Times New Roman"/>
          <w:szCs w:val="24"/>
        </w:rPr>
        <w:t>McNair, Bensimon, and Malcom-</w:t>
      </w:r>
      <w:proofErr w:type="spellStart"/>
      <w:r w:rsidR="00275FF2" w:rsidRPr="00E92031">
        <w:rPr>
          <w:rFonts w:cs="Times New Roman"/>
          <w:szCs w:val="24"/>
        </w:rPr>
        <w:t>Piqueux</w:t>
      </w:r>
      <w:proofErr w:type="spellEnd"/>
      <w:r w:rsidR="00275FF2" w:rsidRPr="00E92031">
        <w:rPr>
          <w:rFonts w:cs="Times New Roman"/>
          <w:szCs w:val="24"/>
        </w:rPr>
        <w:t>, 2020</w:t>
      </w:r>
      <w:r w:rsidR="002A4189" w:rsidRPr="00E92031">
        <w:rPr>
          <w:rFonts w:cs="Times New Roman"/>
          <w:szCs w:val="24"/>
        </w:rPr>
        <w:t>).</w:t>
      </w:r>
    </w:p>
    <w:p w14:paraId="1C306746" w14:textId="77777777" w:rsidR="007668C8" w:rsidRPr="00E92031" w:rsidRDefault="006D56B4" w:rsidP="00773B40">
      <w:pPr>
        <w:jc w:val="both"/>
        <w:rPr>
          <w:rFonts w:cs="Times New Roman"/>
          <w:szCs w:val="24"/>
        </w:rPr>
      </w:pPr>
      <w:r w:rsidRPr="00E92031">
        <w:rPr>
          <w:rFonts w:cs="Times New Roman"/>
          <w:szCs w:val="24"/>
        </w:rPr>
        <w:t xml:space="preserve">The difficulties created by inconsistencies among their roles as </w:t>
      </w:r>
      <w:r w:rsidR="00917AE8" w:rsidRPr="00E92031">
        <w:rPr>
          <w:rFonts w:cs="Times New Roman"/>
          <w:szCs w:val="24"/>
        </w:rPr>
        <w:t xml:space="preserve">catalytic </w:t>
      </w:r>
      <w:r w:rsidRPr="00E92031">
        <w:rPr>
          <w:rFonts w:cs="Times New Roman"/>
          <w:szCs w:val="24"/>
        </w:rPr>
        <w:t>leaders of practice and normative leadership frameworks offered a setting for rethinking leadership. The training provided by expanding periods (</w:t>
      </w:r>
      <w:r w:rsidR="00EE0C7F" w:rsidRPr="00E92031">
        <w:rPr>
          <w:rFonts w:cs="Times New Roman"/>
          <w:szCs w:val="24"/>
        </w:rPr>
        <w:t>Van Mierlo and Beers, 2020</w:t>
      </w:r>
      <w:r w:rsidRPr="00E92031">
        <w:rPr>
          <w:rFonts w:cs="Times New Roman"/>
          <w:szCs w:val="24"/>
        </w:rPr>
        <w:t>) promoted collaborative imagining of practise leadership, which is consistent not just with the highly different character of early years practise and service, but also with the early years ethic (</w:t>
      </w:r>
      <w:r w:rsidR="00EE0C7F" w:rsidRPr="00E92031">
        <w:rPr>
          <w:rFonts w:cs="Times New Roman"/>
          <w:szCs w:val="24"/>
        </w:rPr>
        <w:t>Moss, 2018</w:t>
      </w:r>
      <w:r w:rsidRPr="00E92031">
        <w:rPr>
          <w:rFonts w:cs="Times New Roman"/>
          <w:szCs w:val="24"/>
        </w:rPr>
        <w:t>).</w:t>
      </w:r>
    </w:p>
    <w:p w14:paraId="07F699BC" w14:textId="77777777" w:rsidR="00300ECA" w:rsidRPr="00E92031" w:rsidRDefault="006D56B4" w:rsidP="00773B40">
      <w:pPr>
        <w:jc w:val="both"/>
        <w:rPr>
          <w:rFonts w:cs="Times New Roman"/>
          <w:szCs w:val="24"/>
        </w:rPr>
      </w:pPr>
      <w:r w:rsidRPr="00E92031">
        <w:rPr>
          <w:rFonts w:cs="Times New Roman"/>
          <w:szCs w:val="24"/>
        </w:rPr>
        <w:t>Early childhood educators' work is supported by a set of ideals that inform both their moral framework and their conceptual model. A dedication to discussion and reflective thinking is essential to this strategy, as is the requirement to cultivate true connections with individuals. Authenticity is a contentious phrase, it has been defined in this sense as Gadamer's (</w:t>
      </w:r>
      <w:r w:rsidR="00EE0C7F" w:rsidRPr="00E92031">
        <w:rPr>
          <w:rFonts w:cs="Times New Roman"/>
          <w:szCs w:val="24"/>
        </w:rPr>
        <w:t>Palaiologou, and Male, 2019</w:t>
      </w:r>
      <w:r w:rsidRPr="00E92031">
        <w:rPr>
          <w:rFonts w:cs="Times New Roman"/>
          <w:szCs w:val="24"/>
        </w:rPr>
        <w:t>) context of dialectic interconnectedness, in which we check our principles and improve our knowledge of ourselves through interaction with each other. This is also compatible with a perspective of the early-year professional testing process that promotes professionals' career advancement as leading change instead of simply authorising their proficiency. As a result, the importance of creating a courteous framework of applicants and fosters healthy interactions outweighed all other concerns.</w:t>
      </w:r>
    </w:p>
    <w:p w14:paraId="1A7488B5" w14:textId="77777777" w:rsidR="00300ECA" w:rsidRPr="00E92031" w:rsidRDefault="006D56B4" w:rsidP="00773B40">
      <w:pPr>
        <w:jc w:val="both"/>
        <w:rPr>
          <w:rFonts w:cs="Times New Roman"/>
          <w:szCs w:val="24"/>
        </w:rPr>
      </w:pPr>
      <w:r w:rsidRPr="00E92031">
        <w:rPr>
          <w:rFonts w:cs="Times New Roman"/>
          <w:szCs w:val="24"/>
        </w:rPr>
        <w:t xml:space="preserve">According to </w:t>
      </w:r>
      <w:r w:rsidR="00EE0C7F" w:rsidRPr="00E92031">
        <w:rPr>
          <w:rFonts w:cs="Times New Roman"/>
          <w:szCs w:val="24"/>
        </w:rPr>
        <w:t>Lai, and McNaughton, (2018</w:t>
      </w:r>
      <w:r w:rsidRPr="00E92031">
        <w:rPr>
          <w:rFonts w:cs="Times New Roman"/>
          <w:szCs w:val="24"/>
        </w:rPr>
        <w:t>), research and consequent learning and understanding cannot be a "value-free intellectual endeavour rather constantly societal and would always include morals, ethics, and values" and must be achieved inside a political regime. As a result, it may be defined as following ethical norms of benevolence, providing value, and achieving good results (</w:t>
      </w:r>
      <w:r w:rsidR="00EE0C7F" w:rsidRPr="00E92031">
        <w:rPr>
          <w:rFonts w:cs="Times New Roman"/>
          <w:szCs w:val="24"/>
        </w:rPr>
        <w:t>MARKIDOU, n.d.</w:t>
      </w:r>
      <w:r w:rsidRPr="00E92031">
        <w:rPr>
          <w:rFonts w:cs="Times New Roman"/>
          <w:szCs w:val="24"/>
        </w:rPr>
        <w:t xml:space="preserve">). Nonetheless, a major issue was the possible power imbalance between scientists and the subjects. </w:t>
      </w:r>
    </w:p>
    <w:p w14:paraId="03AD3F34" w14:textId="77777777" w:rsidR="00B5789E" w:rsidRPr="00E92031" w:rsidRDefault="006D56B4" w:rsidP="00773B40">
      <w:pPr>
        <w:jc w:val="both"/>
        <w:rPr>
          <w:rFonts w:cs="Times New Roman"/>
          <w:szCs w:val="24"/>
          <w:shd w:val="clear" w:color="auto" w:fill="F8F8F8"/>
        </w:rPr>
      </w:pPr>
      <w:r w:rsidRPr="00E92031">
        <w:rPr>
          <w:rFonts w:cs="Times New Roman"/>
          <w:szCs w:val="24"/>
          <w:shd w:val="clear" w:color="auto" w:fill="F8F8F8"/>
        </w:rPr>
        <w:t>Catalytic l</w:t>
      </w:r>
      <w:r w:rsidR="00EE1378" w:rsidRPr="00E92031">
        <w:rPr>
          <w:rFonts w:cs="Times New Roman"/>
          <w:szCs w:val="24"/>
          <w:shd w:val="clear" w:color="auto" w:fill="F8F8F8"/>
        </w:rPr>
        <w:t xml:space="preserve">eadership provides assurance and teaches students how to resolve issues effectively, work collaboratively, and cooperate. Children with leadership qualities have autonomy in their lives and the power to make situations occur. Leadership provides several possibilities for </w:t>
      </w:r>
      <w:r w:rsidR="00EE1378" w:rsidRPr="00E92031">
        <w:rPr>
          <w:rFonts w:cs="Times New Roman"/>
          <w:szCs w:val="24"/>
          <w:shd w:val="clear" w:color="auto" w:fill="F8F8F8"/>
        </w:rPr>
        <w:lastRenderedPageBreak/>
        <w:t xml:space="preserve">children to acquire awareness. Whereas the term "leadership" may not appear in the early education curriculum, several states include remarks on </w:t>
      </w:r>
      <w:r w:rsidRPr="00E92031">
        <w:rPr>
          <w:rFonts w:cs="Times New Roman"/>
          <w:szCs w:val="24"/>
          <w:shd w:val="clear" w:color="auto" w:fill="F8F8F8"/>
        </w:rPr>
        <w:t xml:space="preserve">catalytic </w:t>
      </w:r>
      <w:r w:rsidR="00EE1378" w:rsidRPr="00E92031">
        <w:rPr>
          <w:rFonts w:cs="Times New Roman"/>
          <w:szCs w:val="24"/>
          <w:shd w:val="clear" w:color="auto" w:fill="F8F8F8"/>
        </w:rPr>
        <w:t>leadership in the socioeconomic aspect of their specifications. Pennsylvania's Pre-Kindergarten Early Education Objectives, for instance, involve understanding and expressing autonomous feelings and thoughts and engaging in new activities with independence and confidence</w:t>
      </w:r>
      <w:r w:rsidR="00EE0C7F" w:rsidRPr="00E92031">
        <w:rPr>
          <w:rFonts w:cs="Times New Roman"/>
          <w:szCs w:val="24"/>
          <w:shd w:val="clear" w:color="auto" w:fill="F8F8F8"/>
        </w:rPr>
        <w:t xml:space="preserve"> (Peisner-Feinberg et al, 2020)</w:t>
      </w:r>
      <w:r w:rsidR="00EE1378" w:rsidRPr="00E92031">
        <w:rPr>
          <w:rFonts w:cs="Times New Roman"/>
          <w:szCs w:val="24"/>
          <w:shd w:val="clear" w:color="auto" w:fill="F8F8F8"/>
        </w:rPr>
        <w:t>.</w:t>
      </w:r>
    </w:p>
    <w:p w14:paraId="285E7141" w14:textId="77777777" w:rsidR="00B5789E" w:rsidRPr="00E92031" w:rsidRDefault="006D56B4" w:rsidP="00773B40">
      <w:pPr>
        <w:jc w:val="both"/>
        <w:rPr>
          <w:rFonts w:cs="Times New Roman"/>
          <w:szCs w:val="24"/>
          <w:shd w:val="clear" w:color="auto" w:fill="F8F8F8"/>
        </w:rPr>
      </w:pPr>
      <w:r w:rsidRPr="00E92031">
        <w:rPr>
          <w:rFonts w:cs="Times New Roman"/>
          <w:szCs w:val="24"/>
          <w:shd w:val="clear" w:color="auto" w:fill="F8F8F8"/>
        </w:rPr>
        <w:t xml:space="preserve">Due to the connection between exceptional leadership and improved achievements for early childhood, the necessity for leadership in early childhood education and care (ECEC) environments has been and will continue to be a focus. Effective leadership is acknowledged as essential for achieving educational and community facilities. The possibility to establish and maintain a high environment is minimal without talented and motivated leaders to assist influence the curriculum and learning. According to studies, leadership is next to only teaching as an effect on education. The character and </w:t>
      </w:r>
      <w:r w:rsidR="00C5030D" w:rsidRPr="00E92031">
        <w:rPr>
          <w:rFonts w:cs="Times New Roman"/>
          <w:szCs w:val="24"/>
          <w:shd w:val="clear" w:color="auto" w:fill="F8F8F8"/>
        </w:rPr>
        <w:t>practice</w:t>
      </w:r>
      <w:r w:rsidRPr="00E92031">
        <w:rPr>
          <w:rFonts w:cs="Times New Roman"/>
          <w:szCs w:val="24"/>
          <w:shd w:val="clear" w:color="auto" w:fill="F8F8F8"/>
        </w:rPr>
        <w:t xml:space="preserve"> </w:t>
      </w:r>
      <w:r w:rsidR="00917AE8" w:rsidRPr="00E92031">
        <w:rPr>
          <w:rFonts w:cs="Times New Roman"/>
          <w:szCs w:val="24"/>
          <w:shd w:val="clear" w:color="auto" w:fill="F8F8F8"/>
        </w:rPr>
        <w:t>of catalytic</w:t>
      </w:r>
      <w:r w:rsidR="00C5030D" w:rsidRPr="00E92031">
        <w:rPr>
          <w:rFonts w:cs="Times New Roman"/>
          <w:szCs w:val="24"/>
          <w:shd w:val="clear" w:color="auto" w:fill="F8F8F8"/>
        </w:rPr>
        <w:t xml:space="preserve"> </w:t>
      </w:r>
      <w:r w:rsidRPr="00E92031">
        <w:rPr>
          <w:rFonts w:cs="Times New Roman"/>
          <w:szCs w:val="24"/>
          <w:shd w:val="clear" w:color="auto" w:fill="F8F8F8"/>
        </w:rPr>
        <w:t>are consistently and demonstrably connected to higher student achievement and educational equity (</w:t>
      </w:r>
      <w:r w:rsidR="00EE0C7F" w:rsidRPr="00E92031">
        <w:rPr>
          <w:rFonts w:cs="Times New Roman"/>
          <w:szCs w:val="24"/>
          <w:shd w:val="clear" w:color="auto" w:fill="F8F8F8"/>
        </w:rPr>
        <w:t>Tai, and Abdull Kareem, 2020; Basham, 2021).</w:t>
      </w:r>
    </w:p>
    <w:p w14:paraId="4A2B8967" w14:textId="77777777" w:rsidR="00B5789E" w:rsidRPr="00E92031" w:rsidRDefault="006D56B4" w:rsidP="00773B40">
      <w:pPr>
        <w:jc w:val="both"/>
        <w:rPr>
          <w:rFonts w:cs="Times New Roman"/>
          <w:szCs w:val="24"/>
          <w:shd w:val="clear" w:color="auto" w:fill="F8F8F8"/>
        </w:rPr>
      </w:pPr>
      <w:r w:rsidRPr="00E92031">
        <w:rPr>
          <w:rFonts w:cs="Times New Roman"/>
          <w:szCs w:val="24"/>
          <w:shd w:val="clear" w:color="auto" w:fill="F8F8F8"/>
        </w:rPr>
        <w:t xml:space="preserve">Several </w:t>
      </w:r>
      <w:r w:rsidR="00EE0C7F" w:rsidRPr="00E92031">
        <w:rPr>
          <w:rFonts w:cs="Times New Roman"/>
          <w:szCs w:val="24"/>
          <w:shd w:val="clear" w:color="auto" w:fill="F8F8F8"/>
        </w:rPr>
        <w:t>e</w:t>
      </w:r>
      <w:r w:rsidRPr="00E92031">
        <w:rPr>
          <w:rFonts w:cs="Times New Roman"/>
          <w:szCs w:val="24"/>
          <w:shd w:val="clear" w:color="auto" w:fill="F8F8F8"/>
        </w:rPr>
        <w:t xml:space="preserve">ducational </w:t>
      </w:r>
      <w:r w:rsidR="00C5030D" w:rsidRPr="00E92031">
        <w:rPr>
          <w:rFonts w:cs="Times New Roman"/>
          <w:szCs w:val="24"/>
          <w:shd w:val="clear" w:color="auto" w:fill="F8F8F8"/>
        </w:rPr>
        <w:t>organisations</w:t>
      </w:r>
      <w:r w:rsidRPr="00E92031">
        <w:rPr>
          <w:rFonts w:cs="Times New Roman"/>
          <w:szCs w:val="24"/>
          <w:shd w:val="clear" w:color="auto" w:fill="F8F8F8"/>
        </w:rPr>
        <w:t xml:space="preserve"> </w:t>
      </w:r>
      <w:r w:rsidR="00C5030D" w:rsidRPr="00E92031">
        <w:rPr>
          <w:rFonts w:cs="Times New Roman"/>
          <w:szCs w:val="24"/>
          <w:shd w:val="clear" w:color="auto" w:fill="F8F8F8"/>
        </w:rPr>
        <w:t>have</w:t>
      </w:r>
      <w:r w:rsidRPr="00E92031">
        <w:rPr>
          <w:rFonts w:cs="Times New Roman"/>
          <w:szCs w:val="24"/>
          <w:shd w:val="clear" w:color="auto" w:fill="F8F8F8"/>
        </w:rPr>
        <w:t xml:space="preserve"> acknowledged this data, as well as the fact that the area demands all employees to expand their expert base of knowledge and participate in continual development and growth. Thus, these organisations have spent many years researching what </w:t>
      </w:r>
      <w:r w:rsidR="00C5030D" w:rsidRPr="00E92031">
        <w:rPr>
          <w:rFonts w:cs="Times New Roman"/>
          <w:szCs w:val="24"/>
          <w:shd w:val="clear" w:color="auto" w:fill="F8F8F8"/>
        </w:rPr>
        <w:t xml:space="preserve">catalytic </w:t>
      </w:r>
      <w:r w:rsidRPr="00E92031">
        <w:rPr>
          <w:rFonts w:cs="Times New Roman"/>
          <w:szCs w:val="24"/>
          <w:shd w:val="clear" w:color="auto" w:fill="F8F8F8"/>
        </w:rPr>
        <w:t>leadership sounds like in early years settings and developing a set of competencies around which early childhood and school care professionals may build their leadership and management plans</w:t>
      </w:r>
      <w:r w:rsidR="00C5030D" w:rsidRPr="00E92031">
        <w:rPr>
          <w:rFonts w:cs="Times New Roman"/>
          <w:szCs w:val="24"/>
          <w:shd w:val="clear" w:color="auto" w:fill="F8F8F8"/>
        </w:rPr>
        <w:t xml:space="preserve"> (Tobin, 2022)</w:t>
      </w:r>
      <w:r w:rsidRPr="00E92031">
        <w:rPr>
          <w:rFonts w:cs="Times New Roman"/>
          <w:szCs w:val="24"/>
          <w:shd w:val="clear" w:color="auto" w:fill="F8F8F8"/>
        </w:rPr>
        <w:t>. These talents enable a leader to focus on their own and many others' actions</w:t>
      </w:r>
      <w:r w:rsidR="00C5030D" w:rsidRPr="00E92031">
        <w:rPr>
          <w:rFonts w:cs="Times New Roman"/>
          <w:szCs w:val="24"/>
          <w:shd w:val="clear" w:color="auto" w:fill="F8F8F8"/>
        </w:rPr>
        <w:t xml:space="preserve"> (</w:t>
      </w:r>
      <w:proofErr w:type="spellStart"/>
      <w:r w:rsidR="00C5030D" w:rsidRPr="00E92031">
        <w:rPr>
          <w:rFonts w:cs="Times New Roman"/>
          <w:szCs w:val="24"/>
          <w:shd w:val="clear" w:color="auto" w:fill="F8F8F8"/>
        </w:rPr>
        <w:t>Cherkowski</w:t>
      </w:r>
      <w:proofErr w:type="spellEnd"/>
      <w:r w:rsidR="00C5030D" w:rsidRPr="00E92031">
        <w:rPr>
          <w:rFonts w:cs="Times New Roman"/>
          <w:szCs w:val="24"/>
          <w:shd w:val="clear" w:color="auto" w:fill="F8F8F8"/>
        </w:rPr>
        <w:t>, 2018)</w:t>
      </w:r>
      <w:r w:rsidR="00551A7E" w:rsidRPr="00E92031">
        <w:rPr>
          <w:rFonts w:cs="Times New Roman"/>
          <w:szCs w:val="24"/>
          <w:shd w:val="clear" w:color="auto" w:fill="F8F8F8"/>
        </w:rPr>
        <w:t>, like</w:t>
      </w:r>
      <w:r w:rsidRPr="00E92031">
        <w:rPr>
          <w:rFonts w:cs="Times New Roman"/>
          <w:szCs w:val="24"/>
          <w:shd w:val="clear" w:color="auto" w:fill="F8F8F8"/>
        </w:rPr>
        <w:t>:</w:t>
      </w:r>
      <w:r w:rsidR="00551A7E" w:rsidRPr="00E92031">
        <w:rPr>
          <w:rFonts w:cs="Times New Roman"/>
          <w:szCs w:val="24"/>
          <w:shd w:val="clear" w:color="auto" w:fill="F8F8F8"/>
        </w:rPr>
        <w:t xml:space="preserve"> </w:t>
      </w:r>
    </w:p>
    <w:p w14:paraId="03431681" w14:textId="77777777" w:rsidR="00551A7E" w:rsidRPr="00E92031" w:rsidRDefault="006D56B4" w:rsidP="00773B40">
      <w:pPr>
        <w:pStyle w:val="ListParagraph"/>
        <w:numPr>
          <w:ilvl w:val="0"/>
          <w:numId w:val="2"/>
        </w:numPr>
        <w:jc w:val="both"/>
        <w:rPr>
          <w:rFonts w:cs="Times New Roman"/>
          <w:szCs w:val="24"/>
          <w:shd w:val="clear" w:color="auto" w:fill="F8F8F8"/>
        </w:rPr>
      </w:pPr>
      <w:r w:rsidRPr="00E92031">
        <w:rPr>
          <w:rFonts w:cs="Times New Roman"/>
          <w:szCs w:val="24"/>
          <w:shd w:val="clear" w:color="auto" w:fill="F8F8F8"/>
        </w:rPr>
        <w:t xml:space="preserve">Assist in making students' development, growth, and wellness a </w:t>
      </w:r>
      <w:proofErr w:type="gramStart"/>
      <w:r w:rsidRPr="00E92031">
        <w:rPr>
          <w:rFonts w:cs="Times New Roman"/>
          <w:szCs w:val="24"/>
          <w:shd w:val="clear" w:color="auto" w:fill="F8F8F8"/>
        </w:rPr>
        <w:t>priority;</w:t>
      </w:r>
      <w:proofErr w:type="gramEnd"/>
    </w:p>
    <w:p w14:paraId="3FC2FD6C" w14:textId="77777777" w:rsidR="00551A7E" w:rsidRPr="00E92031" w:rsidRDefault="006D56B4" w:rsidP="00773B40">
      <w:pPr>
        <w:pStyle w:val="ListParagraph"/>
        <w:numPr>
          <w:ilvl w:val="0"/>
          <w:numId w:val="2"/>
        </w:numPr>
        <w:jc w:val="both"/>
        <w:rPr>
          <w:rFonts w:cs="Times New Roman"/>
          <w:szCs w:val="24"/>
          <w:shd w:val="clear" w:color="auto" w:fill="F8F8F8"/>
        </w:rPr>
      </w:pPr>
      <w:r w:rsidRPr="00E92031">
        <w:rPr>
          <w:rFonts w:cs="Times New Roman"/>
          <w:szCs w:val="24"/>
          <w:shd w:val="clear" w:color="auto" w:fill="F8F8F8"/>
        </w:rPr>
        <w:t xml:space="preserve">Promote </w:t>
      </w:r>
      <w:r w:rsidR="00C5030D" w:rsidRPr="00E92031">
        <w:rPr>
          <w:rFonts w:cs="Times New Roman"/>
          <w:szCs w:val="24"/>
          <w:shd w:val="clear" w:color="auto" w:fill="F8F8F8"/>
        </w:rPr>
        <w:t>rights</w:t>
      </w:r>
      <w:r w:rsidRPr="00E92031">
        <w:rPr>
          <w:rFonts w:cs="Times New Roman"/>
          <w:szCs w:val="24"/>
          <w:shd w:val="clear" w:color="auto" w:fill="F8F8F8"/>
        </w:rPr>
        <w:t xml:space="preserve"> of children and individuality in good, helpful, and daring </w:t>
      </w:r>
      <w:proofErr w:type="gramStart"/>
      <w:r w:rsidRPr="00E92031">
        <w:rPr>
          <w:rFonts w:cs="Times New Roman"/>
          <w:szCs w:val="24"/>
          <w:shd w:val="clear" w:color="auto" w:fill="F8F8F8"/>
        </w:rPr>
        <w:t>ways;</w:t>
      </w:r>
      <w:proofErr w:type="gramEnd"/>
    </w:p>
    <w:p w14:paraId="3680F8AC" w14:textId="77777777" w:rsidR="00551A7E" w:rsidRPr="00E92031" w:rsidRDefault="006D56B4" w:rsidP="00773B40">
      <w:pPr>
        <w:pStyle w:val="ListParagraph"/>
        <w:numPr>
          <w:ilvl w:val="0"/>
          <w:numId w:val="2"/>
        </w:numPr>
        <w:jc w:val="both"/>
        <w:rPr>
          <w:rFonts w:cs="Times New Roman"/>
          <w:szCs w:val="24"/>
          <w:shd w:val="clear" w:color="auto" w:fill="F8F8F8"/>
        </w:rPr>
      </w:pPr>
      <w:r w:rsidRPr="00E92031">
        <w:rPr>
          <w:rFonts w:cs="Times New Roman"/>
          <w:szCs w:val="24"/>
          <w:shd w:val="clear" w:color="auto" w:fill="F8F8F8"/>
        </w:rPr>
        <w:t xml:space="preserve">Create connections that are courteous, trustworthy, loving, and </w:t>
      </w:r>
      <w:proofErr w:type="gramStart"/>
      <w:r w:rsidRPr="00E92031">
        <w:rPr>
          <w:rFonts w:cs="Times New Roman"/>
          <w:szCs w:val="24"/>
          <w:shd w:val="clear" w:color="auto" w:fill="F8F8F8"/>
        </w:rPr>
        <w:t>equal;</w:t>
      </w:r>
      <w:proofErr w:type="gramEnd"/>
    </w:p>
    <w:p w14:paraId="0CD0A033" w14:textId="77777777" w:rsidR="00551A7E" w:rsidRPr="00E92031" w:rsidRDefault="006D56B4" w:rsidP="00773B40">
      <w:pPr>
        <w:pStyle w:val="ListParagraph"/>
        <w:numPr>
          <w:ilvl w:val="0"/>
          <w:numId w:val="2"/>
        </w:numPr>
        <w:jc w:val="both"/>
        <w:rPr>
          <w:rFonts w:cs="Times New Roman"/>
          <w:szCs w:val="24"/>
          <w:shd w:val="clear" w:color="auto" w:fill="F8F8F8"/>
        </w:rPr>
      </w:pPr>
      <w:r w:rsidRPr="00E92031">
        <w:rPr>
          <w:rFonts w:cs="Times New Roman"/>
          <w:szCs w:val="24"/>
          <w:shd w:val="clear" w:color="auto" w:fill="F8F8F8"/>
        </w:rPr>
        <w:t xml:space="preserve">Make actual and considerate associations with communities and </w:t>
      </w:r>
      <w:proofErr w:type="gramStart"/>
      <w:r w:rsidRPr="00E92031">
        <w:rPr>
          <w:rFonts w:cs="Times New Roman"/>
          <w:szCs w:val="24"/>
          <w:shd w:val="clear" w:color="auto" w:fill="F8F8F8"/>
        </w:rPr>
        <w:t>families;</w:t>
      </w:r>
      <w:proofErr w:type="gramEnd"/>
    </w:p>
    <w:p w14:paraId="3A9E8378" w14:textId="77777777" w:rsidR="007A66A8" w:rsidRPr="00E92031" w:rsidRDefault="006D56B4" w:rsidP="00773B40">
      <w:pPr>
        <w:pStyle w:val="ListParagraph"/>
        <w:numPr>
          <w:ilvl w:val="0"/>
          <w:numId w:val="2"/>
        </w:numPr>
        <w:jc w:val="both"/>
        <w:rPr>
          <w:rFonts w:cs="Times New Roman"/>
          <w:szCs w:val="24"/>
          <w:shd w:val="clear" w:color="auto" w:fill="F8F8F8"/>
        </w:rPr>
      </w:pPr>
      <w:r w:rsidRPr="00E92031">
        <w:rPr>
          <w:rFonts w:cs="Times New Roman"/>
          <w:szCs w:val="24"/>
          <w:shd w:val="clear" w:color="auto" w:fill="F8F8F8"/>
        </w:rPr>
        <w:t xml:space="preserve">Establish a moral inquiry environment </w:t>
      </w:r>
      <w:proofErr w:type="gramStart"/>
      <w:r w:rsidRPr="00E92031">
        <w:rPr>
          <w:rFonts w:cs="Times New Roman"/>
          <w:szCs w:val="24"/>
          <w:shd w:val="clear" w:color="auto" w:fill="F8F8F8"/>
        </w:rPr>
        <w:t>collectively;</w:t>
      </w:r>
      <w:proofErr w:type="gramEnd"/>
      <w:r w:rsidRPr="00E92031">
        <w:rPr>
          <w:rFonts w:cs="Times New Roman"/>
          <w:szCs w:val="24"/>
          <w:shd w:val="clear" w:color="auto" w:fill="F8F8F8"/>
        </w:rPr>
        <w:t xml:space="preserve"> </w:t>
      </w:r>
    </w:p>
    <w:p w14:paraId="6E265C3F" w14:textId="77777777" w:rsidR="00B5789E" w:rsidRPr="00E92031" w:rsidRDefault="006D56B4" w:rsidP="00773B40">
      <w:pPr>
        <w:pStyle w:val="ListParagraph"/>
        <w:numPr>
          <w:ilvl w:val="0"/>
          <w:numId w:val="2"/>
        </w:numPr>
        <w:jc w:val="both"/>
        <w:rPr>
          <w:rFonts w:cs="Times New Roman"/>
          <w:szCs w:val="24"/>
          <w:shd w:val="clear" w:color="auto" w:fill="F8F8F8"/>
        </w:rPr>
      </w:pPr>
      <w:r w:rsidRPr="00E92031">
        <w:rPr>
          <w:rFonts w:cs="Times New Roman"/>
          <w:szCs w:val="24"/>
          <w:shd w:val="clear" w:color="auto" w:fill="F8F8F8"/>
        </w:rPr>
        <w:t>Create a learning environment collectively.</w:t>
      </w:r>
    </w:p>
    <w:p w14:paraId="50ADCBEE" w14:textId="77777777" w:rsidR="00B5789E" w:rsidRPr="00E92031" w:rsidRDefault="006D56B4" w:rsidP="00773B40">
      <w:pPr>
        <w:jc w:val="both"/>
        <w:rPr>
          <w:rFonts w:cs="Times New Roman"/>
          <w:szCs w:val="24"/>
          <w:shd w:val="clear" w:color="auto" w:fill="F8F8F8"/>
        </w:rPr>
      </w:pPr>
      <w:r w:rsidRPr="00E92031">
        <w:rPr>
          <w:rFonts w:cs="Times New Roman"/>
          <w:szCs w:val="24"/>
          <w:shd w:val="clear" w:color="auto" w:fill="F8F8F8"/>
        </w:rPr>
        <w:t xml:space="preserve">The key competencies should be established as part of </w:t>
      </w:r>
      <w:r w:rsidR="00C5030D" w:rsidRPr="00E92031">
        <w:rPr>
          <w:rFonts w:cs="Times New Roman"/>
          <w:szCs w:val="24"/>
          <w:shd w:val="clear" w:color="auto" w:fill="F8F8F8"/>
        </w:rPr>
        <w:t xml:space="preserve">the </w:t>
      </w:r>
      <w:r w:rsidRPr="00E92031">
        <w:rPr>
          <w:rFonts w:cs="Times New Roman"/>
          <w:szCs w:val="24"/>
          <w:shd w:val="clear" w:color="auto" w:fill="F8F8F8"/>
        </w:rPr>
        <w:t xml:space="preserve">organisation's ambition to identify for both itself and the discipline </w:t>
      </w:r>
      <w:r w:rsidR="008B4979" w:rsidRPr="00E92031">
        <w:rPr>
          <w:rFonts w:cs="Times New Roman"/>
          <w:szCs w:val="24"/>
          <w:shd w:val="clear" w:color="auto" w:fill="F8F8F8"/>
        </w:rPr>
        <w:t>with a</w:t>
      </w:r>
      <w:r w:rsidRPr="00E92031">
        <w:rPr>
          <w:rFonts w:cs="Times New Roman"/>
          <w:szCs w:val="24"/>
          <w:shd w:val="clear" w:color="auto" w:fill="F8F8F8"/>
        </w:rPr>
        <w:t xml:space="preserve"> perspective of leadership that corresponds with the search for children's education and care as well as a field that is distinguished by, among many other reasons, its ability to provide</w:t>
      </w:r>
      <w:r w:rsidR="008B4979" w:rsidRPr="00E92031">
        <w:rPr>
          <w:rFonts w:cs="Times New Roman"/>
          <w:szCs w:val="24"/>
          <w:shd w:val="clear" w:color="auto" w:fill="F8F8F8"/>
        </w:rPr>
        <w:t xml:space="preserve"> (Louis, and Murphy, 2018)</w:t>
      </w:r>
      <w:r w:rsidRPr="00E92031">
        <w:rPr>
          <w:rFonts w:cs="Times New Roman"/>
          <w:szCs w:val="24"/>
          <w:shd w:val="clear" w:color="auto" w:fill="F8F8F8"/>
        </w:rPr>
        <w:t xml:space="preserve">. They are based on a collection of </w:t>
      </w:r>
      <w:r w:rsidRPr="00E92031">
        <w:rPr>
          <w:rFonts w:cs="Times New Roman"/>
          <w:szCs w:val="24"/>
          <w:shd w:val="clear" w:color="auto" w:fill="F8F8F8"/>
        </w:rPr>
        <w:lastRenderedPageBreak/>
        <w:t>beliefs, characteristics, abilities, expertise, attitudes, and behaviours that promote strong leadership in early childhood development and care.</w:t>
      </w:r>
    </w:p>
    <w:p w14:paraId="36754ACB" w14:textId="77777777" w:rsidR="009D5648" w:rsidRPr="00E92031" w:rsidRDefault="006D56B4" w:rsidP="00773B40">
      <w:pPr>
        <w:jc w:val="both"/>
        <w:rPr>
          <w:rFonts w:cs="Times New Roman"/>
          <w:szCs w:val="24"/>
          <w:shd w:val="clear" w:color="auto" w:fill="F8F8F8"/>
        </w:rPr>
      </w:pPr>
      <w:r w:rsidRPr="00E92031">
        <w:rPr>
          <w:rFonts w:cs="Times New Roman"/>
          <w:szCs w:val="24"/>
          <w:shd w:val="clear" w:color="auto" w:fill="F8F8F8"/>
        </w:rPr>
        <w:t xml:space="preserve">These practices encompass recognising and expressing a mission, making sure common </w:t>
      </w:r>
      <w:r w:rsidR="008B4979" w:rsidRPr="00E92031">
        <w:rPr>
          <w:rFonts w:cs="Times New Roman"/>
          <w:szCs w:val="24"/>
          <w:shd w:val="clear" w:color="auto" w:fill="F8F8F8"/>
        </w:rPr>
        <w:t xml:space="preserve">                                  </w:t>
      </w:r>
      <w:r w:rsidRPr="00E92031">
        <w:rPr>
          <w:rFonts w:cs="Times New Roman"/>
          <w:szCs w:val="24"/>
          <w:shd w:val="clear" w:color="auto" w:fill="F8F8F8"/>
        </w:rPr>
        <w:t xml:space="preserve">understandings, definitions, and objectives, good communication, trying to encourage perception, evaluating and monitoring profession, perpetrating to continuing professional development, socially beneficial leadership, constructing a community of learners and culture of the team, trying to encourage and fostering legitimate family and society collaborations, and achieving a balance between leading and controlling </w:t>
      </w:r>
      <w:r w:rsidR="00B5789E" w:rsidRPr="00E92031">
        <w:rPr>
          <w:rFonts w:cs="Times New Roman"/>
          <w:szCs w:val="24"/>
          <w:shd w:val="clear" w:color="auto" w:fill="F8F8F8"/>
        </w:rPr>
        <w:t>(</w:t>
      </w:r>
      <w:r w:rsidR="008B4979" w:rsidRPr="00E92031">
        <w:rPr>
          <w:rFonts w:cs="Times New Roman"/>
          <w:szCs w:val="24"/>
          <w:shd w:val="clear" w:color="auto" w:fill="F8F8F8"/>
        </w:rPr>
        <w:t>Karaoğlu, 2020</w:t>
      </w:r>
      <w:r w:rsidR="00B5789E" w:rsidRPr="00E92031">
        <w:rPr>
          <w:rFonts w:cs="Times New Roman"/>
          <w:szCs w:val="24"/>
          <w:shd w:val="clear" w:color="auto" w:fill="F8F8F8"/>
        </w:rPr>
        <w:t xml:space="preserve">). </w:t>
      </w:r>
    </w:p>
    <w:p w14:paraId="4CC325B6" w14:textId="77777777" w:rsidR="007A66A8" w:rsidRPr="00E92031" w:rsidRDefault="006D56B4" w:rsidP="00773B40">
      <w:pPr>
        <w:jc w:val="both"/>
        <w:rPr>
          <w:rFonts w:cs="Times New Roman"/>
          <w:szCs w:val="24"/>
          <w:shd w:val="clear" w:color="auto" w:fill="F8F8F8"/>
        </w:rPr>
      </w:pPr>
      <w:bookmarkStart w:id="4" w:name="_Hlk110533895"/>
      <w:r w:rsidRPr="00E92031">
        <w:rPr>
          <w:rFonts w:cs="Times New Roman"/>
          <w:szCs w:val="24"/>
          <w:shd w:val="clear" w:color="auto" w:fill="F8F8F8"/>
        </w:rPr>
        <w:t>Leadership in early childhood education contexts necessitates profound human attributes that encompass but are not limited to, traditional conceptions of authority.</w:t>
      </w:r>
      <w:bookmarkEnd w:id="4"/>
      <w:r w:rsidRPr="00E92031">
        <w:rPr>
          <w:rFonts w:cs="Times New Roman"/>
          <w:szCs w:val="24"/>
          <w:shd w:val="clear" w:color="auto" w:fill="F8F8F8"/>
        </w:rPr>
        <w:t xml:space="preserve"> The typical notion of a leader as a human at the highest level of a hierarchy is an inadequate representation of what actual leadership entails. Leadership is a process of influence executed by people and groups as they interact with one another to effect changes that reflect a common vision and purpose. Leadership is a personal and moral model obligation</w:t>
      </w:r>
      <w:r w:rsidR="008B4979" w:rsidRPr="00E92031">
        <w:rPr>
          <w:rFonts w:cs="Times New Roman"/>
          <w:szCs w:val="24"/>
          <w:shd w:val="clear" w:color="auto" w:fill="F8F8F8"/>
        </w:rPr>
        <w:t xml:space="preserve"> (Crane, and Hartwell, 2018)</w:t>
      </w:r>
      <w:r w:rsidRPr="00E92031">
        <w:rPr>
          <w:rFonts w:cs="Times New Roman"/>
          <w:szCs w:val="24"/>
          <w:shd w:val="clear" w:color="auto" w:fill="F8F8F8"/>
        </w:rPr>
        <w:t>.</w:t>
      </w:r>
    </w:p>
    <w:p w14:paraId="758A9A65" w14:textId="77777777" w:rsidR="00B5789E" w:rsidRDefault="006D56B4" w:rsidP="00773B40">
      <w:pPr>
        <w:jc w:val="both"/>
        <w:rPr>
          <w:rFonts w:cs="Times New Roman"/>
          <w:szCs w:val="24"/>
          <w:shd w:val="clear" w:color="auto" w:fill="F8F8F8"/>
        </w:rPr>
      </w:pPr>
      <w:r w:rsidRPr="00E92031">
        <w:rPr>
          <w:rFonts w:cs="Times New Roman"/>
          <w:szCs w:val="24"/>
          <w:shd w:val="clear" w:color="auto" w:fill="F8F8F8"/>
        </w:rPr>
        <w:t xml:space="preserve">Leadership is about </w:t>
      </w:r>
      <w:r w:rsidR="008B4979" w:rsidRPr="00E92031">
        <w:rPr>
          <w:rFonts w:cs="Times New Roman"/>
          <w:szCs w:val="24"/>
          <w:shd w:val="clear" w:color="auto" w:fill="F8F8F8"/>
        </w:rPr>
        <w:t xml:space="preserve">the </w:t>
      </w:r>
      <w:r w:rsidRPr="00E92031">
        <w:rPr>
          <w:rFonts w:cs="Times New Roman"/>
          <w:szCs w:val="24"/>
          <w:shd w:val="clear" w:color="auto" w:fill="F8F8F8"/>
        </w:rPr>
        <w:t>goal, and educational leadership embodies that intent in Early childhood education contexts.</w:t>
      </w:r>
      <w:r w:rsidRPr="00E92031">
        <w:rPr>
          <w:rFonts w:cs="Times New Roman"/>
          <w:szCs w:val="24"/>
        </w:rPr>
        <w:t xml:space="preserve"> </w:t>
      </w:r>
      <w:r w:rsidRPr="00E92031">
        <w:rPr>
          <w:rFonts w:cs="Times New Roman"/>
          <w:szCs w:val="24"/>
          <w:shd w:val="clear" w:color="auto" w:fill="F8F8F8"/>
        </w:rPr>
        <w:t>While strong instructional leadership supports how a setting needs to operate, it is also recognised that good leaders do other tasks, including planning and coordinating time and resources, recruiting and training staff, and establishing strong bonds with staff and children, family members, societies, and other institutions</w:t>
      </w:r>
      <w:r w:rsidR="008B4979" w:rsidRPr="00E92031">
        <w:rPr>
          <w:rFonts w:cs="Times New Roman"/>
          <w:szCs w:val="24"/>
          <w:shd w:val="clear" w:color="auto" w:fill="F8F8F8"/>
        </w:rPr>
        <w:t xml:space="preserve"> (Boamah, 2019)</w:t>
      </w:r>
      <w:r w:rsidRPr="00E92031">
        <w:rPr>
          <w:rFonts w:cs="Times New Roman"/>
          <w:szCs w:val="24"/>
          <w:shd w:val="clear" w:color="auto" w:fill="F8F8F8"/>
        </w:rPr>
        <w:t>.</w:t>
      </w:r>
    </w:p>
    <w:p w14:paraId="61520861" w14:textId="77777777" w:rsidR="003E2D5B" w:rsidRDefault="003E2D5B" w:rsidP="00773B40">
      <w:pPr>
        <w:jc w:val="both"/>
        <w:rPr>
          <w:rFonts w:cs="Times New Roman"/>
          <w:szCs w:val="24"/>
          <w:shd w:val="clear" w:color="auto" w:fill="F8F8F8"/>
        </w:rPr>
      </w:pPr>
    </w:p>
    <w:p w14:paraId="23185C76" w14:textId="77777777" w:rsidR="003E2D5B" w:rsidRPr="003E2D5B" w:rsidRDefault="006D56B4" w:rsidP="003E2D5B">
      <w:pPr>
        <w:ind w:firstLine="0"/>
        <w:jc w:val="both"/>
        <w:rPr>
          <w:rFonts w:eastAsiaTheme="majorEastAsia" w:cs="Times New Roman"/>
          <w:b/>
          <w:bCs/>
          <w:iCs/>
          <w:szCs w:val="24"/>
        </w:rPr>
      </w:pPr>
      <w:r w:rsidRPr="003E2D5B">
        <w:rPr>
          <w:rFonts w:eastAsiaTheme="majorEastAsia" w:cs="Times New Roman"/>
          <w:b/>
          <w:bCs/>
          <w:iCs/>
          <w:szCs w:val="24"/>
        </w:rPr>
        <w:t>Conclusion</w:t>
      </w:r>
    </w:p>
    <w:p w14:paraId="789FF1EE" w14:textId="77777777" w:rsidR="003E2D5B" w:rsidRPr="003E2D5B" w:rsidRDefault="006D56B4" w:rsidP="003E2D5B">
      <w:pPr>
        <w:jc w:val="both"/>
        <w:rPr>
          <w:rFonts w:cs="Times New Roman"/>
          <w:szCs w:val="24"/>
          <w:shd w:val="clear" w:color="auto" w:fill="F8F8F8"/>
          <w:lang w:val="en-US"/>
        </w:rPr>
      </w:pPr>
      <w:r w:rsidRPr="003E2D5B">
        <w:rPr>
          <w:rFonts w:cs="Times New Roman"/>
          <w:szCs w:val="24"/>
          <w:shd w:val="clear" w:color="auto" w:fill="F8F8F8"/>
          <w:lang w:val="en-US"/>
        </w:rPr>
        <w:t xml:space="preserve">Catalytic Leaders inspire and encourage people to take on leadership positions and achieve a common objective. Catalytic leadership entails the purposeful use of certain leadership qualities, such as increasing awareness, which entails concentrating public attention on the issues that must be addressed. Catalytic leaders typically bring people together to solve challenges by developing </w:t>
      </w:r>
      <w:proofErr w:type="spellStart"/>
      <w:r w:rsidRPr="003E2D5B">
        <w:rPr>
          <w:rFonts w:cs="Times New Roman"/>
          <w:szCs w:val="24"/>
          <w:shd w:val="clear" w:color="auto" w:fill="F8F8F8"/>
          <w:lang w:val="en-US"/>
        </w:rPr>
        <w:t>specialised</w:t>
      </w:r>
      <w:proofErr w:type="spellEnd"/>
      <w:r w:rsidRPr="003E2D5B">
        <w:rPr>
          <w:rFonts w:cs="Times New Roman"/>
          <w:szCs w:val="24"/>
          <w:shd w:val="clear" w:color="auto" w:fill="F8F8F8"/>
          <w:lang w:val="en-US"/>
        </w:rPr>
        <w:t xml:space="preserve"> work groups. Furthermore, such leaders have a strategic mindset and stimulate several possibilities and tactics for various activities. These leaders develop ways to maintain momentum, which necessitates sustained efforts. These leaders' thoughts and actions are strategic, imaginative, and creative. These leaders foster effective task forces and lead with genuine passion and moral integrity. The growing emphasis on openness and excellence has underlined the necessity for bright and effective leaders. The growing emphasis on openness and excellence has underlined the </w:t>
      </w:r>
      <w:r w:rsidRPr="003E2D5B">
        <w:rPr>
          <w:rFonts w:cs="Times New Roman"/>
          <w:szCs w:val="24"/>
          <w:shd w:val="clear" w:color="auto" w:fill="F8F8F8"/>
          <w:lang w:val="en-US"/>
        </w:rPr>
        <w:lastRenderedPageBreak/>
        <w:t>necessity for bright and effective leaders.</w:t>
      </w:r>
      <w:r>
        <w:rPr>
          <w:rFonts w:cs="Times New Roman"/>
          <w:szCs w:val="24"/>
          <w:shd w:val="clear" w:color="auto" w:fill="F8F8F8"/>
          <w:lang w:val="en-US"/>
        </w:rPr>
        <w:t xml:space="preserve"> </w:t>
      </w:r>
      <w:r w:rsidRPr="003E2D5B">
        <w:rPr>
          <w:rFonts w:cs="Times New Roman"/>
          <w:szCs w:val="24"/>
          <w:shd w:val="clear" w:color="auto" w:fill="F8F8F8"/>
        </w:rPr>
        <w:t>Leadership in early childhood education contexts necessitates profound human attributes that encompass but are not limited to, traditional conceptions of authority.</w:t>
      </w:r>
    </w:p>
    <w:p w14:paraId="2B113A36" w14:textId="77777777" w:rsidR="003E2D5B" w:rsidRDefault="003E2D5B" w:rsidP="00773B40">
      <w:pPr>
        <w:jc w:val="both"/>
        <w:rPr>
          <w:rFonts w:cs="Times New Roman"/>
          <w:szCs w:val="24"/>
          <w:shd w:val="clear" w:color="auto" w:fill="F8F8F8"/>
        </w:rPr>
      </w:pPr>
    </w:p>
    <w:p w14:paraId="4EF3021B" w14:textId="77777777" w:rsidR="00CC65CF" w:rsidRDefault="00CC65CF" w:rsidP="00773B40">
      <w:pPr>
        <w:jc w:val="both"/>
        <w:rPr>
          <w:rFonts w:cs="Times New Roman"/>
          <w:szCs w:val="24"/>
          <w:shd w:val="clear" w:color="auto" w:fill="F8F8F8"/>
        </w:rPr>
      </w:pPr>
    </w:p>
    <w:p w14:paraId="5BA4B381" w14:textId="77777777" w:rsidR="00CC65CF" w:rsidRPr="00E92031" w:rsidRDefault="00CC65CF" w:rsidP="00773B40">
      <w:pPr>
        <w:jc w:val="both"/>
        <w:rPr>
          <w:rFonts w:cs="Times New Roman"/>
          <w:szCs w:val="24"/>
          <w:shd w:val="clear" w:color="auto" w:fill="F8F8F8"/>
        </w:rPr>
      </w:pPr>
    </w:p>
    <w:p w14:paraId="55B1113C" w14:textId="15B44A67" w:rsidR="00D30234" w:rsidRPr="006A08FC" w:rsidRDefault="006D56B4" w:rsidP="006A08FC">
      <w:pPr>
        <w:spacing w:after="160"/>
        <w:ind w:firstLine="0"/>
        <w:jc w:val="both"/>
        <w:rPr>
          <w:rFonts w:cs="Times New Roman"/>
          <w:b/>
          <w:bCs/>
          <w:szCs w:val="24"/>
          <w:shd w:val="clear" w:color="auto" w:fill="F8F8F8"/>
        </w:rPr>
      </w:pPr>
      <w:bookmarkStart w:id="5" w:name="_Toc110866467"/>
      <w:r w:rsidRPr="006A08FC">
        <w:rPr>
          <w:b/>
          <w:bCs/>
        </w:rPr>
        <w:t>Part 2</w:t>
      </w:r>
      <w:bookmarkEnd w:id="5"/>
    </w:p>
    <w:p w14:paraId="04EF0F94" w14:textId="77777777" w:rsidR="00D30234" w:rsidRDefault="006D56B4" w:rsidP="00FC5F54">
      <w:pPr>
        <w:pStyle w:val="Heading2"/>
      </w:pPr>
      <w:bookmarkStart w:id="6" w:name="_Toc110866468"/>
      <w:r>
        <w:t>Children’s Rights and Children’s Commissioners across UK</w:t>
      </w:r>
      <w:bookmarkEnd w:id="6"/>
      <w:r>
        <w:t xml:space="preserve"> </w:t>
      </w:r>
    </w:p>
    <w:p w14:paraId="62356001" w14:textId="2264D1CE" w:rsidR="00D30234" w:rsidRDefault="006D56B4" w:rsidP="00773B40">
      <w:pPr>
        <w:jc w:val="both"/>
        <w:rPr>
          <w:rFonts w:cs="Times New Roman"/>
        </w:rPr>
      </w:pPr>
      <w:r>
        <w:rPr>
          <w:rFonts w:cs="Times New Roman"/>
        </w:rPr>
        <w:t>The work "right" is complicated to explain, there are several contrary and diverse thought</w:t>
      </w:r>
      <w:r w:rsidR="006A08FC">
        <w:rPr>
          <w:rFonts w:cs="Times New Roman"/>
        </w:rPr>
        <w:t>s</w:t>
      </w:r>
      <w:r>
        <w:rPr>
          <w:rFonts w:cs="Times New Roman"/>
        </w:rPr>
        <w:t xml:space="preserve"> about what establishes the rights of children. All the rights given to children must be based on equality and free from discrimination. Equality means ensuring that every child has an equivalent opportunity, treating every child fairly, and giving them resources and opportunities according to their demands and needs (</w:t>
      </w:r>
      <w:proofErr w:type="spellStart"/>
      <w:r>
        <w:rPr>
          <w:rFonts w:cs="Times New Roman"/>
          <w:color w:val="222222"/>
          <w:shd w:val="clear" w:color="auto" w:fill="FFFFFF"/>
        </w:rPr>
        <w:t>Gallitto</w:t>
      </w:r>
      <w:proofErr w:type="spellEnd"/>
      <w:r>
        <w:rPr>
          <w:rFonts w:cs="Times New Roman"/>
          <w:color w:val="222222"/>
          <w:shd w:val="clear" w:color="auto" w:fill="FFFFFF"/>
        </w:rPr>
        <w:t>, Ladouceur, and Celebi, 2021)</w:t>
      </w:r>
      <w:r>
        <w:rPr>
          <w:rFonts w:cs="Times New Roman"/>
        </w:rPr>
        <w:t>. The UK government is responsible for ensuring that Commissioner of Children for UK works administratively and financially, free from obstruction and interference. Other than, the government of UK</w:t>
      </w:r>
      <w:r w:rsidR="006A08FC">
        <w:rPr>
          <w:rFonts w:cs="Times New Roman"/>
        </w:rPr>
        <w:t xml:space="preserve"> which</w:t>
      </w:r>
      <w:r>
        <w:rPr>
          <w:rFonts w:cs="Times New Roman"/>
        </w:rPr>
        <w:t xml:space="preserve"> is also needed to assure that the Child's commissioner for UK lives up with their mandate and remit and to react if they are not effectively working (</w:t>
      </w:r>
      <w:r>
        <w:rPr>
          <w:rFonts w:cs="Times New Roman"/>
          <w:color w:val="222222"/>
          <w:shd w:val="clear" w:color="auto" w:fill="FFFFFF"/>
        </w:rPr>
        <w:t>Welton, Tinney, and Saer, 2019)</w:t>
      </w:r>
      <w:r>
        <w:rPr>
          <w:rFonts w:cs="Times New Roman"/>
        </w:rPr>
        <w:t>.</w:t>
      </w:r>
    </w:p>
    <w:p w14:paraId="34B0EBE4" w14:textId="77777777" w:rsidR="00D30234" w:rsidRDefault="006D56B4" w:rsidP="00FC5F54">
      <w:pPr>
        <w:pStyle w:val="Heading3"/>
        <w:ind w:firstLine="0"/>
      </w:pPr>
      <w:bookmarkStart w:id="7" w:name="_Toc110866469"/>
      <w:r>
        <w:t>UNCRC</w:t>
      </w:r>
      <w:bookmarkEnd w:id="7"/>
      <w:r>
        <w:t xml:space="preserve">  </w:t>
      </w:r>
    </w:p>
    <w:p w14:paraId="02566864" w14:textId="77777777" w:rsidR="00D30234" w:rsidRDefault="006D56B4" w:rsidP="00773B40">
      <w:pPr>
        <w:jc w:val="both"/>
        <w:rPr>
          <w:rFonts w:cs="Times New Roman"/>
          <w:szCs w:val="24"/>
        </w:rPr>
      </w:pPr>
      <w:r>
        <w:rPr>
          <w:rFonts w:cs="Times New Roman"/>
          <w:szCs w:val="24"/>
        </w:rPr>
        <w:t xml:space="preserve">The UNCRC "United Nations Convention on the Rights of the Child" is a global agreement developing the children's rights. The rationale for the UNCRC is that children's rights need </w:t>
      </w:r>
      <w:proofErr w:type="gramStart"/>
      <w:r>
        <w:rPr>
          <w:rFonts w:cs="Times New Roman"/>
          <w:szCs w:val="24"/>
        </w:rPr>
        <w:t>particular consideration</w:t>
      </w:r>
      <w:proofErr w:type="gramEnd"/>
      <w:r>
        <w:rPr>
          <w:rFonts w:cs="Times New Roman"/>
          <w:szCs w:val="24"/>
        </w:rPr>
        <w:t xml:space="preserve"> as of the special protection and care often required by young people and children. The UNCRC is the list of privileges that every young people and children worldwide have. In UNCRC, children under the age of 18 have the privileges to be happy and healthy, have education, play and be safe (</w:t>
      </w:r>
      <w:r>
        <w:rPr>
          <w:rFonts w:cs="Times New Roman"/>
          <w:color w:val="222222"/>
          <w:shd w:val="clear" w:color="auto" w:fill="FFFFFF"/>
        </w:rPr>
        <w:t>Lyle, 2021)</w:t>
      </w:r>
      <w:r>
        <w:rPr>
          <w:rFonts w:cs="Times New Roman"/>
          <w:szCs w:val="24"/>
        </w:rPr>
        <w:t xml:space="preserve">.  </w:t>
      </w:r>
    </w:p>
    <w:p w14:paraId="47EF80A5" w14:textId="77777777" w:rsidR="00D30234" w:rsidRDefault="006D56B4" w:rsidP="00FC5F54">
      <w:pPr>
        <w:pStyle w:val="Heading3"/>
        <w:ind w:firstLine="0"/>
      </w:pPr>
      <w:bookmarkStart w:id="8" w:name="_Toc110866470"/>
      <w:r>
        <w:t>Children’s Commissioner for Wales</w:t>
      </w:r>
      <w:bookmarkEnd w:id="8"/>
    </w:p>
    <w:p w14:paraId="4A271C40" w14:textId="104D72C5" w:rsidR="00D30234" w:rsidRDefault="006D56B4" w:rsidP="00773B40">
      <w:pPr>
        <w:jc w:val="both"/>
        <w:rPr>
          <w:rFonts w:cs="Times New Roman"/>
          <w:szCs w:val="24"/>
        </w:rPr>
      </w:pPr>
      <w:r>
        <w:rPr>
          <w:rFonts w:cs="Times New Roman"/>
          <w:szCs w:val="24"/>
        </w:rPr>
        <w:t>The "children's commissioner for Wales" is an independent entity who can develop complaints as part of their Advice and Investigation service. This provision gives support and advice to young people, children, and those who treat them, if they observe they have been unfairly treated (</w:t>
      </w:r>
      <w:r>
        <w:rPr>
          <w:rFonts w:cs="Times New Roman"/>
          <w:color w:val="222222"/>
          <w:shd w:val="clear" w:color="auto" w:fill="FFFFFF"/>
        </w:rPr>
        <w:t>UK Children’s Commissioners, 2015)</w:t>
      </w:r>
      <w:r>
        <w:rPr>
          <w:rFonts w:cs="Times New Roman"/>
          <w:szCs w:val="24"/>
        </w:rPr>
        <w:t xml:space="preserve">.  </w:t>
      </w:r>
      <w:r w:rsidR="003A47F0">
        <w:rPr>
          <w:rFonts w:cs="Times New Roman"/>
          <w:szCs w:val="24"/>
        </w:rPr>
        <w:t xml:space="preserve">Wales was the first </w:t>
      </w:r>
      <w:proofErr w:type="spellStart"/>
      <w:r w:rsidR="003A47F0">
        <w:rPr>
          <w:rFonts w:cs="Times New Roman"/>
          <w:szCs w:val="24"/>
        </w:rPr>
        <w:t>Uk</w:t>
      </w:r>
      <w:proofErr w:type="spellEnd"/>
      <w:r w:rsidR="003A47F0">
        <w:rPr>
          <w:rFonts w:cs="Times New Roman"/>
          <w:szCs w:val="24"/>
        </w:rPr>
        <w:t xml:space="preserve"> Nation to appoint a </w:t>
      </w:r>
      <w:proofErr w:type="spellStart"/>
      <w:r w:rsidR="005C4FB9">
        <w:rPr>
          <w:rFonts w:cs="Times New Roman"/>
          <w:szCs w:val="24"/>
        </w:rPr>
        <w:t>C</w:t>
      </w:r>
      <w:r w:rsidR="003A47F0">
        <w:rPr>
          <w:rFonts w:cs="Times New Roman"/>
          <w:szCs w:val="24"/>
        </w:rPr>
        <w:t>hildrens</w:t>
      </w:r>
      <w:proofErr w:type="spellEnd"/>
      <w:r w:rsidR="003A47F0">
        <w:rPr>
          <w:rFonts w:cs="Times New Roman"/>
          <w:szCs w:val="24"/>
        </w:rPr>
        <w:t xml:space="preserve"> </w:t>
      </w:r>
      <w:r w:rsidR="005C4FB9">
        <w:rPr>
          <w:rFonts w:cs="Times New Roman"/>
          <w:szCs w:val="24"/>
        </w:rPr>
        <w:t>C</w:t>
      </w:r>
      <w:r w:rsidR="003A47F0">
        <w:rPr>
          <w:rFonts w:cs="Times New Roman"/>
          <w:szCs w:val="24"/>
        </w:rPr>
        <w:t>ommissioner in 2001</w:t>
      </w:r>
      <w:r w:rsidR="00F474C7">
        <w:rPr>
          <w:rFonts w:cs="Times New Roman"/>
          <w:szCs w:val="24"/>
        </w:rPr>
        <w:t xml:space="preserve"> which was Peter Clarke,</w:t>
      </w:r>
      <w:r w:rsidR="003A47F0">
        <w:rPr>
          <w:rFonts w:cs="Times New Roman"/>
          <w:szCs w:val="24"/>
        </w:rPr>
        <w:t xml:space="preserve"> </w:t>
      </w:r>
      <w:r w:rsidR="00F474C7">
        <w:rPr>
          <w:rFonts w:cs="Times New Roman"/>
          <w:szCs w:val="24"/>
        </w:rPr>
        <w:t>while Northern Ireland</w:t>
      </w:r>
      <w:r w:rsidR="005C4FB9">
        <w:rPr>
          <w:rFonts w:cs="Times New Roman"/>
          <w:szCs w:val="24"/>
        </w:rPr>
        <w:t xml:space="preserve"> appointed Nigel </w:t>
      </w:r>
      <w:r w:rsidR="005C4FB9">
        <w:rPr>
          <w:rFonts w:cs="Times New Roman"/>
          <w:szCs w:val="24"/>
        </w:rPr>
        <w:lastRenderedPageBreak/>
        <w:t>Williams in 2003</w:t>
      </w:r>
      <w:r w:rsidR="00F474C7">
        <w:rPr>
          <w:rFonts w:cs="Times New Roman"/>
          <w:szCs w:val="24"/>
        </w:rPr>
        <w:t xml:space="preserve"> and Scotland</w:t>
      </w:r>
      <w:r w:rsidR="005C4FB9">
        <w:rPr>
          <w:rFonts w:cs="Times New Roman"/>
          <w:szCs w:val="24"/>
        </w:rPr>
        <w:t xml:space="preserve"> appointed Professor Kathleen Marshall in 2004, </w:t>
      </w:r>
      <w:r w:rsidR="00F474C7">
        <w:rPr>
          <w:rFonts w:cs="Times New Roman"/>
          <w:szCs w:val="24"/>
        </w:rPr>
        <w:t>while England were the last to follow suit in 2005 wh</w:t>
      </w:r>
      <w:r w:rsidR="005C4FB9">
        <w:rPr>
          <w:rFonts w:cs="Times New Roman"/>
          <w:szCs w:val="24"/>
        </w:rPr>
        <w:t>en</w:t>
      </w:r>
      <w:r w:rsidR="00F474C7">
        <w:rPr>
          <w:rFonts w:cs="Times New Roman"/>
          <w:szCs w:val="24"/>
        </w:rPr>
        <w:t xml:space="preserve"> Professor Al Aynsley-Green</w:t>
      </w:r>
      <w:r w:rsidR="005C4FB9">
        <w:rPr>
          <w:rFonts w:cs="Times New Roman"/>
          <w:szCs w:val="24"/>
        </w:rPr>
        <w:t xml:space="preserve"> was appointed.</w:t>
      </w:r>
    </w:p>
    <w:p w14:paraId="597399B7" w14:textId="77777777" w:rsidR="00D30234" w:rsidRDefault="006D56B4" w:rsidP="00773B40">
      <w:pPr>
        <w:jc w:val="both"/>
        <w:rPr>
          <w:rFonts w:cs="Times New Roman"/>
          <w:szCs w:val="24"/>
        </w:rPr>
      </w:pPr>
      <w:r>
        <w:rPr>
          <w:rFonts w:cs="Times New Roman"/>
          <w:szCs w:val="24"/>
        </w:rPr>
        <w:t>In UK, there are ranges of roles of dominant government are now decentralised to the Welsh, Scottish and Northern Irish administrations, all have their legislatures and executives. The level of decentralisation differs for each country. The reserved and devolved policy areas build in the report of State Party. Despite the fact some significant issues of children's rights notably immigration and child poverty are common in the United Kingdom, the tactic adopted by government varies on different issues associated with children's rights across four nations of UK, such as, the position of UNCRC incorporation itself is very diverse (</w:t>
      </w:r>
      <w:r>
        <w:rPr>
          <w:rFonts w:cs="Times New Roman"/>
          <w:color w:val="222222"/>
          <w:shd w:val="clear" w:color="auto" w:fill="FFFFFF"/>
        </w:rPr>
        <w:t>Clement, 2019)</w:t>
      </w:r>
      <w:r>
        <w:rPr>
          <w:rFonts w:cs="Times New Roman"/>
          <w:szCs w:val="24"/>
        </w:rPr>
        <w:t>.</w:t>
      </w:r>
    </w:p>
    <w:p w14:paraId="42DCF2D9" w14:textId="77777777" w:rsidR="00D30234" w:rsidRDefault="006D56B4" w:rsidP="00FC5F54">
      <w:pPr>
        <w:pStyle w:val="Heading3"/>
        <w:ind w:firstLine="0"/>
      </w:pPr>
      <w:bookmarkStart w:id="9" w:name="_Toc110866471"/>
      <w:r>
        <w:t>UK’s Record</w:t>
      </w:r>
      <w:bookmarkEnd w:id="9"/>
    </w:p>
    <w:p w14:paraId="315D41DB" w14:textId="77777777" w:rsidR="00D30234" w:rsidRDefault="006D56B4" w:rsidP="00773B40">
      <w:pPr>
        <w:jc w:val="both"/>
        <w:rPr>
          <w:rFonts w:cs="Times New Roman"/>
          <w:szCs w:val="24"/>
        </w:rPr>
      </w:pPr>
      <w:r>
        <w:rPr>
          <w:rFonts w:cs="Times New Roman"/>
          <w:szCs w:val="24"/>
        </w:rPr>
        <w:t>The commissioners of children are concerned that the response to UK State Party towards the international economic downturn, as well as changes to welfare mechanism and imposition of austerity measures, has caused in a failure to secure the most deprived and needy children, especially children in vulnerable groups from poverty, securing the understanding of their privileges under UNCRC Article of 26 and 27 (</w:t>
      </w:r>
      <w:r>
        <w:rPr>
          <w:rFonts w:cs="Times New Roman"/>
          <w:color w:val="222222"/>
          <w:shd w:val="clear" w:color="auto" w:fill="FFFFFF"/>
        </w:rPr>
        <w:t>Croke, et al., 2021)</w:t>
      </w:r>
      <w:r>
        <w:rPr>
          <w:rFonts w:cs="Times New Roman"/>
          <w:szCs w:val="24"/>
        </w:rPr>
        <w:t>. The best considerations of child were not dominant to the formation of such policies and views of children were not required. Declines to domestic income for poorer children consequently of social security, transfer and tax benefit variations have led to fuel and food poverty. In some regions of United Kingdom, there is inadequate reasonable housing which has run towards inferior children living in temporary accommodation and inadequate housing. Severity measures have decreased range of provisions that fulfil and secure children's rights, including adolescent and child mental health, youth services, early intervention provision, preventive, education etc (</w:t>
      </w:r>
      <w:r>
        <w:rPr>
          <w:rFonts w:cs="Times New Roman"/>
          <w:color w:val="222222"/>
          <w:shd w:val="clear" w:color="auto" w:fill="FFFFFF"/>
        </w:rPr>
        <w:t>Ware, 2019)</w:t>
      </w:r>
      <w:r>
        <w:rPr>
          <w:rFonts w:cs="Times New Roman"/>
          <w:szCs w:val="24"/>
        </w:rPr>
        <w:t xml:space="preserve">. </w:t>
      </w:r>
    </w:p>
    <w:p w14:paraId="61B42BEC" w14:textId="77777777" w:rsidR="00D30234" w:rsidRDefault="006D56B4" w:rsidP="00773B40">
      <w:pPr>
        <w:jc w:val="both"/>
        <w:rPr>
          <w:rFonts w:cs="Times New Roman"/>
          <w:szCs w:val="24"/>
        </w:rPr>
      </w:pPr>
      <w:r>
        <w:rPr>
          <w:rFonts w:cs="Times New Roman"/>
          <w:szCs w:val="24"/>
        </w:rPr>
        <w:t xml:space="preserve">The commissioners are very afraid of the influence of systematic declines to representation, support and legal advice for parents and children in significant contexts like education, private family law, immigration and prison law.  This demonstrates that children are deprived of remedies where their freedoms have been broken. The commissioners are also disturbed for the settlement of human rights UK future due to the intent of UK Government to repeal the HRA "Human Rights Act 1998" which integrates the ECHR "European Convention on Human Rights" into national law; change it to "British Bill of Rights" and breakdown the formal association between "European Court of Human Rights" and British Courts". It is examined that the HRA has been essential to protect and promote the children's rights in UK has had a vital role to build the protection provided </w:t>
      </w:r>
      <w:r>
        <w:rPr>
          <w:rFonts w:cs="Times New Roman"/>
          <w:szCs w:val="24"/>
        </w:rPr>
        <w:lastRenderedPageBreak/>
        <w:t>to children by ECHR. The commissioners are troubled that any replacement or amendment of the HRA is expected to deteriorate (</w:t>
      </w:r>
      <w:r>
        <w:rPr>
          <w:rFonts w:cs="Times New Roman"/>
          <w:color w:val="222222"/>
          <w:shd w:val="clear" w:color="auto" w:fill="FFFFFF"/>
        </w:rPr>
        <w:t>Theobald, 2019)</w:t>
      </w:r>
      <w:r>
        <w:rPr>
          <w:rFonts w:cs="Times New Roman"/>
          <w:szCs w:val="24"/>
        </w:rPr>
        <w:t xml:space="preserve">.   </w:t>
      </w:r>
    </w:p>
    <w:p w14:paraId="5805F3DF" w14:textId="77777777" w:rsidR="00D30234" w:rsidRDefault="006D56B4" w:rsidP="00FC5F54">
      <w:pPr>
        <w:pStyle w:val="Heading3"/>
        <w:ind w:firstLine="0"/>
      </w:pPr>
      <w:bookmarkStart w:id="10" w:name="_Toc110866472"/>
      <w:r>
        <w:t>UNCRC in United Kingdom</w:t>
      </w:r>
      <w:bookmarkEnd w:id="10"/>
      <w:r>
        <w:t xml:space="preserve"> </w:t>
      </w:r>
    </w:p>
    <w:p w14:paraId="77698481" w14:textId="27BB059C" w:rsidR="00D30234" w:rsidRDefault="006D56B4" w:rsidP="00773B40">
      <w:pPr>
        <w:jc w:val="both"/>
        <w:rPr>
          <w:rFonts w:cs="Times New Roman"/>
          <w:szCs w:val="24"/>
        </w:rPr>
      </w:pPr>
      <w:r>
        <w:rPr>
          <w:rFonts w:cs="Times New Roman"/>
          <w:szCs w:val="24"/>
        </w:rPr>
        <w:t xml:space="preserve">At present, the UNCRC is approved by UK without difficulties. The country has two statements; one that understands the convention as adopting simply after live birth, another interpretation is the convention's orientation to parents as implementing merely to those considered as parents in domestic law. The UNCRC is not integrated into national law of UK, however </w:t>
      </w:r>
      <w:r w:rsidR="006770C7">
        <w:rPr>
          <w:rFonts w:cs="Times New Roman"/>
          <w:szCs w:val="24"/>
        </w:rPr>
        <w:t xml:space="preserve">in </w:t>
      </w:r>
      <w:r>
        <w:rPr>
          <w:rFonts w:cs="Times New Roman"/>
          <w:szCs w:val="24"/>
        </w:rPr>
        <w:t>Wales and Scotland there has been evolution to incorporation in 2008 (</w:t>
      </w:r>
      <w:r>
        <w:rPr>
          <w:rFonts w:cs="Times New Roman"/>
          <w:color w:val="222222"/>
          <w:shd w:val="clear" w:color="auto" w:fill="FFFFFF"/>
        </w:rPr>
        <w:t>Correia et al., 2019)</w:t>
      </w:r>
      <w:r>
        <w:rPr>
          <w:rFonts w:cs="Times New Roman"/>
          <w:szCs w:val="24"/>
        </w:rPr>
        <w:t>. The Act of young people and children Scotland 2014 sets responsibilities on public authorities and Ministers to retain under consideration procedures for more children's rights and, if they focus it sufficiently to perform, to adopt any of the approaches identified.  The ministers of Scottish are also set under a responsibility to encourage understanding and awareness of the children's rights (</w:t>
      </w:r>
      <w:r>
        <w:rPr>
          <w:rFonts w:cs="Times New Roman"/>
          <w:color w:val="222222"/>
          <w:shd w:val="clear" w:color="auto" w:fill="FFFFFF"/>
        </w:rPr>
        <w:t>Church, and Bateman, 2019)</w:t>
      </w:r>
      <w:r>
        <w:rPr>
          <w:rFonts w:cs="Times New Roman"/>
          <w:szCs w:val="24"/>
        </w:rPr>
        <w:t xml:space="preserve">.          </w:t>
      </w:r>
    </w:p>
    <w:p w14:paraId="260D488B" w14:textId="77777777" w:rsidR="00D30234" w:rsidRDefault="006D56B4" w:rsidP="00773B40">
      <w:pPr>
        <w:jc w:val="both"/>
        <w:rPr>
          <w:rFonts w:cs="Times New Roman"/>
          <w:szCs w:val="24"/>
        </w:rPr>
      </w:pPr>
      <w:r>
        <w:rPr>
          <w:rFonts w:cs="Times New Roman"/>
          <w:szCs w:val="24"/>
        </w:rPr>
        <w:t>The decision of UK Supreme Court in the case of “</w:t>
      </w:r>
      <w:r>
        <w:rPr>
          <w:rFonts w:cs="Times New Roman"/>
          <w:i/>
          <w:szCs w:val="24"/>
        </w:rPr>
        <w:t>SG v Secretary of State for Work and Pensions [2015] UKSC</w:t>
      </w:r>
      <w:r>
        <w:rPr>
          <w:rFonts w:cs="Times New Roman"/>
          <w:szCs w:val="24"/>
        </w:rPr>
        <w:t xml:space="preserve">" emphasised the requirement for legislative combination of the Agreement. The Court observed that the obligation of a "cap" on the range of advantages due to families without the best considerations of children was opposing Article 2 UNCRC. On the other hand, this did not reduce it illegally in national law: </w:t>
      </w:r>
      <w:proofErr w:type="gramStart"/>
      <w:r>
        <w:rPr>
          <w:rFonts w:cs="Times New Roman"/>
          <w:szCs w:val="24"/>
        </w:rPr>
        <w:t>therefore</w:t>
      </w:r>
      <w:proofErr w:type="gramEnd"/>
      <w:r>
        <w:rPr>
          <w:rFonts w:cs="Times New Roman"/>
          <w:szCs w:val="24"/>
        </w:rPr>
        <w:t xml:space="preserve"> there was no lawful remedy for this destruction of UNCRC by the UK's highest court. The case had to be stated based on discrimination besides female as there was no particular security for the rights of children in this setting of UK law (</w:t>
      </w:r>
      <w:r>
        <w:rPr>
          <w:rFonts w:cs="Times New Roman"/>
          <w:color w:val="222222"/>
          <w:shd w:val="clear" w:color="auto" w:fill="FFFFFF"/>
        </w:rPr>
        <w:t>UK Children’s Commissioners, 2015)</w:t>
      </w:r>
      <w:r>
        <w:rPr>
          <w:rFonts w:cs="Times New Roman"/>
          <w:szCs w:val="24"/>
        </w:rPr>
        <w:t>.</w:t>
      </w:r>
    </w:p>
    <w:p w14:paraId="66A4C3C0" w14:textId="77777777" w:rsidR="00D30234" w:rsidRDefault="006D56B4" w:rsidP="00773B40">
      <w:pPr>
        <w:jc w:val="both"/>
        <w:rPr>
          <w:rFonts w:cs="Times New Roman"/>
          <w:szCs w:val="24"/>
        </w:rPr>
      </w:pPr>
      <w:r>
        <w:rPr>
          <w:rFonts w:cs="Times New Roman"/>
          <w:szCs w:val="24"/>
        </w:rPr>
        <w:t>In Article 3, it is demonstrated that in all activities concerning child, whether undertaken by courts of law, private or public social welfare institutes, legislative bodies, administrative authorities, the best consideration of children will be main consideration. It is undertaken by state parties to assure children such care and protection as is required for their well-being, considering the duties and rights of their legal guardians, parents legally responsible for them. To this extent, it will adopt all adequate administrative and legislative measures. State parties must assure that the facilities, services and institutions responsible for the protection or care of child will conform to the established standards by skilled authorities, specifically in the context of health, safety in the suitability and number of their workforce, including skilled supervision (</w:t>
      </w:r>
      <w:r>
        <w:rPr>
          <w:rFonts w:cs="Times New Roman"/>
          <w:color w:val="222222"/>
          <w:shd w:val="clear" w:color="auto" w:fill="FFFFFF"/>
        </w:rPr>
        <w:t>Banko-Bal, and Guler-Yildiz, 2021)</w:t>
      </w:r>
      <w:r>
        <w:rPr>
          <w:rFonts w:cs="Times New Roman"/>
          <w:szCs w:val="24"/>
        </w:rPr>
        <w:t>.</w:t>
      </w:r>
    </w:p>
    <w:p w14:paraId="59F692FC" w14:textId="77777777" w:rsidR="00D30234" w:rsidRDefault="006D56B4" w:rsidP="00FC5F54">
      <w:pPr>
        <w:pStyle w:val="Heading3"/>
        <w:ind w:firstLine="0"/>
        <w:rPr>
          <w:szCs w:val="26"/>
        </w:rPr>
      </w:pPr>
      <w:bookmarkStart w:id="11" w:name="_Toc110866473"/>
      <w:r>
        <w:lastRenderedPageBreak/>
        <w:t>Wales Commissioners in UK</w:t>
      </w:r>
      <w:bookmarkEnd w:id="11"/>
    </w:p>
    <w:p w14:paraId="6371BF83" w14:textId="77777777" w:rsidR="00D30234" w:rsidRDefault="006D56B4" w:rsidP="00773B40">
      <w:pPr>
        <w:jc w:val="both"/>
        <w:rPr>
          <w:rFonts w:cs="Times New Roman"/>
          <w:szCs w:val="24"/>
        </w:rPr>
      </w:pPr>
      <w:r>
        <w:rPr>
          <w:rFonts w:cs="Times New Roman"/>
          <w:szCs w:val="24"/>
        </w:rPr>
        <w:t>The commissioners of children are afraid of lacking related political involvement by the Government of UK to domestic assurances for human rights. The existing government of UK was chosen with a declaration commitment to repeal the HRA "Human Rights Act 1998" which integrates the ECHR into law of UK. The Commissioner of Wales of Children supports young people and children to explore their privileges under the UNCRC, their duty is to listen to young people and children to explore what is imperative to them and give advice. The Commissioner of Wales influences organisations and government who state they are making differences to the lives of children, ensuring they keep their aptitudes to young people and children. The commissioner works for all children in Wales above 18 years old (</w:t>
      </w:r>
      <w:r>
        <w:rPr>
          <w:rFonts w:cs="Times New Roman"/>
          <w:color w:val="222222"/>
          <w:shd w:val="clear" w:color="auto" w:fill="FFFFFF"/>
        </w:rPr>
        <w:t>Farrell, 2021)</w:t>
      </w:r>
      <w:r>
        <w:rPr>
          <w:rFonts w:cs="Times New Roman"/>
          <w:szCs w:val="24"/>
        </w:rPr>
        <w:t>.</w:t>
      </w:r>
    </w:p>
    <w:p w14:paraId="1DCCE8FF" w14:textId="77777777" w:rsidR="00D30234" w:rsidRDefault="006D56B4" w:rsidP="00FC5F54">
      <w:pPr>
        <w:pStyle w:val="Heading3"/>
        <w:ind w:firstLine="0"/>
        <w:rPr>
          <w:rFonts w:cs="Times New Roman"/>
          <w:szCs w:val="27"/>
        </w:rPr>
      </w:pPr>
      <w:bookmarkStart w:id="12" w:name="_Toc110866474"/>
      <w:r>
        <w:t>The Right Direction</w:t>
      </w:r>
      <w:bookmarkEnd w:id="12"/>
      <w:r>
        <w:t xml:space="preserve"> </w:t>
      </w:r>
    </w:p>
    <w:p w14:paraId="59134166" w14:textId="77777777" w:rsidR="00D30234" w:rsidRDefault="006D56B4" w:rsidP="00773B40">
      <w:pPr>
        <w:jc w:val="both"/>
        <w:rPr>
          <w:rFonts w:cs="Times New Roman"/>
          <w:szCs w:val="24"/>
        </w:rPr>
      </w:pPr>
      <w:r>
        <w:rPr>
          <w:rFonts w:cs="Times New Roman"/>
        </w:rPr>
        <w:t xml:space="preserve">The right approach of children in Wales is a framework to work with children, based on the UNCRC to support public bodies that incorporate children's rights into every context of practice, policy and decision making. It formed with professional advice from the "Wales Building on Human Rights of Young people and Children", it promotes public provisions across the UK to commit with UNCRC and enrich how they deliver and plan their services. This approach will arrange the rights of children in their operation with families and children to better the lives of children. All children are provided the options to develop their potential and talents and access resources and information to facilitate them taking complete benefit of their rights. All the children are given meaningful options to effect </w:t>
      </w:r>
      <w:r>
        <w:rPr>
          <w:rFonts w:cs="Times New Roman"/>
          <w:szCs w:val="24"/>
        </w:rPr>
        <w:t>decision of their lives. Individual and authorities are responsible for decision to children, and for results that influence the lives of children (</w:t>
      </w:r>
      <w:proofErr w:type="spellStart"/>
      <w:r>
        <w:rPr>
          <w:rFonts w:cs="Times New Roman"/>
          <w:color w:val="222222"/>
          <w:szCs w:val="24"/>
          <w:shd w:val="clear" w:color="auto" w:fill="FFFFFF"/>
        </w:rPr>
        <w:t>Farini</w:t>
      </w:r>
      <w:proofErr w:type="spellEnd"/>
      <w:r>
        <w:rPr>
          <w:rFonts w:cs="Times New Roman"/>
          <w:color w:val="222222"/>
          <w:szCs w:val="24"/>
          <w:shd w:val="clear" w:color="auto" w:fill="FFFFFF"/>
        </w:rPr>
        <w:t>, and Scollan, 2022)</w:t>
      </w:r>
      <w:r>
        <w:rPr>
          <w:rFonts w:cs="Times New Roman"/>
          <w:szCs w:val="24"/>
        </w:rPr>
        <w:t>.</w:t>
      </w:r>
    </w:p>
    <w:p w14:paraId="52C0B9D3" w14:textId="77777777" w:rsidR="00D30234" w:rsidRDefault="006D56B4" w:rsidP="00773B40">
      <w:pPr>
        <w:jc w:val="both"/>
        <w:rPr>
          <w:rFonts w:cs="Times New Roman"/>
          <w:szCs w:val="24"/>
        </w:rPr>
      </w:pPr>
      <w:r>
        <w:rPr>
          <w:rFonts w:cs="Times New Roman"/>
          <w:i/>
          <w:szCs w:val="24"/>
        </w:rPr>
        <w:t>In Article 26 of UNCRC</w:t>
      </w:r>
      <w:r>
        <w:rPr>
          <w:rFonts w:cs="Times New Roman"/>
          <w:szCs w:val="24"/>
        </w:rPr>
        <w:t xml:space="preserve">, States parties will identify every right for child to assistance from social protection, as well as social insurance, also shall execute required measures to obtain the complete realisation of this privilege as per the domestic law. The advantages must, where adequate, be granted, considering the circumstances and resources of the persons and child having duty for the child’s maintenance (Agarwal, 2020). </w:t>
      </w:r>
    </w:p>
    <w:p w14:paraId="46A5B057" w14:textId="77777777" w:rsidR="00D30234" w:rsidRDefault="006D56B4" w:rsidP="00FC5F54">
      <w:pPr>
        <w:pStyle w:val="Heading2"/>
      </w:pPr>
      <w:bookmarkStart w:id="13" w:name="_Toc110866475"/>
      <w:r>
        <w:t>Right to be perceived</w:t>
      </w:r>
      <w:bookmarkEnd w:id="13"/>
    </w:p>
    <w:p w14:paraId="5D6AC788" w14:textId="77777777" w:rsidR="00D30234" w:rsidRDefault="006D56B4" w:rsidP="00773B40">
      <w:pPr>
        <w:jc w:val="both"/>
        <w:rPr>
          <w:rFonts w:cs="Times New Roman"/>
          <w:szCs w:val="24"/>
        </w:rPr>
      </w:pPr>
      <w:r>
        <w:rPr>
          <w:rFonts w:cs="Times New Roman"/>
          <w:szCs w:val="24"/>
        </w:rPr>
        <w:t xml:space="preserve">The understanding of UNCRC Children's article 12 rights in practice and law of UK is highly adaptable. There are precise statutory requirements for national powers in UK to consider </w:t>
      </w:r>
      <w:r>
        <w:rPr>
          <w:rFonts w:cs="Times New Roman"/>
          <w:szCs w:val="24"/>
        </w:rPr>
        <w:lastRenderedPageBreak/>
        <w:t>the perception of children in satisfying their responsibilities, such as Childcare Act 2006 concerning early childhood care, and special education obligation in the "Children and Families Act 2014" (</w:t>
      </w:r>
      <w:r>
        <w:rPr>
          <w:rFonts w:cs="Times New Roman"/>
          <w:color w:val="222222"/>
          <w:shd w:val="clear" w:color="auto" w:fill="FFFFFF"/>
        </w:rPr>
        <w:t>UK Children’s Commissioners, 2015)</w:t>
      </w:r>
      <w:r>
        <w:rPr>
          <w:rFonts w:cs="Times New Roman"/>
          <w:szCs w:val="24"/>
        </w:rPr>
        <w:t xml:space="preserve">. In 2012, statutory guidance delivered to national powers to have due respect with the Convention also motivates the success of Article 12. It is stated by statutory Party which emphasises youth involvement and does not tackle the rights of young children in Article 12 nor of individuals who are specifically vulnerable or can be less heard, as well as </w:t>
      </w:r>
      <w:proofErr w:type="gramStart"/>
      <w:r>
        <w:rPr>
          <w:rFonts w:cs="Times New Roman"/>
          <w:szCs w:val="24"/>
        </w:rPr>
        <w:t>disable</w:t>
      </w:r>
      <w:proofErr w:type="gramEnd"/>
      <w:r>
        <w:rPr>
          <w:rFonts w:cs="Times New Roman"/>
          <w:szCs w:val="24"/>
        </w:rPr>
        <w:t xml:space="preserve"> children. </w:t>
      </w:r>
    </w:p>
    <w:p w14:paraId="647582A6" w14:textId="77777777" w:rsidR="00D30234" w:rsidRDefault="006D56B4" w:rsidP="00773B40">
      <w:pPr>
        <w:jc w:val="both"/>
        <w:rPr>
          <w:rFonts w:cs="Times New Roman"/>
          <w:szCs w:val="24"/>
        </w:rPr>
      </w:pPr>
      <w:r>
        <w:rPr>
          <w:rFonts w:cs="Times New Roman"/>
          <w:i/>
          <w:szCs w:val="24"/>
        </w:rPr>
        <w:t xml:space="preserve">In Article 12 of UNCRC, </w:t>
      </w:r>
      <w:r>
        <w:rPr>
          <w:rFonts w:cs="Times New Roman"/>
          <w:szCs w:val="24"/>
        </w:rPr>
        <w:t>state parties must ensure to children who are competent of forming their perception the right to show those perception freely in all concerns influencing the children. The child's view is being provided due weight as per the maturity and age of the child, for this reason, children shall particularly be given the option to be heard in any administrative and judicial actions affecting them, either through representative or directly, in a way consistent to the practical rules of domestic law (Bradwell, 2019).</w:t>
      </w:r>
    </w:p>
    <w:p w14:paraId="0B21F6C5" w14:textId="77777777" w:rsidR="00D30234" w:rsidRDefault="006D56B4" w:rsidP="00FC5F54">
      <w:pPr>
        <w:pStyle w:val="Heading3"/>
        <w:ind w:firstLine="0"/>
        <w:rPr>
          <w:szCs w:val="26"/>
        </w:rPr>
      </w:pPr>
      <w:bookmarkStart w:id="14" w:name="_Toc110866476"/>
      <w:r>
        <w:t>Child poverty</w:t>
      </w:r>
      <w:bookmarkEnd w:id="14"/>
    </w:p>
    <w:p w14:paraId="31049C97" w14:textId="77777777" w:rsidR="00D30234" w:rsidRDefault="006D56B4" w:rsidP="00773B40">
      <w:pPr>
        <w:jc w:val="both"/>
        <w:rPr>
          <w:rFonts w:cs="Times New Roman"/>
        </w:rPr>
      </w:pPr>
      <w:r>
        <w:rPr>
          <w:rFonts w:cs="Times New Roman"/>
        </w:rPr>
        <w:t xml:space="preserve">It is identified that in the UK, there are around 3.7 million of children surviving in poverty (27 per cent). In government policies, the poverty rate of child is measured to rise from 2012 -2013 by an expected 600,000 more children surviving in poverty. This increasing trend is likely to rise with 4.7 million children living in poverty by 2022. The Commissioners of Children emphasize this issue for the rights of children across the United Kingdom, needing urgent consideration from devolved government and UK. </w:t>
      </w:r>
    </w:p>
    <w:p w14:paraId="18F8091A" w14:textId="77777777" w:rsidR="00D30234" w:rsidRDefault="006D56B4" w:rsidP="00FC5F54">
      <w:pPr>
        <w:pStyle w:val="Heading3"/>
        <w:ind w:firstLine="0"/>
      </w:pPr>
      <w:bookmarkStart w:id="15" w:name="_Toc110866477"/>
      <w:r>
        <w:t>Freedoms and Civil Rights</w:t>
      </w:r>
      <w:bookmarkEnd w:id="15"/>
    </w:p>
    <w:p w14:paraId="7E81DF6B" w14:textId="77777777" w:rsidR="00D30234" w:rsidRDefault="006D56B4" w:rsidP="00773B40">
      <w:pPr>
        <w:jc w:val="both"/>
        <w:rPr>
          <w:rFonts w:cs="Times New Roman"/>
          <w:szCs w:val="24"/>
        </w:rPr>
      </w:pPr>
      <w:r>
        <w:rPr>
          <w:rFonts w:cs="Times New Roman"/>
          <w:szCs w:val="24"/>
        </w:rPr>
        <w:t>It is stated by Commissioners that 16 and 17 age groups children must be facilitated to ballot in elections. The suggestion by Graham Donaldson’s Self-governing Review into Assessment Framework and National Curriculum for Wales must be implemented in Wales to make sure that the education system of Welsh allows 16 and 17 aged children to be self-assured in casting their ballot; to be well-informed about politics and to comprehend what their election stands for (</w:t>
      </w:r>
      <w:r>
        <w:rPr>
          <w:rFonts w:cs="Times New Roman"/>
          <w:color w:val="222222"/>
          <w:szCs w:val="24"/>
          <w:shd w:val="clear" w:color="auto" w:fill="FFFFFF"/>
        </w:rPr>
        <w:t>Welton, Tinney, and Saer, 2019</w:t>
      </w:r>
      <w:r>
        <w:rPr>
          <w:rFonts w:cs="Times New Roman"/>
          <w:szCs w:val="24"/>
        </w:rPr>
        <w:t xml:space="preserve">). </w:t>
      </w:r>
    </w:p>
    <w:p w14:paraId="5764F5D2" w14:textId="77777777" w:rsidR="00D30234" w:rsidRDefault="006D56B4" w:rsidP="00773B40">
      <w:pPr>
        <w:jc w:val="both"/>
        <w:rPr>
          <w:rFonts w:cs="Times New Roman"/>
          <w:szCs w:val="24"/>
        </w:rPr>
      </w:pPr>
      <w:r>
        <w:rPr>
          <w:rFonts w:cs="Times New Roman"/>
          <w:i/>
          <w:szCs w:val="24"/>
        </w:rPr>
        <w:t>In Article 27 of UNCRC</w:t>
      </w:r>
      <w:r>
        <w:rPr>
          <w:rFonts w:cs="Times New Roman"/>
          <w:szCs w:val="24"/>
        </w:rPr>
        <w:t xml:space="preserve">, it is demonstrated that State parties identifies </w:t>
      </w:r>
      <w:proofErr w:type="gramStart"/>
      <w:r>
        <w:rPr>
          <w:rFonts w:cs="Times New Roman"/>
          <w:szCs w:val="24"/>
        </w:rPr>
        <w:t>the every</w:t>
      </w:r>
      <w:proofErr w:type="gramEnd"/>
      <w:r>
        <w:rPr>
          <w:rFonts w:cs="Times New Roman"/>
          <w:szCs w:val="24"/>
        </w:rPr>
        <w:t xml:space="preserve"> child’s right to a living standard appropriate for the social, moral, spiritual, mental and physical development. The parents are accountable for the primary responsibility of their child to protect them, within their financial capabilities and abilities, the states of living required for the </w:t>
      </w:r>
      <w:r>
        <w:rPr>
          <w:rFonts w:cs="Times New Roman"/>
          <w:szCs w:val="24"/>
        </w:rPr>
        <w:lastRenderedPageBreak/>
        <w:t xml:space="preserve">development of child. According to the national situation, States Parties shall adopt adequate measures to help parents as well as other liable for the children to adopt this privilege. </w:t>
      </w:r>
      <w:proofErr w:type="gramStart"/>
      <w:r>
        <w:rPr>
          <w:rFonts w:cs="Times New Roman"/>
          <w:szCs w:val="24"/>
        </w:rPr>
        <w:t>Also</w:t>
      </w:r>
      <w:proofErr w:type="gramEnd"/>
      <w:r>
        <w:rPr>
          <w:rFonts w:cs="Times New Roman"/>
          <w:szCs w:val="24"/>
        </w:rPr>
        <w:t xml:space="preserve"> in case of obligation provide support programmes and material assistance, specifically of housing, clothing and nutrition. State Parties will implement all adequate measure to protect the salvage of maintenance from parents for the child having financial duty, both from abroad and within State Party (Morrison, and Houghton, 2022) </w:t>
      </w:r>
    </w:p>
    <w:p w14:paraId="7F96F501" w14:textId="1D01418E" w:rsidR="006B6252" w:rsidRPr="006770C7" w:rsidRDefault="006D56B4" w:rsidP="006770C7">
      <w:pPr>
        <w:spacing w:after="160" w:line="259" w:lineRule="auto"/>
        <w:ind w:firstLine="0"/>
        <w:jc w:val="both"/>
        <w:rPr>
          <w:rFonts w:cs="Times New Roman"/>
          <w:b/>
          <w:bCs/>
          <w:szCs w:val="24"/>
          <w:shd w:val="clear" w:color="auto" w:fill="F8F8F8"/>
        </w:rPr>
      </w:pPr>
      <w:bookmarkStart w:id="16" w:name="_Toc110866478"/>
      <w:r w:rsidRPr="006770C7">
        <w:rPr>
          <w:b/>
          <w:bCs/>
        </w:rPr>
        <w:t>Part 3</w:t>
      </w:r>
      <w:bookmarkEnd w:id="16"/>
    </w:p>
    <w:p w14:paraId="5D421788" w14:textId="77777777" w:rsidR="00FC5F54" w:rsidRPr="00FC5F54" w:rsidRDefault="006D56B4" w:rsidP="00FC5F54">
      <w:pPr>
        <w:pStyle w:val="Heading2"/>
      </w:pPr>
      <w:bookmarkStart w:id="17" w:name="_Toc110866479"/>
      <w:r>
        <w:t>Sociological issue – mental health</w:t>
      </w:r>
      <w:bookmarkEnd w:id="17"/>
    </w:p>
    <w:p w14:paraId="4B8D9319" w14:textId="77777777" w:rsidR="005A2496" w:rsidRPr="00E92031" w:rsidRDefault="006D56B4" w:rsidP="00773B40">
      <w:pPr>
        <w:jc w:val="both"/>
        <w:rPr>
          <w:rFonts w:cs="Times New Roman"/>
          <w:szCs w:val="24"/>
        </w:rPr>
      </w:pPr>
      <w:r w:rsidRPr="00DE6C86">
        <w:rPr>
          <w:rFonts w:cs="Times New Roman"/>
          <w:b/>
          <w:szCs w:val="24"/>
        </w:rPr>
        <w:t>Mental health</w:t>
      </w:r>
      <w:r w:rsidRPr="00E92031">
        <w:rPr>
          <w:rFonts w:cs="Times New Roman"/>
          <w:szCs w:val="24"/>
        </w:rPr>
        <w:t xml:space="preserve"> is characterised as also being crucial to supporting a high level of happiness with positive and self-assured adolescents and children more able to continue this into maturity, enabling resilience during times of hardship (</w:t>
      </w:r>
      <w:r w:rsidR="00CC6C52" w:rsidRPr="00E92031">
        <w:rPr>
          <w:rFonts w:cs="Times New Roman"/>
          <w:szCs w:val="24"/>
        </w:rPr>
        <w:t>Nigg et al, 2021</w:t>
      </w:r>
      <w:r w:rsidRPr="00E92031">
        <w:rPr>
          <w:rFonts w:cs="Times New Roman"/>
          <w:szCs w:val="24"/>
        </w:rPr>
        <w:t>). Despite the growing acknowledgement of the significance of the early years and an expanding government focus to early treatment, there has been relatively little study on the challenges and prevalence of mental health disorders in children aged 0 to 5</w:t>
      </w:r>
      <w:r w:rsidR="00CC6C52" w:rsidRPr="00E92031">
        <w:rPr>
          <w:rFonts w:cs="Times New Roman"/>
          <w:szCs w:val="24"/>
        </w:rPr>
        <w:t xml:space="preserve"> (Nagy-Pénzes, Vincze, and </w:t>
      </w:r>
      <w:proofErr w:type="spellStart"/>
      <w:r w:rsidR="00CC6C52" w:rsidRPr="00E92031">
        <w:rPr>
          <w:rFonts w:cs="Times New Roman"/>
          <w:szCs w:val="24"/>
        </w:rPr>
        <w:t>Bíró</w:t>
      </w:r>
      <w:proofErr w:type="spellEnd"/>
      <w:r w:rsidR="00CC6C52" w:rsidRPr="00E92031">
        <w:rPr>
          <w:rFonts w:cs="Times New Roman"/>
          <w:szCs w:val="24"/>
        </w:rPr>
        <w:t>, 2020)</w:t>
      </w:r>
      <w:r w:rsidRPr="00E92031">
        <w:rPr>
          <w:rFonts w:cs="Times New Roman"/>
          <w:szCs w:val="24"/>
        </w:rPr>
        <w:t>.</w:t>
      </w:r>
    </w:p>
    <w:p w14:paraId="115105FE" w14:textId="4E11DAA8" w:rsidR="005A2496" w:rsidRDefault="006D56B4" w:rsidP="00773B40">
      <w:pPr>
        <w:jc w:val="both"/>
        <w:rPr>
          <w:rFonts w:cs="Times New Roman"/>
          <w:szCs w:val="24"/>
        </w:rPr>
      </w:pPr>
      <w:r w:rsidRPr="00E92031">
        <w:rPr>
          <w:rFonts w:cs="Times New Roman"/>
          <w:szCs w:val="24"/>
        </w:rPr>
        <w:t>Although there is some research (</w:t>
      </w:r>
      <w:r w:rsidR="00E052FA" w:rsidRPr="00E92031">
        <w:rPr>
          <w:rFonts w:cs="Times New Roman"/>
          <w:szCs w:val="24"/>
        </w:rPr>
        <w:t xml:space="preserve">Pakravan, </w:t>
      </w:r>
      <w:proofErr w:type="spellStart"/>
      <w:r w:rsidR="00E052FA" w:rsidRPr="00E92031">
        <w:rPr>
          <w:rFonts w:cs="Times New Roman"/>
          <w:szCs w:val="24"/>
        </w:rPr>
        <w:t>Ghazirad</w:t>
      </w:r>
      <w:proofErr w:type="spellEnd"/>
      <w:r w:rsidR="00E052FA" w:rsidRPr="00E92031">
        <w:rPr>
          <w:rFonts w:cs="Times New Roman"/>
          <w:szCs w:val="24"/>
        </w:rPr>
        <w:t xml:space="preserve">, and </w:t>
      </w:r>
      <w:proofErr w:type="spellStart"/>
      <w:r w:rsidR="00E052FA" w:rsidRPr="00E92031">
        <w:rPr>
          <w:rFonts w:cs="Times New Roman"/>
          <w:szCs w:val="24"/>
        </w:rPr>
        <w:t>Shaddel</w:t>
      </w:r>
      <w:proofErr w:type="spellEnd"/>
      <w:r w:rsidR="00E052FA" w:rsidRPr="00E92031">
        <w:rPr>
          <w:rFonts w:cs="Times New Roman"/>
          <w:szCs w:val="24"/>
        </w:rPr>
        <w:t>, 2022</w:t>
      </w:r>
      <w:r w:rsidRPr="00E92031">
        <w:rPr>
          <w:rFonts w:cs="Times New Roman"/>
          <w:szCs w:val="24"/>
        </w:rPr>
        <w:t>) that a substantial proportion of children may develop beyond these habits, observational research (</w:t>
      </w:r>
      <w:r w:rsidR="00E052FA" w:rsidRPr="00E92031">
        <w:rPr>
          <w:rFonts w:cs="Times New Roman"/>
          <w:szCs w:val="24"/>
        </w:rPr>
        <w:t>McAloon, and de la Poer Beresford, 2021</w:t>
      </w:r>
      <w:r w:rsidRPr="00E92031">
        <w:rPr>
          <w:rFonts w:cs="Times New Roman"/>
          <w:szCs w:val="24"/>
        </w:rPr>
        <w:t xml:space="preserve">) shows that 50-60% of children who demonstrate behavioural issues at 3-4 years will remain to show these difficulties throughout their time at school. It is approximated that 10% of young people and children aged 5-16 years in the UK have substantial issues with mental health that affect not just to their functioning but, if unchecked, can greatly decrease their </w:t>
      </w:r>
      <w:proofErr w:type="gramStart"/>
      <w:r w:rsidRPr="00E92031">
        <w:rPr>
          <w:rFonts w:cs="Times New Roman"/>
          <w:szCs w:val="24"/>
        </w:rPr>
        <w:t>future prospects</w:t>
      </w:r>
      <w:proofErr w:type="gramEnd"/>
      <w:r w:rsidRPr="00E92031">
        <w:rPr>
          <w:rFonts w:cs="Times New Roman"/>
          <w:szCs w:val="24"/>
        </w:rPr>
        <w:t xml:space="preserve">, especially </w:t>
      </w:r>
      <w:r w:rsidR="006770C7" w:rsidRPr="00E92031">
        <w:rPr>
          <w:rFonts w:cs="Times New Roman"/>
          <w:szCs w:val="24"/>
        </w:rPr>
        <w:t>in regard to</w:t>
      </w:r>
      <w:r w:rsidRPr="00E92031">
        <w:rPr>
          <w:rFonts w:cs="Times New Roman"/>
          <w:szCs w:val="24"/>
        </w:rPr>
        <w:t xml:space="preserve"> their physical health</w:t>
      </w:r>
      <w:r w:rsidR="006770C7">
        <w:rPr>
          <w:rFonts w:cs="Times New Roman"/>
          <w:szCs w:val="24"/>
        </w:rPr>
        <w:t>,</w:t>
      </w:r>
      <w:r w:rsidRPr="00E92031">
        <w:rPr>
          <w:rFonts w:cs="Times New Roman"/>
          <w:szCs w:val="24"/>
        </w:rPr>
        <w:t xml:space="preserve"> training, jobs, and even living standards (</w:t>
      </w:r>
      <w:proofErr w:type="spellStart"/>
      <w:r w:rsidR="00E052FA" w:rsidRPr="00E92031">
        <w:rPr>
          <w:rFonts w:cs="Times New Roman"/>
          <w:szCs w:val="24"/>
        </w:rPr>
        <w:t>Patalay</w:t>
      </w:r>
      <w:proofErr w:type="spellEnd"/>
      <w:r w:rsidR="00E052FA" w:rsidRPr="00E92031">
        <w:rPr>
          <w:rFonts w:cs="Times New Roman"/>
          <w:szCs w:val="24"/>
        </w:rPr>
        <w:t>, and Fitzsimons, 2018</w:t>
      </w:r>
      <w:r w:rsidRPr="00E92031">
        <w:rPr>
          <w:rFonts w:cs="Times New Roman"/>
          <w:szCs w:val="24"/>
        </w:rPr>
        <w:t xml:space="preserve">). </w:t>
      </w:r>
      <w:r w:rsidR="00E052FA" w:rsidRPr="00E92031">
        <w:rPr>
          <w:rFonts w:cs="Times New Roman"/>
          <w:szCs w:val="24"/>
        </w:rPr>
        <w:t>Behaviour</w:t>
      </w:r>
      <w:r w:rsidRPr="00E92031">
        <w:rPr>
          <w:rFonts w:cs="Times New Roman"/>
          <w:szCs w:val="24"/>
        </w:rPr>
        <w:t xml:space="preserve"> abnormalities, depression, anxiety, self-harm, eating</w:t>
      </w:r>
      <w:r w:rsidR="006770C7">
        <w:rPr>
          <w:rFonts w:cs="Times New Roman"/>
          <w:szCs w:val="24"/>
        </w:rPr>
        <w:t xml:space="preserve"> disorders</w:t>
      </w:r>
      <w:r w:rsidRPr="00E92031">
        <w:rPr>
          <w:rFonts w:cs="Times New Roman"/>
          <w:szCs w:val="24"/>
        </w:rPr>
        <w:t>, and tremor illnesses are examples of psychological problems</w:t>
      </w:r>
      <w:r w:rsidR="00E052FA" w:rsidRPr="00E92031">
        <w:rPr>
          <w:rFonts w:cs="Times New Roman"/>
          <w:szCs w:val="24"/>
        </w:rPr>
        <w:t xml:space="preserve">. </w:t>
      </w:r>
      <w:r w:rsidRPr="00E92031">
        <w:rPr>
          <w:rFonts w:cs="Times New Roman"/>
          <w:szCs w:val="24"/>
        </w:rPr>
        <w:t xml:space="preserve">The prevalence of mental disorders </w:t>
      </w:r>
      <w:r w:rsidR="00E052FA" w:rsidRPr="00E92031">
        <w:rPr>
          <w:rFonts w:cs="Times New Roman"/>
          <w:szCs w:val="24"/>
        </w:rPr>
        <w:t>increases</w:t>
      </w:r>
      <w:r w:rsidRPr="00E92031">
        <w:rPr>
          <w:rFonts w:cs="Times New Roman"/>
          <w:szCs w:val="24"/>
        </w:rPr>
        <w:t xml:space="preserve"> significantly in the latter half of adolescence, approximately 13% for boys and 10% for girls, approaching adult rates to about 23% by 18-20 years (</w:t>
      </w:r>
      <w:r w:rsidR="00E052FA" w:rsidRPr="00E92031">
        <w:rPr>
          <w:rFonts w:cs="Times New Roman"/>
          <w:szCs w:val="24"/>
        </w:rPr>
        <w:t xml:space="preserve">To, </w:t>
      </w:r>
      <w:proofErr w:type="spellStart"/>
      <w:r w:rsidR="00E052FA" w:rsidRPr="00E92031">
        <w:rPr>
          <w:rFonts w:cs="Times New Roman"/>
          <w:szCs w:val="24"/>
        </w:rPr>
        <w:t>Eboreime</w:t>
      </w:r>
      <w:proofErr w:type="spellEnd"/>
      <w:r w:rsidR="00E052FA" w:rsidRPr="00E92031">
        <w:rPr>
          <w:rFonts w:cs="Times New Roman"/>
          <w:szCs w:val="24"/>
        </w:rPr>
        <w:t>, and Agyapong, 2021</w:t>
      </w:r>
      <w:r w:rsidRPr="00E92031">
        <w:rPr>
          <w:rFonts w:cs="Times New Roman"/>
          <w:szCs w:val="24"/>
        </w:rPr>
        <w:t>). Around half of people confirmed with a lifelong psychiatric disorder first reported problems before even the age of 15, and 75% before the age of 18 (</w:t>
      </w:r>
      <w:r w:rsidR="00E052FA" w:rsidRPr="00E92031">
        <w:rPr>
          <w:rFonts w:cs="Times New Roman"/>
          <w:szCs w:val="24"/>
        </w:rPr>
        <w:t>Caspi et al, 2020</w:t>
      </w:r>
      <w:r w:rsidRPr="00E92031">
        <w:rPr>
          <w:rFonts w:cs="Times New Roman"/>
          <w:szCs w:val="24"/>
        </w:rPr>
        <w:t>).</w:t>
      </w:r>
    </w:p>
    <w:p w14:paraId="6C5FA7EE" w14:textId="77777777" w:rsidR="00FC5F54" w:rsidRPr="00E92031" w:rsidRDefault="006D56B4" w:rsidP="00FC5F54">
      <w:pPr>
        <w:pStyle w:val="Heading2"/>
      </w:pPr>
      <w:bookmarkStart w:id="18" w:name="_Toc110866480"/>
      <w:r>
        <w:lastRenderedPageBreak/>
        <w:t>Early interventions</w:t>
      </w:r>
      <w:bookmarkEnd w:id="18"/>
      <w:r>
        <w:t xml:space="preserve"> </w:t>
      </w:r>
    </w:p>
    <w:p w14:paraId="2CBA3A51" w14:textId="77777777" w:rsidR="005A2496" w:rsidRPr="00E92031" w:rsidRDefault="006D56B4" w:rsidP="00773B40">
      <w:pPr>
        <w:jc w:val="both"/>
        <w:rPr>
          <w:rFonts w:cs="Times New Roman"/>
          <w:szCs w:val="24"/>
        </w:rPr>
      </w:pPr>
      <w:r w:rsidRPr="00E92031">
        <w:rPr>
          <w:rFonts w:cs="Times New Roman"/>
          <w:szCs w:val="24"/>
        </w:rPr>
        <w:t>According to the findings of one research (</w:t>
      </w:r>
      <w:r w:rsidR="00E052FA" w:rsidRPr="00E92031">
        <w:rPr>
          <w:rFonts w:cs="Times New Roman"/>
          <w:szCs w:val="24"/>
        </w:rPr>
        <w:t>La Maison et al, 2020</w:t>
      </w:r>
      <w:r w:rsidRPr="00E92031">
        <w:rPr>
          <w:rFonts w:cs="Times New Roman"/>
          <w:szCs w:val="24"/>
        </w:rPr>
        <w:t xml:space="preserve">) that sought to see if </w:t>
      </w:r>
      <w:r w:rsidR="00E052FA" w:rsidRPr="00E92031">
        <w:rPr>
          <w:rFonts w:cs="Times New Roman"/>
          <w:szCs w:val="24"/>
        </w:rPr>
        <w:t>grown-ups</w:t>
      </w:r>
      <w:r w:rsidRPr="00E92031">
        <w:rPr>
          <w:rFonts w:cs="Times New Roman"/>
          <w:szCs w:val="24"/>
        </w:rPr>
        <w:t xml:space="preserve"> with psychological disorders </w:t>
      </w:r>
      <w:proofErr w:type="gramStart"/>
      <w:r w:rsidRPr="00E92031">
        <w:rPr>
          <w:rFonts w:cs="Times New Roman"/>
          <w:szCs w:val="24"/>
        </w:rPr>
        <w:t xml:space="preserve">had an early life history of </w:t>
      </w:r>
      <w:r w:rsidR="00E052FA" w:rsidRPr="00E92031">
        <w:rPr>
          <w:rFonts w:cs="Times New Roman"/>
          <w:szCs w:val="24"/>
        </w:rPr>
        <w:t>a psychiatrist</w:t>
      </w:r>
      <w:proofErr w:type="gramEnd"/>
      <w:r w:rsidRPr="00E92031">
        <w:rPr>
          <w:rFonts w:cs="Times New Roman"/>
          <w:szCs w:val="24"/>
        </w:rPr>
        <w:t>, more than half of all adults with such a psychological issue had already been diagnosed as children, with much less than half receiving adequate treatment at the time they were diagnosed. Without therapy or care, the tremendous amount of stress that people experience while attempting to manage a psychological disorder can lead to suicide (</w:t>
      </w:r>
      <w:r w:rsidR="00E052FA" w:rsidRPr="00E92031">
        <w:rPr>
          <w:rFonts w:cs="Times New Roman"/>
          <w:szCs w:val="24"/>
        </w:rPr>
        <w:t>Nash, and López, 2021</w:t>
      </w:r>
      <w:r w:rsidRPr="00E92031">
        <w:rPr>
          <w:rFonts w:cs="Times New Roman"/>
          <w:szCs w:val="24"/>
        </w:rPr>
        <w:t>). Self-harm</w:t>
      </w:r>
      <w:r w:rsidR="00E052FA" w:rsidRPr="00E92031">
        <w:rPr>
          <w:rFonts w:cs="Times New Roman"/>
          <w:szCs w:val="24"/>
        </w:rPr>
        <w:t>, as well as suicide,</w:t>
      </w:r>
      <w:r w:rsidRPr="00E92031">
        <w:rPr>
          <w:rFonts w:cs="Times New Roman"/>
          <w:szCs w:val="24"/>
        </w:rPr>
        <w:t xml:space="preserve"> were recurring themes across </w:t>
      </w:r>
      <w:proofErr w:type="gramStart"/>
      <w:r w:rsidRPr="00E92031">
        <w:rPr>
          <w:rFonts w:cs="Times New Roman"/>
          <w:szCs w:val="24"/>
        </w:rPr>
        <w:t>all of</w:t>
      </w:r>
      <w:proofErr w:type="gramEnd"/>
      <w:r w:rsidRPr="00E92031">
        <w:rPr>
          <w:rFonts w:cs="Times New Roman"/>
          <w:szCs w:val="24"/>
        </w:rPr>
        <w:t xml:space="preserve"> the psychiatric groups (</w:t>
      </w:r>
      <w:r w:rsidR="00CA57A8" w:rsidRPr="00E92031">
        <w:rPr>
          <w:rFonts w:cs="Times New Roman"/>
          <w:szCs w:val="24"/>
        </w:rPr>
        <w:t>Collishaw, and Sellers, 2020</w:t>
      </w:r>
      <w:r w:rsidRPr="00E92031">
        <w:rPr>
          <w:rFonts w:cs="Times New Roman"/>
          <w:szCs w:val="24"/>
        </w:rPr>
        <w:t>) demonstrating the frequency of mental health issues. Statistics from the Health and Social Care Information Centre (HSCIC) issued in 2014 backed this rising trend, revealing a 70% rise in 10- to 14-year-olds visiting emergency and accident hospitals for self-harm-related practices</w:t>
      </w:r>
      <w:r w:rsidR="00CA57A8" w:rsidRPr="00E92031">
        <w:rPr>
          <w:rFonts w:cs="Times New Roman"/>
          <w:szCs w:val="24"/>
        </w:rPr>
        <w:t xml:space="preserve"> (Parnell, 2016). </w:t>
      </w:r>
      <w:r w:rsidRPr="00E92031">
        <w:rPr>
          <w:rFonts w:cs="Times New Roman"/>
          <w:szCs w:val="24"/>
        </w:rPr>
        <w:t xml:space="preserve">Before considering how to enhance children's and young </w:t>
      </w:r>
      <w:r w:rsidR="00CC6C52" w:rsidRPr="00E92031">
        <w:rPr>
          <w:rFonts w:cs="Times New Roman"/>
          <w:szCs w:val="24"/>
        </w:rPr>
        <w:t>patients’</w:t>
      </w:r>
      <w:r w:rsidRPr="00E92031">
        <w:rPr>
          <w:rFonts w:cs="Times New Roman"/>
          <w:szCs w:val="24"/>
        </w:rPr>
        <w:t xml:space="preserve"> quality of life, it is essential to note that some circumstances are more likely to raise the chance of poor mental health and abnormalities arising (</w:t>
      </w:r>
      <w:proofErr w:type="spellStart"/>
      <w:r w:rsidR="00CA57A8" w:rsidRPr="00E92031">
        <w:rPr>
          <w:rFonts w:cs="Times New Roman"/>
          <w:szCs w:val="24"/>
        </w:rPr>
        <w:t>Güller</w:t>
      </w:r>
      <w:proofErr w:type="spellEnd"/>
      <w:r w:rsidR="00CA57A8" w:rsidRPr="00E92031">
        <w:rPr>
          <w:rFonts w:cs="Times New Roman"/>
          <w:szCs w:val="24"/>
        </w:rPr>
        <w:t xml:space="preserve"> et al, 2020</w:t>
      </w:r>
      <w:r w:rsidRPr="00E92031">
        <w:rPr>
          <w:rFonts w:cs="Times New Roman"/>
          <w:szCs w:val="24"/>
        </w:rPr>
        <w:t xml:space="preserve">). Having a learning handicap, having parents with mental health challenges, chronic physical illness, psychological, mental, or </w:t>
      </w:r>
      <w:r w:rsidR="00CC6C52" w:rsidRPr="00E92031">
        <w:rPr>
          <w:rFonts w:cs="Times New Roman"/>
          <w:szCs w:val="24"/>
        </w:rPr>
        <w:t>sexual</w:t>
      </w:r>
      <w:r w:rsidRPr="00E92031">
        <w:rPr>
          <w:rFonts w:cs="Times New Roman"/>
          <w:szCs w:val="24"/>
        </w:rPr>
        <w:t xml:space="preserve"> violence, familial disintegration, and dealing with sexual assault are examples of these (</w:t>
      </w:r>
      <w:r w:rsidR="00CA57A8" w:rsidRPr="00E92031">
        <w:rPr>
          <w:rFonts w:cs="Times New Roman"/>
          <w:szCs w:val="24"/>
        </w:rPr>
        <w:t>Wright et al, 2020</w:t>
      </w:r>
      <w:r w:rsidRPr="00E92031">
        <w:rPr>
          <w:rFonts w:cs="Times New Roman"/>
          <w:szCs w:val="24"/>
        </w:rPr>
        <w:t>).</w:t>
      </w:r>
    </w:p>
    <w:p w14:paraId="7F5BFBC8" w14:textId="77777777" w:rsidR="008A645D" w:rsidRDefault="006D56B4" w:rsidP="00773B40">
      <w:pPr>
        <w:jc w:val="both"/>
        <w:rPr>
          <w:rFonts w:cs="Times New Roman"/>
          <w:szCs w:val="24"/>
          <w:lang w:val="en-US"/>
        </w:rPr>
      </w:pPr>
      <w:r w:rsidRPr="00E92031">
        <w:rPr>
          <w:rFonts w:cs="Times New Roman"/>
          <w:szCs w:val="24"/>
          <w:lang w:val="en-US"/>
        </w:rPr>
        <w:t xml:space="preserve">However, it is vital to </w:t>
      </w:r>
      <w:proofErr w:type="spellStart"/>
      <w:r w:rsidRPr="00E92031">
        <w:rPr>
          <w:rFonts w:cs="Times New Roman"/>
          <w:szCs w:val="24"/>
          <w:lang w:val="en-US"/>
        </w:rPr>
        <w:t>recognise</w:t>
      </w:r>
      <w:proofErr w:type="spellEnd"/>
      <w:r w:rsidRPr="00E92031">
        <w:rPr>
          <w:rFonts w:cs="Times New Roman"/>
          <w:szCs w:val="24"/>
          <w:lang w:val="en-US"/>
        </w:rPr>
        <w:t xml:space="preserve"> that certain children, </w:t>
      </w:r>
      <w:r w:rsidR="00CC6C52" w:rsidRPr="00E92031">
        <w:rPr>
          <w:rFonts w:cs="Times New Roman"/>
          <w:szCs w:val="24"/>
          <w:lang w:val="en-US"/>
        </w:rPr>
        <w:t xml:space="preserve">with </w:t>
      </w:r>
      <w:r w:rsidRPr="00E92031">
        <w:rPr>
          <w:rFonts w:cs="Times New Roman"/>
          <w:szCs w:val="24"/>
          <w:lang w:val="en-US"/>
        </w:rPr>
        <w:t>repeated exposure to several adverse outcomes, have no mental health issues as adults. It has been proposed that all these protective characteristics be included as an underpinning concept in the development of guidelines for promoting mental health (</w:t>
      </w:r>
      <w:r w:rsidR="00CA57A8" w:rsidRPr="00E92031">
        <w:rPr>
          <w:rFonts w:cs="Times New Roman"/>
          <w:szCs w:val="24"/>
        </w:rPr>
        <w:t>Valadez et al, 2020</w:t>
      </w:r>
      <w:r w:rsidRPr="00E92031">
        <w:rPr>
          <w:rFonts w:cs="Times New Roman"/>
          <w:szCs w:val="24"/>
          <w:lang w:val="en-US"/>
        </w:rPr>
        <w:t xml:space="preserve">). The growing concern about children's and young people's mental wellness and well-being has given momentum for policy reform, notably in child services, </w:t>
      </w:r>
      <w:proofErr w:type="gramStart"/>
      <w:r w:rsidRPr="00E92031">
        <w:rPr>
          <w:rFonts w:cs="Times New Roman"/>
          <w:szCs w:val="24"/>
          <w:lang w:val="en-US"/>
        </w:rPr>
        <w:t>in an effort to</w:t>
      </w:r>
      <w:proofErr w:type="gramEnd"/>
      <w:r w:rsidRPr="00E92031">
        <w:rPr>
          <w:rFonts w:cs="Times New Roman"/>
          <w:szCs w:val="24"/>
          <w:lang w:val="en-US"/>
        </w:rPr>
        <w:t xml:space="preserve"> get a more tailored intervention plan, development, and therapy (</w:t>
      </w:r>
      <w:proofErr w:type="spellStart"/>
      <w:r w:rsidR="00CA57A8" w:rsidRPr="00E92031">
        <w:rPr>
          <w:rFonts w:cs="Times New Roman"/>
          <w:szCs w:val="24"/>
          <w:lang w:val="en-US"/>
        </w:rPr>
        <w:t>Membride</w:t>
      </w:r>
      <w:proofErr w:type="spellEnd"/>
      <w:r w:rsidR="00CA57A8" w:rsidRPr="00E92031">
        <w:rPr>
          <w:rFonts w:cs="Times New Roman"/>
          <w:szCs w:val="24"/>
          <w:lang w:val="en-US"/>
        </w:rPr>
        <w:t>, 2016</w:t>
      </w:r>
      <w:r w:rsidRPr="00E92031">
        <w:rPr>
          <w:rFonts w:cs="Times New Roman"/>
          <w:szCs w:val="24"/>
          <w:lang w:val="en-US"/>
        </w:rPr>
        <w:t xml:space="preserve">). It is commonly acknowledged that getting the best life possible and great parenting </w:t>
      </w:r>
      <w:r w:rsidR="00CC6C52" w:rsidRPr="00E92031">
        <w:rPr>
          <w:rFonts w:cs="Times New Roman"/>
          <w:szCs w:val="24"/>
          <w:lang w:val="en-US"/>
        </w:rPr>
        <w:t>is</w:t>
      </w:r>
      <w:r w:rsidRPr="00E92031">
        <w:rPr>
          <w:rFonts w:cs="Times New Roman"/>
          <w:szCs w:val="24"/>
          <w:lang w:val="en-US"/>
        </w:rPr>
        <w:t xml:space="preserve"> critical to long-term mental health, wellness, and resistance to hardship (</w:t>
      </w:r>
      <w:r w:rsidR="00CA57A8" w:rsidRPr="00E92031">
        <w:rPr>
          <w:rFonts w:cs="Times New Roman"/>
          <w:szCs w:val="24"/>
        </w:rPr>
        <w:t>Stansfield, and Bell, 2019</w:t>
      </w:r>
      <w:r w:rsidRPr="00E92031">
        <w:rPr>
          <w:rFonts w:cs="Times New Roman"/>
          <w:szCs w:val="24"/>
          <w:lang w:val="en-US"/>
        </w:rPr>
        <w:t>).</w:t>
      </w:r>
      <w:r w:rsidRPr="00E92031">
        <w:rPr>
          <w:rFonts w:cs="Times New Roman"/>
          <w:szCs w:val="24"/>
        </w:rPr>
        <w:t xml:space="preserve"> </w:t>
      </w:r>
      <w:r w:rsidRPr="00E92031">
        <w:rPr>
          <w:rFonts w:cs="Times New Roman"/>
          <w:szCs w:val="24"/>
          <w:lang w:val="en-US"/>
        </w:rPr>
        <w:t>Early life experiences and surroundings have an influence on how the mind adapts and grows for schooling, setting the groundwork for children's long-term psychological safety and wellness (</w:t>
      </w:r>
      <w:proofErr w:type="spellStart"/>
      <w:r w:rsidR="00CA57A8" w:rsidRPr="00E92031">
        <w:rPr>
          <w:rFonts w:cs="Times New Roman"/>
          <w:szCs w:val="24"/>
        </w:rPr>
        <w:t>Stebletsova</w:t>
      </w:r>
      <w:proofErr w:type="spellEnd"/>
      <w:r w:rsidR="00CA57A8" w:rsidRPr="00E92031">
        <w:rPr>
          <w:rFonts w:cs="Times New Roman"/>
          <w:szCs w:val="24"/>
        </w:rPr>
        <w:t>, and Scanlan, 2018</w:t>
      </w:r>
      <w:r w:rsidRPr="00E92031">
        <w:rPr>
          <w:rFonts w:cs="Times New Roman"/>
          <w:szCs w:val="24"/>
          <w:lang w:val="en-US"/>
        </w:rPr>
        <w:t>).</w:t>
      </w:r>
    </w:p>
    <w:p w14:paraId="06D71701" w14:textId="77777777" w:rsidR="00FC5F54" w:rsidRPr="00E92031" w:rsidRDefault="006D56B4" w:rsidP="00FC5F54">
      <w:pPr>
        <w:pStyle w:val="Heading2"/>
      </w:pPr>
      <w:bookmarkStart w:id="19" w:name="_Toc110866481"/>
      <w:r>
        <w:t>Early services</w:t>
      </w:r>
      <w:bookmarkEnd w:id="19"/>
      <w:r>
        <w:t xml:space="preserve"> </w:t>
      </w:r>
    </w:p>
    <w:p w14:paraId="049A31D9" w14:textId="77777777" w:rsidR="005A2496" w:rsidRPr="00E92031" w:rsidRDefault="006D56B4" w:rsidP="00773B40">
      <w:pPr>
        <w:jc w:val="both"/>
        <w:rPr>
          <w:rFonts w:cs="Times New Roman"/>
          <w:szCs w:val="24"/>
        </w:rPr>
      </w:pPr>
      <w:r w:rsidRPr="00E92031">
        <w:rPr>
          <w:rFonts w:cs="Times New Roman"/>
          <w:szCs w:val="24"/>
        </w:rPr>
        <w:t xml:space="preserve">Professional health care services seek to help pregnant women and new parents boost baby and child growth and wellbeing, strengthen parent-child bonding, and minimise the occurrence of </w:t>
      </w:r>
      <w:r w:rsidRPr="00E92031">
        <w:rPr>
          <w:rFonts w:cs="Times New Roman"/>
          <w:szCs w:val="24"/>
        </w:rPr>
        <w:lastRenderedPageBreak/>
        <w:t>child maltreatment (</w:t>
      </w:r>
      <w:r w:rsidR="00CA57A8" w:rsidRPr="00E92031">
        <w:rPr>
          <w:rFonts w:cs="Times New Roman"/>
          <w:szCs w:val="24"/>
        </w:rPr>
        <w:t>Masten, 2018</w:t>
      </w:r>
      <w:r w:rsidRPr="00E92031">
        <w:rPr>
          <w:rFonts w:cs="Times New Roman"/>
          <w:szCs w:val="24"/>
        </w:rPr>
        <w:t xml:space="preserve">). The curriculum has a strong involvement </w:t>
      </w:r>
      <w:r w:rsidR="00CC6C52" w:rsidRPr="00E92031">
        <w:rPr>
          <w:rFonts w:cs="Times New Roman"/>
          <w:szCs w:val="24"/>
        </w:rPr>
        <w:t>in</w:t>
      </w:r>
      <w:r w:rsidRPr="00E92031">
        <w:rPr>
          <w:rFonts w:cs="Times New Roman"/>
          <w:szCs w:val="24"/>
        </w:rPr>
        <w:t xml:space="preserve"> supplying long-term advantages to young mothers and babies, such as decreased child maltreatment, increased school preparedness and accomplishment, and decreased mental and </w:t>
      </w:r>
      <w:r w:rsidR="00CC6C52" w:rsidRPr="00E92031">
        <w:rPr>
          <w:rFonts w:cs="Times New Roman"/>
          <w:szCs w:val="24"/>
        </w:rPr>
        <w:t>behavioural</w:t>
      </w:r>
      <w:r w:rsidRPr="00E92031">
        <w:rPr>
          <w:rFonts w:cs="Times New Roman"/>
          <w:szCs w:val="24"/>
        </w:rPr>
        <w:t xml:space="preserve"> difficulties (</w:t>
      </w:r>
      <w:r w:rsidR="004F14B1" w:rsidRPr="00E92031">
        <w:rPr>
          <w:rFonts w:cs="Times New Roman"/>
          <w:szCs w:val="24"/>
        </w:rPr>
        <w:t>Ansari, and Pianta, 2018</w:t>
      </w:r>
      <w:r w:rsidRPr="00E92031">
        <w:rPr>
          <w:rFonts w:cs="Times New Roman"/>
          <w:szCs w:val="24"/>
        </w:rPr>
        <w:t xml:space="preserve">). Kitzman et al., 2010 discovered that children whose families engaged in such </w:t>
      </w:r>
      <w:r w:rsidR="00CC6C52" w:rsidRPr="00E92031">
        <w:rPr>
          <w:rFonts w:cs="Times New Roman"/>
          <w:szCs w:val="24"/>
        </w:rPr>
        <w:t>programmes</w:t>
      </w:r>
      <w:r w:rsidRPr="00E92031">
        <w:rPr>
          <w:rFonts w:cs="Times New Roman"/>
          <w:szCs w:val="24"/>
        </w:rPr>
        <w:t xml:space="preserve"> had less emotional and </w:t>
      </w:r>
      <w:r w:rsidR="00CC6C52" w:rsidRPr="00E92031">
        <w:rPr>
          <w:rFonts w:cs="Times New Roman"/>
          <w:szCs w:val="24"/>
        </w:rPr>
        <w:t>behavioural</w:t>
      </w:r>
      <w:r w:rsidRPr="00E92031">
        <w:rPr>
          <w:rFonts w:cs="Times New Roman"/>
          <w:szCs w:val="24"/>
        </w:rPr>
        <w:t xml:space="preserve"> difficulties, as well as less anxiety and despair (</w:t>
      </w:r>
      <w:r w:rsidR="004F14B1" w:rsidRPr="00E92031">
        <w:rPr>
          <w:rFonts w:cs="Times New Roman"/>
          <w:szCs w:val="24"/>
        </w:rPr>
        <w:t xml:space="preserve">Attanasio, Cattan, and </w:t>
      </w:r>
      <w:proofErr w:type="spellStart"/>
      <w:r w:rsidR="004F14B1" w:rsidRPr="00E92031">
        <w:rPr>
          <w:rFonts w:cs="Times New Roman"/>
          <w:szCs w:val="24"/>
        </w:rPr>
        <w:t>Meghir</w:t>
      </w:r>
      <w:proofErr w:type="spellEnd"/>
      <w:r w:rsidR="004F14B1" w:rsidRPr="00E92031">
        <w:rPr>
          <w:rFonts w:cs="Times New Roman"/>
          <w:szCs w:val="24"/>
        </w:rPr>
        <w:t>, 2021</w:t>
      </w:r>
      <w:r w:rsidRPr="00E92031">
        <w:rPr>
          <w:rFonts w:cs="Times New Roman"/>
          <w:szCs w:val="24"/>
        </w:rPr>
        <w:t>).</w:t>
      </w:r>
    </w:p>
    <w:p w14:paraId="2A76F2F4" w14:textId="77777777" w:rsidR="008A645D" w:rsidRPr="00E92031" w:rsidRDefault="006D56B4" w:rsidP="00773B40">
      <w:pPr>
        <w:jc w:val="both"/>
        <w:rPr>
          <w:rFonts w:cs="Times New Roman"/>
          <w:szCs w:val="24"/>
        </w:rPr>
      </w:pPr>
      <w:r w:rsidRPr="00E92031">
        <w:rPr>
          <w:rFonts w:cs="Times New Roman"/>
          <w:szCs w:val="24"/>
        </w:rPr>
        <w:t>Carolyn Webster-Stratton created the parenting curriculum The Incredible Years. Its goals are to: encourage good parenting; improve family interactions; assist families in identifying theory of social learning elements for behaviour therapy; strengthen home-school connections (</w:t>
      </w:r>
      <w:r w:rsidR="004F14B1" w:rsidRPr="00E92031">
        <w:rPr>
          <w:rFonts w:cs="Times New Roman"/>
          <w:szCs w:val="24"/>
        </w:rPr>
        <w:t>Webster-Stratton, 2020</w:t>
      </w:r>
      <w:r w:rsidRPr="00E92031">
        <w:rPr>
          <w:rFonts w:cs="Times New Roman"/>
          <w:szCs w:val="24"/>
        </w:rPr>
        <w:t>)</w:t>
      </w:r>
      <w:r w:rsidR="004F14B1" w:rsidRPr="00E92031">
        <w:rPr>
          <w:rFonts w:cs="Times New Roman"/>
          <w:szCs w:val="24"/>
        </w:rPr>
        <w:t xml:space="preserve">. </w:t>
      </w:r>
      <w:r w:rsidRPr="00E92031">
        <w:rPr>
          <w:rFonts w:cs="Times New Roman"/>
          <w:szCs w:val="24"/>
        </w:rPr>
        <w:t xml:space="preserve">The approach has been thoroughly assessed as a cohort parenting program, with studies showing beneficial benefits not just for </w:t>
      </w:r>
      <w:r w:rsidR="004F14B1" w:rsidRPr="00E92031">
        <w:rPr>
          <w:rFonts w:cs="Times New Roman"/>
          <w:szCs w:val="24"/>
        </w:rPr>
        <w:t xml:space="preserve">the </w:t>
      </w:r>
      <w:r w:rsidR="00CC6C52" w:rsidRPr="00E92031">
        <w:rPr>
          <w:rFonts w:cs="Times New Roman"/>
          <w:szCs w:val="24"/>
        </w:rPr>
        <w:t>mother’s</w:t>
      </w:r>
      <w:r w:rsidRPr="00E92031">
        <w:rPr>
          <w:rFonts w:cs="Times New Roman"/>
          <w:szCs w:val="24"/>
        </w:rPr>
        <w:t xml:space="preserve"> health and welfare, </w:t>
      </w:r>
      <w:r w:rsidR="00CC6C52" w:rsidRPr="00E92031">
        <w:rPr>
          <w:rFonts w:cs="Times New Roman"/>
          <w:szCs w:val="24"/>
        </w:rPr>
        <w:t xml:space="preserve">but </w:t>
      </w:r>
      <w:r w:rsidRPr="00E92031">
        <w:rPr>
          <w:rFonts w:cs="Times New Roman"/>
          <w:szCs w:val="24"/>
        </w:rPr>
        <w:t>as well as for children's health, notably in the areas of interpersonal, psychological, and cognitive growth (</w:t>
      </w:r>
      <w:proofErr w:type="spellStart"/>
      <w:r w:rsidR="004F14B1" w:rsidRPr="00E92031">
        <w:rPr>
          <w:rFonts w:cs="Times New Roman"/>
          <w:szCs w:val="24"/>
        </w:rPr>
        <w:t>Dababnah</w:t>
      </w:r>
      <w:proofErr w:type="spellEnd"/>
      <w:r w:rsidR="004F14B1" w:rsidRPr="00E92031">
        <w:rPr>
          <w:rFonts w:cs="Times New Roman"/>
          <w:szCs w:val="24"/>
        </w:rPr>
        <w:t>, Olson, and Nichols, 2019</w:t>
      </w:r>
      <w:r w:rsidRPr="00E92031">
        <w:rPr>
          <w:rFonts w:cs="Times New Roman"/>
          <w:szCs w:val="24"/>
        </w:rPr>
        <w:t>).</w:t>
      </w:r>
    </w:p>
    <w:p w14:paraId="3053390F" w14:textId="77777777" w:rsidR="00CC65CF" w:rsidRDefault="006D56B4" w:rsidP="00773B40">
      <w:pPr>
        <w:jc w:val="both"/>
        <w:rPr>
          <w:rFonts w:cs="Times New Roman"/>
          <w:szCs w:val="24"/>
        </w:rPr>
      </w:pPr>
      <w:r w:rsidRPr="00CC65CF">
        <w:rPr>
          <w:rFonts w:cs="Times New Roman"/>
          <w:szCs w:val="24"/>
        </w:rPr>
        <w:t xml:space="preserve">There is a growing need to render psychiatric therapies more accessible to children, teenagers, and their parents, with a focus on the crucial role of institutions. Considering that the department of education is posited as the best location for supply and disposal, it </w:t>
      </w:r>
      <w:proofErr w:type="spellStart"/>
      <w:r w:rsidRPr="00CC65CF">
        <w:rPr>
          <w:rFonts w:cs="Times New Roman"/>
          <w:szCs w:val="24"/>
        </w:rPr>
        <w:t>it</w:t>
      </w:r>
      <w:proofErr w:type="spellEnd"/>
      <w:r w:rsidRPr="00CC65CF">
        <w:rPr>
          <w:rFonts w:cs="Times New Roman"/>
          <w:szCs w:val="24"/>
        </w:rPr>
        <w:t xml:space="preserve"> seems that an emphasis needs to be placed on the development of educational initiatives to encourage perseverance and facilitate teenagers to minimise risk and enhance intellectual well-being behaviour (Russell, Rasmussen, and Hunter, 2020). Nevertheless, the findings of these studies show that long-term therapies that promote a positive attitude toward mental health and employ a whole-school method are far more likely to have a positive impact than quick whole-school interventions (Wignall, Kelly, and Grace, 2022).</w:t>
      </w:r>
    </w:p>
    <w:p w14:paraId="03C0B3B1" w14:textId="77777777" w:rsidR="00CC6C52" w:rsidRPr="00E92031" w:rsidRDefault="006D56B4" w:rsidP="00773B40">
      <w:pPr>
        <w:jc w:val="both"/>
        <w:rPr>
          <w:rFonts w:cs="Times New Roman"/>
          <w:szCs w:val="24"/>
          <w:shd w:val="clear" w:color="auto" w:fill="F8F8F8"/>
        </w:rPr>
      </w:pPr>
      <w:r w:rsidRPr="00E92031">
        <w:rPr>
          <w:rFonts w:cs="Times New Roman"/>
          <w:szCs w:val="24"/>
          <w:shd w:val="clear" w:color="auto" w:fill="F8F8F8"/>
        </w:rPr>
        <w:t xml:space="preserve">Children and adolescents are obviously a high-risk group dealing with increasingly complicated difficulties. Preventive activities that include an entire strategy are </w:t>
      </w:r>
      <w:proofErr w:type="gramStart"/>
      <w:r w:rsidRPr="00E92031">
        <w:rPr>
          <w:rFonts w:cs="Times New Roman"/>
          <w:szCs w:val="24"/>
          <w:shd w:val="clear" w:color="auto" w:fill="F8F8F8"/>
        </w:rPr>
        <w:t>definitely required</w:t>
      </w:r>
      <w:proofErr w:type="gramEnd"/>
      <w:r w:rsidRPr="00E92031">
        <w:rPr>
          <w:rFonts w:cs="Times New Roman"/>
          <w:szCs w:val="24"/>
          <w:shd w:val="clear" w:color="auto" w:fill="F8F8F8"/>
        </w:rPr>
        <w:t xml:space="preserve"> at a younger age to help children develop self-esteem and perseverance. Through the age children enter puberty, their issues have sometimes become profoundly engrained and frequently accompany people into life. Primary prevention improved support of psychological well-being, and effective parenting initiatives all have a role to play in ensuring better results for our young people and children as they enter society.</w:t>
      </w:r>
    </w:p>
    <w:p w14:paraId="12BA4C78" w14:textId="77777777" w:rsidR="00773B40" w:rsidRDefault="006D56B4">
      <w:pPr>
        <w:spacing w:after="160" w:line="259" w:lineRule="auto"/>
        <w:ind w:firstLine="0"/>
        <w:rPr>
          <w:rFonts w:eastAsiaTheme="majorEastAsia" w:cstheme="majorBidi"/>
          <w:b/>
          <w:bCs/>
          <w:caps/>
          <w:kern w:val="32"/>
          <w:szCs w:val="32"/>
          <w:shd w:val="clear" w:color="auto" w:fill="F8F8F8"/>
        </w:rPr>
      </w:pPr>
      <w:r>
        <w:br w:type="page"/>
      </w:r>
    </w:p>
    <w:p w14:paraId="10144FCB" w14:textId="77777777" w:rsidR="00CC72F9" w:rsidRPr="00E92031" w:rsidRDefault="006D56B4" w:rsidP="00773B40">
      <w:pPr>
        <w:pStyle w:val="Heading1"/>
      </w:pPr>
      <w:bookmarkStart w:id="20" w:name="_Toc110866482"/>
      <w:r w:rsidRPr="00E92031">
        <w:lastRenderedPageBreak/>
        <w:t>References</w:t>
      </w:r>
      <w:bookmarkEnd w:id="20"/>
    </w:p>
    <w:p w14:paraId="7645DB0F" w14:textId="77777777" w:rsidR="00D30234" w:rsidRPr="00D30234" w:rsidRDefault="006D56B4" w:rsidP="00773B40">
      <w:pPr>
        <w:ind w:left="720" w:hanging="720"/>
        <w:jc w:val="both"/>
        <w:rPr>
          <w:rFonts w:cs="Times New Roman"/>
          <w:szCs w:val="24"/>
        </w:rPr>
      </w:pPr>
      <w:r w:rsidRPr="00D30234">
        <w:rPr>
          <w:rFonts w:cs="Times New Roman"/>
          <w:szCs w:val="24"/>
        </w:rPr>
        <w:t xml:space="preserve">Agarwal, S., 2020. Interplay between Child Rights and Refugee Law: An Analysis from the Perspective of UNCRC. </w:t>
      </w:r>
      <w:proofErr w:type="spellStart"/>
      <w:r w:rsidRPr="00D30234">
        <w:rPr>
          <w:rFonts w:cs="Times New Roman"/>
          <w:szCs w:val="24"/>
        </w:rPr>
        <w:t>LexForti</w:t>
      </w:r>
      <w:proofErr w:type="spellEnd"/>
      <w:r w:rsidRPr="00D30234">
        <w:rPr>
          <w:rFonts w:cs="Times New Roman"/>
          <w:szCs w:val="24"/>
        </w:rPr>
        <w:t xml:space="preserve"> Legal J., 2, p.21.</w:t>
      </w:r>
    </w:p>
    <w:p w14:paraId="70F1D71E" w14:textId="77777777" w:rsidR="00D30234" w:rsidRPr="00D30234" w:rsidRDefault="006D56B4" w:rsidP="00773B40">
      <w:pPr>
        <w:ind w:left="720" w:hanging="720"/>
        <w:jc w:val="both"/>
        <w:rPr>
          <w:rFonts w:cs="Times New Roman"/>
          <w:szCs w:val="24"/>
        </w:rPr>
      </w:pPr>
      <w:r w:rsidRPr="00D30234">
        <w:rPr>
          <w:rFonts w:cs="Times New Roman"/>
          <w:szCs w:val="24"/>
        </w:rPr>
        <w:t xml:space="preserve">Ansari, A. and Pianta, R.C., 2018. Variation in the long-term benefits of </w:t>
      </w:r>
      <w:proofErr w:type="gramStart"/>
      <w:r w:rsidRPr="00D30234">
        <w:rPr>
          <w:rFonts w:cs="Times New Roman"/>
          <w:szCs w:val="24"/>
        </w:rPr>
        <w:t>child care</w:t>
      </w:r>
      <w:proofErr w:type="gramEnd"/>
      <w:r w:rsidRPr="00D30234">
        <w:rPr>
          <w:rFonts w:cs="Times New Roman"/>
          <w:szCs w:val="24"/>
        </w:rPr>
        <w:t>: The role of classroom quality in elementary school. </w:t>
      </w:r>
      <w:r w:rsidRPr="00D30234">
        <w:rPr>
          <w:rFonts w:cs="Times New Roman"/>
          <w:i/>
          <w:iCs/>
          <w:szCs w:val="24"/>
        </w:rPr>
        <w:t>Developmental Psychology</w:t>
      </w:r>
      <w:r w:rsidRPr="00D30234">
        <w:rPr>
          <w:rFonts w:cs="Times New Roman"/>
          <w:szCs w:val="24"/>
        </w:rPr>
        <w:t>, </w:t>
      </w:r>
      <w:r w:rsidRPr="00D30234">
        <w:rPr>
          <w:rFonts w:cs="Times New Roman"/>
          <w:i/>
          <w:iCs/>
          <w:szCs w:val="24"/>
        </w:rPr>
        <w:t>54</w:t>
      </w:r>
      <w:r w:rsidRPr="00D30234">
        <w:rPr>
          <w:rFonts w:cs="Times New Roman"/>
          <w:szCs w:val="24"/>
        </w:rPr>
        <w:t>(10), p.1854.</w:t>
      </w:r>
    </w:p>
    <w:p w14:paraId="08D67FBB" w14:textId="77777777" w:rsidR="00D30234" w:rsidRPr="00D30234" w:rsidRDefault="006D56B4" w:rsidP="00773B40">
      <w:pPr>
        <w:ind w:left="720" w:hanging="720"/>
        <w:jc w:val="both"/>
        <w:rPr>
          <w:rFonts w:cs="Times New Roman"/>
          <w:szCs w:val="24"/>
        </w:rPr>
      </w:pPr>
      <w:r w:rsidRPr="00D30234">
        <w:rPr>
          <w:rFonts w:cs="Times New Roman"/>
          <w:szCs w:val="24"/>
        </w:rPr>
        <w:t xml:space="preserve">Attanasio, O., Cattan, S. and </w:t>
      </w:r>
      <w:proofErr w:type="spellStart"/>
      <w:r w:rsidRPr="00D30234">
        <w:rPr>
          <w:rFonts w:cs="Times New Roman"/>
          <w:szCs w:val="24"/>
        </w:rPr>
        <w:t>Meghir</w:t>
      </w:r>
      <w:proofErr w:type="spellEnd"/>
      <w:r w:rsidRPr="00D30234">
        <w:rPr>
          <w:rFonts w:cs="Times New Roman"/>
          <w:szCs w:val="24"/>
        </w:rPr>
        <w:t>, C., 2021. Early Childhood Development, Human Capital, and Poverty. </w:t>
      </w:r>
      <w:r w:rsidRPr="00D30234">
        <w:rPr>
          <w:rFonts w:cs="Times New Roman"/>
          <w:i/>
          <w:iCs/>
          <w:szCs w:val="24"/>
        </w:rPr>
        <w:t>Annual Review of Economics</w:t>
      </w:r>
      <w:r w:rsidRPr="00D30234">
        <w:rPr>
          <w:rFonts w:cs="Times New Roman"/>
          <w:szCs w:val="24"/>
        </w:rPr>
        <w:t>, </w:t>
      </w:r>
      <w:r w:rsidRPr="00D30234">
        <w:rPr>
          <w:rFonts w:cs="Times New Roman"/>
          <w:i/>
          <w:iCs/>
          <w:szCs w:val="24"/>
        </w:rPr>
        <w:t>14</w:t>
      </w:r>
      <w:r w:rsidRPr="00D30234">
        <w:rPr>
          <w:rFonts w:cs="Times New Roman"/>
          <w:szCs w:val="24"/>
        </w:rPr>
        <w:t>.</w:t>
      </w:r>
    </w:p>
    <w:p w14:paraId="27EED6B7" w14:textId="77777777" w:rsidR="00D30234" w:rsidRPr="00D30234" w:rsidRDefault="006D56B4" w:rsidP="00773B40">
      <w:pPr>
        <w:ind w:left="720" w:hanging="720"/>
        <w:jc w:val="both"/>
        <w:rPr>
          <w:rFonts w:cs="Times New Roman"/>
          <w:szCs w:val="24"/>
        </w:rPr>
      </w:pPr>
      <w:r w:rsidRPr="00D30234">
        <w:rPr>
          <w:rFonts w:cs="Times New Roman"/>
          <w:szCs w:val="24"/>
        </w:rPr>
        <w:t xml:space="preserve">Banko-Bal, C. and Guler-Yildiz, T., 2021. An investigation of early childhood education teachers’ attitudes, </w:t>
      </w:r>
      <w:proofErr w:type="spellStart"/>
      <w:r w:rsidRPr="00D30234">
        <w:rPr>
          <w:rFonts w:cs="Times New Roman"/>
          <w:szCs w:val="24"/>
        </w:rPr>
        <w:t>behaviors</w:t>
      </w:r>
      <w:proofErr w:type="spellEnd"/>
      <w:r w:rsidRPr="00D30234">
        <w:rPr>
          <w:rFonts w:cs="Times New Roman"/>
          <w:szCs w:val="24"/>
        </w:rPr>
        <w:t>, and views regarding the rights of the child. </w:t>
      </w:r>
      <w:r w:rsidRPr="00D30234">
        <w:rPr>
          <w:rFonts w:cs="Times New Roman"/>
          <w:i/>
          <w:iCs/>
          <w:szCs w:val="24"/>
        </w:rPr>
        <w:t>International Journal of Child Care and Education Policy</w:t>
      </w:r>
      <w:r w:rsidRPr="00D30234">
        <w:rPr>
          <w:rFonts w:cs="Times New Roman"/>
          <w:szCs w:val="24"/>
        </w:rPr>
        <w:t>, </w:t>
      </w:r>
      <w:r w:rsidRPr="00D30234">
        <w:rPr>
          <w:rFonts w:cs="Times New Roman"/>
          <w:i/>
          <w:iCs/>
          <w:szCs w:val="24"/>
        </w:rPr>
        <w:t>15</w:t>
      </w:r>
      <w:r w:rsidRPr="00D30234">
        <w:rPr>
          <w:rFonts w:cs="Times New Roman"/>
          <w:szCs w:val="24"/>
        </w:rPr>
        <w:t>(1), pp.1-26.</w:t>
      </w:r>
    </w:p>
    <w:p w14:paraId="10B003A6" w14:textId="77777777" w:rsidR="00D30234" w:rsidRPr="00D30234" w:rsidRDefault="006D56B4" w:rsidP="00773B40">
      <w:pPr>
        <w:ind w:left="720" w:hanging="720"/>
        <w:jc w:val="both"/>
        <w:rPr>
          <w:rFonts w:cs="Times New Roman"/>
          <w:szCs w:val="24"/>
        </w:rPr>
      </w:pPr>
      <w:r w:rsidRPr="00D30234">
        <w:rPr>
          <w:rFonts w:cs="Times New Roman"/>
          <w:szCs w:val="24"/>
        </w:rPr>
        <w:t>Basham, G., 2021. Comprehensive Leadership Development: Principal Characteristics, Experience and Performance.</w:t>
      </w:r>
    </w:p>
    <w:p w14:paraId="4B88B0A0" w14:textId="77777777" w:rsidR="00D30234" w:rsidRPr="00D30234" w:rsidRDefault="006D56B4" w:rsidP="00773B40">
      <w:pPr>
        <w:ind w:left="720" w:hanging="720"/>
        <w:jc w:val="both"/>
        <w:rPr>
          <w:rFonts w:cs="Times New Roman"/>
          <w:szCs w:val="24"/>
        </w:rPr>
      </w:pPr>
      <w:r w:rsidRPr="00D30234">
        <w:rPr>
          <w:rFonts w:cs="Times New Roman"/>
          <w:szCs w:val="24"/>
        </w:rPr>
        <w:t>Boamah, S.A., 2019. Emergence of informal clinical leadership as a catalyst for improving patient care quality and job satisfaction. </w:t>
      </w:r>
      <w:r w:rsidRPr="00D30234">
        <w:rPr>
          <w:rFonts w:cs="Times New Roman"/>
          <w:i/>
          <w:iCs/>
          <w:szCs w:val="24"/>
        </w:rPr>
        <w:t>Journal of Advanced Nursing</w:t>
      </w:r>
      <w:r w:rsidRPr="00D30234">
        <w:rPr>
          <w:rFonts w:cs="Times New Roman"/>
          <w:szCs w:val="24"/>
        </w:rPr>
        <w:t>, </w:t>
      </w:r>
      <w:r w:rsidRPr="00D30234">
        <w:rPr>
          <w:rFonts w:cs="Times New Roman"/>
          <w:i/>
          <w:iCs/>
          <w:szCs w:val="24"/>
        </w:rPr>
        <w:t>75</w:t>
      </w:r>
      <w:r w:rsidRPr="00D30234">
        <w:rPr>
          <w:rFonts w:cs="Times New Roman"/>
          <w:szCs w:val="24"/>
        </w:rPr>
        <w:t>(5), pp.1000-1009.</w:t>
      </w:r>
    </w:p>
    <w:p w14:paraId="55ECC23D" w14:textId="77777777" w:rsidR="00D30234" w:rsidRPr="00D30234" w:rsidRDefault="006D56B4" w:rsidP="00773B40">
      <w:pPr>
        <w:ind w:left="720" w:hanging="720"/>
        <w:jc w:val="both"/>
        <w:rPr>
          <w:rFonts w:cs="Times New Roman"/>
          <w:szCs w:val="24"/>
        </w:rPr>
      </w:pPr>
      <w:r w:rsidRPr="00D30234">
        <w:rPr>
          <w:rFonts w:cs="Times New Roman"/>
          <w:szCs w:val="24"/>
        </w:rPr>
        <w:t>Bradwell, M., 2019. Voice, views and the UNCRC Articles 12 and 13. Journal of Early Childhood Research, 17(4), pp.423-433.</w:t>
      </w:r>
    </w:p>
    <w:p w14:paraId="76E48F60" w14:textId="77777777" w:rsidR="00D30234" w:rsidRPr="00D30234" w:rsidRDefault="006D56B4" w:rsidP="00773B40">
      <w:pPr>
        <w:ind w:left="720" w:hanging="720"/>
        <w:jc w:val="both"/>
        <w:rPr>
          <w:rFonts w:cs="Times New Roman"/>
          <w:szCs w:val="24"/>
        </w:rPr>
      </w:pPr>
      <w:r w:rsidRPr="00D30234">
        <w:rPr>
          <w:rFonts w:cs="Times New Roman"/>
          <w:szCs w:val="24"/>
        </w:rPr>
        <w:t xml:space="preserve">Caspi, A., Houts, R.M., Ambler, A., Danese, A., Elliott, M.L., Hariri, A., Harrington, H., Hogan, S., Poulton, R., </w:t>
      </w:r>
      <w:proofErr w:type="spellStart"/>
      <w:r w:rsidRPr="00D30234">
        <w:rPr>
          <w:rFonts w:cs="Times New Roman"/>
          <w:szCs w:val="24"/>
        </w:rPr>
        <w:t>Ramrakha</w:t>
      </w:r>
      <w:proofErr w:type="spellEnd"/>
      <w:r w:rsidRPr="00D30234">
        <w:rPr>
          <w:rFonts w:cs="Times New Roman"/>
          <w:szCs w:val="24"/>
        </w:rPr>
        <w:t>, S. and Rasmussen, L.J.H., 2020. Longitudinal assessment of mental health disorders and comorbidities across 4 decades among participants in the Dunedin birth cohort study. </w:t>
      </w:r>
      <w:r w:rsidRPr="00D30234">
        <w:rPr>
          <w:rFonts w:cs="Times New Roman"/>
          <w:i/>
          <w:iCs/>
          <w:szCs w:val="24"/>
        </w:rPr>
        <w:t>JAMA network open</w:t>
      </w:r>
      <w:r w:rsidRPr="00D30234">
        <w:rPr>
          <w:rFonts w:cs="Times New Roman"/>
          <w:szCs w:val="24"/>
        </w:rPr>
        <w:t>, </w:t>
      </w:r>
      <w:r w:rsidRPr="00D30234">
        <w:rPr>
          <w:rFonts w:cs="Times New Roman"/>
          <w:i/>
          <w:iCs/>
          <w:szCs w:val="24"/>
        </w:rPr>
        <w:t>3</w:t>
      </w:r>
      <w:r w:rsidRPr="00D30234">
        <w:rPr>
          <w:rFonts w:cs="Times New Roman"/>
          <w:szCs w:val="24"/>
        </w:rPr>
        <w:t xml:space="preserve">(4), </w:t>
      </w:r>
      <w:proofErr w:type="gramStart"/>
      <w:r w:rsidRPr="00D30234">
        <w:rPr>
          <w:rFonts w:cs="Times New Roman"/>
          <w:szCs w:val="24"/>
        </w:rPr>
        <w:t>pp.e</w:t>
      </w:r>
      <w:proofErr w:type="gramEnd"/>
      <w:r w:rsidRPr="00D30234">
        <w:rPr>
          <w:rFonts w:cs="Times New Roman"/>
          <w:szCs w:val="24"/>
        </w:rPr>
        <w:t>203221-e203221.</w:t>
      </w:r>
    </w:p>
    <w:p w14:paraId="395D4153" w14:textId="77777777" w:rsidR="00D30234" w:rsidRPr="00D30234" w:rsidRDefault="006D56B4" w:rsidP="00773B40">
      <w:pPr>
        <w:ind w:left="720" w:hanging="720"/>
        <w:jc w:val="both"/>
        <w:rPr>
          <w:rFonts w:cs="Times New Roman"/>
          <w:szCs w:val="24"/>
        </w:rPr>
      </w:pPr>
      <w:r w:rsidRPr="00D30234">
        <w:rPr>
          <w:rFonts w:cs="Times New Roman"/>
          <w:szCs w:val="24"/>
        </w:rPr>
        <w:t>Channing, J., 2020. How Can Leadership Be Taught? Implications for Leadership Educators. </w:t>
      </w:r>
      <w:r w:rsidRPr="00D30234">
        <w:rPr>
          <w:rFonts w:cs="Times New Roman"/>
          <w:i/>
          <w:iCs/>
          <w:szCs w:val="24"/>
        </w:rPr>
        <w:t>International Journal of Educational Leadership Preparation</w:t>
      </w:r>
      <w:r w:rsidRPr="00D30234">
        <w:rPr>
          <w:rFonts w:cs="Times New Roman"/>
          <w:szCs w:val="24"/>
        </w:rPr>
        <w:t>, </w:t>
      </w:r>
      <w:r w:rsidRPr="00D30234">
        <w:rPr>
          <w:rFonts w:cs="Times New Roman"/>
          <w:i/>
          <w:iCs/>
          <w:szCs w:val="24"/>
        </w:rPr>
        <w:t>15</w:t>
      </w:r>
      <w:r w:rsidRPr="00D30234">
        <w:rPr>
          <w:rFonts w:cs="Times New Roman"/>
          <w:szCs w:val="24"/>
        </w:rPr>
        <w:t>(1), pp.134-148.</w:t>
      </w:r>
    </w:p>
    <w:p w14:paraId="499FD2E9"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Cherkowski</w:t>
      </w:r>
      <w:proofErr w:type="spellEnd"/>
      <w:r w:rsidRPr="00D30234">
        <w:rPr>
          <w:rFonts w:cs="Times New Roman"/>
          <w:szCs w:val="24"/>
        </w:rPr>
        <w:t>, S., 2018. Positive Teacher Leadership: Building Mindsets and Capacities to Grow Wellbeing. </w:t>
      </w:r>
      <w:r w:rsidRPr="00D30234">
        <w:rPr>
          <w:rFonts w:cs="Times New Roman"/>
          <w:i/>
          <w:iCs/>
          <w:szCs w:val="24"/>
        </w:rPr>
        <w:t>International Journal of Teacher Leadership</w:t>
      </w:r>
      <w:r w:rsidRPr="00D30234">
        <w:rPr>
          <w:rFonts w:cs="Times New Roman"/>
          <w:szCs w:val="24"/>
        </w:rPr>
        <w:t>, </w:t>
      </w:r>
      <w:r w:rsidRPr="00D30234">
        <w:rPr>
          <w:rFonts w:cs="Times New Roman"/>
          <w:i/>
          <w:iCs/>
          <w:szCs w:val="24"/>
        </w:rPr>
        <w:t>9</w:t>
      </w:r>
      <w:r w:rsidRPr="00D30234">
        <w:rPr>
          <w:rFonts w:cs="Times New Roman"/>
          <w:szCs w:val="24"/>
        </w:rPr>
        <w:t>(1), pp.63-78.</w:t>
      </w:r>
    </w:p>
    <w:p w14:paraId="136B129C" w14:textId="77777777" w:rsidR="00D30234" w:rsidRPr="00D30234" w:rsidRDefault="006D56B4" w:rsidP="00773B40">
      <w:pPr>
        <w:ind w:left="720" w:hanging="720"/>
        <w:jc w:val="both"/>
        <w:rPr>
          <w:rFonts w:cs="Times New Roman"/>
          <w:szCs w:val="24"/>
        </w:rPr>
      </w:pPr>
      <w:r w:rsidRPr="00D30234">
        <w:rPr>
          <w:rFonts w:cs="Times New Roman"/>
          <w:szCs w:val="24"/>
        </w:rPr>
        <w:t xml:space="preserve">Church, A. and Bateman, A., 2019. Children’s right to participate: How can teachers extend child-initiated learning </w:t>
      </w:r>
      <w:proofErr w:type="gramStart"/>
      <w:r w:rsidRPr="00D30234">
        <w:rPr>
          <w:rFonts w:cs="Times New Roman"/>
          <w:szCs w:val="24"/>
        </w:rPr>
        <w:t>sequences?.</w:t>
      </w:r>
      <w:proofErr w:type="gramEnd"/>
      <w:r w:rsidRPr="00D30234">
        <w:rPr>
          <w:rFonts w:cs="Times New Roman"/>
          <w:szCs w:val="24"/>
        </w:rPr>
        <w:t> </w:t>
      </w:r>
      <w:r w:rsidRPr="00D30234">
        <w:rPr>
          <w:rFonts w:cs="Times New Roman"/>
          <w:i/>
          <w:iCs/>
          <w:szCs w:val="24"/>
        </w:rPr>
        <w:t>International Journal of Early Childhood</w:t>
      </w:r>
      <w:r w:rsidRPr="00D30234">
        <w:rPr>
          <w:rFonts w:cs="Times New Roman"/>
          <w:szCs w:val="24"/>
        </w:rPr>
        <w:t>, </w:t>
      </w:r>
      <w:r w:rsidRPr="00D30234">
        <w:rPr>
          <w:rFonts w:cs="Times New Roman"/>
          <w:i/>
          <w:iCs/>
          <w:szCs w:val="24"/>
        </w:rPr>
        <w:t>51</w:t>
      </w:r>
      <w:r w:rsidRPr="00D30234">
        <w:rPr>
          <w:rFonts w:cs="Times New Roman"/>
          <w:szCs w:val="24"/>
        </w:rPr>
        <w:t>(3), pp.265-281.</w:t>
      </w:r>
    </w:p>
    <w:p w14:paraId="0DB5959C" w14:textId="77777777" w:rsidR="00D30234" w:rsidRPr="00D30234" w:rsidRDefault="006D56B4" w:rsidP="00773B40">
      <w:pPr>
        <w:ind w:left="720" w:hanging="720"/>
        <w:jc w:val="both"/>
        <w:rPr>
          <w:rFonts w:cs="Times New Roman"/>
          <w:szCs w:val="24"/>
        </w:rPr>
      </w:pPr>
      <w:r w:rsidRPr="00D30234">
        <w:rPr>
          <w:rFonts w:cs="Times New Roman"/>
          <w:szCs w:val="24"/>
        </w:rPr>
        <w:t>Clement, J., 2019. Spatially democratic pedagogy: Children’s design and co-creation of classroom space. </w:t>
      </w:r>
      <w:r w:rsidRPr="00D30234">
        <w:rPr>
          <w:rFonts w:cs="Times New Roman"/>
          <w:i/>
          <w:iCs/>
          <w:szCs w:val="24"/>
        </w:rPr>
        <w:t>International Journal of Early Childhood</w:t>
      </w:r>
      <w:r w:rsidRPr="00D30234">
        <w:rPr>
          <w:rFonts w:cs="Times New Roman"/>
          <w:szCs w:val="24"/>
        </w:rPr>
        <w:t>, </w:t>
      </w:r>
      <w:r w:rsidRPr="00D30234">
        <w:rPr>
          <w:rFonts w:cs="Times New Roman"/>
          <w:i/>
          <w:iCs/>
          <w:szCs w:val="24"/>
        </w:rPr>
        <w:t>51</w:t>
      </w:r>
      <w:r w:rsidRPr="00D30234">
        <w:rPr>
          <w:rFonts w:cs="Times New Roman"/>
          <w:szCs w:val="24"/>
        </w:rPr>
        <w:t>(3), pp.373-387.</w:t>
      </w:r>
    </w:p>
    <w:p w14:paraId="0A393839" w14:textId="77777777" w:rsidR="00D30234" w:rsidRPr="00D30234" w:rsidRDefault="006D56B4" w:rsidP="00773B40">
      <w:pPr>
        <w:ind w:left="720" w:hanging="720"/>
        <w:jc w:val="both"/>
        <w:rPr>
          <w:rFonts w:cs="Times New Roman"/>
          <w:szCs w:val="24"/>
        </w:rPr>
      </w:pPr>
      <w:r w:rsidRPr="00D30234">
        <w:rPr>
          <w:rFonts w:cs="Times New Roman"/>
          <w:szCs w:val="24"/>
        </w:rPr>
        <w:lastRenderedPageBreak/>
        <w:t>Collishaw, S. and Sellers, R., 2020. Trends in child and adolescent mental health prevalence, outcomes, and inequalities. </w:t>
      </w:r>
      <w:r w:rsidRPr="00D30234">
        <w:rPr>
          <w:rFonts w:cs="Times New Roman"/>
          <w:i/>
          <w:iCs/>
          <w:szCs w:val="24"/>
        </w:rPr>
        <w:t>Mental health and illness of children and adolescents</w:t>
      </w:r>
      <w:r w:rsidRPr="00D30234">
        <w:rPr>
          <w:rFonts w:cs="Times New Roman"/>
          <w:szCs w:val="24"/>
        </w:rPr>
        <w:t>, pp.63-73.</w:t>
      </w:r>
    </w:p>
    <w:p w14:paraId="502E9F2C" w14:textId="77777777" w:rsidR="00D30234" w:rsidRPr="00D30234" w:rsidRDefault="006D56B4" w:rsidP="00773B40">
      <w:pPr>
        <w:ind w:left="720" w:hanging="720"/>
        <w:jc w:val="both"/>
        <w:rPr>
          <w:rFonts w:cs="Times New Roman"/>
          <w:szCs w:val="24"/>
        </w:rPr>
      </w:pPr>
      <w:r w:rsidRPr="00D30234">
        <w:rPr>
          <w:rFonts w:cs="Times New Roman"/>
          <w:szCs w:val="24"/>
        </w:rPr>
        <w:t>Colmer, K., 2017. Collaborative professional learning: Contributing to the growth of leadership, professional identity and professionalism. </w:t>
      </w:r>
      <w:r w:rsidRPr="00D30234">
        <w:rPr>
          <w:rFonts w:cs="Times New Roman"/>
          <w:i/>
          <w:iCs/>
          <w:szCs w:val="24"/>
        </w:rPr>
        <w:t>European Early Childhood Education Research Journal</w:t>
      </w:r>
      <w:r w:rsidRPr="00D30234">
        <w:rPr>
          <w:rFonts w:cs="Times New Roman"/>
          <w:szCs w:val="24"/>
        </w:rPr>
        <w:t>, </w:t>
      </w:r>
      <w:r w:rsidRPr="00D30234">
        <w:rPr>
          <w:rFonts w:cs="Times New Roman"/>
          <w:i/>
          <w:iCs/>
          <w:szCs w:val="24"/>
        </w:rPr>
        <w:t>25</w:t>
      </w:r>
      <w:r w:rsidRPr="00D30234">
        <w:rPr>
          <w:rFonts w:cs="Times New Roman"/>
          <w:szCs w:val="24"/>
        </w:rPr>
        <w:t xml:space="preserve">(3), pp.436-449. </w:t>
      </w:r>
    </w:p>
    <w:p w14:paraId="279D4B3B" w14:textId="77777777" w:rsidR="00D30234" w:rsidRPr="00D30234" w:rsidRDefault="006D56B4" w:rsidP="00773B40">
      <w:pPr>
        <w:ind w:left="720" w:hanging="720"/>
        <w:jc w:val="both"/>
        <w:rPr>
          <w:rFonts w:cs="Times New Roman"/>
          <w:szCs w:val="24"/>
        </w:rPr>
      </w:pPr>
      <w:r w:rsidRPr="00D30234">
        <w:rPr>
          <w:rFonts w:cs="Times New Roman"/>
          <w:szCs w:val="24"/>
        </w:rPr>
        <w:t>Correia, N., Camilo, C., Aguiar, C. and Amaro, F., 2019. Children's right to participate in early childhood education settings: A systematic review. </w:t>
      </w:r>
      <w:r w:rsidRPr="00D30234">
        <w:rPr>
          <w:rFonts w:cs="Times New Roman"/>
          <w:i/>
          <w:iCs/>
          <w:szCs w:val="24"/>
        </w:rPr>
        <w:t>Children and Youth Services Review</w:t>
      </w:r>
      <w:r w:rsidRPr="00D30234">
        <w:rPr>
          <w:rFonts w:cs="Times New Roman"/>
          <w:szCs w:val="24"/>
        </w:rPr>
        <w:t>, </w:t>
      </w:r>
      <w:r w:rsidRPr="00D30234">
        <w:rPr>
          <w:rFonts w:cs="Times New Roman"/>
          <w:i/>
          <w:iCs/>
          <w:szCs w:val="24"/>
        </w:rPr>
        <w:t>100</w:t>
      </w:r>
      <w:r w:rsidRPr="00D30234">
        <w:rPr>
          <w:rFonts w:cs="Times New Roman"/>
          <w:szCs w:val="24"/>
        </w:rPr>
        <w:t>, pp.76-88.</w:t>
      </w:r>
    </w:p>
    <w:p w14:paraId="585BCDA8" w14:textId="77777777" w:rsidR="00D30234" w:rsidRPr="00D30234" w:rsidRDefault="006D56B4" w:rsidP="00773B40">
      <w:pPr>
        <w:ind w:left="720" w:hanging="720"/>
        <w:jc w:val="both"/>
        <w:rPr>
          <w:rFonts w:cs="Times New Roman"/>
          <w:szCs w:val="24"/>
        </w:rPr>
      </w:pPr>
      <w:r w:rsidRPr="00D30234">
        <w:rPr>
          <w:rFonts w:cs="Times New Roman"/>
          <w:szCs w:val="24"/>
        </w:rPr>
        <w:t xml:space="preserve">Crane, B. and Hartwell, C.J., 2018. Developing employees’ mental complexity: Transformational leadership as a catalyst in employee development. </w:t>
      </w:r>
      <w:r w:rsidRPr="00D30234">
        <w:rPr>
          <w:rFonts w:cs="Times New Roman"/>
          <w:i/>
          <w:szCs w:val="24"/>
        </w:rPr>
        <w:t>Human Resource Development Review, 17</w:t>
      </w:r>
      <w:r w:rsidRPr="00D30234">
        <w:rPr>
          <w:rFonts w:cs="Times New Roman"/>
          <w:szCs w:val="24"/>
        </w:rPr>
        <w:t>(3), pp.234-257.</w:t>
      </w:r>
    </w:p>
    <w:p w14:paraId="54ED7AD9" w14:textId="77777777" w:rsidR="00D30234" w:rsidRPr="00D30234" w:rsidRDefault="006D56B4" w:rsidP="00773B40">
      <w:pPr>
        <w:ind w:left="720" w:hanging="720"/>
        <w:jc w:val="both"/>
        <w:rPr>
          <w:rFonts w:cs="Times New Roman"/>
          <w:szCs w:val="24"/>
        </w:rPr>
      </w:pPr>
      <w:r w:rsidRPr="00D30234">
        <w:rPr>
          <w:rFonts w:cs="Times New Roman"/>
          <w:szCs w:val="24"/>
        </w:rPr>
        <w:t>Croke, R., Dale, H., Dunhill, A., Roberts, A., Unnithan, M. and Williams, J., 2021. Integrating sustainable development and children’s rights: A case study on Wales. </w:t>
      </w:r>
      <w:r w:rsidRPr="00D30234">
        <w:rPr>
          <w:rFonts w:cs="Times New Roman"/>
          <w:i/>
          <w:iCs/>
          <w:szCs w:val="24"/>
        </w:rPr>
        <w:t>Social Sciences</w:t>
      </w:r>
      <w:r w:rsidRPr="00D30234">
        <w:rPr>
          <w:rFonts w:cs="Times New Roman"/>
          <w:szCs w:val="24"/>
        </w:rPr>
        <w:t>, </w:t>
      </w:r>
      <w:r w:rsidRPr="00D30234">
        <w:rPr>
          <w:rFonts w:cs="Times New Roman"/>
          <w:i/>
          <w:iCs/>
          <w:szCs w:val="24"/>
        </w:rPr>
        <w:t>10</w:t>
      </w:r>
      <w:r w:rsidRPr="00D30234">
        <w:rPr>
          <w:rFonts w:cs="Times New Roman"/>
          <w:szCs w:val="24"/>
        </w:rPr>
        <w:t>(3), p.100.</w:t>
      </w:r>
    </w:p>
    <w:p w14:paraId="358EC859"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Dababnah</w:t>
      </w:r>
      <w:proofErr w:type="spellEnd"/>
      <w:r w:rsidRPr="00D30234">
        <w:rPr>
          <w:rFonts w:cs="Times New Roman"/>
          <w:szCs w:val="24"/>
        </w:rPr>
        <w:t>, S., Olson, E.M. and Nichols, H.M., 2019. Feasibility of the incredible years parent program for preschool children on the autism spectrum in two US sites. </w:t>
      </w:r>
      <w:r w:rsidRPr="00D30234">
        <w:rPr>
          <w:rFonts w:cs="Times New Roman"/>
          <w:i/>
          <w:iCs/>
          <w:szCs w:val="24"/>
        </w:rPr>
        <w:t>Research in Autism Spectrum Disorders</w:t>
      </w:r>
      <w:r w:rsidRPr="00D30234">
        <w:rPr>
          <w:rFonts w:cs="Times New Roman"/>
          <w:szCs w:val="24"/>
        </w:rPr>
        <w:t>, </w:t>
      </w:r>
      <w:r w:rsidRPr="00D30234">
        <w:rPr>
          <w:rFonts w:cs="Times New Roman"/>
          <w:i/>
          <w:iCs/>
          <w:szCs w:val="24"/>
        </w:rPr>
        <w:t>57</w:t>
      </w:r>
      <w:r w:rsidRPr="00D30234">
        <w:rPr>
          <w:rFonts w:cs="Times New Roman"/>
          <w:szCs w:val="24"/>
        </w:rPr>
        <w:t>, pp.120-131.</w:t>
      </w:r>
    </w:p>
    <w:p w14:paraId="41A8DF4A" w14:textId="77777777" w:rsidR="00D30234" w:rsidRPr="00D30234" w:rsidRDefault="006D56B4" w:rsidP="00773B40">
      <w:pPr>
        <w:ind w:left="720" w:hanging="720"/>
        <w:jc w:val="both"/>
        <w:rPr>
          <w:rFonts w:cs="Times New Roman"/>
          <w:szCs w:val="24"/>
        </w:rPr>
      </w:pPr>
      <w:r w:rsidRPr="00D30234">
        <w:rPr>
          <w:rFonts w:cs="Times New Roman"/>
          <w:szCs w:val="24"/>
        </w:rPr>
        <w:t>Douglass, A.L., 2019. Leadership for quality early childhood education and care.</w:t>
      </w:r>
    </w:p>
    <w:p w14:paraId="068AF560"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Dzordzormenyoh</w:t>
      </w:r>
      <w:proofErr w:type="spellEnd"/>
      <w:r w:rsidRPr="00D30234">
        <w:rPr>
          <w:rFonts w:cs="Times New Roman"/>
          <w:szCs w:val="24"/>
        </w:rPr>
        <w:t>, M.K., 2021. Effective local government council leadership: Reassessing the facilitative model of leadership. </w:t>
      </w:r>
      <w:r w:rsidRPr="00D30234">
        <w:rPr>
          <w:rFonts w:cs="Times New Roman"/>
          <w:i/>
          <w:iCs/>
          <w:szCs w:val="24"/>
        </w:rPr>
        <w:t>International Journal of Public Leadership</w:t>
      </w:r>
      <w:r w:rsidRPr="00D30234">
        <w:rPr>
          <w:rFonts w:cs="Times New Roman"/>
          <w:szCs w:val="24"/>
        </w:rPr>
        <w:t>.</w:t>
      </w:r>
    </w:p>
    <w:p w14:paraId="1BF40F09"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Farini</w:t>
      </w:r>
      <w:proofErr w:type="spellEnd"/>
      <w:r w:rsidRPr="00D30234">
        <w:rPr>
          <w:rFonts w:cs="Times New Roman"/>
          <w:szCs w:val="24"/>
        </w:rPr>
        <w:t>, F. and Scollan, A., 2022. The rise of the discourse on children’s right of self-determination. The case study of Early Childhood Education and its construction of children as agents in education. </w:t>
      </w:r>
      <w:r w:rsidRPr="00D30234">
        <w:rPr>
          <w:rFonts w:cs="Times New Roman"/>
          <w:i/>
          <w:iCs/>
          <w:szCs w:val="24"/>
        </w:rPr>
        <w:t>Language, Discourse and Society</w:t>
      </w:r>
      <w:r w:rsidRPr="00D30234">
        <w:rPr>
          <w:rFonts w:cs="Times New Roman"/>
          <w:szCs w:val="24"/>
        </w:rPr>
        <w:t>, </w:t>
      </w:r>
      <w:r w:rsidRPr="00D30234">
        <w:rPr>
          <w:rFonts w:cs="Times New Roman"/>
          <w:i/>
          <w:iCs/>
          <w:szCs w:val="24"/>
        </w:rPr>
        <w:t>10</w:t>
      </w:r>
      <w:r w:rsidRPr="00D30234">
        <w:rPr>
          <w:rFonts w:cs="Times New Roman"/>
          <w:szCs w:val="24"/>
        </w:rPr>
        <w:t>(1), pp.13-25.</w:t>
      </w:r>
    </w:p>
    <w:p w14:paraId="7CF197B8" w14:textId="77777777" w:rsidR="00D30234" w:rsidRPr="00D30234" w:rsidRDefault="006D56B4" w:rsidP="00773B40">
      <w:pPr>
        <w:ind w:left="720" w:hanging="720"/>
        <w:jc w:val="both"/>
        <w:rPr>
          <w:rFonts w:cs="Times New Roman"/>
          <w:szCs w:val="24"/>
        </w:rPr>
      </w:pPr>
      <w:r w:rsidRPr="00D30234">
        <w:rPr>
          <w:rFonts w:cs="Times New Roman"/>
          <w:szCs w:val="24"/>
        </w:rPr>
        <w:t>Farrell, A., 2021. Young Children’s Rights to Provision, Participation and Protection: Challenges of Applying the UN Convention on the Rights of the Child to Early Childhood Education and Care in Australia. In </w:t>
      </w:r>
      <w:r w:rsidRPr="00D30234">
        <w:rPr>
          <w:rFonts w:cs="Times New Roman"/>
          <w:i/>
          <w:iCs/>
          <w:szCs w:val="24"/>
        </w:rPr>
        <w:t>Young Children in the World and Their Rights</w:t>
      </w:r>
      <w:r w:rsidRPr="00D30234">
        <w:rPr>
          <w:rFonts w:cs="Times New Roman"/>
          <w:szCs w:val="24"/>
        </w:rPr>
        <w:t> (pp. 151-166). Springer, Cham.</w:t>
      </w:r>
    </w:p>
    <w:p w14:paraId="5B566AAC" w14:textId="77777777" w:rsidR="00D30234" w:rsidRPr="00D30234" w:rsidRDefault="006D56B4" w:rsidP="00773B40">
      <w:pPr>
        <w:ind w:left="720" w:hanging="720"/>
        <w:jc w:val="both"/>
        <w:rPr>
          <w:rFonts w:cs="Times New Roman"/>
          <w:szCs w:val="24"/>
        </w:rPr>
      </w:pPr>
      <w:r w:rsidRPr="00D30234">
        <w:rPr>
          <w:rFonts w:cs="Times New Roman"/>
          <w:szCs w:val="24"/>
        </w:rPr>
        <w:t>Fernandez, A.A. and Shaw, G.P., 2020. Academic leadership in a time of crisis: The Coronavirus and COVID‐19. </w:t>
      </w:r>
      <w:r w:rsidRPr="00D30234">
        <w:rPr>
          <w:rFonts w:cs="Times New Roman"/>
          <w:i/>
          <w:iCs/>
          <w:szCs w:val="24"/>
        </w:rPr>
        <w:t>Journal of leadership Studies</w:t>
      </w:r>
      <w:r w:rsidRPr="00D30234">
        <w:rPr>
          <w:rFonts w:cs="Times New Roman"/>
          <w:szCs w:val="24"/>
        </w:rPr>
        <w:t>, </w:t>
      </w:r>
      <w:r w:rsidRPr="00D30234">
        <w:rPr>
          <w:rFonts w:cs="Times New Roman"/>
          <w:i/>
          <w:iCs/>
          <w:szCs w:val="24"/>
        </w:rPr>
        <w:t>14</w:t>
      </w:r>
      <w:r w:rsidRPr="00D30234">
        <w:rPr>
          <w:rFonts w:cs="Times New Roman"/>
          <w:szCs w:val="24"/>
        </w:rPr>
        <w:t>(1), pp.39-45.</w:t>
      </w:r>
    </w:p>
    <w:p w14:paraId="1D473A01"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lastRenderedPageBreak/>
        <w:t>Fonsén</w:t>
      </w:r>
      <w:proofErr w:type="spellEnd"/>
      <w:r w:rsidRPr="00D30234">
        <w:rPr>
          <w:rFonts w:cs="Times New Roman"/>
          <w:szCs w:val="24"/>
        </w:rPr>
        <w:t xml:space="preserve">, E. and </w:t>
      </w:r>
      <w:proofErr w:type="spellStart"/>
      <w:r w:rsidRPr="00D30234">
        <w:rPr>
          <w:rFonts w:cs="Times New Roman"/>
          <w:szCs w:val="24"/>
        </w:rPr>
        <w:t>Keski-Rauska</w:t>
      </w:r>
      <w:proofErr w:type="spellEnd"/>
      <w:r w:rsidRPr="00D30234">
        <w:rPr>
          <w:rFonts w:cs="Times New Roman"/>
          <w:szCs w:val="24"/>
        </w:rPr>
        <w:t>, ML, 2018. Joint leadership of early childhood education in the light of conflicting discourses. </w:t>
      </w:r>
      <w:r w:rsidRPr="00D30234">
        <w:rPr>
          <w:rFonts w:cs="Times New Roman"/>
          <w:i/>
          <w:iCs/>
          <w:szCs w:val="24"/>
        </w:rPr>
        <w:t xml:space="preserve">Working life </w:t>
      </w:r>
      <w:proofErr w:type="gramStart"/>
      <w:r w:rsidRPr="00D30234">
        <w:rPr>
          <w:rFonts w:cs="Times New Roman"/>
          <w:i/>
          <w:iCs/>
          <w:szCs w:val="24"/>
        </w:rPr>
        <w:t>research</w:t>
      </w:r>
      <w:r w:rsidRPr="00D30234">
        <w:rPr>
          <w:rFonts w:cs="Times New Roman"/>
          <w:szCs w:val="24"/>
        </w:rPr>
        <w:t> ,</w:t>
      </w:r>
      <w:proofErr w:type="gramEnd"/>
      <w:r w:rsidRPr="00D30234">
        <w:rPr>
          <w:rFonts w:cs="Times New Roman"/>
          <w:szCs w:val="24"/>
        </w:rPr>
        <w:t> </w:t>
      </w:r>
      <w:r w:rsidRPr="00D30234">
        <w:rPr>
          <w:rFonts w:cs="Times New Roman"/>
          <w:i/>
          <w:iCs/>
          <w:szCs w:val="24"/>
        </w:rPr>
        <w:t>16</w:t>
      </w:r>
      <w:r w:rsidRPr="00D30234">
        <w:rPr>
          <w:rFonts w:cs="Times New Roman"/>
          <w:szCs w:val="24"/>
        </w:rPr>
        <w:t> (3), pp.185-200.</w:t>
      </w:r>
    </w:p>
    <w:p w14:paraId="5088F2F5"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Gallitto</w:t>
      </w:r>
      <w:proofErr w:type="spellEnd"/>
      <w:r w:rsidRPr="00D30234">
        <w:rPr>
          <w:rFonts w:cs="Times New Roman"/>
          <w:szCs w:val="24"/>
        </w:rPr>
        <w:t xml:space="preserve">, E., Ladouceur, P. and Celebi, S., 2021. Missed opportunities. Why is Canada missing out on the opportunity to implement a National Children’s Rights </w:t>
      </w:r>
      <w:proofErr w:type="gramStart"/>
      <w:r w:rsidRPr="00D30234">
        <w:rPr>
          <w:rFonts w:cs="Times New Roman"/>
          <w:szCs w:val="24"/>
        </w:rPr>
        <w:t>Commissioner?.</w:t>
      </w:r>
      <w:proofErr w:type="gramEnd"/>
      <w:r w:rsidRPr="00D30234">
        <w:rPr>
          <w:rFonts w:cs="Times New Roman"/>
          <w:szCs w:val="24"/>
        </w:rPr>
        <w:t> </w:t>
      </w:r>
      <w:r w:rsidRPr="00D30234">
        <w:rPr>
          <w:rFonts w:cs="Times New Roman"/>
          <w:i/>
          <w:iCs/>
          <w:szCs w:val="24"/>
        </w:rPr>
        <w:t xml:space="preserve">Canadian Journal of Children's Rights/Revue </w:t>
      </w:r>
      <w:proofErr w:type="spellStart"/>
      <w:r w:rsidRPr="00D30234">
        <w:rPr>
          <w:rFonts w:cs="Times New Roman"/>
          <w:i/>
          <w:iCs/>
          <w:szCs w:val="24"/>
        </w:rPr>
        <w:t>canadienne</w:t>
      </w:r>
      <w:proofErr w:type="spellEnd"/>
      <w:r w:rsidRPr="00D30234">
        <w:rPr>
          <w:rFonts w:cs="Times New Roman"/>
          <w:i/>
          <w:iCs/>
          <w:szCs w:val="24"/>
        </w:rPr>
        <w:t xml:space="preserve"> des droits des enfants</w:t>
      </w:r>
      <w:r w:rsidRPr="00D30234">
        <w:rPr>
          <w:rFonts w:cs="Times New Roman"/>
          <w:szCs w:val="24"/>
        </w:rPr>
        <w:t>, </w:t>
      </w:r>
      <w:r w:rsidRPr="00D30234">
        <w:rPr>
          <w:rFonts w:cs="Times New Roman"/>
          <w:i/>
          <w:iCs/>
          <w:szCs w:val="24"/>
        </w:rPr>
        <w:t>8</w:t>
      </w:r>
      <w:r w:rsidRPr="00D30234">
        <w:rPr>
          <w:rFonts w:cs="Times New Roman"/>
          <w:szCs w:val="24"/>
        </w:rPr>
        <w:t>(1), pp.112-130.</w:t>
      </w:r>
    </w:p>
    <w:p w14:paraId="30DD7C7E" w14:textId="77777777" w:rsidR="00D30234" w:rsidRPr="00D30234" w:rsidRDefault="006D56B4" w:rsidP="00773B40">
      <w:pPr>
        <w:ind w:left="720" w:hanging="720"/>
        <w:jc w:val="both"/>
        <w:rPr>
          <w:rFonts w:cs="Times New Roman"/>
          <w:szCs w:val="24"/>
        </w:rPr>
      </w:pPr>
      <w:r w:rsidRPr="00D30234">
        <w:rPr>
          <w:rFonts w:cs="Times New Roman"/>
          <w:szCs w:val="24"/>
        </w:rPr>
        <w:t>Grantham-Caston, M. and DiCarlo, C.F., 2021. Leadership Styles in Childcare Directors. </w:t>
      </w:r>
      <w:r w:rsidRPr="00D30234">
        <w:rPr>
          <w:rFonts w:cs="Times New Roman"/>
          <w:i/>
          <w:iCs/>
          <w:szCs w:val="24"/>
        </w:rPr>
        <w:t>Early Childhood Education Journal</w:t>
      </w:r>
      <w:r w:rsidRPr="00D30234">
        <w:rPr>
          <w:rFonts w:cs="Times New Roman"/>
          <w:szCs w:val="24"/>
        </w:rPr>
        <w:t>, pp.1-10.</w:t>
      </w:r>
    </w:p>
    <w:p w14:paraId="3BFDBF4C"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Güller</w:t>
      </w:r>
      <w:proofErr w:type="spellEnd"/>
      <w:r w:rsidRPr="00D30234">
        <w:rPr>
          <w:rFonts w:cs="Times New Roman"/>
          <w:szCs w:val="24"/>
        </w:rPr>
        <w:t xml:space="preserve">, B., </w:t>
      </w:r>
      <w:proofErr w:type="spellStart"/>
      <w:r w:rsidRPr="00D30234">
        <w:rPr>
          <w:rFonts w:cs="Times New Roman"/>
          <w:szCs w:val="24"/>
        </w:rPr>
        <w:t>Guvenir</w:t>
      </w:r>
      <w:proofErr w:type="spellEnd"/>
      <w:r w:rsidRPr="00D30234">
        <w:rPr>
          <w:rFonts w:cs="Times New Roman"/>
          <w:szCs w:val="24"/>
        </w:rPr>
        <w:t xml:space="preserve">, T., Buran, BS, Aydemir, Ö., Varol, F., Özbek, A. and </w:t>
      </w:r>
      <w:proofErr w:type="spellStart"/>
      <w:r w:rsidRPr="00D30234">
        <w:rPr>
          <w:rFonts w:cs="Times New Roman"/>
          <w:szCs w:val="24"/>
        </w:rPr>
        <w:t>Kıdak</w:t>
      </w:r>
      <w:proofErr w:type="spellEnd"/>
      <w:r w:rsidRPr="00D30234">
        <w:rPr>
          <w:rFonts w:cs="Times New Roman"/>
          <w:szCs w:val="24"/>
        </w:rPr>
        <w:t>, Ö.G., 2020. Parenthood and Family Cohesion Scale in clinical and community samples. Evaluation of Turkish validity and reliability characteristics for parents of children aged 2-12. </w:t>
      </w:r>
      <w:r w:rsidRPr="00D30234">
        <w:rPr>
          <w:rFonts w:cs="Times New Roman"/>
          <w:i/>
          <w:iCs/>
          <w:szCs w:val="24"/>
        </w:rPr>
        <w:t xml:space="preserve">Journal of Clinical </w:t>
      </w:r>
      <w:proofErr w:type="gramStart"/>
      <w:r w:rsidRPr="00D30234">
        <w:rPr>
          <w:rFonts w:cs="Times New Roman"/>
          <w:i/>
          <w:iCs/>
          <w:szCs w:val="24"/>
        </w:rPr>
        <w:t>Psychiatry</w:t>
      </w:r>
      <w:r w:rsidRPr="00D30234">
        <w:rPr>
          <w:rFonts w:cs="Times New Roman"/>
          <w:szCs w:val="24"/>
        </w:rPr>
        <w:t> ,</w:t>
      </w:r>
      <w:proofErr w:type="gramEnd"/>
      <w:r w:rsidRPr="00D30234">
        <w:rPr>
          <w:rFonts w:cs="Times New Roman"/>
          <w:szCs w:val="24"/>
        </w:rPr>
        <w:t> </w:t>
      </w:r>
      <w:r w:rsidRPr="00D30234">
        <w:rPr>
          <w:rFonts w:cs="Times New Roman"/>
          <w:i/>
          <w:iCs/>
          <w:szCs w:val="24"/>
        </w:rPr>
        <w:t>23</w:t>
      </w:r>
      <w:r w:rsidRPr="00D30234">
        <w:rPr>
          <w:rFonts w:cs="Times New Roman"/>
          <w:szCs w:val="24"/>
        </w:rPr>
        <w:t> (4), pp.464-475.</w:t>
      </w:r>
    </w:p>
    <w:p w14:paraId="10A09211" w14:textId="77777777" w:rsidR="00D30234" w:rsidRPr="00D30234" w:rsidRDefault="006D56B4" w:rsidP="00773B40">
      <w:pPr>
        <w:ind w:left="720" w:hanging="720"/>
        <w:jc w:val="both"/>
        <w:rPr>
          <w:rFonts w:cs="Times New Roman"/>
          <w:szCs w:val="24"/>
        </w:rPr>
      </w:pPr>
      <w:r w:rsidRPr="00D30234">
        <w:rPr>
          <w:rFonts w:cs="Times New Roman"/>
          <w:szCs w:val="24"/>
        </w:rPr>
        <w:t>Jambon, M. and Smetana, J.G., 2020. Self‐reported moral emotions and physical and relational aggression in early childhood: A social domain approach. </w:t>
      </w:r>
      <w:r w:rsidRPr="00D30234">
        <w:rPr>
          <w:rFonts w:cs="Times New Roman"/>
          <w:i/>
          <w:iCs/>
          <w:szCs w:val="24"/>
        </w:rPr>
        <w:t>Child development</w:t>
      </w:r>
      <w:r w:rsidRPr="00D30234">
        <w:rPr>
          <w:rFonts w:cs="Times New Roman"/>
          <w:szCs w:val="24"/>
        </w:rPr>
        <w:t>, </w:t>
      </w:r>
      <w:r w:rsidRPr="00D30234">
        <w:rPr>
          <w:rFonts w:cs="Times New Roman"/>
          <w:i/>
          <w:iCs/>
          <w:szCs w:val="24"/>
        </w:rPr>
        <w:t>91</w:t>
      </w:r>
      <w:r w:rsidRPr="00D30234">
        <w:rPr>
          <w:rFonts w:cs="Times New Roman"/>
          <w:szCs w:val="24"/>
        </w:rPr>
        <w:t xml:space="preserve">(1), </w:t>
      </w:r>
      <w:proofErr w:type="gramStart"/>
      <w:r w:rsidRPr="00D30234">
        <w:rPr>
          <w:rFonts w:cs="Times New Roman"/>
          <w:szCs w:val="24"/>
        </w:rPr>
        <w:t>pp.e</w:t>
      </w:r>
      <w:proofErr w:type="gramEnd"/>
      <w:r w:rsidRPr="00D30234">
        <w:rPr>
          <w:rFonts w:cs="Times New Roman"/>
          <w:szCs w:val="24"/>
        </w:rPr>
        <w:t>92-e107.</w:t>
      </w:r>
    </w:p>
    <w:p w14:paraId="7B104647" w14:textId="77777777" w:rsidR="00D30234" w:rsidRPr="00D30234" w:rsidRDefault="006D56B4" w:rsidP="00773B40">
      <w:pPr>
        <w:ind w:left="720" w:hanging="720"/>
        <w:jc w:val="both"/>
        <w:rPr>
          <w:rFonts w:cs="Times New Roman"/>
          <w:szCs w:val="24"/>
        </w:rPr>
      </w:pPr>
      <w:r w:rsidRPr="00D30234">
        <w:rPr>
          <w:rFonts w:cs="Times New Roman"/>
          <w:szCs w:val="24"/>
        </w:rPr>
        <w:t>Karaoğlu, S., 2020. A critical review: effective leadership in the early childhood services from policy and practice perspective. </w:t>
      </w:r>
      <w:r w:rsidRPr="00D30234">
        <w:rPr>
          <w:rFonts w:cs="Times New Roman"/>
          <w:i/>
          <w:iCs/>
          <w:szCs w:val="24"/>
        </w:rPr>
        <w:t>Eurasian Journal of Teacher Education</w:t>
      </w:r>
      <w:r w:rsidRPr="00D30234">
        <w:rPr>
          <w:rFonts w:cs="Times New Roman"/>
          <w:szCs w:val="24"/>
        </w:rPr>
        <w:t>, </w:t>
      </w:r>
      <w:r w:rsidRPr="00D30234">
        <w:rPr>
          <w:rFonts w:cs="Times New Roman"/>
          <w:i/>
          <w:iCs/>
          <w:szCs w:val="24"/>
        </w:rPr>
        <w:t>1</w:t>
      </w:r>
      <w:r w:rsidRPr="00D30234">
        <w:rPr>
          <w:rFonts w:cs="Times New Roman"/>
          <w:szCs w:val="24"/>
        </w:rPr>
        <w:t>(2), pp.82-95.</w:t>
      </w:r>
    </w:p>
    <w:p w14:paraId="3A650329" w14:textId="77777777" w:rsidR="00D30234" w:rsidRPr="00D30234" w:rsidRDefault="006D56B4" w:rsidP="00773B40">
      <w:pPr>
        <w:ind w:left="720" w:hanging="720"/>
        <w:jc w:val="both"/>
        <w:rPr>
          <w:rFonts w:cs="Times New Roman"/>
          <w:szCs w:val="24"/>
        </w:rPr>
      </w:pPr>
      <w:r w:rsidRPr="00D30234">
        <w:rPr>
          <w:rFonts w:cs="Times New Roman"/>
          <w:szCs w:val="24"/>
        </w:rPr>
        <w:t xml:space="preserve">La Maison, C., Maruyama, J.M., Munhoz, T.N., Santos, I.S., do Amaral, M.R., Anselmi, L., Barros, F.C., Pastor-Valero, M. and </w:t>
      </w:r>
      <w:proofErr w:type="spellStart"/>
      <w:r w:rsidRPr="00D30234">
        <w:rPr>
          <w:rFonts w:cs="Times New Roman"/>
          <w:szCs w:val="24"/>
        </w:rPr>
        <w:t>Matijasevich</w:t>
      </w:r>
      <w:proofErr w:type="spellEnd"/>
      <w:r w:rsidRPr="00D30234">
        <w:rPr>
          <w:rFonts w:cs="Times New Roman"/>
          <w:szCs w:val="24"/>
        </w:rPr>
        <w:t>, A., 2020. Continuity of psychiatric disorders between 6 and 11 years of age in the 2004 Pelotas Birth Cohort. </w:t>
      </w:r>
      <w:r w:rsidRPr="00D30234">
        <w:rPr>
          <w:rFonts w:cs="Times New Roman"/>
          <w:i/>
          <w:iCs/>
          <w:szCs w:val="24"/>
        </w:rPr>
        <w:t>Brazilian Journal of Psychiatry</w:t>
      </w:r>
      <w:r w:rsidRPr="00D30234">
        <w:rPr>
          <w:rFonts w:cs="Times New Roman"/>
          <w:szCs w:val="24"/>
        </w:rPr>
        <w:t>, </w:t>
      </w:r>
      <w:r w:rsidRPr="00D30234">
        <w:rPr>
          <w:rFonts w:cs="Times New Roman"/>
          <w:i/>
          <w:iCs/>
          <w:szCs w:val="24"/>
        </w:rPr>
        <w:t>42</w:t>
      </w:r>
      <w:r w:rsidRPr="00D30234">
        <w:rPr>
          <w:rFonts w:cs="Times New Roman"/>
          <w:szCs w:val="24"/>
        </w:rPr>
        <w:t>, pp.496-502.</w:t>
      </w:r>
    </w:p>
    <w:p w14:paraId="50370EFD" w14:textId="77777777" w:rsidR="00D30234" w:rsidRPr="00D30234" w:rsidRDefault="006D56B4" w:rsidP="00773B40">
      <w:pPr>
        <w:ind w:left="720" w:hanging="720"/>
        <w:jc w:val="both"/>
        <w:rPr>
          <w:rFonts w:cs="Times New Roman"/>
          <w:szCs w:val="24"/>
        </w:rPr>
      </w:pPr>
      <w:r w:rsidRPr="00D30234">
        <w:rPr>
          <w:rFonts w:cs="Times New Roman"/>
          <w:szCs w:val="24"/>
        </w:rPr>
        <w:t>Lai, M.K. and McNaughton, S., 2018. Learning networks for sustainable literacy achievement. In </w:t>
      </w:r>
      <w:r w:rsidRPr="00D30234">
        <w:rPr>
          <w:rFonts w:cs="Times New Roman"/>
          <w:i/>
          <w:iCs/>
          <w:szCs w:val="24"/>
        </w:rPr>
        <w:t>Networks for learning</w:t>
      </w:r>
      <w:r w:rsidRPr="00D30234">
        <w:rPr>
          <w:rFonts w:cs="Times New Roman"/>
          <w:szCs w:val="24"/>
        </w:rPr>
        <w:t> (pp. 152-171). Routledge.</w:t>
      </w:r>
    </w:p>
    <w:p w14:paraId="6B46EA9B" w14:textId="77777777" w:rsidR="00D30234" w:rsidRPr="00D30234" w:rsidRDefault="006D56B4" w:rsidP="00773B40">
      <w:pPr>
        <w:ind w:left="720" w:hanging="720"/>
        <w:jc w:val="both"/>
        <w:rPr>
          <w:rFonts w:cs="Times New Roman"/>
          <w:szCs w:val="24"/>
        </w:rPr>
      </w:pPr>
      <w:r w:rsidRPr="00D30234">
        <w:rPr>
          <w:rFonts w:cs="Times New Roman"/>
          <w:szCs w:val="24"/>
        </w:rPr>
        <w:t>Louis, K.S. and Murphy, J.F., 2018. The potential of positive leadership for school improvement: A cross-disciplinary synthesis. </w:t>
      </w:r>
      <w:r w:rsidRPr="00D30234">
        <w:rPr>
          <w:rFonts w:cs="Times New Roman"/>
          <w:i/>
          <w:iCs/>
          <w:szCs w:val="24"/>
        </w:rPr>
        <w:t>Nordic Journal of Comparative and International Education (NJCIE)</w:t>
      </w:r>
      <w:r w:rsidRPr="00D30234">
        <w:rPr>
          <w:rFonts w:cs="Times New Roman"/>
          <w:szCs w:val="24"/>
        </w:rPr>
        <w:t>, </w:t>
      </w:r>
      <w:r w:rsidRPr="00D30234">
        <w:rPr>
          <w:rFonts w:cs="Times New Roman"/>
          <w:i/>
          <w:iCs/>
          <w:szCs w:val="24"/>
        </w:rPr>
        <w:t>2</w:t>
      </w:r>
      <w:r w:rsidRPr="00D30234">
        <w:rPr>
          <w:rFonts w:cs="Times New Roman"/>
          <w:szCs w:val="24"/>
        </w:rPr>
        <w:t>(2-3), pp.165-180.</w:t>
      </w:r>
    </w:p>
    <w:p w14:paraId="1AA32F53" w14:textId="77777777" w:rsidR="00D30234" w:rsidRPr="00D30234" w:rsidRDefault="006D56B4" w:rsidP="00773B40">
      <w:pPr>
        <w:ind w:left="720" w:hanging="720"/>
        <w:jc w:val="both"/>
        <w:rPr>
          <w:rFonts w:cs="Times New Roman"/>
          <w:szCs w:val="24"/>
        </w:rPr>
      </w:pPr>
      <w:r w:rsidRPr="00D30234">
        <w:rPr>
          <w:rFonts w:cs="Times New Roman"/>
          <w:szCs w:val="24"/>
        </w:rPr>
        <w:t>Lyle, S., 2021. Philosophy for Children, the UNCRC and Children's Voice in the Context of the Climate and Biodiversity Crisis. </w:t>
      </w:r>
      <w:r w:rsidRPr="00D30234">
        <w:rPr>
          <w:rFonts w:cs="Times New Roman"/>
          <w:i/>
          <w:iCs/>
          <w:szCs w:val="24"/>
        </w:rPr>
        <w:t>Analytic Teaching and Philosophical Praxis</w:t>
      </w:r>
      <w:r w:rsidRPr="00D30234">
        <w:rPr>
          <w:rFonts w:cs="Times New Roman"/>
          <w:szCs w:val="24"/>
        </w:rPr>
        <w:t>, </w:t>
      </w:r>
      <w:r w:rsidRPr="00D30234">
        <w:rPr>
          <w:rFonts w:cs="Times New Roman"/>
          <w:i/>
          <w:iCs/>
          <w:szCs w:val="24"/>
        </w:rPr>
        <w:t>41</w:t>
      </w:r>
      <w:r w:rsidRPr="00D30234">
        <w:rPr>
          <w:rFonts w:cs="Times New Roman"/>
          <w:szCs w:val="24"/>
        </w:rPr>
        <w:t>(1), pp.80-95.</w:t>
      </w:r>
    </w:p>
    <w:p w14:paraId="015B561A" w14:textId="77777777" w:rsidR="00D30234" w:rsidRPr="00D30234" w:rsidRDefault="006D56B4" w:rsidP="00773B40">
      <w:pPr>
        <w:ind w:left="720" w:hanging="720"/>
        <w:jc w:val="both"/>
        <w:rPr>
          <w:rFonts w:cs="Times New Roman"/>
          <w:szCs w:val="24"/>
        </w:rPr>
      </w:pPr>
      <w:r w:rsidRPr="00D30234">
        <w:rPr>
          <w:rFonts w:cs="Times New Roman"/>
          <w:szCs w:val="24"/>
        </w:rPr>
        <w:t>MARKIDOU, S., HOW DISTRIBUTED LEADERSHIP LEADS TO SCHOOL EFFECTIVENESS IN AN URBAN PRIMARY SCHOOL IN CYPRUS. </w:t>
      </w:r>
      <w:r w:rsidRPr="00D30234">
        <w:rPr>
          <w:rFonts w:cs="Times New Roman"/>
          <w:i/>
          <w:iCs/>
          <w:szCs w:val="24"/>
        </w:rPr>
        <w:t>The Cyprus Research Facts, Vol. 3/2012</w:t>
      </w:r>
      <w:r w:rsidRPr="00D30234">
        <w:rPr>
          <w:rFonts w:cs="Times New Roman"/>
          <w:szCs w:val="24"/>
        </w:rPr>
        <w:t>, </w:t>
      </w:r>
      <w:r w:rsidRPr="00D30234">
        <w:rPr>
          <w:rFonts w:cs="Times New Roman"/>
          <w:i/>
          <w:iCs/>
          <w:szCs w:val="24"/>
        </w:rPr>
        <w:t>73</w:t>
      </w:r>
      <w:r w:rsidRPr="00D30234">
        <w:rPr>
          <w:rFonts w:cs="Times New Roman"/>
          <w:szCs w:val="24"/>
        </w:rPr>
        <w:t>(1), p.21.</w:t>
      </w:r>
    </w:p>
    <w:p w14:paraId="2802D9D8" w14:textId="77777777" w:rsidR="00D30234" w:rsidRPr="00D30234" w:rsidRDefault="006D56B4" w:rsidP="00773B40">
      <w:pPr>
        <w:ind w:left="720" w:hanging="720"/>
        <w:jc w:val="both"/>
        <w:rPr>
          <w:rFonts w:cs="Times New Roman"/>
          <w:szCs w:val="24"/>
        </w:rPr>
      </w:pPr>
      <w:r w:rsidRPr="00D30234">
        <w:rPr>
          <w:rFonts w:cs="Times New Roman"/>
          <w:szCs w:val="24"/>
        </w:rPr>
        <w:lastRenderedPageBreak/>
        <w:t>Masten, A.S., 2018. Resilience theory and research on children and families: Past, present, and promise. </w:t>
      </w:r>
      <w:r w:rsidRPr="00D30234">
        <w:rPr>
          <w:rFonts w:cs="Times New Roman"/>
          <w:i/>
          <w:iCs/>
          <w:szCs w:val="24"/>
        </w:rPr>
        <w:t>Journal of Family Theory &amp; Review</w:t>
      </w:r>
      <w:r w:rsidRPr="00D30234">
        <w:rPr>
          <w:rFonts w:cs="Times New Roman"/>
          <w:szCs w:val="24"/>
        </w:rPr>
        <w:t>, </w:t>
      </w:r>
      <w:r w:rsidRPr="00D30234">
        <w:rPr>
          <w:rFonts w:cs="Times New Roman"/>
          <w:i/>
          <w:iCs/>
          <w:szCs w:val="24"/>
        </w:rPr>
        <w:t>10</w:t>
      </w:r>
      <w:r w:rsidRPr="00D30234">
        <w:rPr>
          <w:rFonts w:cs="Times New Roman"/>
          <w:szCs w:val="24"/>
        </w:rPr>
        <w:t>(1), pp.12-31.</w:t>
      </w:r>
    </w:p>
    <w:p w14:paraId="106C085E" w14:textId="77777777" w:rsidR="00D30234" w:rsidRPr="00D30234" w:rsidRDefault="006D56B4" w:rsidP="00773B40">
      <w:pPr>
        <w:ind w:left="720" w:hanging="720"/>
        <w:jc w:val="both"/>
        <w:rPr>
          <w:rFonts w:cs="Times New Roman"/>
          <w:szCs w:val="24"/>
        </w:rPr>
      </w:pPr>
      <w:r w:rsidRPr="00D30234">
        <w:rPr>
          <w:rFonts w:cs="Times New Roman"/>
          <w:szCs w:val="24"/>
        </w:rPr>
        <w:t xml:space="preserve">McAloon, J. and de la Poer Beresford, K., 2021. Online </w:t>
      </w:r>
      <w:proofErr w:type="spellStart"/>
      <w:r w:rsidRPr="00D30234">
        <w:rPr>
          <w:rFonts w:cs="Times New Roman"/>
          <w:szCs w:val="24"/>
        </w:rPr>
        <w:t>behavioral</w:t>
      </w:r>
      <w:proofErr w:type="spellEnd"/>
      <w:r w:rsidRPr="00D30234">
        <w:rPr>
          <w:rFonts w:cs="Times New Roman"/>
          <w:szCs w:val="24"/>
        </w:rPr>
        <w:t xml:space="preserve"> parenting interventions for disruptive </w:t>
      </w:r>
      <w:proofErr w:type="spellStart"/>
      <w:r w:rsidRPr="00D30234">
        <w:rPr>
          <w:rFonts w:cs="Times New Roman"/>
          <w:szCs w:val="24"/>
        </w:rPr>
        <w:t>behavioral</w:t>
      </w:r>
      <w:proofErr w:type="spellEnd"/>
      <w:r w:rsidRPr="00D30234">
        <w:rPr>
          <w:rFonts w:cs="Times New Roman"/>
          <w:szCs w:val="24"/>
        </w:rPr>
        <w:t xml:space="preserve"> disorders: A PRISMA based systematic review of clinical trials. </w:t>
      </w:r>
      <w:r w:rsidRPr="00D30234">
        <w:rPr>
          <w:rFonts w:cs="Times New Roman"/>
          <w:i/>
          <w:iCs/>
          <w:szCs w:val="24"/>
        </w:rPr>
        <w:t>Child Psychiatry &amp; Human Development</w:t>
      </w:r>
      <w:r w:rsidRPr="00D30234">
        <w:rPr>
          <w:rFonts w:cs="Times New Roman"/>
          <w:szCs w:val="24"/>
        </w:rPr>
        <w:t>, pp.1-18.</w:t>
      </w:r>
    </w:p>
    <w:p w14:paraId="1B89B569" w14:textId="77777777" w:rsidR="00D30234" w:rsidRPr="00D30234" w:rsidRDefault="006D56B4" w:rsidP="00773B40">
      <w:pPr>
        <w:ind w:left="720" w:hanging="720"/>
        <w:jc w:val="both"/>
        <w:rPr>
          <w:rFonts w:cs="Times New Roman"/>
          <w:szCs w:val="24"/>
        </w:rPr>
      </w:pPr>
      <w:r w:rsidRPr="00D30234">
        <w:rPr>
          <w:rFonts w:cs="Times New Roman"/>
          <w:szCs w:val="24"/>
        </w:rPr>
        <w:t>McNair, T.B., Bensimon, E.M. and Malcom-</w:t>
      </w:r>
      <w:proofErr w:type="spellStart"/>
      <w:r w:rsidRPr="00D30234">
        <w:rPr>
          <w:rFonts w:cs="Times New Roman"/>
          <w:szCs w:val="24"/>
        </w:rPr>
        <w:t>Piqueux</w:t>
      </w:r>
      <w:proofErr w:type="spellEnd"/>
      <w:r w:rsidRPr="00D30234">
        <w:rPr>
          <w:rFonts w:cs="Times New Roman"/>
          <w:szCs w:val="24"/>
        </w:rPr>
        <w:t>, L., 2020. </w:t>
      </w:r>
      <w:r w:rsidRPr="00D30234">
        <w:rPr>
          <w:rFonts w:cs="Times New Roman"/>
          <w:i/>
          <w:iCs/>
          <w:szCs w:val="24"/>
        </w:rPr>
        <w:t>From equity talk to equity walk: Expanding practitioner knowledge for racial justice in higher education</w:t>
      </w:r>
      <w:r w:rsidRPr="00D30234">
        <w:rPr>
          <w:rFonts w:cs="Times New Roman"/>
          <w:szCs w:val="24"/>
        </w:rPr>
        <w:t>. John Wiley &amp; Sons.</w:t>
      </w:r>
    </w:p>
    <w:p w14:paraId="0D014245"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Membride</w:t>
      </w:r>
      <w:proofErr w:type="spellEnd"/>
      <w:r w:rsidRPr="00D30234">
        <w:rPr>
          <w:rFonts w:cs="Times New Roman"/>
          <w:szCs w:val="24"/>
        </w:rPr>
        <w:t>, H., 2016. Mental health: early intervention and prevention in children and young people. </w:t>
      </w:r>
      <w:r w:rsidRPr="00D30234">
        <w:rPr>
          <w:rFonts w:cs="Times New Roman"/>
          <w:i/>
          <w:iCs/>
          <w:szCs w:val="24"/>
        </w:rPr>
        <w:t>British Journal of Nursing</w:t>
      </w:r>
      <w:r w:rsidRPr="00D30234">
        <w:rPr>
          <w:rFonts w:cs="Times New Roman"/>
          <w:szCs w:val="24"/>
        </w:rPr>
        <w:t>, </w:t>
      </w:r>
      <w:r w:rsidRPr="00D30234">
        <w:rPr>
          <w:rFonts w:cs="Times New Roman"/>
          <w:i/>
          <w:iCs/>
          <w:szCs w:val="24"/>
        </w:rPr>
        <w:t>25</w:t>
      </w:r>
      <w:r w:rsidRPr="00D30234">
        <w:rPr>
          <w:rFonts w:cs="Times New Roman"/>
          <w:szCs w:val="24"/>
        </w:rPr>
        <w:t>(10), pp.552-557.</w:t>
      </w:r>
    </w:p>
    <w:p w14:paraId="045806FB" w14:textId="77777777" w:rsidR="00D30234" w:rsidRPr="00D30234" w:rsidRDefault="006D56B4" w:rsidP="00773B40">
      <w:pPr>
        <w:ind w:left="720" w:hanging="720"/>
        <w:jc w:val="both"/>
        <w:rPr>
          <w:rFonts w:cs="Times New Roman"/>
          <w:szCs w:val="24"/>
        </w:rPr>
      </w:pPr>
      <w:r w:rsidRPr="00D30234">
        <w:rPr>
          <w:rFonts w:cs="Times New Roman"/>
          <w:szCs w:val="24"/>
        </w:rPr>
        <w:t>Morrison, F. and Houghton, C., 2022. Children’s human rights in the contexts of domestic abuse and COVID-19. The International Journal of Human Rights, pp.1-16.</w:t>
      </w:r>
    </w:p>
    <w:p w14:paraId="401085F7" w14:textId="77777777" w:rsidR="00D30234" w:rsidRPr="00D30234" w:rsidRDefault="006D56B4" w:rsidP="00773B40">
      <w:pPr>
        <w:ind w:left="720" w:hanging="720"/>
        <w:jc w:val="both"/>
        <w:rPr>
          <w:rFonts w:cs="Times New Roman"/>
          <w:szCs w:val="24"/>
        </w:rPr>
      </w:pPr>
      <w:r w:rsidRPr="00D30234">
        <w:rPr>
          <w:rFonts w:cs="Times New Roman"/>
          <w:szCs w:val="24"/>
        </w:rPr>
        <w:t>Moss, P., 2018. </w:t>
      </w:r>
      <w:r w:rsidRPr="00D30234">
        <w:rPr>
          <w:rFonts w:cs="Times New Roman"/>
          <w:i/>
          <w:iCs/>
          <w:szCs w:val="24"/>
        </w:rPr>
        <w:t>Alternative narratives in early childhood: An introduction for students and practitioners</w:t>
      </w:r>
      <w:r w:rsidRPr="00D30234">
        <w:rPr>
          <w:rFonts w:cs="Times New Roman"/>
          <w:szCs w:val="24"/>
        </w:rPr>
        <w:t>. Routledge.</w:t>
      </w:r>
    </w:p>
    <w:p w14:paraId="54F02E75" w14:textId="77777777" w:rsidR="00D30234" w:rsidRPr="00D30234" w:rsidRDefault="006D56B4" w:rsidP="00773B40">
      <w:pPr>
        <w:ind w:left="720" w:hanging="720"/>
        <w:jc w:val="both"/>
        <w:rPr>
          <w:rFonts w:cs="Times New Roman"/>
          <w:szCs w:val="24"/>
        </w:rPr>
      </w:pPr>
      <w:r w:rsidRPr="00D30234">
        <w:rPr>
          <w:rFonts w:cs="Times New Roman"/>
          <w:szCs w:val="24"/>
        </w:rPr>
        <w:t xml:space="preserve">Nagy-Pénzes, G., Vincze, F. and </w:t>
      </w:r>
      <w:proofErr w:type="spellStart"/>
      <w:r w:rsidRPr="00D30234">
        <w:rPr>
          <w:rFonts w:cs="Times New Roman"/>
          <w:szCs w:val="24"/>
        </w:rPr>
        <w:t>Bíró</w:t>
      </w:r>
      <w:proofErr w:type="spellEnd"/>
      <w:r w:rsidRPr="00D30234">
        <w:rPr>
          <w:rFonts w:cs="Times New Roman"/>
          <w:szCs w:val="24"/>
        </w:rPr>
        <w:t xml:space="preserve">, É., 2020. Contributing factors in adolescents’ mental well-being—the role of socioeconomic status, social support, and health </w:t>
      </w:r>
      <w:proofErr w:type="spellStart"/>
      <w:r w:rsidRPr="00D30234">
        <w:rPr>
          <w:rFonts w:cs="Times New Roman"/>
          <w:szCs w:val="24"/>
        </w:rPr>
        <w:t>behavior</w:t>
      </w:r>
      <w:proofErr w:type="spellEnd"/>
      <w:r w:rsidRPr="00D30234">
        <w:rPr>
          <w:rFonts w:cs="Times New Roman"/>
          <w:szCs w:val="24"/>
        </w:rPr>
        <w:t>. </w:t>
      </w:r>
      <w:r w:rsidRPr="00D30234">
        <w:rPr>
          <w:rFonts w:cs="Times New Roman"/>
          <w:i/>
          <w:iCs/>
          <w:szCs w:val="24"/>
        </w:rPr>
        <w:t>Sustainability</w:t>
      </w:r>
      <w:r w:rsidRPr="00D30234">
        <w:rPr>
          <w:rFonts w:cs="Times New Roman"/>
          <w:szCs w:val="24"/>
        </w:rPr>
        <w:t>, </w:t>
      </w:r>
      <w:r w:rsidRPr="00D30234">
        <w:rPr>
          <w:rFonts w:cs="Times New Roman"/>
          <w:i/>
          <w:iCs/>
          <w:szCs w:val="24"/>
        </w:rPr>
        <w:t>12</w:t>
      </w:r>
      <w:r w:rsidRPr="00D30234">
        <w:rPr>
          <w:rFonts w:cs="Times New Roman"/>
          <w:szCs w:val="24"/>
        </w:rPr>
        <w:t>(22), p.9597.</w:t>
      </w:r>
    </w:p>
    <w:p w14:paraId="1D3318DF" w14:textId="77777777" w:rsidR="00D30234" w:rsidRPr="00D30234" w:rsidRDefault="006D56B4" w:rsidP="00773B40">
      <w:pPr>
        <w:ind w:left="720" w:hanging="720"/>
        <w:jc w:val="both"/>
        <w:rPr>
          <w:rFonts w:cs="Times New Roman"/>
          <w:szCs w:val="24"/>
        </w:rPr>
      </w:pPr>
      <w:r w:rsidRPr="00D30234">
        <w:rPr>
          <w:rFonts w:cs="Times New Roman"/>
          <w:szCs w:val="24"/>
        </w:rPr>
        <w:t>Nash, M. and López, J.M.G., 2021. Mental health issues in children: exploring primary school teachers’ experiences, knowledge and training needs. </w:t>
      </w:r>
      <w:r w:rsidRPr="00D30234">
        <w:rPr>
          <w:rFonts w:cs="Times New Roman"/>
          <w:i/>
          <w:iCs/>
          <w:szCs w:val="24"/>
        </w:rPr>
        <w:t>Mental Health Practice</w:t>
      </w:r>
      <w:r w:rsidRPr="00D30234">
        <w:rPr>
          <w:rFonts w:cs="Times New Roman"/>
          <w:szCs w:val="24"/>
        </w:rPr>
        <w:t>, </w:t>
      </w:r>
      <w:r w:rsidRPr="00D30234">
        <w:rPr>
          <w:rFonts w:cs="Times New Roman"/>
          <w:i/>
          <w:iCs/>
          <w:szCs w:val="24"/>
        </w:rPr>
        <w:t>24</w:t>
      </w:r>
      <w:r w:rsidRPr="00D30234">
        <w:rPr>
          <w:rFonts w:cs="Times New Roman"/>
          <w:szCs w:val="24"/>
        </w:rPr>
        <w:t>(4).</w:t>
      </w:r>
    </w:p>
    <w:p w14:paraId="4C4DD8BC" w14:textId="77777777" w:rsidR="00D30234" w:rsidRPr="00D30234" w:rsidRDefault="006D56B4" w:rsidP="00773B40">
      <w:pPr>
        <w:ind w:left="720" w:hanging="720"/>
        <w:jc w:val="both"/>
        <w:rPr>
          <w:rFonts w:cs="Times New Roman"/>
          <w:szCs w:val="24"/>
        </w:rPr>
      </w:pPr>
      <w:r w:rsidRPr="00D30234">
        <w:rPr>
          <w:rFonts w:cs="Times New Roman"/>
          <w:szCs w:val="24"/>
        </w:rPr>
        <w:t>Nicholson, J., Kuhl, K., Maniates, H., Lin, B. and Bonetti, S., 2020. A review of the literature on leadership in early childhood: Examining epistemological foundations and considerations of social justice. </w:t>
      </w:r>
      <w:r w:rsidRPr="00D30234">
        <w:rPr>
          <w:rFonts w:cs="Times New Roman"/>
          <w:i/>
          <w:iCs/>
          <w:szCs w:val="24"/>
        </w:rPr>
        <w:t>Early Child Development and Care</w:t>
      </w:r>
      <w:r w:rsidRPr="00D30234">
        <w:rPr>
          <w:rFonts w:cs="Times New Roman"/>
          <w:szCs w:val="24"/>
        </w:rPr>
        <w:t>, </w:t>
      </w:r>
      <w:r w:rsidRPr="00D30234">
        <w:rPr>
          <w:rFonts w:cs="Times New Roman"/>
          <w:i/>
          <w:iCs/>
          <w:szCs w:val="24"/>
        </w:rPr>
        <w:t>190</w:t>
      </w:r>
      <w:r w:rsidRPr="00D30234">
        <w:rPr>
          <w:rFonts w:cs="Times New Roman"/>
          <w:szCs w:val="24"/>
        </w:rPr>
        <w:t>(2), pp.91-122.</w:t>
      </w:r>
    </w:p>
    <w:p w14:paraId="61808733" w14:textId="77777777" w:rsidR="00D30234" w:rsidRPr="00D30234" w:rsidRDefault="006D56B4" w:rsidP="00773B40">
      <w:pPr>
        <w:ind w:left="720" w:hanging="720"/>
        <w:jc w:val="both"/>
        <w:rPr>
          <w:rFonts w:cs="Times New Roman"/>
          <w:szCs w:val="24"/>
        </w:rPr>
      </w:pPr>
      <w:r w:rsidRPr="00D30234">
        <w:rPr>
          <w:rFonts w:cs="Times New Roman"/>
          <w:szCs w:val="24"/>
        </w:rPr>
        <w:t xml:space="preserve">Nigg, C.R., Wunsch, K., Nigg, C., Niessner, C., </w:t>
      </w:r>
      <w:proofErr w:type="spellStart"/>
      <w:r w:rsidRPr="00D30234">
        <w:rPr>
          <w:rFonts w:cs="Times New Roman"/>
          <w:szCs w:val="24"/>
        </w:rPr>
        <w:t>Jekauc</w:t>
      </w:r>
      <w:proofErr w:type="spellEnd"/>
      <w:r w:rsidRPr="00D30234">
        <w:rPr>
          <w:rFonts w:cs="Times New Roman"/>
          <w:szCs w:val="24"/>
        </w:rPr>
        <w:t xml:space="preserve">, D., Schmidt, S.C. and Woll, A., 2021. Are physical activity, screen time, and mental health related during childhood, preadolescence, and adolescence? 11-year results from the German </w:t>
      </w:r>
      <w:proofErr w:type="spellStart"/>
      <w:r w:rsidRPr="00D30234">
        <w:rPr>
          <w:rFonts w:cs="Times New Roman"/>
          <w:szCs w:val="24"/>
        </w:rPr>
        <w:t>Motorik</w:t>
      </w:r>
      <w:proofErr w:type="spellEnd"/>
      <w:r w:rsidRPr="00D30234">
        <w:rPr>
          <w:rFonts w:cs="Times New Roman"/>
          <w:szCs w:val="24"/>
        </w:rPr>
        <w:t>-Modul longitudinal study. </w:t>
      </w:r>
      <w:r w:rsidRPr="00D30234">
        <w:rPr>
          <w:rFonts w:cs="Times New Roman"/>
          <w:i/>
          <w:iCs/>
          <w:szCs w:val="24"/>
        </w:rPr>
        <w:t>American journal of epidemiology</w:t>
      </w:r>
      <w:r w:rsidRPr="00D30234">
        <w:rPr>
          <w:rFonts w:cs="Times New Roman"/>
          <w:szCs w:val="24"/>
        </w:rPr>
        <w:t>, </w:t>
      </w:r>
      <w:r w:rsidRPr="00D30234">
        <w:rPr>
          <w:rFonts w:cs="Times New Roman"/>
          <w:i/>
          <w:iCs/>
          <w:szCs w:val="24"/>
        </w:rPr>
        <w:t>190</w:t>
      </w:r>
      <w:r w:rsidRPr="00D30234">
        <w:rPr>
          <w:rFonts w:cs="Times New Roman"/>
          <w:szCs w:val="24"/>
        </w:rPr>
        <w:t>(2), pp.220-229.</w:t>
      </w:r>
    </w:p>
    <w:p w14:paraId="1ACFA6BE"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Nurkamto</w:t>
      </w:r>
      <w:proofErr w:type="spellEnd"/>
      <w:r w:rsidRPr="00D30234">
        <w:rPr>
          <w:rFonts w:cs="Times New Roman"/>
          <w:szCs w:val="24"/>
        </w:rPr>
        <w:t xml:space="preserve">, J. and Sarosa, T., 2020. Engaging EFL teachers in reflective practice </w:t>
      </w:r>
      <w:proofErr w:type="gramStart"/>
      <w:r w:rsidRPr="00D30234">
        <w:rPr>
          <w:rFonts w:cs="Times New Roman"/>
          <w:szCs w:val="24"/>
        </w:rPr>
        <w:t>as a way to</w:t>
      </w:r>
      <w:proofErr w:type="gramEnd"/>
      <w:r w:rsidRPr="00D30234">
        <w:rPr>
          <w:rFonts w:cs="Times New Roman"/>
          <w:szCs w:val="24"/>
        </w:rPr>
        <w:t xml:space="preserve"> pursue sustained professional development. </w:t>
      </w:r>
      <w:r w:rsidRPr="00D30234">
        <w:rPr>
          <w:rFonts w:cs="Times New Roman"/>
          <w:i/>
          <w:iCs/>
          <w:szCs w:val="24"/>
        </w:rPr>
        <w:t>International Journal of Pedagogy and Teacher Education</w:t>
      </w:r>
      <w:r w:rsidRPr="00D30234">
        <w:rPr>
          <w:rFonts w:cs="Times New Roman"/>
          <w:szCs w:val="24"/>
        </w:rPr>
        <w:t>, </w:t>
      </w:r>
      <w:r w:rsidRPr="00D30234">
        <w:rPr>
          <w:rFonts w:cs="Times New Roman"/>
          <w:i/>
          <w:iCs/>
          <w:szCs w:val="24"/>
        </w:rPr>
        <w:t>4</w:t>
      </w:r>
      <w:r w:rsidRPr="00D30234">
        <w:rPr>
          <w:rFonts w:cs="Times New Roman"/>
          <w:szCs w:val="24"/>
        </w:rPr>
        <w:t>(1), pp.45-58.</w:t>
      </w:r>
    </w:p>
    <w:p w14:paraId="2B3C7A20" w14:textId="77777777" w:rsidR="00D30234" w:rsidRPr="00D30234" w:rsidRDefault="006D56B4" w:rsidP="00773B40">
      <w:pPr>
        <w:ind w:left="720" w:hanging="720"/>
        <w:jc w:val="both"/>
        <w:rPr>
          <w:rFonts w:cs="Times New Roman"/>
          <w:szCs w:val="24"/>
        </w:rPr>
      </w:pPr>
      <w:r w:rsidRPr="00D30234">
        <w:rPr>
          <w:rFonts w:cs="Times New Roman"/>
          <w:szCs w:val="24"/>
        </w:rPr>
        <w:t xml:space="preserve">Page, J. and </w:t>
      </w:r>
      <w:proofErr w:type="spellStart"/>
      <w:r w:rsidRPr="00D30234">
        <w:rPr>
          <w:rFonts w:cs="Times New Roman"/>
          <w:szCs w:val="24"/>
        </w:rPr>
        <w:t>Waniganayake</w:t>
      </w:r>
      <w:proofErr w:type="spellEnd"/>
      <w:r w:rsidRPr="00D30234">
        <w:rPr>
          <w:rFonts w:cs="Times New Roman"/>
          <w:szCs w:val="24"/>
        </w:rPr>
        <w:t>, M., 2019. Early Childhood Educational Leaders in Australia: Tensions and Possibilities in Leadership Preparation and Capacity Building. </w:t>
      </w:r>
      <w:r w:rsidRPr="00D30234">
        <w:rPr>
          <w:rFonts w:cs="Times New Roman"/>
          <w:i/>
          <w:iCs/>
          <w:szCs w:val="24"/>
        </w:rPr>
        <w:t xml:space="preserve">International </w:t>
      </w:r>
      <w:r w:rsidRPr="00D30234">
        <w:rPr>
          <w:rFonts w:cs="Times New Roman"/>
          <w:i/>
          <w:iCs/>
          <w:szCs w:val="24"/>
        </w:rPr>
        <w:lastRenderedPageBreak/>
        <w:t>Studies in Educational Administration (Commonwealth Council for Educational Administration &amp; Management (CCEAM))</w:t>
      </w:r>
      <w:r w:rsidRPr="00D30234">
        <w:rPr>
          <w:rFonts w:cs="Times New Roman"/>
          <w:szCs w:val="24"/>
        </w:rPr>
        <w:t>, </w:t>
      </w:r>
      <w:r w:rsidRPr="00D30234">
        <w:rPr>
          <w:rFonts w:cs="Times New Roman"/>
          <w:i/>
          <w:iCs/>
          <w:szCs w:val="24"/>
        </w:rPr>
        <w:t>47</w:t>
      </w:r>
      <w:r w:rsidRPr="00D30234">
        <w:rPr>
          <w:rFonts w:cs="Times New Roman"/>
          <w:szCs w:val="24"/>
        </w:rPr>
        <w:t>(2).</w:t>
      </w:r>
    </w:p>
    <w:p w14:paraId="4A25F2D1" w14:textId="77777777" w:rsidR="00D30234" w:rsidRPr="00D30234" w:rsidRDefault="006D56B4" w:rsidP="00773B40">
      <w:pPr>
        <w:ind w:left="720" w:hanging="720"/>
        <w:jc w:val="both"/>
        <w:rPr>
          <w:rFonts w:cs="Times New Roman"/>
          <w:szCs w:val="24"/>
        </w:rPr>
      </w:pPr>
      <w:r w:rsidRPr="00D30234">
        <w:rPr>
          <w:rFonts w:cs="Times New Roman"/>
          <w:szCs w:val="24"/>
        </w:rPr>
        <w:t xml:space="preserve">Pakravan, A., </w:t>
      </w:r>
      <w:proofErr w:type="spellStart"/>
      <w:r w:rsidRPr="00D30234">
        <w:rPr>
          <w:rFonts w:cs="Times New Roman"/>
          <w:szCs w:val="24"/>
        </w:rPr>
        <w:t>Ghazirad</w:t>
      </w:r>
      <w:proofErr w:type="spellEnd"/>
      <w:r w:rsidRPr="00D30234">
        <w:rPr>
          <w:rFonts w:cs="Times New Roman"/>
          <w:szCs w:val="24"/>
        </w:rPr>
        <w:t xml:space="preserve">, M. and </w:t>
      </w:r>
      <w:proofErr w:type="spellStart"/>
      <w:r w:rsidRPr="00D30234">
        <w:rPr>
          <w:rFonts w:cs="Times New Roman"/>
          <w:szCs w:val="24"/>
        </w:rPr>
        <w:t>Shaddel</w:t>
      </w:r>
      <w:proofErr w:type="spellEnd"/>
      <w:r w:rsidRPr="00D30234">
        <w:rPr>
          <w:rFonts w:cs="Times New Roman"/>
          <w:szCs w:val="24"/>
        </w:rPr>
        <w:t>, F., 2022. Development of the learning disability physical activity questionnaire (LDPAQ). </w:t>
      </w:r>
      <w:r w:rsidRPr="00D30234">
        <w:rPr>
          <w:rFonts w:cs="Times New Roman"/>
          <w:i/>
          <w:iCs/>
          <w:szCs w:val="24"/>
        </w:rPr>
        <w:t>Tizard Learning Disability Review</w:t>
      </w:r>
      <w:r w:rsidRPr="00D30234">
        <w:rPr>
          <w:rFonts w:cs="Times New Roman"/>
          <w:szCs w:val="24"/>
        </w:rPr>
        <w:t>, (ahead-of-print).</w:t>
      </w:r>
    </w:p>
    <w:p w14:paraId="2CE129EC" w14:textId="77777777" w:rsidR="00D30234" w:rsidRPr="00D30234" w:rsidRDefault="006D56B4" w:rsidP="00773B40">
      <w:pPr>
        <w:ind w:left="720" w:hanging="720"/>
        <w:jc w:val="both"/>
        <w:rPr>
          <w:rFonts w:cs="Times New Roman"/>
          <w:szCs w:val="24"/>
        </w:rPr>
      </w:pPr>
      <w:r w:rsidRPr="00D30234">
        <w:rPr>
          <w:rFonts w:cs="Times New Roman"/>
          <w:szCs w:val="24"/>
        </w:rPr>
        <w:t>Palaiologou, I. and Male, T., 2019. Leadership in early childhood education: The case for pedagogical praxis. </w:t>
      </w:r>
      <w:r w:rsidRPr="00D30234">
        <w:rPr>
          <w:rFonts w:cs="Times New Roman"/>
          <w:i/>
          <w:iCs/>
          <w:szCs w:val="24"/>
        </w:rPr>
        <w:t>Contemporary Issues in Early Childhood</w:t>
      </w:r>
      <w:r w:rsidRPr="00D30234">
        <w:rPr>
          <w:rFonts w:cs="Times New Roman"/>
          <w:szCs w:val="24"/>
        </w:rPr>
        <w:t>, </w:t>
      </w:r>
      <w:r w:rsidRPr="00D30234">
        <w:rPr>
          <w:rFonts w:cs="Times New Roman"/>
          <w:i/>
          <w:iCs/>
          <w:szCs w:val="24"/>
        </w:rPr>
        <w:t>20</w:t>
      </w:r>
      <w:r w:rsidRPr="00D30234">
        <w:rPr>
          <w:rFonts w:cs="Times New Roman"/>
          <w:szCs w:val="24"/>
        </w:rPr>
        <w:t>(1), pp.23-34.</w:t>
      </w:r>
    </w:p>
    <w:p w14:paraId="55120F16" w14:textId="77777777" w:rsidR="00D30234" w:rsidRPr="00D30234" w:rsidRDefault="006D56B4" w:rsidP="00773B40">
      <w:pPr>
        <w:ind w:left="720" w:hanging="720"/>
        <w:jc w:val="both"/>
        <w:rPr>
          <w:rFonts w:cs="Times New Roman"/>
          <w:szCs w:val="24"/>
        </w:rPr>
      </w:pPr>
      <w:r w:rsidRPr="00D30234">
        <w:rPr>
          <w:rFonts w:cs="Times New Roman"/>
          <w:szCs w:val="24"/>
        </w:rPr>
        <w:t>Parnell, S.H.S., 2016. Social Marketing for Physical Activity and Health: Encouraging Patterns of Physical Activity in School Children.</w:t>
      </w:r>
    </w:p>
    <w:p w14:paraId="30D99C5B"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Patalay</w:t>
      </w:r>
      <w:proofErr w:type="spellEnd"/>
      <w:r w:rsidRPr="00D30234">
        <w:rPr>
          <w:rFonts w:cs="Times New Roman"/>
          <w:szCs w:val="24"/>
        </w:rPr>
        <w:t>, P. and Fitzsimons, E., 2018. Development and predictors of mental ill-health and wellbeing from childhood to adolescence. </w:t>
      </w:r>
      <w:r w:rsidRPr="00D30234">
        <w:rPr>
          <w:rFonts w:cs="Times New Roman"/>
          <w:i/>
          <w:iCs/>
          <w:szCs w:val="24"/>
        </w:rPr>
        <w:t>Social psychiatry and psychiatric epidemiology</w:t>
      </w:r>
      <w:r w:rsidRPr="00D30234">
        <w:rPr>
          <w:rFonts w:cs="Times New Roman"/>
          <w:szCs w:val="24"/>
        </w:rPr>
        <w:t>, </w:t>
      </w:r>
      <w:r w:rsidRPr="00D30234">
        <w:rPr>
          <w:rFonts w:cs="Times New Roman"/>
          <w:i/>
          <w:iCs/>
          <w:szCs w:val="24"/>
        </w:rPr>
        <w:t>53</w:t>
      </w:r>
      <w:r w:rsidRPr="00D30234">
        <w:rPr>
          <w:rFonts w:cs="Times New Roman"/>
          <w:szCs w:val="24"/>
        </w:rPr>
        <w:t>(12), pp.1311-1323.</w:t>
      </w:r>
    </w:p>
    <w:p w14:paraId="27500EF9" w14:textId="77777777" w:rsidR="00D30234" w:rsidRPr="00D30234" w:rsidRDefault="006D56B4" w:rsidP="00773B40">
      <w:pPr>
        <w:ind w:left="720" w:hanging="720"/>
        <w:jc w:val="both"/>
        <w:rPr>
          <w:rFonts w:cs="Times New Roman"/>
          <w:szCs w:val="24"/>
        </w:rPr>
      </w:pPr>
      <w:r w:rsidRPr="00D30234">
        <w:rPr>
          <w:rFonts w:cs="Times New Roman"/>
          <w:szCs w:val="24"/>
        </w:rPr>
        <w:t xml:space="preserve">Peisner-Feinberg, E., Burchinal, M., Soliday Hong, S., </w:t>
      </w:r>
      <w:proofErr w:type="spellStart"/>
      <w:r w:rsidRPr="00D30234">
        <w:rPr>
          <w:rFonts w:cs="Times New Roman"/>
          <w:szCs w:val="24"/>
        </w:rPr>
        <w:t>Yazejian</w:t>
      </w:r>
      <w:proofErr w:type="spellEnd"/>
      <w:r w:rsidRPr="00D30234">
        <w:rPr>
          <w:rFonts w:cs="Times New Roman"/>
          <w:szCs w:val="24"/>
        </w:rPr>
        <w:t xml:space="preserve">, N., Shelton-Ormond, A. and Foster, T., 2020. Implementation of the Pennsylvania Pre-K Counts Program: A </w:t>
      </w:r>
      <w:proofErr w:type="spellStart"/>
      <w:r w:rsidRPr="00D30234">
        <w:rPr>
          <w:rFonts w:cs="Times New Roman"/>
          <w:szCs w:val="24"/>
        </w:rPr>
        <w:t>Statewide</w:t>
      </w:r>
      <w:proofErr w:type="spellEnd"/>
      <w:r w:rsidRPr="00D30234">
        <w:rPr>
          <w:rFonts w:cs="Times New Roman"/>
          <w:szCs w:val="24"/>
        </w:rPr>
        <w:t xml:space="preserve"> Evaluation. </w:t>
      </w:r>
      <w:r w:rsidRPr="00D30234">
        <w:rPr>
          <w:rFonts w:cs="Times New Roman"/>
          <w:i/>
          <w:iCs/>
          <w:szCs w:val="24"/>
        </w:rPr>
        <w:t>FPG Child Development Institute</w:t>
      </w:r>
      <w:r w:rsidRPr="00D30234">
        <w:rPr>
          <w:rFonts w:cs="Times New Roman"/>
          <w:szCs w:val="24"/>
        </w:rPr>
        <w:t>.</w:t>
      </w:r>
    </w:p>
    <w:p w14:paraId="455B3DF9" w14:textId="77777777" w:rsidR="00D30234" w:rsidRPr="00D30234" w:rsidRDefault="006D56B4" w:rsidP="00773B40">
      <w:pPr>
        <w:ind w:left="720" w:hanging="720"/>
        <w:jc w:val="both"/>
        <w:rPr>
          <w:rFonts w:cs="Times New Roman"/>
          <w:szCs w:val="24"/>
        </w:rPr>
      </w:pPr>
      <w:r w:rsidRPr="00D30234">
        <w:rPr>
          <w:rFonts w:cs="Times New Roman"/>
          <w:szCs w:val="24"/>
        </w:rPr>
        <w:t>Pugh, K., 2022. </w:t>
      </w:r>
      <w:r w:rsidRPr="00D30234">
        <w:rPr>
          <w:rFonts w:cs="Times New Roman"/>
          <w:i/>
          <w:iCs/>
          <w:szCs w:val="24"/>
        </w:rPr>
        <w:t>Perspectives of Leadership in the United States Navy: A Phenomenological Study</w:t>
      </w:r>
      <w:r w:rsidRPr="00D30234">
        <w:rPr>
          <w:rFonts w:cs="Times New Roman"/>
          <w:szCs w:val="24"/>
        </w:rPr>
        <w:t> (Doctoral dissertation, Creighton University).</w:t>
      </w:r>
    </w:p>
    <w:p w14:paraId="5865594A" w14:textId="77777777" w:rsidR="00D30234" w:rsidRPr="00D30234" w:rsidRDefault="006D56B4" w:rsidP="00773B40">
      <w:pPr>
        <w:ind w:left="720" w:hanging="720"/>
        <w:jc w:val="both"/>
        <w:rPr>
          <w:rFonts w:cs="Times New Roman"/>
          <w:szCs w:val="24"/>
        </w:rPr>
      </w:pPr>
      <w:r w:rsidRPr="00D30234">
        <w:rPr>
          <w:rFonts w:cs="Times New Roman"/>
          <w:szCs w:val="24"/>
        </w:rPr>
        <w:t>Rodd, J., 2020. </w:t>
      </w:r>
      <w:r w:rsidRPr="00D30234">
        <w:rPr>
          <w:rFonts w:cs="Times New Roman"/>
          <w:i/>
          <w:iCs/>
          <w:szCs w:val="24"/>
        </w:rPr>
        <w:t>Leadership in early childhood: The pathway to professionalism</w:t>
      </w:r>
      <w:r w:rsidRPr="00D30234">
        <w:rPr>
          <w:rFonts w:cs="Times New Roman"/>
          <w:szCs w:val="24"/>
        </w:rPr>
        <w:t>. Routledge.</w:t>
      </w:r>
    </w:p>
    <w:p w14:paraId="431F51EF" w14:textId="77777777" w:rsidR="00D30234" w:rsidRPr="00D30234" w:rsidRDefault="006D56B4" w:rsidP="00773B40">
      <w:pPr>
        <w:ind w:left="720" w:hanging="720"/>
        <w:jc w:val="both"/>
        <w:rPr>
          <w:rFonts w:cs="Times New Roman"/>
          <w:szCs w:val="24"/>
        </w:rPr>
      </w:pPr>
      <w:r w:rsidRPr="00D30234">
        <w:rPr>
          <w:rFonts w:cs="Times New Roman"/>
          <w:szCs w:val="24"/>
        </w:rPr>
        <w:t xml:space="preserve">Russell, K., Rasmussen, S. and Hunter, S.C., 2020. Does mental well-being protect against self-harm thoughts and </w:t>
      </w:r>
      <w:proofErr w:type="spellStart"/>
      <w:r w:rsidRPr="00D30234">
        <w:rPr>
          <w:rFonts w:cs="Times New Roman"/>
          <w:szCs w:val="24"/>
        </w:rPr>
        <w:t>behaviors</w:t>
      </w:r>
      <w:proofErr w:type="spellEnd"/>
      <w:r w:rsidRPr="00D30234">
        <w:rPr>
          <w:rFonts w:cs="Times New Roman"/>
          <w:szCs w:val="24"/>
        </w:rPr>
        <w:t xml:space="preserve"> during adolescence? A six-month prospective investigation. </w:t>
      </w:r>
      <w:r w:rsidRPr="00D30234">
        <w:rPr>
          <w:rFonts w:cs="Times New Roman"/>
          <w:i/>
          <w:iCs/>
          <w:szCs w:val="24"/>
        </w:rPr>
        <w:t>International journal of environmental research and public health</w:t>
      </w:r>
      <w:r w:rsidRPr="00D30234">
        <w:rPr>
          <w:rFonts w:cs="Times New Roman"/>
          <w:szCs w:val="24"/>
        </w:rPr>
        <w:t>, </w:t>
      </w:r>
      <w:r w:rsidRPr="00D30234">
        <w:rPr>
          <w:rFonts w:cs="Times New Roman"/>
          <w:i/>
          <w:iCs/>
          <w:szCs w:val="24"/>
        </w:rPr>
        <w:t>17</w:t>
      </w:r>
      <w:r w:rsidRPr="00D30234">
        <w:rPr>
          <w:rFonts w:cs="Times New Roman"/>
          <w:szCs w:val="24"/>
        </w:rPr>
        <w:t>(18), p.6771.</w:t>
      </w:r>
    </w:p>
    <w:p w14:paraId="239726CD" w14:textId="77777777" w:rsidR="00D30234" w:rsidRPr="00D30234" w:rsidRDefault="006D56B4" w:rsidP="00773B40">
      <w:pPr>
        <w:ind w:left="720" w:hanging="720"/>
        <w:jc w:val="both"/>
        <w:rPr>
          <w:rFonts w:cs="Times New Roman"/>
          <w:szCs w:val="24"/>
        </w:rPr>
      </w:pPr>
      <w:r w:rsidRPr="00D30234">
        <w:rPr>
          <w:rFonts w:cs="Times New Roman"/>
          <w:szCs w:val="24"/>
        </w:rPr>
        <w:t>Sabina, L.L. and Colwell, C.J., 2020. Charisma and Educational Leadership Standards: A Possible Missing Link for High-Impact School Administrators. </w:t>
      </w:r>
      <w:r w:rsidRPr="00D30234">
        <w:rPr>
          <w:rFonts w:cs="Times New Roman"/>
          <w:i/>
          <w:iCs/>
          <w:szCs w:val="24"/>
        </w:rPr>
        <w:t>Southeast Journal of Educational Administration</w:t>
      </w:r>
      <w:r w:rsidRPr="00D30234">
        <w:rPr>
          <w:rFonts w:cs="Times New Roman"/>
          <w:szCs w:val="24"/>
        </w:rPr>
        <w:t>, p.88.</w:t>
      </w:r>
    </w:p>
    <w:p w14:paraId="78B84C4D" w14:textId="77777777" w:rsidR="00D30234" w:rsidRPr="00D30234" w:rsidRDefault="006D56B4" w:rsidP="00773B40">
      <w:pPr>
        <w:ind w:left="720" w:hanging="720"/>
        <w:jc w:val="both"/>
        <w:rPr>
          <w:rFonts w:cs="Times New Roman"/>
          <w:szCs w:val="24"/>
        </w:rPr>
      </w:pPr>
      <w:r w:rsidRPr="00D30234">
        <w:rPr>
          <w:rFonts w:cs="Times New Roman"/>
          <w:szCs w:val="24"/>
        </w:rPr>
        <w:t>Stansfield, J. and Bell, R., 2019. Applying a psychosocial pathways model to improving mental health and reducing health inequalities: practical approaches. </w:t>
      </w:r>
      <w:r w:rsidRPr="00D30234">
        <w:rPr>
          <w:rFonts w:cs="Times New Roman"/>
          <w:i/>
          <w:iCs/>
          <w:szCs w:val="24"/>
        </w:rPr>
        <w:t>International Journal of Social Psychiatry</w:t>
      </w:r>
      <w:r w:rsidRPr="00D30234">
        <w:rPr>
          <w:rFonts w:cs="Times New Roman"/>
          <w:szCs w:val="24"/>
        </w:rPr>
        <w:t>, </w:t>
      </w:r>
      <w:r w:rsidRPr="00D30234">
        <w:rPr>
          <w:rFonts w:cs="Times New Roman"/>
          <w:i/>
          <w:iCs/>
          <w:szCs w:val="24"/>
        </w:rPr>
        <w:t>65</w:t>
      </w:r>
      <w:r w:rsidRPr="00D30234">
        <w:rPr>
          <w:rFonts w:cs="Times New Roman"/>
          <w:szCs w:val="24"/>
        </w:rPr>
        <w:t>(2), pp.107-113.</w:t>
      </w:r>
    </w:p>
    <w:p w14:paraId="51543143" w14:textId="77777777" w:rsidR="00D30234" w:rsidRPr="00D30234" w:rsidRDefault="006D56B4" w:rsidP="00773B40">
      <w:pPr>
        <w:ind w:left="720" w:hanging="720"/>
        <w:jc w:val="both"/>
        <w:rPr>
          <w:rFonts w:cs="Times New Roman"/>
          <w:szCs w:val="24"/>
        </w:rPr>
      </w:pPr>
      <w:proofErr w:type="spellStart"/>
      <w:r w:rsidRPr="00D30234">
        <w:rPr>
          <w:rFonts w:cs="Times New Roman"/>
          <w:szCs w:val="24"/>
        </w:rPr>
        <w:t>Stebletsova</w:t>
      </w:r>
      <w:proofErr w:type="spellEnd"/>
      <w:r w:rsidRPr="00D30234">
        <w:rPr>
          <w:rFonts w:cs="Times New Roman"/>
          <w:szCs w:val="24"/>
        </w:rPr>
        <w:t>, G. and Scanlan, B., 2018. Child wellbeing integrated in the curriculum. </w:t>
      </w:r>
      <w:r w:rsidRPr="00D30234">
        <w:rPr>
          <w:rFonts w:cs="Times New Roman"/>
          <w:i/>
          <w:iCs/>
          <w:szCs w:val="24"/>
        </w:rPr>
        <w:t xml:space="preserve">He </w:t>
      </w:r>
      <w:proofErr w:type="spellStart"/>
      <w:r w:rsidRPr="00D30234">
        <w:rPr>
          <w:rFonts w:cs="Times New Roman"/>
          <w:i/>
          <w:iCs/>
          <w:szCs w:val="24"/>
        </w:rPr>
        <w:t>Kupu</w:t>
      </w:r>
      <w:proofErr w:type="spellEnd"/>
      <w:r w:rsidRPr="00D30234">
        <w:rPr>
          <w:rFonts w:cs="Times New Roman"/>
          <w:szCs w:val="24"/>
        </w:rPr>
        <w:t>, </w:t>
      </w:r>
      <w:r w:rsidRPr="00D30234">
        <w:rPr>
          <w:rFonts w:cs="Times New Roman"/>
          <w:i/>
          <w:iCs/>
          <w:szCs w:val="24"/>
        </w:rPr>
        <w:t>5</w:t>
      </w:r>
      <w:r w:rsidRPr="00D30234">
        <w:rPr>
          <w:rFonts w:cs="Times New Roman"/>
          <w:szCs w:val="24"/>
        </w:rPr>
        <w:t>(3), pp.66-74.</w:t>
      </w:r>
    </w:p>
    <w:p w14:paraId="25F2CAF5" w14:textId="77777777" w:rsidR="00D30234" w:rsidRPr="00D30234" w:rsidRDefault="006D56B4" w:rsidP="00773B40">
      <w:pPr>
        <w:ind w:left="720" w:hanging="720"/>
        <w:jc w:val="both"/>
        <w:rPr>
          <w:rFonts w:cs="Times New Roman"/>
          <w:szCs w:val="24"/>
        </w:rPr>
      </w:pPr>
      <w:r w:rsidRPr="00D30234">
        <w:rPr>
          <w:rFonts w:cs="Times New Roman"/>
          <w:szCs w:val="24"/>
        </w:rPr>
        <w:t>Tai, M.K. and Abdull Kareem, O., 2020. Headteacher change leadership competency: a study in Malaysian primary schools. </w:t>
      </w:r>
      <w:r w:rsidRPr="00D30234">
        <w:rPr>
          <w:rFonts w:cs="Times New Roman"/>
          <w:i/>
          <w:iCs/>
          <w:szCs w:val="24"/>
        </w:rPr>
        <w:t>Professional Development in Education</w:t>
      </w:r>
      <w:r w:rsidRPr="00D30234">
        <w:rPr>
          <w:rFonts w:cs="Times New Roman"/>
          <w:szCs w:val="24"/>
        </w:rPr>
        <w:t>, </w:t>
      </w:r>
      <w:r w:rsidRPr="00D30234">
        <w:rPr>
          <w:rFonts w:cs="Times New Roman"/>
          <w:i/>
          <w:iCs/>
          <w:szCs w:val="24"/>
        </w:rPr>
        <w:t>46</w:t>
      </w:r>
      <w:r w:rsidRPr="00D30234">
        <w:rPr>
          <w:rFonts w:cs="Times New Roman"/>
          <w:szCs w:val="24"/>
        </w:rPr>
        <w:t>(2), pp.292-305.</w:t>
      </w:r>
    </w:p>
    <w:p w14:paraId="6E60D6E4" w14:textId="77777777" w:rsidR="00D30234" w:rsidRPr="00D30234" w:rsidRDefault="006D56B4" w:rsidP="00773B40">
      <w:pPr>
        <w:ind w:left="720" w:hanging="720"/>
        <w:jc w:val="both"/>
        <w:rPr>
          <w:rFonts w:cs="Times New Roman"/>
          <w:szCs w:val="24"/>
        </w:rPr>
      </w:pPr>
      <w:r w:rsidRPr="00D30234">
        <w:rPr>
          <w:rFonts w:cs="Times New Roman"/>
          <w:szCs w:val="24"/>
        </w:rPr>
        <w:lastRenderedPageBreak/>
        <w:t xml:space="preserve">Theobald, M., 2019. UN Convention on the Rights of the </w:t>
      </w:r>
      <w:proofErr w:type="spellStart"/>
      <w:proofErr w:type="gramStart"/>
      <w:r w:rsidRPr="00D30234">
        <w:rPr>
          <w:rFonts w:cs="Times New Roman"/>
          <w:szCs w:val="24"/>
        </w:rPr>
        <w:t>Child:“</w:t>
      </w:r>
      <w:proofErr w:type="gramEnd"/>
      <w:r w:rsidRPr="00D30234">
        <w:rPr>
          <w:rFonts w:cs="Times New Roman"/>
          <w:szCs w:val="24"/>
        </w:rPr>
        <w:t>Where</w:t>
      </w:r>
      <w:proofErr w:type="spellEnd"/>
      <w:r w:rsidRPr="00D30234">
        <w:rPr>
          <w:rFonts w:cs="Times New Roman"/>
          <w:szCs w:val="24"/>
        </w:rPr>
        <w:t xml:space="preserve"> are we at in recognising children’s rights in early childhood, three decades on…?”. </w:t>
      </w:r>
      <w:r w:rsidRPr="00D30234">
        <w:rPr>
          <w:rFonts w:cs="Times New Roman"/>
          <w:i/>
          <w:iCs/>
          <w:szCs w:val="24"/>
        </w:rPr>
        <w:t>International Journal of Early Childhood</w:t>
      </w:r>
      <w:r w:rsidRPr="00D30234">
        <w:rPr>
          <w:rFonts w:cs="Times New Roman"/>
          <w:szCs w:val="24"/>
        </w:rPr>
        <w:t>, </w:t>
      </w:r>
      <w:r w:rsidRPr="00D30234">
        <w:rPr>
          <w:rFonts w:cs="Times New Roman"/>
          <w:i/>
          <w:iCs/>
          <w:szCs w:val="24"/>
        </w:rPr>
        <w:t>51</w:t>
      </w:r>
      <w:r w:rsidRPr="00D30234">
        <w:rPr>
          <w:rFonts w:cs="Times New Roman"/>
          <w:szCs w:val="24"/>
        </w:rPr>
        <w:t>(3), pp.251-257.</w:t>
      </w:r>
    </w:p>
    <w:p w14:paraId="1420EA62" w14:textId="77777777" w:rsidR="00D30234" w:rsidRPr="00D30234" w:rsidRDefault="006D56B4" w:rsidP="00773B40">
      <w:pPr>
        <w:ind w:left="720" w:hanging="720"/>
        <w:jc w:val="both"/>
        <w:rPr>
          <w:rFonts w:cs="Times New Roman"/>
          <w:szCs w:val="24"/>
        </w:rPr>
      </w:pPr>
      <w:r w:rsidRPr="00D30234">
        <w:rPr>
          <w:rFonts w:cs="Times New Roman"/>
          <w:szCs w:val="24"/>
        </w:rPr>
        <w:t xml:space="preserve">To, P., </w:t>
      </w:r>
      <w:proofErr w:type="spellStart"/>
      <w:r w:rsidRPr="00D30234">
        <w:rPr>
          <w:rFonts w:cs="Times New Roman"/>
          <w:szCs w:val="24"/>
        </w:rPr>
        <w:t>Eboreime</w:t>
      </w:r>
      <w:proofErr w:type="spellEnd"/>
      <w:r w:rsidRPr="00D30234">
        <w:rPr>
          <w:rFonts w:cs="Times New Roman"/>
          <w:szCs w:val="24"/>
        </w:rPr>
        <w:t>, E. and Agyapong, V.I., 2021. The impact of wildfires on mental health: A scoping review. </w:t>
      </w:r>
      <w:proofErr w:type="spellStart"/>
      <w:r w:rsidRPr="00D30234">
        <w:rPr>
          <w:rFonts w:cs="Times New Roman"/>
          <w:i/>
          <w:iCs/>
          <w:szCs w:val="24"/>
        </w:rPr>
        <w:t>Behavioral</w:t>
      </w:r>
      <w:proofErr w:type="spellEnd"/>
      <w:r w:rsidRPr="00D30234">
        <w:rPr>
          <w:rFonts w:cs="Times New Roman"/>
          <w:i/>
          <w:iCs/>
          <w:szCs w:val="24"/>
        </w:rPr>
        <w:t xml:space="preserve"> Sciences</w:t>
      </w:r>
      <w:r w:rsidRPr="00D30234">
        <w:rPr>
          <w:rFonts w:cs="Times New Roman"/>
          <w:szCs w:val="24"/>
        </w:rPr>
        <w:t>, </w:t>
      </w:r>
      <w:r w:rsidRPr="00D30234">
        <w:rPr>
          <w:rFonts w:cs="Times New Roman"/>
          <w:i/>
          <w:iCs/>
          <w:szCs w:val="24"/>
        </w:rPr>
        <w:t>11</w:t>
      </w:r>
      <w:r w:rsidRPr="00D30234">
        <w:rPr>
          <w:rFonts w:cs="Times New Roman"/>
          <w:szCs w:val="24"/>
        </w:rPr>
        <w:t>(9), p.126.</w:t>
      </w:r>
    </w:p>
    <w:p w14:paraId="4DCC6753" w14:textId="77777777" w:rsidR="00D30234" w:rsidRPr="00D30234" w:rsidRDefault="006D56B4" w:rsidP="00773B40">
      <w:pPr>
        <w:ind w:left="720" w:hanging="720"/>
        <w:jc w:val="both"/>
        <w:rPr>
          <w:rFonts w:cs="Times New Roman"/>
          <w:szCs w:val="24"/>
        </w:rPr>
      </w:pPr>
      <w:r w:rsidRPr="00D30234">
        <w:rPr>
          <w:rFonts w:cs="Times New Roman"/>
          <w:szCs w:val="24"/>
        </w:rPr>
        <w:t>Tobin, J., 2022. Learning from comparative ethnographic studies of early childhood education and care. </w:t>
      </w:r>
      <w:r w:rsidRPr="00D30234">
        <w:rPr>
          <w:rFonts w:cs="Times New Roman"/>
          <w:i/>
          <w:iCs/>
          <w:szCs w:val="24"/>
        </w:rPr>
        <w:t>Comparative Education</w:t>
      </w:r>
      <w:r w:rsidRPr="00D30234">
        <w:rPr>
          <w:rFonts w:cs="Times New Roman"/>
          <w:szCs w:val="24"/>
        </w:rPr>
        <w:t>, </w:t>
      </w:r>
      <w:r w:rsidRPr="00D30234">
        <w:rPr>
          <w:rFonts w:cs="Times New Roman"/>
          <w:i/>
          <w:iCs/>
          <w:szCs w:val="24"/>
        </w:rPr>
        <w:t>58</w:t>
      </w:r>
      <w:r w:rsidRPr="00D30234">
        <w:rPr>
          <w:rFonts w:cs="Times New Roman"/>
          <w:szCs w:val="24"/>
        </w:rPr>
        <w:t>(3), pp.297-314.</w:t>
      </w:r>
    </w:p>
    <w:p w14:paraId="35A4BE0F" w14:textId="77777777" w:rsidR="00D30234" w:rsidRPr="00D30234" w:rsidRDefault="006D56B4" w:rsidP="00773B40">
      <w:pPr>
        <w:ind w:left="720" w:hanging="720"/>
        <w:jc w:val="both"/>
        <w:rPr>
          <w:rFonts w:cs="Times New Roman"/>
          <w:szCs w:val="24"/>
        </w:rPr>
      </w:pPr>
      <w:r w:rsidRPr="00D30234">
        <w:rPr>
          <w:rFonts w:cs="Times New Roman"/>
          <w:szCs w:val="24"/>
        </w:rPr>
        <w:t>UK Children’s Commissioners, 2015. Report of the UK Children’s Commissioners UN Committee on the Rights of the Child Examination of the Fifth Periodic Report of the United Kingdom of Great Britain and Northern Ireland.</w:t>
      </w:r>
    </w:p>
    <w:p w14:paraId="0C1C164D" w14:textId="77777777" w:rsidR="00D30234" w:rsidRPr="00D30234" w:rsidRDefault="006D56B4" w:rsidP="00773B40">
      <w:pPr>
        <w:ind w:left="720" w:hanging="720"/>
        <w:jc w:val="both"/>
        <w:rPr>
          <w:rFonts w:cs="Times New Roman"/>
          <w:szCs w:val="24"/>
        </w:rPr>
      </w:pPr>
      <w:r w:rsidRPr="00D30234">
        <w:rPr>
          <w:rFonts w:cs="Times New Roman"/>
          <w:szCs w:val="24"/>
        </w:rPr>
        <w:t>Valadez, E.A., Tottenham, N., Tabachnick, A.R. and Dozier, M., 2020. Early parenting intervention effects on brain responses to maternal cues among high-risk children. </w:t>
      </w:r>
      <w:r w:rsidRPr="00D30234">
        <w:rPr>
          <w:rFonts w:cs="Times New Roman"/>
          <w:i/>
          <w:iCs/>
          <w:szCs w:val="24"/>
        </w:rPr>
        <w:t>American Journal of Psychiatry</w:t>
      </w:r>
      <w:r w:rsidRPr="00D30234">
        <w:rPr>
          <w:rFonts w:cs="Times New Roman"/>
          <w:szCs w:val="24"/>
        </w:rPr>
        <w:t>, </w:t>
      </w:r>
      <w:r w:rsidRPr="00D30234">
        <w:rPr>
          <w:rFonts w:cs="Times New Roman"/>
          <w:i/>
          <w:iCs/>
          <w:szCs w:val="24"/>
        </w:rPr>
        <w:t>177</w:t>
      </w:r>
      <w:r w:rsidRPr="00D30234">
        <w:rPr>
          <w:rFonts w:cs="Times New Roman"/>
          <w:szCs w:val="24"/>
        </w:rPr>
        <w:t>(9), pp.818-826.</w:t>
      </w:r>
    </w:p>
    <w:p w14:paraId="2C903B13" w14:textId="77777777" w:rsidR="00D30234" w:rsidRPr="00D30234" w:rsidRDefault="006D56B4" w:rsidP="00773B40">
      <w:pPr>
        <w:ind w:left="720" w:hanging="720"/>
        <w:jc w:val="both"/>
        <w:rPr>
          <w:rFonts w:cs="Times New Roman"/>
          <w:szCs w:val="24"/>
        </w:rPr>
      </w:pPr>
      <w:r w:rsidRPr="00D30234">
        <w:rPr>
          <w:rFonts w:cs="Times New Roman"/>
          <w:szCs w:val="24"/>
        </w:rPr>
        <w:t>Van Mierlo, B. and Beers, P.J., 2020. Understanding and governing learning in sustainability transitions: A review. </w:t>
      </w:r>
      <w:r w:rsidRPr="00D30234">
        <w:rPr>
          <w:rFonts w:cs="Times New Roman"/>
          <w:i/>
          <w:iCs/>
          <w:szCs w:val="24"/>
        </w:rPr>
        <w:t>Environmental Innovation and Societal Transitions</w:t>
      </w:r>
      <w:r w:rsidRPr="00D30234">
        <w:rPr>
          <w:rFonts w:cs="Times New Roman"/>
          <w:szCs w:val="24"/>
        </w:rPr>
        <w:t>, </w:t>
      </w:r>
      <w:r w:rsidRPr="00D30234">
        <w:rPr>
          <w:rFonts w:cs="Times New Roman"/>
          <w:i/>
          <w:iCs/>
          <w:szCs w:val="24"/>
        </w:rPr>
        <w:t>34</w:t>
      </w:r>
      <w:r w:rsidRPr="00D30234">
        <w:rPr>
          <w:rFonts w:cs="Times New Roman"/>
          <w:szCs w:val="24"/>
        </w:rPr>
        <w:t>, pp.255-269.</w:t>
      </w:r>
    </w:p>
    <w:p w14:paraId="34371D19" w14:textId="77777777" w:rsidR="00D30234" w:rsidRPr="00D30234" w:rsidRDefault="006D56B4" w:rsidP="00773B40">
      <w:pPr>
        <w:ind w:left="720" w:hanging="720"/>
        <w:jc w:val="both"/>
        <w:rPr>
          <w:rFonts w:cs="Times New Roman"/>
          <w:szCs w:val="24"/>
        </w:rPr>
      </w:pPr>
      <w:r w:rsidRPr="00D30234">
        <w:rPr>
          <w:rFonts w:cs="Times New Roman"/>
          <w:szCs w:val="24"/>
        </w:rPr>
        <w:t>Wainwright, J., 2018. Thinking about leadership in the early years sector. In </w:t>
      </w:r>
      <w:r w:rsidRPr="00D30234">
        <w:rPr>
          <w:rFonts w:cs="Times New Roman"/>
          <w:i/>
          <w:iCs/>
          <w:szCs w:val="24"/>
        </w:rPr>
        <w:t>The Philosophy and Practice of Outstanding Early Years Provision</w:t>
      </w:r>
      <w:r w:rsidRPr="00D30234">
        <w:rPr>
          <w:rFonts w:cs="Times New Roman"/>
          <w:szCs w:val="24"/>
        </w:rPr>
        <w:t> (pp. 43-60). Routledge.</w:t>
      </w:r>
    </w:p>
    <w:p w14:paraId="41640FB7" w14:textId="77777777" w:rsidR="00D30234" w:rsidRPr="00D30234" w:rsidRDefault="006D56B4" w:rsidP="00773B40">
      <w:pPr>
        <w:ind w:left="720" w:hanging="720"/>
        <w:jc w:val="both"/>
        <w:rPr>
          <w:rFonts w:cs="Times New Roman"/>
          <w:szCs w:val="24"/>
        </w:rPr>
      </w:pPr>
      <w:r w:rsidRPr="00D30234">
        <w:rPr>
          <w:rFonts w:cs="Times New Roman"/>
          <w:szCs w:val="24"/>
        </w:rPr>
        <w:t>Ware, J., 2019. Autonomy, rights and children with special educational needs: the distinctiveness of Wales. </w:t>
      </w:r>
      <w:r w:rsidRPr="00D30234">
        <w:rPr>
          <w:rFonts w:cs="Times New Roman"/>
          <w:i/>
          <w:iCs/>
          <w:szCs w:val="24"/>
        </w:rPr>
        <w:t>International Journal of Inclusive Education</w:t>
      </w:r>
      <w:r w:rsidRPr="00D30234">
        <w:rPr>
          <w:rFonts w:cs="Times New Roman"/>
          <w:szCs w:val="24"/>
        </w:rPr>
        <w:t>, </w:t>
      </w:r>
      <w:r w:rsidRPr="00D30234">
        <w:rPr>
          <w:rFonts w:cs="Times New Roman"/>
          <w:i/>
          <w:iCs/>
          <w:szCs w:val="24"/>
        </w:rPr>
        <w:t>23</w:t>
      </w:r>
      <w:r w:rsidRPr="00D30234">
        <w:rPr>
          <w:rFonts w:cs="Times New Roman"/>
          <w:szCs w:val="24"/>
        </w:rPr>
        <w:t>(5), pp.507-518.</w:t>
      </w:r>
    </w:p>
    <w:p w14:paraId="36BBABD5" w14:textId="77777777" w:rsidR="00D30234" w:rsidRPr="00D30234" w:rsidRDefault="006D56B4" w:rsidP="00773B40">
      <w:pPr>
        <w:ind w:left="720" w:hanging="720"/>
        <w:jc w:val="both"/>
        <w:rPr>
          <w:rFonts w:cs="Times New Roman"/>
          <w:szCs w:val="24"/>
        </w:rPr>
      </w:pPr>
      <w:r w:rsidRPr="00D30234">
        <w:rPr>
          <w:rFonts w:cs="Times New Roman"/>
          <w:szCs w:val="24"/>
        </w:rPr>
        <w:t>Webster-Stratton, C., 2020. The Incredible Years parent, teacher and child programs: Foundations and future. In </w:t>
      </w:r>
      <w:r w:rsidRPr="00D30234">
        <w:rPr>
          <w:rFonts w:cs="Times New Roman"/>
          <w:i/>
          <w:iCs/>
          <w:szCs w:val="24"/>
        </w:rPr>
        <w:t>Designing Evidence-Based Public Health and Prevention Programs</w:t>
      </w:r>
      <w:r w:rsidRPr="00D30234">
        <w:rPr>
          <w:rFonts w:cs="Times New Roman"/>
          <w:szCs w:val="24"/>
        </w:rPr>
        <w:t> (pp. 57-71). Routledge.</w:t>
      </w:r>
    </w:p>
    <w:p w14:paraId="58BBE7BD" w14:textId="77777777" w:rsidR="00D30234" w:rsidRPr="00D30234" w:rsidRDefault="006D56B4" w:rsidP="00773B40">
      <w:pPr>
        <w:ind w:left="720" w:hanging="720"/>
        <w:jc w:val="both"/>
        <w:rPr>
          <w:rFonts w:cs="Times New Roman"/>
          <w:szCs w:val="24"/>
        </w:rPr>
      </w:pPr>
      <w:r w:rsidRPr="00D30234">
        <w:rPr>
          <w:rFonts w:cs="Times New Roman"/>
          <w:szCs w:val="24"/>
        </w:rPr>
        <w:t>Welton, N., Tinney, G. and Saer, S., 2019. Enabling children’s rights in Wales with early years professionals: Policy and practice. In </w:t>
      </w:r>
      <w:r w:rsidRPr="00D30234">
        <w:rPr>
          <w:rFonts w:cs="Times New Roman"/>
          <w:i/>
          <w:iCs/>
          <w:szCs w:val="24"/>
        </w:rPr>
        <w:t>The Routledge International Handbook of Young Children’s Rights</w:t>
      </w:r>
      <w:r w:rsidRPr="00D30234">
        <w:rPr>
          <w:rFonts w:cs="Times New Roman"/>
          <w:szCs w:val="24"/>
        </w:rPr>
        <w:t> (pp. 260-275). Routledge.</w:t>
      </w:r>
    </w:p>
    <w:p w14:paraId="3BB623F0" w14:textId="77777777" w:rsidR="00D30234" w:rsidRPr="00D30234" w:rsidRDefault="006D56B4" w:rsidP="00773B40">
      <w:pPr>
        <w:ind w:left="720" w:hanging="720"/>
        <w:jc w:val="both"/>
        <w:rPr>
          <w:rFonts w:cs="Times New Roman"/>
          <w:szCs w:val="24"/>
        </w:rPr>
      </w:pPr>
      <w:r w:rsidRPr="00D30234">
        <w:rPr>
          <w:rFonts w:cs="Times New Roman"/>
          <w:szCs w:val="24"/>
        </w:rPr>
        <w:t>Welton, N., Tinney, G. and Saer, S., 2019. Enabling children’s rights in Wales with early years professionals: Policy and practice. In </w:t>
      </w:r>
      <w:r w:rsidRPr="00D30234">
        <w:rPr>
          <w:rFonts w:cs="Times New Roman"/>
          <w:i/>
          <w:iCs/>
          <w:szCs w:val="24"/>
        </w:rPr>
        <w:t>The Routledge International Handbook of Young Children’s Rights</w:t>
      </w:r>
      <w:r w:rsidRPr="00D30234">
        <w:rPr>
          <w:rFonts w:cs="Times New Roman"/>
          <w:szCs w:val="24"/>
        </w:rPr>
        <w:t> (pp. 260-275). Routledge.</w:t>
      </w:r>
    </w:p>
    <w:p w14:paraId="558D85B4" w14:textId="77777777" w:rsidR="00D30234" w:rsidRPr="00D30234" w:rsidRDefault="006D56B4" w:rsidP="00773B40">
      <w:pPr>
        <w:ind w:left="720" w:hanging="720"/>
        <w:jc w:val="both"/>
        <w:rPr>
          <w:rFonts w:cs="Times New Roman"/>
          <w:szCs w:val="24"/>
        </w:rPr>
      </w:pPr>
      <w:r w:rsidRPr="00D30234">
        <w:rPr>
          <w:rFonts w:cs="Times New Roman"/>
          <w:szCs w:val="24"/>
        </w:rPr>
        <w:t xml:space="preserve">Wignall, A., Kelly, C. and Grace, P., 2022. How are whole-school mental health programmes evaluated? A systematic literature </w:t>
      </w:r>
      <w:proofErr w:type="gramStart"/>
      <w:r w:rsidRPr="00D30234">
        <w:rPr>
          <w:rFonts w:cs="Times New Roman"/>
          <w:szCs w:val="24"/>
        </w:rPr>
        <w:t>review</w:t>
      </w:r>
      <w:proofErr w:type="gramEnd"/>
      <w:r w:rsidRPr="00D30234">
        <w:rPr>
          <w:rFonts w:cs="Times New Roman"/>
          <w:szCs w:val="24"/>
        </w:rPr>
        <w:t>. </w:t>
      </w:r>
      <w:r w:rsidRPr="00D30234">
        <w:rPr>
          <w:rFonts w:cs="Times New Roman"/>
          <w:i/>
          <w:iCs/>
          <w:szCs w:val="24"/>
        </w:rPr>
        <w:t>Pastoral care in education</w:t>
      </w:r>
      <w:r w:rsidRPr="00D30234">
        <w:rPr>
          <w:rFonts w:cs="Times New Roman"/>
          <w:szCs w:val="24"/>
        </w:rPr>
        <w:t>, </w:t>
      </w:r>
      <w:r w:rsidRPr="00D30234">
        <w:rPr>
          <w:rFonts w:cs="Times New Roman"/>
          <w:i/>
          <w:iCs/>
          <w:szCs w:val="24"/>
        </w:rPr>
        <w:t>40</w:t>
      </w:r>
      <w:r w:rsidRPr="00D30234">
        <w:rPr>
          <w:rFonts w:cs="Times New Roman"/>
          <w:szCs w:val="24"/>
        </w:rPr>
        <w:t>(2), pp.217-237.</w:t>
      </w:r>
    </w:p>
    <w:p w14:paraId="314F2A3A" w14:textId="77777777" w:rsidR="00D30234" w:rsidRPr="00D30234" w:rsidRDefault="006D56B4" w:rsidP="00773B40">
      <w:pPr>
        <w:ind w:left="720" w:hanging="720"/>
        <w:jc w:val="both"/>
        <w:rPr>
          <w:rFonts w:cs="Times New Roman"/>
          <w:szCs w:val="24"/>
        </w:rPr>
      </w:pPr>
      <w:r w:rsidRPr="00D30234">
        <w:rPr>
          <w:rFonts w:cs="Times New Roman"/>
          <w:szCs w:val="24"/>
        </w:rPr>
        <w:lastRenderedPageBreak/>
        <w:t>Wright, B., Garside, M., Allgar, V., Hodkinson, R. and Thorpe, H., 2020. A large population-based study of the mental health and wellbeing of children and young people in the North of England. </w:t>
      </w:r>
      <w:r w:rsidRPr="00D30234">
        <w:rPr>
          <w:rFonts w:cs="Times New Roman"/>
          <w:i/>
          <w:iCs/>
          <w:szCs w:val="24"/>
        </w:rPr>
        <w:t>Clinical Child Psychology and Psychiatry</w:t>
      </w:r>
      <w:r w:rsidRPr="00D30234">
        <w:rPr>
          <w:rFonts w:cs="Times New Roman"/>
          <w:szCs w:val="24"/>
        </w:rPr>
        <w:t>, </w:t>
      </w:r>
      <w:r w:rsidRPr="00D30234">
        <w:rPr>
          <w:rFonts w:cs="Times New Roman"/>
          <w:i/>
          <w:iCs/>
          <w:szCs w:val="24"/>
        </w:rPr>
        <w:t>25</w:t>
      </w:r>
      <w:r w:rsidRPr="00D30234">
        <w:rPr>
          <w:rFonts w:cs="Times New Roman"/>
          <w:szCs w:val="24"/>
        </w:rPr>
        <w:t>(4), pp.877-890.</w:t>
      </w:r>
    </w:p>
    <w:p w14:paraId="4513B2C2" w14:textId="77777777" w:rsidR="00D30234" w:rsidRPr="00D30234" w:rsidRDefault="006D56B4" w:rsidP="00773B40">
      <w:pPr>
        <w:ind w:left="720" w:hanging="720"/>
        <w:jc w:val="both"/>
        <w:rPr>
          <w:rFonts w:cs="Times New Roman"/>
          <w:szCs w:val="24"/>
        </w:rPr>
      </w:pPr>
      <w:r w:rsidRPr="00D30234">
        <w:rPr>
          <w:rFonts w:cs="Times New Roman"/>
          <w:szCs w:val="24"/>
        </w:rPr>
        <w:t>Yates, E. and Simmons, H., 2020. The student practitioner as future leader. In </w:t>
      </w:r>
      <w:r w:rsidRPr="00D30234">
        <w:rPr>
          <w:rFonts w:cs="Times New Roman"/>
          <w:i/>
          <w:iCs/>
          <w:szCs w:val="24"/>
        </w:rPr>
        <w:t>The Student Practitioner in Early Childhood Studies</w:t>
      </w:r>
      <w:r w:rsidRPr="00D30234">
        <w:rPr>
          <w:rFonts w:cs="Times New Roman"/>
          <w:szCs w:val="24"/>
        </w:rPr>
        <w:t> (pp. 159-175). Routledge.</w:t>
      </w:r>
    </w:p>
    <w:p w14:paraId="1FBDA574" w14:textId="77777777" w:rsidR="00D30234" w:rsidRPr="00E92031" w:rsidRDefault="00D30234" w:rsidP="00773B40">
      <w:pPr>
        <w:ind w:firstLine="0"/>
        <w:jc w:val="both"/>
        <w:rPr>
          <w:rFonts w:cs="Times New Roman"/>
          <w:szCs w:val="24"/>
        </w:rPr>
      </w:pPr>
    </w:p>
    <w:sectPr w:rsidR="00D30234" w:rsidRPr="00E92031" w:rsidSect="00EB71C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B168E"/>
    <w:multiLevelType w:val="hybridMultilevel"/>
    <w:tmpl w:val="0C708D42"/>
    <w:lvl w:ilvl="0" w:tplc="2DAC8130">
      <w:start w:val="1"/>
      <w:numFmt w:val="bullet"/>
      <w:lvlText w:val=""/>
      <w:lvlJc w:val="left"/>
      <w:pPr>
        <w:ind w:left="1440" w:hanging="360"/>
      </w:pPr>
      <w:rPr>
        <w:rFonts w:ascii="Symbol" w:hAnsi="Symbol" w:hint="default"/>
      </w:rPr>
    </w:lvl>
    <w:lvl w:ilvl="1" w:tplc="782A5678" w:tentative="1">
      <w:start w:val="1"/>
      <w:numFmt w:val="bullet"/>
      <w:lvlText w:val="o"/>
      <w:lvlJc w:val="left"/>
      <w:pPr>
        <w:ind w:left="2160" w:hanging="360"/>
      </w:pPr>
      <w:rPr>
        <w:rFonts w:ascii="Courier New" w:hAnsi="Courier New" w:cs="Courier New" w:hint="default"/>
      </w:rPr>
    </w:lvl>
    <w:lvl w:ilvl="2" w:tplc="C4EE54A0" w:tentative="1">
      <w:start w:val="1"/>
      <w:numFmt w:val="bullet"/>
      <w:lvlText w:val=""/>
      <w:lvlJc w:val="left"/>
      <w:pPr>
        <w:ind w:left="2880" w:hanging="360"/>
      </w:pPr>
      <w:rPr>
        <w:rFonts w:ascii="Wingdings" w:hAnsi="Wingdings" w:hint="default"/>
      </w:rPr>
    </w:lvl>
    <w:lvl w:ilvl="3" w:tplc="DF66D6EC" w:tentative="1">
      <w:start w:val="1"/>
      <w:numFmt w:val="bullet"/>
      <w:lvlText w:val=""/>
      <w:lvlJc w:val="left"/>
      <w:pPr>
        <w:ind w:left="3600" w:hanging="360"/>
      </w:pPr>
      <w:rPr>
        <w:rFonts w:ascii="Symbol" w:hAnsi="Symbol" w:hint="default"/>
      </w:rPr>
    </w:lvl>
    <w:lvl w:ilvl="4" w:tplc="CD06EED6" w:tentative="1">
      <w:start w:val="1"/>
      <w:numFmt w:val="bullet"/>
      <w:lvlText w:val="o"/>
      <w:lvlJc w:val="left"/>
      <w:pPr>
        <w:ind w:left="4320" w:hanging="360"/>
      </w:pPr>
      <w:rPr>
        <w:rFonts w:ascii="Courier New" w:hAnsi="Courier New" w:cs="Courier New" w:hint="default"/>
      </w:rPr>
    </w:lvl>
    <w:lvl w:ilvl="5" w:tplc="38EC2620" w:tentative="1">
      <w:start w:val="1"/>
      <w:numFmt w:val="bullet"/>
      <w:lvlText w:val=""/>
      <w:lvlJc w:val="left"/>
      <w:pPr>
        <w:ind w:left="5040" w:hanging="360"/>
      </w:pPr>
      <w:rPr>
        <w:rFonts w:ascii="Wingdings" w:hAnsi="Wingdings" w:hint="default"/>
      </w:rPr>
    </w:lvl>
    <w:lvl w:ilvl="6" w:tplc="FD8454E2" w:tentative="1">
      <w:start w:val="1"/>
      <w:numFmt w:val="bullet"/>
      <w:lvlText w:val=""/>
      <w:lvlJc w:val="left"/>
      <w:pPr>
        <w:ind w:left="5760" w:hanging="360"/>
      </w:pPr>
      <w:rPr>
        <w:rFonts w:ascii="Symbol" w:hAnsi="Symbol" w:hint="default"/>
      </w:rPr>
    </w:lvl>
    <w:lvl w:ilvl="7" w:tplc="F4EA703C" w:tentative="1">
      <w:start w:val="1"/>
      <w:numFmt w:val="bullet"/>
      <w:lvlText w:val="o"/>
      <w:lvlJc w:val="left"/>
      <w:pPr>
        <w:ind w:left="6480" w:hanging="360"/>
      </w:pPr>
      <w:rPr>
        <w:rFonts w:ascii="Courier New" w:hAnsi="Courier New" w:cs="Courier New" w:hint="default"/>
      </w:rPr>
    </w:lvl>
    <w:lvl w:ilvl="8" w:tplc="2F367A4C" w:tentative="1">
      <w:start w:val="1"/>
      <w:numFmt w:val="bullet"/>
      <w:lvlText w:val=""/>
      <w:lvlJc w:val="left"/>
      <w:pPr>
        <w:ind w:left="7200" w:hanging="360"/>
      </w:pPr>
      <w:rPr>
        <w:rFonts w:ascii="Wingdings" w:hAnsi="Wingdings" w:hint="default"/>
      </w:rPr>
    </w:lvl>
  </w:abstractNum>
  <w:abstractNum w:abstractNumId="1" w15:restartNumberingAfterBreak="0">
    <w:nsid w:val="5C834BAF"/>
    <w:multiLevelType w:val="hybridMultilevel"/>
    <w:tmpl w:val="84425A26"/>
    <w:lvl w:ilvl="0" w:tplc="0A6C5408">
      <w:start w:val="1"/>
      <w:numFmt w:val="bullet"/>
      <w:lvlText w:val=""/>
      <w:lvlJc w:val="left"/>
      <w:pPr>
        <w:ind w:left="1440" w:hanging="360"/>
      </w:pPr>
      <w:rPr>
        <w:rFonts w:ascii="Symbol" w:hAnsi="Symbol" w:hint="default"/>
      </w:rPr>
    </w:lvl>
    <w:lvl w:ilvl="1" w:tplc="51CA2B96" w:tentative="1">
      <w:start w:val="1"/>
      <w:numFmt w:val="bullet"/>
      <w:lvlText w:val="o"/>
      <w:lvlJc w:val="left"/>
      <w:pPr>
        <w:ind w:left="2160" w:hanging="360"/>
      </w:pPr>
      <w:rPr>
        <w:rFonts w:ascii="Courier New" w:hAnsi="Courier New" w:cs="Courier New" w:hint="default"/>
      </w:rPr>
    </w:lvl>
    <w:lvl w:ilvl="2" w:tplc="7702E648" w:tentative="1">
      <w:start w:val="1"/>
      <w:numFmt w:val="bullet"/>
      <w:lvlText w:val=""/>
      <w:lvlJc w:val="left"/>
      <w:pPr>
        <w:ind w:left="2880" w:hanging="360"/>
      </w:pPr>
      <w:rPr>
        <w:rFonts w:ascii="Wingdings" w:hAnsi="Wingdings" w:hint="default"/>
      </w:rPr>
    </w:lvl>
    <w:lvl w:ilvl="3" w:tplc="05A87532" w:tentative="1">
      <w:start w:val="1"/>
      <w:numFmt w:val="bullet"/>
      <w:lvlText w:val=""/>
      <w:lvlJc w:val="left"/>
      <w:pPr>
        <w:ind w:left="3600" w:hanging="360"/>
      </w:pPr>
      <w:rPr>
        <w:rFonts w:ascii="Symbol" w:hAnsi="Symbol" w:hint="default"/>
      </w:rPr>
    </w:lvl>
    <w:lvl w:ilvl="4" w:tplc="82FC5BF6" w:tentative="1">
      <w:start w:val="1"/>
      <w:numFmt w:val="bullet"/>
      <w:lvlText w:val="o"/>
      <w:lvlJc w:val="left"/>
      <w:pPr>
        <w:ind w:left="4320" w:hanging="360"/>
      </w:pPr>
      <w:rPr>
        <w:rFonts w:ascii="Courier New" w:hAnsi="Courier New" w:cs="Courier New" w:hint="default"/>
      </w:rPr>
    </w:lvl>
    <w:lvl w:ilvl="5" w:tplc="6CD6CB1C" w:tentative="1">
      <w:start w:val="1"/>
      <w:numFmt w:val="bullet"/>
      <w:lvlText w:val=""/>
      <w:lvlJc w:val="left"/>
      <w:pPr>
        <w:ind w:left="5040" w:hanging="360"/>
      </w:pPr>
      <w:rPr>
        <w:rFonts w:ascii="Wingdings" w:hAnsi="Wingdings" w:hint="default"/>
      </w:rPr>
    </w:lvl>
    <w:lvl w:ilvl="6" w:tplc="9B20B878" w:tentative="1">
      <w:start w:val="1"/>
      <w:numFmt w:val="bullet"/>
      <w:lvlText w:val=""/>
      <w:lvlJc w:val="left"/>
      <w:pPr>
        <w:ind w:left="5760" w:hanging="360"/>
      </w:pPr>
      <w:rPr>
        <w:rFonts w:ascii="Symbol" w:hAnsi="Symbol" w:hint="default"/>
      </w:rPr>
    </w:lvl>
    <w:lvl w:ilvl="7" w:tplc="7C58CB96" w:tentative="1">
      <w:start w:val="1"/>
      <w:numFmt w:val="bullet"/>
      <w:lvlText w:val="o"/>
      <w:lvlJc w:val="left"/>
      <w:pPr>
        <w:ind w:left="6480" w:hanging="360"/>
      </w:pPr>
      <w:rPr>
        <w:rFonts w:ascii="Courier New" w:hAnsi="Courier New" w:cs="Courier New" w:hint="default"/>
      </w:rPr>
    </w:lvl>
    <w:lvl w:ilvl="8" w:tplc="D8861CC6" w:tentative="1">
      <w:start w:val="1"/>
      <w:numFmt w:val="bullet"/>
      <w:lvlText w:val=""/>
      <w:lvlJc w:val="left"/>
      <w:pPr>
        <w:ind w:left="7200" w:hanging="360"/>
      </w:pPr>
      <w:rPr>
        <w:rFonts w:ascii="Wingdings" w:hAnsi="Wingdings" w:hint="default"/>
      </w:rPr>
    </w:lvl>
  </w:abstractNum>
  <w:num w:numId="1" w16cid:durableId="920796913">
    <w:abstractNumId w:val="0"/>
  </w:num>
  <w:num w:numId="2" w16cid:durableId="1619408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6E1"/>
    <w:rsid w:val="00026259"/>
    <w:rsid w:val="00032F68"/>
    <w:rsid w:val="00050306"/>
    <w:rsid w:val="000C48BB"/>
    <w:rsid w:val="001D56A2"/>
    <w:rsid w:val="002506CE"/>
    <w:rsid w:val="00275FF2"/>
    <w:rsid w:val="002A4189"/>
    <w:rsid w:val="00300ECA"/>
    <w:rsid w:val="003103CA"/>
    <w:rsid w:val="0036231E"/>
    <w:rsid w:val="003A47F0"/>
    <w:rsid w:val="003E2D5B"/>
    <w:rsid w:val="004747E4"/>
    <w:rsid w:val="004B17B8"/>
    <w:rsid w:val="004F14B1"/>
    <w:rsid w:val="005266E1"/>
    <w:rsid w:val="00551A7E"/>
    <w:rsid w:val="005A2496"/>
    <w:rsid w:val="005C4FB9"/>
    <w:rsid w:val="00672DEE"/>
    <w:rsid w:val="006770C7"/>
    <w:rsid w:val="006A08FC"/>
    <w:rsid w:val="006B6252"/>
    <w:rsid w:val="006C2015"/>
    <w:rsid w:val="006C5E74"/>
    <w:rsid w:val="006C78F1"/>
    <w:rsid w:val="006D56B4"/>
    <w:rsid w:val="006E3CC7"/>
    <w:rsid w:val="006F7A92"/>
    <w:rsid w:val="007302CA"/>
    <w:rsid w:val="007668C8"/>
    <w:rsid w:val="00773B40"/>
    <w:rsid w:val="007A66A8"/>
    <w:rsid w:val="007D323F"/>
    <w:rsid w:val="008506DE"/>
    <w:rsid w:val="008A645D"/>
    <w:rsid w:val="008B4979"/>
    <w:rsid w:val="009115EF"/>
    <w:rsid w:val="00917AE8"/>
    <w:rsid w:val="009D5648"/>
    <w:rsid w:val="00A06144"/>
    <w:rsid w:val="00A51A2B"/>
    <w:rsid w:val="00A85E6A"/>
    <w:rsid w:val="00A96B89"/>
    <w:rsid w:val="00B5789E"/>
    <w:rsid w:val="00BA0B90"/>
    <w:rsid w:val="00C5030D"/>
    <w:rsid w:val="00CA57A8"/>
    <w:rsid w:val="00CC65CF"/>
    <w:rsid w:val="00CC6C52"/>
    <w:rsid w:val="00CC72F9"/>
    <w:rsid w:val="00CE16E2"/>
    <w:rsid w:val="00D30234"/>
    <w:rsid w:val="00D6613C"/>
    <w:rsid w:val="00DD7C2E"/>
    <w:rsid w:val="00DE6C86"/>
    <w:rsid w:val="00E052FA"/>
    <w:rsid w:val="00E92031"/>
    <w:rsid w:val="00EB71C9"/>
    <w:rsid w:val="00EE0C7F"/>
    <w:rsid w:val="00EE1378"/>
    <w:rsid w:val="00F41AE3"/>
    <w:rsid w:val="00F474C7"/>
    <w:rsid w:val="00F53717"/>
    <w:rsid w:val="00FC20DD"/>
    <w:rsid w:val="00FC5F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7ED62"/>
  <w15:chartTrackingRefBased/>
  <w15:docId w15:val="{F1F1F353-66A6-4F52-B534-0CE702817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7B8"/>
    <w:pPr>
      <w:spacing w:after="0" w:line="360" w:lineRule="auto"/>
      <w:ind w:firstLine="720"/>
    </w:pPr>
    <w:rPr>
      <w:rFonts w:ascii="Times New Roman" w:hAnsi="Times New Roman" w:cs="Arial"/>
      <w:sz w:val="24"/>
      <w:szCs w:val="20"/>
      <w:lang w:val="en-GB" w:eastAsia="en-GB"/>
    </w:rPr>
  </w:style>
  <w:style w:type="paragraph" w:styleId="Heading1">
    <w:name w:val="heading 1"/>
    <w:basedOn w:val="Normal"/>
    <w:next w:val="Normal"/>
    <w:link w:val="Heading1Char"/>
    <w:autoRedefine/>
    <w:uiPriority w:val="9"/>
    <w:qFormat/>
    <w:rsid w:val="00773B40"/>
    <w:pPr>
      <w:keepNext/>
      <w:spacing w:before="240" w:after="60"/>
      <w:jc w:val="center"/>
      <w:outlineLvl w:val="0"/>
    </w:pPr>
    <w:rPr>
      <w:rFonts w:eastAsiaTheme="majorEastAsia" w:cstheme="majorBidi"/>
      <w:b/>
      <w:bCs/>
      <w:caps/>
      <w:kern w:val="32"/>
      <w:szCs w:val="32"/>
      <w:shd w:val="clear" w:color="auto" w:fill="F8F8F8"/>
    </w:rPr>
  </w:style>
  <w:style w:type="paragraph" w:styleId="Heading2">
    <w:name w:val="heading 2"/>
    <w:basedOn w:val="Normal"/>
    <w:next w:val="Normal"/>
    <w:link w:val="Heading2Char"/>
    <w:autoRedefine/>
    <w:uiPriority w:val="9"/>
    <w:unhideWhenUsed/>
    <w:qFormat/>
    <w:rsid w:val="00FC5F54"/>
    <w:pPr>
      <w:keepNext/>
      <w:spacing w:before="240" w:after="60"/>
      <w:ind w:firstLine="0"/>
      <w:jc w:val="both"/>
      <w:outlineLvl w:val="1"/>
    </w:pPr>
    <w:rPr>
      <w:rFonts w:eastAsiaTheme="majorEastAsia" w:cs="Times New Roman"/>
      <w:b/>
      <w:bCs/>
      <w:iCs/>
      <w:szCs w:val="24"/>
    </w:rPr>
  </w:style>
  <w:style w:type="paragraph" w:styleId="Heading3">
    <w:name w:val="heading 3"/>
    <w:basedOn w:val="Normal"/>
    <w:next w:val="Normal"/>
    <w:link w:val="Heading3Char"/>
    <w:autoRedefine/>
    <w:uiPriority w:val="9"/>
    <w:unhideWhenUsed/>
    <w:qFormat/>
    <w:rsid w:val="00FC5F54"/>
    <w:pPr>
      <w:keepNext/>
      <w:keepLines/>
      <w:spacing w:before="40"/>
      <w:jc w:val="both"/>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B40"/>
    <w:rPr>
      <w:rFonts w:ascii="Times New Roman" w:eastAsiaTheme="majorEastAsia" w:hAnsi="Times New Roman" w:cstheme="majorBidi"/>
      <w:b/>
      <w:bCs/>
      <w:caps/>
      <w:kern w:val="32"/>
      <w:sz w:val="24"/>
      <w:szCs w:val="32"/>
      <w:lang w:val="en-GB" w:eastAsia="en-GB"/>
    </w:rPr>
  </w:style>
  <w:style w:type="character" w:customStyle="1" w:styleId="Heading2Char">
    <w:name w:val="Heading 2 Char"/>
    <w:basedOn w:val="DefaultParagraphFont"/>
    <w:link w:val="Heading2"/>
    <w:uiPriority w:val="9"/>
    <w:rsid w:val="00FC5F54"/>
    <w:rPr>
      <w:rFonts w:ascii="Times New Roman" w:eastAsiaTheme="majorEastAsia" w:hAnsi="Times New Roman" w:cs="Times New Roman"/>
      <w:b/>
      <w:bCs/>
      <w:iCs/>
      <w:sz w:val="24"/>
      <w:szCs w:val="24"/>
      <w:lang w:val="en-GB" w:eastAsia="en-GB"/>
    </w:rPr>
  </w:style>
  <w:style w:type="character" w:customStyle="1" w:styleId="Heading3Char">
    <w:name w:val="Heading 3 Char"/>
    <w:basedOn w:val="DefaultParagraphFont"/>
    <w:link w:val="Heading3"/>
    <w:uiPriority w:val="9"/>
    <w:rsid w:val="00FC5F54"/>
    <w:rPr>
      <w:rFonts w:ascii="Times New Roman" w:eastAsiaTheme="majorEastAsia" w:hAnsi="Times New Roman" w:cstheme="majorBidi"/>
      <w:i/>
      <w:sz w:val="24"/>
      <w:szCs w:val="24"/>
      <w:lang w:val="en-GB" w:eastAsia="en-GB"/>
    </w:rPr>
  </w:style>
  <w:style w:type="paragraph" w:styleId="NormalWeb">
    <w:name w:val="Normal (Web)"/>
    <w:basedOn w:val="Normal"/>
    <w:uiPriority w:val="99"/>
    <w:semiHidden/>
    <w:unhideWhenUsed/>
    <w:rsid w:val="005266E1"/>
    <w:pPr>
      <w:spacing w:before="100" w:beforeAutospacing="1" w:after="100" w:afterAutospacing="1" w:line="240" w:lineRule="auto"/>
      <w:ind w:firstLine="0"/>
    </w:pPr>
    <w:rPr>
      <w:rFonts w:eastAsia="Times New Roman" w:cs="Times New Roman"/>
      <w:szCs w:val="24"/>
      <w:lang w:val="en-US" w:eastAsia="en-US"/>
    </w:rPr>
  </w:style>
  <w:style w:type="paragraph" w:styleId="ListParagraph">
    <w:name w:val="List Paragraph"/>
    <w:basedOn w:val="Normal"/>
    <w:uiPriority w:val="34"/>
    <w:qFormat/>
    <w:rsid w:val="00B5789E"/>
    <w:pPr>
      <w:ind w:left="720"/>
      <w:contextualSpacing/>
    </w:pPr>
  </w:style>
  <w:style w:type="paragraph" w:styleId="Header">
    <w:name w:val="header"/>
    <w:basedOn w:val="Normal"/>
    <w:link w:val="HeaderChar"/>
    <w:uiPriority w:val="99"/>
    <w:unhideWhenUsed/>
    <w:rsid w:val="00CA57A8"/>
    <w:pPr>
      <w:tabs>
        <w:tab w:val="center" w:pos="4680"/>
        <w:tab w:val="right" w:pos="9360"/>
      </w:tabs>
      <w:spacing w:line="240" w:lineRule="auto"/>
    </w:pPr>
  </w:style>
  <w:style w:type="character" w:customStyle="1" w:styleId="HeaderChar">
    <w:name w:val="Header Char"/>
    <w:basedOn w:val="DefaultParagraphFont"/>
    <w:link w:val="Header"/>
    <w:uiPriority w:val="99"/>
    <w:rsid w:val="00CA57A8"/>
    <w:rPr>
      <w:rFonts w:ascii="Times New Roman" w:hAnsi="Times New Roman" w:cs="Arial"/>
      <w:sz w:val="24"/>
      <w:szCs w:val="20"/>
      <w:lang w:val="en-GB" w:eastAsia="en-GB"/>
    </w:rPr>
  </w:style>
  <w:style w:type="paragraph" w:styleId="Footer">
    <w:name w:val="footer"/>
    <w:basedOn w:val="Normal"/>
    <w:link w:val="FooterChar"/>
    <w:uiPriority w:val="99"/>
    <w:unhideWhenUsed/>
    <w:rsid w:val="00CA57A8"/>
    <w:pPr>
      <w:tabs>
        <w:tab w:val="center" w:pos="4680"/>
        <w:tab w:val="right" w:pos="9360"/>
      </w:tabs>
      <w:spacing w:line="240" w:lineRule="auto"/>
    </w:pPr>
  </w:style>
  <w:style w:type="character" w:customStyle="1" w:styleId="FooterChar">
    <w:name w:val="Footer Char"/>
    <w:basedOn w:val="DefaultParagraphFont"/>
    <w:link w:val="Footer"/>
    <w:uiPriority w:val="99"/>
    <w:rsid w:val="00CA57A8"/>
    <w:rPr>
      <w:rFonts w:ascii="Times New Roman" w:hAnsi="Times New Roman" w:cs="Arial"/>
      <w:sz w:val="24"/>
      <w:szCs w:val="20"/>
      <w:lang w:val="en-GB" w:eastAsia="en-GB"/>
    </w:rPr>
  </w:style>
  <w:style w:type="character" w:customStyle="1" w:styleId="legds">
    <w:name w:val="legds"/>
    <w:basedOn w:val="DefaultParagraphFont"/>
    <w:rsid w:val="00D30234"/>
  </w:style>
  <w:style w:type="paragraph" w:styleId="NoSpacing">
    <w:name w:val="No Spacing"/>
    <w:link w:val="NoSpacingChar"/>
    <w:uiPriority w:val="1"/>
    <w:qFormat/>
    <w:rsid w:val="00EB71C9"/>
    <w:pPr>
      <w:spacing w:after="0" w:line="240" w:lineRule="auto"/>
    </w:pPr>
    <w:rPr>
      <w:rFonts w:eastAsiaTheme="minorEastAsia"/>
    </w:rPr>
  </w:style>
  <w:style w:type="character" w:customStyle="1" w:styleId="NoSpacingChar">
    <w:name w:val="No Spacing Char"/>
    <w:basedOn w:val="DefaultParagraphFont"/>
    <w:link w:val="NoSpacing"/>
    <w:uiPriority w:val="1"/>
    <w:rsid w:val="00EB71C9"/>
    <w:rPr>
      <w:rFonts w:eastAsiaTheme="minorEastAsia"/>
    </w:rPr>
  </w:style>
  <w:style w:type="paragraph" w:styleId="TOCHeading">
    <w:name w:val="TOC Heading"/>
    <w:basedOn w:val="Heading1"/>
    <w:next w:val="Normal"/>
    <w:uiPriority w:val="39"/>
    <w:unhideWhenUsed/>
    <w:qFormat/>
    <w:rsid w:val="00BA0B90"/>
    <w:pPr>
      <w:keepLines/>
      <w:spacing w:after="0" w:line="259" w:lineRule="auto"/>
      <w:ind w:firstLine="0"/>
      <w:jc w:val="left"/>
      <w:outlineLvl w:val="9"/>
    </w:pPr>
    <w:rPr>
      <w:rFonts w:asciiTheme="majorHAnsi" w:hAnsiTheme="majorHAnsi"/>
      <w:b w:val="0"/>
      <w:bCs w:val="0"/>
      <w:caps w:val="0"/>
      <w:color w:val="2F5496" w:themeColor="accent1" w:themeShade="BF"/>
      <w:kern w:val="0"/>
      <w:sz w:val="32"/>
      <w:shd w:val="clear" w:color="auto" w:fill="auto"/>
      <w:lang w:val="en-US" w:eastAsia="en-US"/>
    </w:rPr>
  </w:style>
  <w:style w:type="paragraph" w:styleId="TOC1">
    <w:name w:val="toc 1"/>
    <w:basedOn w:val="Normal"/>
    <w:next w:val="Normal"/>
    <w:autoRedefine/>
    <w:uiPriority w:val="39"/>
    <w:unhideWhenUsed/>
    <w:rsid w:val="00BA0B90"/>
    <w:pPr>
      <w:spacing w:after="100"/>
    </w:pPr>
  </w:style>
  <w:style w:type="paragraph" w:styleId="TOC2">
    <w:name w:val="toc 2"/>
    <w:basedOn w:val="Normal"/>
    <w:next w:val="Normal"/>
    <w:autoRedefine/>
    <w:uiPriority w:val="39"/>
    <w:unhideWhenUsed/>
    <w:rsid w:val="00BA0B90"/>
    <w:pPr>
      <w:spacing w:after="100"/>
      <w:ind w:left="240"/>
    </w:pPr>
  </w:style>
  <w:style w:type="paragraph" w:styleId="TOC3">
    <w:name w:val="toc 3"/>
    <w:basedOn w:val="Normal"/>
    <w:next w:val="Normal"/>
    <w:autoRedefine/>
    <w:uiPriority w:val="39"/>
    <w:unhideWhenUsed/>
    <w:rsid w:val="00BA0B90"/>
    <w:pPr>
      <w:spacing w:after="100"/>
      <w:ind w:left="480"/>
    </w:pPr>
  </w:style>
  <w:style w:type="character" w:styleId="Hyperlink">
    <w:name w:val="Hyperlink"/>
    <w:basedOn w:val="DefaultParagraphFont"/>
    <w:uiPriority w:val="99"/>
    <w:unhideWhenUsed/>
    <w:rsid w:val="00BA0B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93F1C-AB7A-432D-944B-84F3AE340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7067</Words>
  <Characters>40282</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Name</Company>
  <LinksUpToDate>false</LinksUpToDate>
  <CharactersWithSpaces>47255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 name</dc:creator>
  <cp:lastModifiedBy>Sheree Evans</cp:lastModifiedBy>
  <cp:revision>2</cp:revision>
  <dcterms:created xsi:type="dcterms:W3CDTF">2022-08-08T15:29:00Z</dcterms:created>
  <dcterms:modified xsi:type="dcterms:W3CDTF">2022-08-08T15:29:00Z</dcterms:modified>
</cp:coreProperties>
</file>