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D5FFA" w14:textId="73AD491C" w:rsidR="00B61819" w:rsidRPr="00884E92" w:rsidRDefault="00884E92">
      <w:pPr>
        <w:jc w:val="center"/>
        <w:rPr>
          <w:rFonts w:cs="Times New Roman"/>
          <w:sz w:val="40"/>
          <w:szCs w:val="40"/>
        </w:rPr>
      </w:pPr>
      <w:r w:rsidRPr="00884E92">
        <w:rPr>
          <w:rFonts w:cs="Times New Roman"/>
          <w:color w:val="000000"/>
          <w:sz w:val="40"/>
          <w:szCs w:val="40"/>
        </w:rPr>
        <w:t>Governing Artificial Intelligence in Fintech: Risk Management Challenges for</w:t>
      </w:r>
      <w:r w:rsidRPr="00884E92">
        <w:rPr>
          <w:rStyle w:val="apple-converted-space"/>
          <w:rFonts w:cs="Times New Roman"/>
          <w:color w:val="000000"/>
          <w:sz w:val="40"/>
          <w:szCs w:val="40"/>
        </w:rPr>
        <w:t> </w:t>
      </w:r>
      <w:r w:rsidRPr="00884E92">
        <w:rPr>
          <w:rStyle w:val="whitespace-normal"/>
          <w:rFonts w:cs="Times New Roman"/>
          <w:color w:val="000000"/>
          <w:sz w:val="40"/>
          <w:szCs w:val="40"/>
        </w:rPr>
        <w:t>Revolut</w:t>
      </w:r>
      <w:r w:rsidRPr="00884E92">
        <w:rPr>
          <w:rStyle w:val="apple-converted-space"/>
          <w:rFonts w:cs="Times New Roman"/>
          <w:color w:val="000000"/>
          <w:sz w:val="40"/>
          <w:szCs w:val="40"/>
        </w:rPr>
        <w:t> </w:t>
      </w:r>
      <w:r w:rsidRPr="00884E92">
        <w:rPr>
          <w:rFonts w:cs="Times New Roman"/>
          <w:color w:val="000000"/>
          <w:sz w:val="40"/>
          <w:szCs w:val="40"/>
        </w:rPr>
        <w:t>in the UK and EU</w:t>
      </w:r>
      <w:r>
        <w:rPr>
          <w:rFonts w:cs="Times New Roman"/>
          <w:color w:val="000000"/>
          <w:sz w:val="40"/>
          <w:szCs w:val="40"/>
        </w:rPr>
        <w:t>.</w:t>
      </w:r>
    </w:p>
    <w:p w14:paraId="0037A522" w14:textId="77777777" w:rsidR="00B61819" w:rsidRPr="00884E92" w:rsidRDefault="00B61819">
      <w:pPr>
        <w:jc w:val="center"/>
        <w:rPr>
          <w:rFonts w:cs="Times New Roman"/>
          <w:sz w:val="40"/>
          <w:szCs w:val="40"/>
        </w:rPr>
      </w:pPr>
    </w:p>
    <w:p w14:paraId="737CD8EA" w14:textId="77777777" w:rsidR="00A725F8" w:rsidRDefault="00A725F8">
      <w:pPr>
        <w:jc w:val="center"/>
      </w:pPr>
    </w:p>
    <w:p w14:paraId="3D42A222" w14:textId="77777777" w:rsidR="00A725F8" w:rsidRPr="00A725F8" w:rsidRDefault="00A725F8" w:rsidP="00A725F8">
      <w:pPr>
        <w:spacing w:line="360" w:lineRule="auto"/>
        <w:jc w:val="center"/>
        <w:rPr>
          <w:rFonts w:eastAsia="Times New Roman" w:cs="Times New Roman"/>
          <w:sz w:val="32"/>
          <w:szCs w:val="32"/>
        </w:rPr>
      </w:pPr>
      <w:r w:rsidRPr="00A725F8">
        <w:rPr>
          <w:rFonts w:eastAsia="Times New Roman" w:cs="Times New Roman"/>
          <w:sz w:val="32"/>
          <w:szCs w:val="32"/>
        </w:rPr>
        <w:t>Module: Global Business Challenges</w:t>
      </w:r>
    </w:p>
    <w:p w14:paraId="4052D0E9" w14:textId="77777777" w:rsidR="00A725F8" w:rsidRPr="00A725F8" w:rsidRDefault="00A725F8" w:rsidP="00A725F8">
      <w:pPr>
        <w:spacing w:line="360" w:lineRule="auto"/>
        <w:jc w:val="center"/>
        <w:rPr>
          <w:rFonts w:eastAsia="Times New Roman" w:cs="Times New Roman"/>
          <w:sz w:val="32"/>
          <w:szCs w:val="32"/>
        </w:rPr>
      </w:pPr>
      <w:r w:rsidRPr="00A725F8">
        <w:rPr>
          <w:rFonts w:eastAsia="Times New Roman" w:cs="Times New Roman"/>
          <w:sz w:val="32"/>
          <w:szCs w:val="32"/>
        </w:rPr>
        <w:t>Module Code: BMMB7006</w:t>
      </w:r>
    </w:p>
    <w:p w14:paraId="44255D53" w14:textId="53CD0DD6" w:rsidR="00A725F8" w:rsidRPr="00A725F8" w:rsidRDefault="00A725F8" w:rsidP="00A725F8">
      <w:pPr>
        <w:spacing w:line="360" w:lineRule="auto"/>
        <w:jc w:val="center"/>
        <w:rPr>
          <w:rFonts w:eastAsia="Times New Roman" w:cs="Times New Roman"/>
          <w:sz w:val="32"/>
          <w:szCs w:val="32"/>
        </w:rPr>
      </w:pPr>
      <w:r w:rsidRPr="00A725F8">
        <w:rPr>
          <w:rFonts w:eastAsia="Times New Roman" w:cs="Times New Roman"/>
          <w:sz w:val="32"/>
          <w:szCs w:val="32"/>
        </w:rPr>
        <w:t xml:space="preserve">Name: </w:t>
      </w:r>
      <w:r w:rsidRPr="00A725F8">
        <w:rPr>
          <w:rFonts w:eastAsia="Times New Roman" w:cs="Times New Roman"/>
          <w:sz w:val="32"/>
          <w:szCs w:val="32"/>
        </w:rPr>
        <w:t>Katukam Laxmi Krushika</w:t>
      </w:r>
    </w:p>
    <w:p w14:paraId="687A1B75" w14:textId="4CEF39BD" w:rsidR="00A725F8" w:rsidRDefault="00A725F8" w:rsidP="00A725F8">
      <w:pPr>
        <w:spacing w:line="360" w:lineRule="auto"/>
        <w:jc w:val="center"/>
        <w:rPr>
          <w:rFonts w:eastAsia="Times New Roman" w:cs="Times New Roman"/>
          <w:sz w:val="32"/>
          <w:szCs w:val="32"/>
        </w:rPr>
      </w:pPr>
      <w:r w:rsidRPr="00A725F8">
        <w:rPr>
          <w:rFonts w:eastAsia="Times New Roman" w:cs="Times New Roman"/>
          <w:sz w:val="32"/>
          <w:szCs w:val="32"/>
        </w:rPr>
        <w:t xml:space="preserve">ID: </w:t>
      </w:r>
      <w:r w:rsidRPr="00A725F8">
        <w:rPr>
          <w:rFonts w:eastAsia="Times New Roman" w:cs="Times New Roman"/>
          <w:sz w:val="32"/>
          <w:szCs w:val="32"/>
        </w:rPr>
        <w:t>2510032</w:t>
      </w:r>
    </w:p>
    <w:p w14:paraId="5E3495A1" w14:textId="77777777" w:rsidR="00A725F8" w:rsidRDefault="00A725F8" w:rsidP="00A725F8">
      <w:pPr>
        <w:spacing w:line="360" w:lineRule="auto"/>
        <w:jc w:val="center"/>
        <w:rPr>
          <w:rFonts w:eastAsia="Times New Roman" w:cs="Times New Roman"/>
          <w:sz w:val="32"/>
          <w:szCs w:val="32"/>
        </w:rPr>
      </w:pPr>
    </w:p>
    <w:p w14:paraId="6B77D9F5" w14:textId="77777777" w:rsidR="00A725F8" w:rsidRDefault="00A725F8" w:rsidP="00A725F8">
      <w:pPr>
        <w:spacing w:line="360" w:lineRule="auto"/>
        <w:jc w:val="center"/>
        <w:rPr>
          <w:rFonts w:eastAsia="Times New Roman" w:cs="Times New Roman"/>
          <w:sz w:val="32"/>
          <w:szCs w:val="32"/>
        </w:rPr>
      </w:pPr>
    </w:p>
    <w:p w14:paraId="1EF33225" w14:textId="77777777" w:rsidR="00A725F8" w:rsidRDefault="00A725F8" w:rsidP="00A725F8">
      <w:pPr>
        <w:spacing w:line="360" w:lineRule="auto"/>
        <w:jc w:val="center"/>
        <w:rPr>
          <w:rFonts w:eastAsia="Times New Roman" w:cs="Times New Roman"/>
          <w:sz w:val="32"/>
          <w:szCs w:val="32"/>
        </w:rPr>
      </w:pPr>
    </w:p>
    <w:p w14:paraId="4D484C63" w14:textId="77777777" w:rsidR="00A725F8" w:rsidRDefault="00A725F8" w:rsidP="00A725F8">
      <w:pPr>
        <w:spacing w:line="360" w:lineRule="auto"/>
        <w:jc w:val="center"/>
        <w:rPr>
          <w:rFonts w:eastAsia="Times New Roman" w:cs="Times New Roman"/>
          <w:sz w:val="32"/>
          <w:szCs w:val="32"/>
        </w:rPr>
      </w:pPr>
    </w:p>
    <w:p w14:paraId="52C6277D" w14:textId="77777777" w:rsidR="00A725F8" w:rsidRDefault="00A725F8" w:rsidP="00A725F8">
      <w:pPr>
        <w:spacing w:line="360" w:lineRule="auto"/>
        <w:jc w:val="center"/>
        <w:rPr>
          <w:rFonts w:eastAsia="Times New Roman" w:cs="Times New Roman"/>
          <w:sz w:val="32"/>
          <w:szCs w:val="32"/>
        </w:rPr>
      </w:pPr>
    </w:p>
    <w:p w14:paraId="08F01333" w14:textId="77777777" w:rsidR="00A725F8" w:rsidRDefault="00A725F8" w:rsidP="00A725F8">
      <w:pPr>
        <w:spacing w:line="360" w:lineRule="auto"/>
        <w:jc w:val="center"/>
        <w:rPr>
          <w:rFonts w:eastAsia="Times New Roman" w:cs="Times New Roman"/>
          <w:sz w:val="32"/>
          <w:szCs w:val="32"/>
        </w:rPr>
      </w:pPr>
    </w:p>
    <w:p w14:paraId="65B09EEA" w14:textId="77777777" w:rsidR="00A725F8" w:rsidRDefault="00A725F8" w:rsidP="00A725F8">
      <w:pPr>
        <w:spacing w:line="360" w:lineRule="auto"/>
        <w:jc w:val="center"/>
        <w:rPr>
          <w:rFonts w:eastAsia="Times New Roman" w:cs="Times New Roman"/>
          <w:sz w:val="32"/>
          <w:szCs w:val="32"/>
        </w:rPr>
      </w:pPr>
    </w:p>
    <w:p w14:paraId="43662DBD" w14:textId="77777777" w:rsidR="00A725F8" w:rsidRDefault="00A725F8" w:rsidP="00A725F8">
      <w:pPr>
        <w:spacing w:line="360" w:lineRule="auto"/>
        <w:jc w:val="center"/>
        <w:rPr>
          <w:rFonts w:eastAsia="Times New Roman" w:cs="Times New Roman"/>
          <w:sz w:val="32"/>
          <w:szCs w:val="32"/>
        </w:rPr>
      </w:pPr>
    </w:p>
    <w:p w14:paraId="3AC50D2C" w14:textId="77777777" w:rsidR="00A725F8" w:rsidRPr="00A725F8" w:rsidRDefault="00A725F8" w:rsidP="00A725F8">
      <w:pPr>
        <w:spacing w:line="360" w:lineRule="auto"/>
        <w:jc w:val="center"/>
        <w:rPr>
          <w:szCs w:val="24"/>
        </w:rPr>
      </w:pPr>
    </w:p>
    <w:p w14:paraId="34972D00" w14:textId="77777777" w:rsidR="00A725F8" w:rsidRPr="00A725F8" w:rsidRDefault="00A725F8" w:rsidP="00A725F8">
      <w:pPr>
        <w:spacing w:line="360" w:lineRule="auto"/>
        <w:jc w:val="center"/>
        <w:rPr>
          <w:rFonts w:cs="Times New Roman"/>
          <w:szCs w:val="24"/>
        </w:rPr>
      </w:pPr>
      <w:r w:rsidRPr="00A725F8">
        <w:rPr>
          <w:rFonts w:cs="Times New Roman"/>
          <w:szCs w:val="24"/>
        </w:rPr>
        <w:t>Date: 27</w:t>
      </w:r>
      <w:r w:rsidRPr="00A725F8">
        <w:rPr>
          <w:rFonts w:cs="Times New Roman"/>
          <w:szCs w:val="24"/>
          <w:vertAlign w:val="superscript"/>
        </w:rPr>
        <w:t>th</w:t>
      </w:r>
      <w:r w:rsidRPr="00A725F8">
        <w:rPr>
          <w:rFonts w:cs="Times New Roman"/>
          <w:szCs w:val="24"/>
        </w:rPr>
        <w:t xml:space="preserve"> April 2026</w:t>
      </w:r>
    </w:p>
    <w:p w14:paraId="26A61A0A" w14:textId="77777777" w:rsidR="00A725F8" w:rsidRPr="00A725F8" w:rsidRDefault="00A725F8" w:rsidP="00A725F8">
      <w:pPr>
        <w:spacing w:line="360" w:lineRule="auto"/>
        <w:jc w:val="center"/>
        <w:rPr>
          <w:rFonts w:cs="Times New Roman"/>
          <w:szCs w:val="24"/>
        </w:rPr>
      </w:pPr>
      <w:r w:rsidRPr="00A725F8">
        <w:rPr>
          <w:rFonts w:cs="Times New Roman"/>
          <w:szCs w:val="24"/>
        </w:rPr>
        <w:t>UNIVERSITY OF WALES TRINITY SAINT DAVID</w:t>
      </w:r>
    </w:p>
    <w:p w14:paraId="3683E0C0" w14:textId="77777777" w:rsidR="00A725F8" w:rsidRDefault="00A725F8"/>
    <w:p w14:paraId="71CCA9C2" w14:textId="77777777" w:rsidR="00A725F8" w:rsidRDefault="00A725F8"/>
    <w:p w14:paraId="3D0D93F2" w14:textId="77777777" w:rsidR="00A725F8" w:rsidRDefault="00A725F8"/>
    <w:p w14:paraId="560F088A" w14:textId="77777777" w:rsidR="00A725F8" w:rsidRDefault="00A725F8"/>
    <w:p w14:paraId="176F4378" w14:textId="77777777" w:rsidR="00A725F8" w:rsidRDefault="00A725F8"/>
    <w:p w14:paraId="34218FE4" w14:textId="77777777" w:rsidR="00A725F8" w:rsidRDefault="00A725F8"/>
    <w:p w14:paraId="1F5E5F02" w14:textId="77777777" w:rsidR="00B61819" w:rsidRDefault="00000000">
      <w:pPr>
        <w:pStyle w:val="Heading1"/>
        <w:rPr>
          <w:rFonts w:ascii="Times New Roman" w:hAnsi="Times New Roman"/>
          <w:b w:val="0"/>
          <w:sz w:val="32"/>
          <w:szCs w:val="32"/>
        </w:rPr>
      </w:pPr>
      <w:bookmarkStart w:id="0" w:name="_Toc228203261"/>
      <w:r w:rsidRPr="00F64DB4">
        <w:rPr>
          <w:rFonts w:ascii="Times New Roman" w:hAnsi="Times New Roman"/>
          <w:b w:val="0"/>
          <w:sz w:val="32"/>
          <w:szCs w:val="32"/>
        </w:rPr>
        <w:t>Executive Summary</w:t>
      </w:r>
      <w:bookmarkEnd w:id="0"/>
    </w:p>
    <w:p w14:paraId="17F97B0B" w14:textId="77777777" w:rsidR="00F64DB4" w:rsidRPr="00F64DB4" w:rsidRDefault="00F64DB4" w:rsidP="00F64DB4"/>
    <w:p w14:paraId="026FA12D" w14:textId="77777777" w:rsidR="00B61819" w:rsidRDefault="00000000">
      <w:pPr>
        <w:jc w:val="both"/>
      </w:pPr>
      <w:r>
        <w:t>This report evaluates how rapid growth in artificial intelligence is reshaping risk management at Revolut, with a specific focus on the United Kingdom and the European Union. Revolut is an appropriate case because it combines international scale, rapid product expansion, growing regulatory exposure and deep reliance on automated decision-making. The report argues that AI is not merely an efficiency tool. For a multinational fintech, it is simultaneously a strategic capability, a source of operational leverage, and a new category of governance challenge.</w:t>
      </w:r>
    </w:p>
    <w:p w14:paraId="5A616BB2" w14:textId="77777777" w:rsidR="0000370D" w:rsidRDefault="0000370D">
      <w:pPr>
        <w:jc w:val="both"/>
      </w:pPr>
    </w:p>
    <w:p w14:paraId="0F86FFD6" w14:textId="77777777" w:rsidR="00B61819" w:rsidRDefault="00000000">
      <w:pPr>
        <w:jc w:val="both"/>
      </w:pPr>
      <w:r>
        <w:t>Using a PESTLE framework, the report shows that Revolut’s AI risk environment is driven by interacting political, economic, social, technological, legal and environmental forces. Politically, post-Brexit regulatory divergence means Revolut must operate between a principles-based UK model and a more codified EU regime. Economically, inflation, interest rates and customer financial stress affect fraud patterns, repayment behaviour and the fairness of automated outcomes. Socially, customers increasingly expect speed and personalisation but also explanation, contestability and protection. Technologically, generative AI, deepfakes and platform dependency increase both defensive capability and exposure. Legally, the EU AI Act, GDPR and DORA place greater emphasis on classification, documentation, resilience and rights. Environmentally, rising scrutiny of digital infrastructure and data-centre intensity adds a smaller but growing governance dimension.</w:t>
      </w:r>
    </w:p>
    <w:p w14:paraId="0F6B6590" w14:textId="77777777" w:rsidR="0000370D" w:rsidRDefault="0000370D">
      <w:pPr>
        <w:jc w:val="both"/>
      </w:pPr>
    </w:p>
    <w:p w14:paraId="491168F8" w14:textId="77777777" w:rsidR="00B61819" w:rsidRDefault="00000000">
      <w:pPr>
        <w:jc w:val="both"/>
      </w:pPr>
      <w:r>
        <w:t>The report’s central finding is that Revolut’s main problem is not whether AI can create value. It is whether governance can scale at the same speed as deployment, geographic expansion and regulatory change. Revolut has already demonstrated strong capability in fraud prevention and customer operations, yet this same embeddedness makes AI governance a board-level issue. The report therefore recommends a more explicit enterprise AI governance model built around board accountability, use-case tiering, stronger data lineage and model documentation, meaningful human review, jurisdiction-specific control mapping, enhanced customer explanation and appeal routes, and resilience testing against model drift, fraud shocks and third-party failures.</w:t>
      </w:r>
    </w:p>
    <w:p w14:paraId="4D5F8B4E" w14:textId="77777777" w:rsidR="0000370D" w:rsidRDefault="0000370D">
      <w:pPr>
        <w:jc w:val="both"/>
      </w:pPr>
    </w:p>
    <w:p w14:paraId="3BF4D3BA" w14:textId="77777777" w:rsidR="00B61819" w:rsidRDefault="00000000">
      <w:pPr>
        <w:jc w:val="both"/>
      </w:pPr>
      <w:r>
        <w:lastRenderedPageBreak/>
        <w:t>A phased eighteen-month implementation plan is proposed. It begins with governance design and enterprise inventory, then moves through data and control reinforcement, conduct and customer outcome monitoring, and finally enterprise-wide stress testing and remediation. The report concludes that Revolut should continue to scale AI, but only through a governance model capable of making AI-enabled decisions lawful, resilient, explainable and trusted across both the UK and the EU.</w:t>
      </w:r>
    </w:p>
    <w:p w14:paraId="3A6B540C" w14:textId="77777777" w:rsidR="00B61819" w:rsidRDefault="00000000">
      <w:r>
        <w:br w:type="page"/>
      </w:r>
    </w:p>
    <w:p w14:paraId="2F2ADA21" w14:textId="77777777" w:rsidR="00F64DB4" w:rsidRDefault="00F64DB4">
      <w:pPr>
        <w:pStyle w:val="Heading1"/>
        <w:rPr>
          <w:rFonts w:ascii="Times New Roman" w:hAnsi="Times New Roman"/>
          <w:b w:val="0"/>
        </w:rPr>
      </w:pPr>
    </w:p>
    <w:p w14:paraId="16D9703F" w14:textId="5915D252" w:rsidR="00F64DB4" w:rsidRDefault="00F64DB4">
      <w:pPr>
        <w:spacing w:after="200"/>
        <w:rPr>
          <w:rFonts w:eastAsiaTheme="majorEastAsia" w:cstheme="majorBidi"/>
          <w:bCs/>
          <w:color w:val="365F91" w:themeColor="accent1" w:themeShade="BF"/>
          <w:sz w:val="28"/>
          <w:szCs w:val="28"/>
        </w:rPr>
      </w:pPr>
    </w:p>
    <w:sdt>
      <w:sdtPr>
        <w:id w:val="-1483069576"/>
        <w:docPartObj>
          <w:docPartGallery w:val="Table of Contents"/>
          <w:docPartUnique/>
        </w:docPartObj>
      </w:sdtPr>
      <w:sdtEndPr>
        <w:rPr>
          <w:rFonts w:ascii="Times New Roman" w:eastAsiaTheme="minorEastAsia" w:hAnsi="Times New Roman" w:cstheme="minorBidi"/>
          <w:noProof/>
          <w:color w:val="auto"/>
          <w:sz w:val="24"/>
          <w:szCs w:val="22"/>
        </w:rPr>
      </w:sdtEndPr>
      <w:sdtContent>
        <w:p w14:paraId="2EB3D74A" w14:textId="7B3FA5EE" w:rsidR="00F64DB4" w:rsidRDefault="00F64DB4">
          <w:pPr>
            <w:pStyle w:val="TOCHeading"/>
          </w:pPr>
          <w:r>
            <w:t>Table of Contents</w:t>
          </w:r>
        </w:p>
        <w:p w14:paraId="0DABE2D0" w14:textId="494A8477" w:rsidR="0000370D" w:rsidRDefault="00F64DB4">
          <w:pPr>
            <w:pStyle w:val="TOC1"/>
            <w:tabs>
              <w:tab w:val="right" w:leader="dot" w:pos="9350"/>
            </w:tabs>
            <w:rPr>
              <w:b w:val="0"/>
              <w:bCs w:val="0"/>
              <w:i w:val="0"/>
              <w:iCs w:val="0"/>
              <w:noProof/>
              <w:kern w:val="2"/>
              <w:lang w:val="en-IN" w:eastAsia="en-GB"/>
              <w14:ligatures w14:val="standardContextual"/>
            </w:rPr>
          </w:pPr>
          <w:r>
            <w:rPr>
              <w:b w:val="0"/>
              <w:bCs w:val="0"/>
            </w:rPr>
            <w:fldChar w:fldCharType="begin"/>
          </w:r>
          <w:r>
            <w:instrText xml:space="preserve"> TOC \o "1-3" \h \z \u </w:instrText>
          </w:r>
          <w:r>
            <w:rPr>
              <w:b w:val="0"/>
              <w:bCs w:val="0"/>
            </w:rPr>
            <w:fldChar w:fldCharType="separate"/>
          </w:r>
          <w:hyperlink w:anchor="_Toc228203261" w:history="1">
            <w:r w:rsidR="0000370D" w:rsidRPr="00121F55">
              <w:rPr>
                <w:rStyle w:val="Hyperlink"/>
                <w:rFonts w:ascii="Times New Roman" w:hAnsi="Times New Roman"/>
                <w:noProof/>
              </w:rPr>
              <w:t>Executive Summary</w:t>
            </w:r>
            <w:r w:rsidR="0000370D">
              <w:rPr>
                <w:noProof/>
                <w:webHidden/>
              </w:rPr>
              <w:tab/>
            </w:r>
            <w:r w:rsidR="0000370D">
              <w:rPr>
                <w:noProof/>
                <w:webHidden/>
              </w:rPr>
              <w:fldChar w:fldCharType="begin"/>
            </w:r>
            <w:r w:rsidR="0000370D">
              <w:rPr>
                <w:noProof/>
                <w:webHidden/>
              </w:rPr>
              <w:instrText xml:space="preserve"> PAGEREF _Toc228203261 \h </w:instrText>
            </w:r>
            <w:r w:rsidR="0000370D">
              <w:rPr>
                <w:noProof/>
                <w:webHidden/>
              </w:rPr>
            </w:r>
            <w:r w:rsidR="0000370D">
              <w:rPr>
                <w:noProof/>
                <w:webHidden/>
              </w:rPr>
              <w:fldChar w:fldCharType="separate"/>
            </w:r>
            <w:r w:rsidR="0000370D">
              <w:rPr>
                <w:noProof/>
                <w:webHidden/>
              </w:rPr>
              <w:t>2</w:t>
            </w:r>
            <w:r w:rsidR="0000370D">
              <w:rPr>
                <w:noProof/>
                <w:webHidden/>
              </w:rPr>
              <w:fldChar w:fldCharType="end"/>
            </w:r>
          </w:hyperlink>
        </w:p>
        <w:p w14:paraId="16290CD3" w14:textId="0D6703C0" w:rsidR="0000370D" w:rsidRDefault="0000370D">
          <w:pPr>
            <w:pStyle w:val="TOC1"/>
            <w:tabs>
              <w:tab w:val="left" w:pos="480"/>
              <w:tab w:val="right" w:leader="dot" w:pos="9350"/>
            </w:tabs>
            <w:rPr>
              <w:b w:val="0"/>
              <w:bCs w:val="0"/>
              <w:i w:val="0"/>
              <w:iCs w:val="0"/>
              <w:noProof/>
              <w:kern w:val="2"/>
              <w:lang w:val="en-IN" w:eastAsia="en-GB"/>
              <w14:ligatures w14:val="standardContextual"/>
            </w:rPr>
          </w:pPr>
          <w:hyperlink w:anchor="_Toc228203262" w:history="1">
            <w:r w:rsidRPr="00121F55">
              <w:rPr>
                <w:rStyle w:val="Hyperlink"/>
                <w:rFonts w:ascii="Times New Roman" w:hAnsi="Times New Roman"/>
                <w:noProof/>
              </w:rPr>
              <w:t>1.</w:t>
            </w:r>
            <w:r>
              <w:rPr>
                <w:b w:val="0"/>
                <w:bCs w:val="0"/>
                <w:i w:val="0"/>
                <w:iCs w:val="0"/>
                <w:noProof/>
                <w:kern w:val="2"/>
                <w:lang w:val="en-IN" w:eastAsia="en-GB"/>
                <w14:ligatures w14:val="standardContextual"/>
              </w:rPr>
              <w:tab/>
            </w:r>
            <w:r w:rsidRPr="00121F55">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_Toc228203262 \h </w:instrText>
            </w:r>
            <w:r>
              <w:rPr>
                <w:noProof/>
                <w:webHidden/>
              </w:rPr>
            </w:r>
            <w:r>
              <w:rPr>
                <w:noProof/>
                <w:webHidden/>
              </w:rPr>
              <w:fldChar w:fldCharType="separate"/>
            </w:r>
            <w:r>
              <w:rPr>
                <w:noProof/>
                <w:webHidden/>
              </w:rPr>
              <w:t>5</w:t>
            </w:r>
            <w:r>
              <w:rPr>
                <w:noProof/>
                <w:webHidden/>
              </w:rPr>
              <w:fldChar w:fldCharType="end"/>
            </w:r>
          </w:hyperlink>
        </w:p>
        <w:p w14:paraId="3FDDBB2A" w14:textId="71A7CD91" w:rsidR="0000370D" w:rsidRDefault="0000370D">
          <w:pPr>
            <w:pStyle w:val="TOC1"/>
            <w:tabs>
              <w:tab w:val="left" w:pos="480"/>
              <w:tab w:val="right" w:leader="dot" w:pos="9350"/>
            </w:tabs>
            <w:rPr>
              <w:b w:val="0"/>
              <w:bCs w:val="0"/>
              <w:i w:val="0"/>
              <w:iCs w:val="0"/>
              <w:noProof/>
              <w:kern w:val="2"/>
              <w:lang w:val="en-IN" w:eastAsia="en-GB"/>
              <w14:ligatures w14:val="standardContextual"/>
            </w:rPr>
          </w:pPr>
          <w:hyperlink w:anchor="_Toc228203263" w:history="1">
            <w:r w:rsidRPr="00121F55">
              <w:rPr>
                <w:rStyle w:val="Hyperlink"/>
                <w:rFonts w:ascii="Times New Roman" w:hAnsi="Times New Roman"/>
                <w:noProof/>
              </w:rPr>
              <w:t>2.</w:t>
            </w:r>
            <w:r>
              <w:rPr>
                <w:b w:val="0"/>
                <w:bCs w:val="0"/>
                <w:i w:val="0"/>
                <w:iCs w:val="0"/>
                <w:noProof/>
                <w:kern w:val="2"/>
                <w:lang w:val="en-IN" w:eastAsia="en-GB"/>
                <w14:ligatures w14:val="standardContextual"/>
              </w:rPr>
              <w:tab/>
            </w:r>
            <w:r w:rsidRPr="00121F55">
              <w:rPr>
                <w:rStyle w:val="Hyperlink"/>
                <w:rFonts w:ascii="Times New Roman" w:hAnsi="Times New Roman"/>
                <w:noProof/>
              </w:rPr>
              <w:t>Company and International Context</w:t>
            </w:r>
            <w:r>
              <w:rPr>
                <w:noProof/>
                <w:webHidden/>
              </w:rPr>
              <w:tab/>
            </w:r>
            <w:r>
              <w:rPr>
                <w:noProof/>
                <w:webHidden/>
              </w:rPr>
              <w:fldChar w:fldCharType="begin"/>
            </w:r>
            <w:r>
              <w:rPr>
                <w:noProof/>
                <w:webHidden/>
              </w:rPr>
              <w:instrText xml:space="preserve"> PAGEREF _Toc228203263 \h </w:instrText>
            </w:r>
            <w:r>
              <w:rPr>
                <w:noProof/>
                <w:webHidden/>
              </w:rPr>
            </w:r>
            <w:r>
              <w:rPr>
                <w:noProof/>
                <w:webHidden/>
              </w:rPr>
              <w:fldChar w:fldCharType="separate"/>
            </w:r>
            <w:r>
              <w:rPr>
                <w:noProof/>
                <w:webHidden/>
              </w:rPr>
              <w:t>6</w:t>
            </w:r>
            <w:r>
              <w:rPr>
                <w:noProof/>
                <w:webHidden/>
              </w:rPr>
              <w:fldChar w:fldCharType="end"/>
            </w:r>
          </w:hyperlink>
        </w:p>
        <w:p w14:paraId="38622329" w14:textId="2EBAE4EB" w:rsidR="0000370D" w:rsidRDefault="0000370D">
          <w:pPr>
            <w:pStyle w:val="TOC1"/>
            <w:tabs>
              <w:tab w:val="right" w:leader="dot" w:pos="9350"/>
            </w:tabs>
            <w:rPr>
              <w:b w:val="0"/>
              <w:bCs w:val="0"/>
              <w:i w:val="0"/>
              <w:iCs w:val="0"/>
              <w:noProof/>
              <w:kern w:val="2"/>
              <w:lang w:val="en-IN" w:eastAsia="en-GB"/>
              <w14:ligatures w14:val="standardContextual"/>
            </w:rPr>
          </w:pPr>
          <w:hyperlink w:anchor="_Toc228203264" w:history="1">
            <w:r w:rsidRPr="00121F55">
              <w:rPr>
                <w:rStyle w:val="Hyperlink"/>
                <w:rFonts w:ascii="Times New Roman" w:hAnsi="Times New Roman"/>
                <w:noProof/>
              </w:rPr>
              <w:t>3. Main Findings</w:t>
            </w:r>
            <w:r>
              <w:rPr>
                <w:noProof/>
                <w:webHidden/>
              </w:rPr>
              <w:tab/>
            </w:r>
            <w:r>
              <w:rPr>
                <w:noProof/>
                <w:webHidden/>
              </w:rPr>
              <w:fldChar w:fldCharType="begin"/>
            </w:r>
            <w:r>
              <w:rPr>
                <w:noProof/>
                <w:webHidden/>
              </w:rPr>
              <w:instrText xml:space="preserve"> PAGEREF _Toc228203264 \h </w:instrText>
            </w:r>
            <w:r>
              <w:rPr>
                <w:noProof/>
                <w:webHidden/>
              </w:rPr>
            </w:r>
            <w:r>
              <w:rPr>
                <w:noProof/>
                <w:webHidden/>
              </w:rPr>
              <w:fldChar w:fldCharType="separate"/>
            </w:r>
            <w:r>
              <w:rPr>
                <w:noProof/>
                <w:webHidden/>
              </w:rPr>
              <w:t>7</w:t>
            </w:r>
            <w:r>
              <w:rPr>
                <w:noProof/>
                <w:webHidden/>
              </w:rPr>
              <w:fldChar w:fldCharType="end"/>
            </w:r>
          </w:hyperlink>
        </w:p>
        <w:p w14:paraId="27EB9AC3" w14:textId="65F3F0D9" w:rsidR="0000370D" w:rsidRDefault="0000370D">
          <w:pPr>
            <w:pStyle w:val="TOC2"/>
            <w:tabs>
              <w:tab w:val="right" w:leader="dot" w:pos="9350"/>
            </w:tabs>
            <w:rPr>
              <w:b w:val="0"/>
              <w:bCs w:val="0"/>
              <w:noProof/>
              <w:kern w:val="2"/>
              <w:sz w:val="24"/>
              <w:szCs w:val="24"/>
              <w:lang w:val="en-IN" w:eastAsia="en-GB"/>
              <w14:ligatures w14:val="standardContextual"/>
            </w:rPr>
          </w:pPr>
          <w:hyperlink w:anchor="_Toc228203265" w:history="1">
            <w:r w:rsidRPr="00121F55">
              <w:rPr>
                <w:rStyle w:val="Hyperlink"/>
                <w:rFonts w:ascii="Times New Roman" w:hAnsi="Times New Roman"/>
                <w:noProof/>
              </w:rPr>
              <w:t>3.1 PESTLE Analysis of the External Environment</w:t>
            </w:r>
            <w:r>
              <w:rPr>
                <w:noProof/>
                <w:webHidden/>
              </w:rPr>
              <w:tab/>
            </w:r>
            <w:r>
              <w:rPr>
                <w:noProof/>
                <w:webHidden/>
              </w:rPr>
              <w:fldChar w:fldCharType="begin"/>
            </w:r>
            <w:r>
              <w:rPr>
                <w:noProof/>
                <w:webHidden/>
              </w:rPr>
              <w:instrText xml:space="preserve"> PAGEREF _Toc228203265 \h </w:instrText>
            </w:r>
            <w:r>
              <w:rPr>
                <w:noProof/>
                <w:webHidden/>
              </w:rPr>
            </w:r>
            <w:r>
              <w:rPr>
                <w:noProof/>
                <w:webHidden/>
              </w:rPr>
              <w:fldChar w:fldCharType="separate"/>
            </w:r>
            <w:r>
              <w:rPr>
                <w:noProof/>
                <w:webHidden/>
              </w:rPr>
              <w:t>7</w:t>
            </w:r>
            <w:r>
              <w:rPr>
                <w:noProof/>
                <w:webHidden/>
              </w:rPr>
              <w:fldChar w:fldCharType="end"/>
            </w:r>
          </w:hyperlink>
        </w:p>
        <w:p w14:paraId="149CED87" w14:textId="6C24C474" w:rsidR="0000370D" w:rsidRDefault="0000370D">
          <w:pPr>
            <w:pStyle w:val="TOC2"/>
            <w:tabs>
              <w:tab w:val="right" w:leader="dot" w:pos="9350"/>
            </w:tabs>
            <w:rPr>
              <w:b w:val="0"/>
              <w:bCs w:val="0"/>
              <w:noProof/>
              <w:kern w:val="2"/>
              <w:sz w:val="24"/>
              <w:szCs w:val="24"/>
              <w:lang w:val="en-IN" w:eastAsia="en-GB"/>
              <w14:ligatures w14:val="standardContextual"/>
            </w:rPr>
          </w:pPr>
          <w:hyperlink w:anchor="_Toc228203266" w:history="1">
            <w:r w:rsidRPr="00121F55">
              <w:rPr>
                <w:rStyle w:val="Hyperlink"/>
                <w:rFonts w:ascii="Times New Roman" w:hAnsi="Times New Roman"/>
                <w:noProof/>
              </w:rPr>
              <w:t>3.2 Political Change and Regulatory Divergence</w:t>
            </w:r>
            <w:r>
              <w:rPr>
                <w:noProof/>
                <w:webHidden/>
              </w:rPr>
              <w:tab/>
            </w:r>
            <w:r>
              <w:rPr>
                <w:noProof/>
                <w:webHidden/>
              </w:rPr>
              <w:fldChar w:fldCharType="begin"/>
            </w:r>
            <w:r>
              <w:rPr>
                <w:noProof/>
                <w:webHidden/>
              </w:rPr>
              <w:instrText xml:space="preserve"> PAGEREF _Toc228203266 \h </w:instrText>
            </w:r>
            <w:r>
              <w:rPr>
                <w:noProof/>
                <w:webHidden/>
              </w:rPr>
            </w:r>
            <w:r>
              <w:rPr>
                <w:noProof/>
                <w:webHidden/>
              </w:rPr>
              <w:fldChar w:fldCharType="separate"/>
            </w:r>
            <w:r>
              <w:rPr>
                <w:noProof/>
                <w:webHidden/>
              </w:rPr>
              <w:t>9</w:t>
            </w:r>
            <w:r>
              <w:rPr>
                <w:noProof/>
                <w:webHidden/>
              </w:rPr>
              <w:fldChar w:fldCharType="end"/>
            </w:r>
          </w:hyperlink>
        </w:p>
        <w:p w14:paraId="635120D8" w14:textId="40DCE42B" w:rsidR="0000370D" w:rsidRDefault="0000370D">
          <w:pPr>
            <w:pStyle w:val="TOC2"/>
            <w:tabs>
              <w:tab w:val="right" w:leader="dot" w:pos="9350"/>
            </w:tabs>
            <w:rPr>
              <w:b w:val="0"/>
              <w:bCs w:val="0"/>
              <w:noProof/>
              <w:kern w:val="2"/>
              <w:sz w:val="24"/>
              <w:szCs w:val="24"/>
              <w:lang w:val="en-IN" w:eastAsia="en-GB"/>
              <w14:ligatures w14:val="standardContextual"/>
            </w:rPr>
          </w:pPr>
          <w:hyperlink w:anchor="_Toc228203267" w:history="1">
            <w:r w:rsidRPr="00121F55">
              <w:rPr>
                <w:rStyle w:val="Hyperlink"/>
                <w:rFonts w:ascii="Times New Roman" w:hAnsi="Times New Roman"/>
                <w:noProof/>
              </w:rPr>
              <w:t>3.3 AI as Strategic Capability and Risk Multiplier</w:t>
            </w:r>
            <w:r>
              <w:rPr>
                <w:noProof/>
                <w:webHidden/>
              </w:rPr>
              <w:tab/>
            </w:r>
            <w:r>
              <w:rPr>
                <w:noProof/>
                <w:webHidden/>
              </w:rPr>
              <w:fldChar w:fldCharType="begin"/>
            </w:r>
            <w:r>
              <w:rPr>
                <w:noProof/>
                <w:webHidden/>
              </w:rPr>
              <w:instrText xml:space="preserve"> PAGEREF _Toc228203267 \h </w:instrText>
            </w:r>
            <w:r>
              <w:rPr>
                <w:noProof/>
                <w:webHidden/>
              </w:rPr>
            </w:r>
            <w:r>
              <w:rPr>
                <w:noProof/>
                <w:webHidden/>
              </w:rPr>
              <w:fldChar w:fldCharType="separate"/>
            </w:r>
            <w:r>
              <w:rPr>
                <w:noProof/>
                <w:webHidden/>
              </w:rPr>
              <w:t>10</w:t>
            </w:r>
            <w:r>
              <w:rPr>
                <w:noProof/>
                <w:webHidden/>
              </w:rPr>
              <w:fldChar w:fldCharType="end"/>
            </w:r>
          </w:hyperlink>
        </w:p>
        <w:p w14:paraId="3A65DF47" w14:textId="6A92F438" w:rsidR="0000370D" w:rsidRDefault="0000370D">
          <w:pPr>
            <w:pStyle w:val="TOC2"/>
            <w:tabs>
              <w:tab w:val="right" w:leader="dot" w:pos="9350"/>
            </w:tabs>
            <w:rPr>
              <w:b w:val="0"/>
              <w:bCs w:val="0"/>
              <w:noProof/>
              <w:kern w:val="2"/>
              <w:sz w:val="24"/>
              <w:szCs w:val="24"/>
              <w:lang w:val="en-IN" w:eastAsia="en-GB"/>
              <w14:ligatures w14:val="standardContextual"/>
            </w:rPr>
          </w:pPr>
          <w:hyperlink w:anchor="_Toc228203268" w:history="1">
            <w:r w:rsidRPr="00121F55">
              <w:rPr>
                <w:rStyle w:val="Hyperlink"/>
                <w:rFonts w:ascii="Times New Roman" w:hAnsi="Times New Roman"/>
                <w:noProof/>
              </w:rPr>
              <w:t>3.4 Data Governance, Ethical AI and Model Accountability</w:t>
            </w:r>
            <w:r>
              <w:rPr>
                <w:noProof/>
                <w:webHidden/>
              </w:rPr>
              <w:tab/>
            </w:r>
            <w:r>
              <w:rPr>
                <w:noProof/>
                <w:webHidden/>
              </w:rPr>
              <w:fldChar w:fldCharType="begin"/>
            </w:r>
            <w:r>
              <w:rPr>
                <w:noProof/>
                <w:webHidden/>
              </w:rPr>
              <w:instrText xml:space="preserve"> PAGEREF _Toc228203268 \h </w:instrText>
            </w:r>
            <w:r>
              <w:rPr>
                <w:noProof/>
                <w:webHidden/>
              </w:rPr>
            </w:r>
            <w:r>
              <w:rPr>
                <w:noProof/>
                <w:webHidden/>
              </w:rPr>
              <w:fldChar w:fldCharType="separate"/>
            </w:r>
            <w:r>
              <w:rPr>
                <w:noProof/>
                <w:webHidden/>
              </w:rPr>
              <w:t>12</w:t>
            </w:r>
            <w:r>
              <w:rPr>
                <w:noProof/>
                <w:webHidden/>
              </w:rPr>
              <w:fldChar w:fldCharType="end"/>
            </w:r>
          </w:hyperlink>
        </w:p>
        <w:p w14:paraId="71337457" w14:textId="55647E9E" w:rsidR="0000370D" w:rsidRDefault="0000370D">
          <w:pPr>
            <w:pStyle w:val="TOC2"/>
            <w:tabs>
              <w:tab w:val="right" w:leader="dot" w:pos="9350"/>
            </w:tabs>
            <w:rPr>
              <w:b w:val="0"/>
              <w:bCs w:val="0"/>
              <w:noProof/>
              <w:kern w:val="2"/>
              <w:sz w:val="24"/>
              <w:szCs w:val="24"/>
              <w:lang w:val="en-IN" w:eastAsia="en-GB"/>
              <w14:ligatures w14:val="standardContextual"/>
            </w:rPr>
          </w:pPr>
          <w:hyperlink w:anchor="_Toc228203269" w:history="1">
            <w:r w:rsidRPr="00121F55">
              <w:rPr>
                <w:rStyle w:val="Hyperlink"/>
                <w:rFonts w:ascii="Times New Roman" w:hAnsi="Times New Roman"/>
                <w:noProof/>
              </w:rPr>
              <w:t>3.5 Customer Trust, Conduct Risk and Peer Benchmark</w:t>
            </w:r>
            <w:r>
              <w:rPr>
                <w:noProof/>
                <w:webHidden/>
              </w:rPr>
              <w:tab/>
            </w:r>
            <w:r>
              <w:rPr>
                <w:noProof/>
                <w:webHidden/>
              </w:rPr>
              <w:fldChar w:fldCharType="begin"/>
            </w:r>
            <w:r>
              <w:rPr>
                <w:noProof/>
                <w:webHidden/>
              </w:rPr>
              <w:instrText xml:space="preserve"> PAGEREF _Toc228203269 \h </w:instrText>
            </w:r>
            <w:r>
              <w:rPr>
                <w:noProof/>
                <w:webHidden/>
              </w:rPr>
            </w:r>
            <w:r>
              <w:rPr>
                <w:noProof/>
                <w:webHidden/>
              </w:rPr>
              <w:fldChar w:fldCharType="separate"/>
            </w:r>
            <w:r>
              <w:rPr>
                <w:noProof/>
                <w:webHidden/>
              </w:rPr>
              <w:t>14</w:t>
            </w:r>
            <w:r>
              <w:rPr>
                <w:noProof/>
                <w:webHidden/>
              </w:rPr>
              <w:fldChar w:fldCharType="end"/>
            </w:r>
          </w:hyperlink>
        </w:p>
        <w:p w14:paraId="5E032DBB" w14:textId="246E5685" w:rsidR="0000370D" w:rsidRDefault="0000370D">
          <w:pPr>
            <w:pStyle w:val="TOC1"/>
            <w:tabs>
              <w:tab w:val="right" w:leader="dot" w:pos="9350"/>
            </w:tabs>
            <w:rPr>
              <w:b w:val="0"/>
              <w:bCs w:val="0"/>
              <w:i w:val="0"/>
              <w:iCs w:val="0"/>
              <w:noProof/>
              <w:kern w:val="2"/>
              <w:lang w:val="en-IN" w:eastAsia="en-GB"/>
              <w14:ligatures w14:val="standardContextual"/>
            </w:rPr>
          </w:pPr>
          <w:hyperlink w:anchor="_Toc228203270" w:history="1">
            <w:r w:rsidRPr="00121F55">
              <w:rPr>
                <w:rStyle w:val="Hyperlink"/>
                <w:rFonts w:ascii="Times New Roman" w:hAnsi="Times New Roman"/>
                <w:noProof/>
              </w:rPr>
              <w:t>4. Recommendations and Implementation Plan</w:t>
            </w:r>
            <w:r>
              <w:rPr>
                <w:noProof/>
                <w:webHidden/>
              </w:rPr>
              <w:tab/>
            </w:r>
            <w:r>
              <w:rPr>
                <w:noProof/>
                <w:webHidden/>
              </w:rPr>
              <w:fldChar w:fldCharType="begin"/>
            </w:r>
            <w:r>
              <w:rPr>
                <w:noProof/>
                <w:webHidden/>
              </w:rPr>
              <w:instrText xml:space="preserve"> PAGEREF _Toc228203270 \h </w:instrText>
            </w:r>
            <w:r>
              <w:rPr>
                <w:noProof/>
                <w:webHidden/>
              </w:rPr>
            </w:r>
            <w:r>
              <w:rPr>
                <w:noProof/>
                <w:webHidden/>
              </w:rPr>
              <w:fldChar w:fldCharType="separate"/>
            </w:r>
            <w:r>
              <w:rPr>
                <w:noProof/>
                <w:webHidden/>
              </w:rPr>
              <w:t>15</w:t>
            </w:r>
            <w:r>
              <w:rPr>
                <w:noProof/>
                <w:webHidden/>
              </w:rPr>
              <w:fldChar w:fldCharType="end"/>
            </w:r>
          </w:hyperlink>
        </w:p>
        <w:p w14:paraId="3AFE5000" w14:textId="0C9A4BEA" w:rsidR="0000370D" w:rsidRDefault="0000370D">
          <w:pPr>
            <w:pStyle w:val="TOC2"/>
            <w:tabs>
              <w:tab w:val="right" w:leader="dot" w:pos="9350"/>
            </w:tabs>
            <w:rPr>
              <w:b w:val="0"/>
              <w:bCs w:val="0"/>
              <w:noProof/>
              <w:kern w:val="2"/>
              <w:sz w:val="24"/>
              <w:szCs w:val="24"/>
              <w:lang w:val="en-IN" w:eastAsia="en-GB"/>
              <w14:ligatures w14:val="standardContextual"/>
            </w:rPr>
          </w:pPr>
          <w:hyperlink w:anchor="_Toc228203271" w:history="1">
            <w:r w:rsidRPr="00121F55">
              <w:rPr>
                <w:rStyle w:val="Hyperlink"/>
                <w:rFonts w:ascii="Times New Roman" w:hAnsi="Times New Roman"/>
                <w:noProof/>
              </w:rPr>
              <w:t>Implementation Plan</w:t>
            </w:r>
            <w:r>
              <w:rPr>
                <w:noProof/>
                <w:webHidden/>
              </w:rPr>
              <w:tab/>
            </w:r>
            <w:r>
              <w:rPr>
                <w:noProof/>
                <w:webHidden/>
              </w:rPr>
              <w:fldChar w:fldCharType="begin"/>
            </w:r>
            <w:r>
              <w:rPr>
                <w:noProof/>
                <w:webHidden/>
              </w:rPr>
              <w:instrText xml:space="preserve"> PAGEREF _Toc228203271 \h </w:instrText>
            </w:r>
            <w:r>
              <w:rPr>
                <w:noProof/>
                <w:webHidden/>
              </w:rPr>
            </w:r>
            <w:r>
              <w:rPr>
                <w:noProof/>
                <w:webHidden/>
              </w:rPr>
              <w:fldChar w:fldCharType="separate"/>
            </w:r>
            <w:r>
              <w:rPr>
                <w:noProof/>
                <w:webHidden/>
              </w:rPr>
              <w:t>16</w:t>
            </w:r>
            <w:r>
              <w:rPr>
                <w:noProof/>
                <w:webHidden/>
              </w:rPr>
              <w:fldChar w:fldCharType="end"/>
            </w:r>
          </w:hyperlink>
        </w:p>
        <w:p w14:paraId="494FED83" w14:textId="583D64E3" w:rsidR="0000370D" w:rsidRDefault="0000370D">
          <w:pPr>
            <w:pStyle w:val="TOC1"/>
            <w:tabs>
              <w:tab w:val="right" w:leader="dot" w:pos="9350"/>
            </w:tabs>
            <w:rPr>
              <w:b w:val="0"/>
              <w:bCs w:val="0"/>
              <w:i w:val="0"/>
              <w:iCs w:val="0"/>
              <w:noProof/>
              <w:kern w:val="2"/>
              <w:lang w:val="en-IN" w:eastAsia="en-GB"/>
              <w14:ligatures w14:val="standardContextual"/>
            </w:rPr>
          </w:pPr>
          <w:hyperlink w:anchor="_Toc228203272" w:history="1">
            <w:r w:rsidRPr="00121F55">
              <w:rPr>
                <w:rStyle w:val="Hyperlink"/>
                <w:rFonts w:ascii="Times New Roman" w:hAnsi="Times New Roman"/>
                <w:noProof/>
              </w:rPr>
              <w:t>5. Conclusion</w:t>
            </w:r>
            <w:r>
              <w:rPr>
                <w:noProof/>
                <w:webHidden/>
              </w:rPr>
              <w:tab/>
            </w:r>
            <w:r>
              <w:rPr>
                <w:noProof/>
                <w:webHidden/>
              </w:rPr>
              <w:fldChar w:fldCharType="begin"/>
            </w:r>
            <w:r>
              <w:rPr>
                <w:noProof/>
                <w:webHidden/>
              </w:rPr>
              <w:instrText xml:space="preserve"> PAGEREF _Toc228203272 \h </w:instrText>
            </w:r>
            <w:r>
              <w:rPr>
                <w:noProof/>
                <w:webHidden/>
              </w:rPr>
            </w:r>
            <w:r>
              <w:rPr>
                <w:noProof/>
                <w:webHidden/>
              </w:rPr>
              <w:fldChar w:fldCharType="separate"/>
            </w:r>
            <w:r>
              <w:rPr>
                <w:noProof/>
                <w:webHidden/>
              </w:rPr>
              <w:t>17</w:t>
            </w:r>
            <w:r>
              <w:rPr>
                <w:noProof/>
                <w:webHidden/>
              </w:rPr>
              <w:fldChar w:fldCharType="end"/>
            </w:r>
          </w:hyperlink>
        </w:p>
        <w:p w14:paraId="1A578871" w14:textId="293153F4" w:rsidR="0000370D" w:rsidRDefault="0000370D">
          <w:pPr>
            <w:pStyle w:val="TOC1"/>
            <w:tabs>
              <w:tab w:val="right" w:leader="dot" w:pos="9350"/>
            </w:tabs>
            <w:rPr>
              <w:b w:val="0"/>
              <w:bCs w:val="0"/>
              <w:i w:val="0"/>
              <w:iCs w:val="0"/>
              <w:noProof/>
              <w:kern w:val="2"/>
              <w:lang w:val="en-IN" w:eastAsia="en-GB"/>
              <w14:ligatures w14:val="standardContextual"/>
            </w:rPr>
          </w:pPr>
          <w:hyperlink w:anchor="_Toc228203273" w:history="1">
            <w:r w:rsidRPr="00121F55">
              <w:rPr>
                <w:rStyle w:val="Hyperlink"/>
                <w:rFonts w:ascii="Times New Roman" w:hAnsi="Times New Roman"/>
                <w:noProof/>
              </w:rPr>
              <w:t>6. Bibliography</w:t>
            </w:r>
            <w:r>
              <w:rPr>
                <w:noProof/>
                <w:webHidden/>
              </w:rPr>
              <w:tab/>
            </w:r>
            <w:r>
              <w:rPr>
                <w:noProof/>
                <w:webHidden/>
              </w:rPr>
              <w:fldChar w:fldCharType="begin"/>
            </w:r>
            <w:r>
              <w:rPr>
                <w:noProof/>
                <w:webHidden/>
              </w:rPr>
              <w:instrText xml:space="preserve"> PAGEREF _Toc228203273 \h </w:instrText>
            </w:r>
            <w:r>
              <w:rPr>
                <w:noProof/>
                <w:webHidden/>
              </w:rPr>
            </w:r>
            <w:r>
              <w:rPr>
                <w:noProof/>
                <w:webHidden/>
              </w:rPr>
              <w:fldChar w:fldCharType="separate"/>
            </w:r>
            <w:r>
              <w:rPr>
                <w:noProof/>
                <w:webHidden/>
              </w:rPr>
              <w:t>19</w:t>
            </w:r>
            <w:r>
              <w:rPr>
                <w:noProof/>
                <w:webHidden/>
              </w:rPr>
              <w:fldChar w:fldCharType="end"/>
            </w:r>
          </w:hyperlink>
        </w:p>
        <w:p w14:paraId="4456F76B" w14:textId="2B1A2654" w:rsidR="00F64DB4" w:rsidRDefault="00F64DB4">
          <w:r>
            <w:rPr>
              <w:b/>
              <w:bCs/>
              <w:noProof/>
            </w:rPr>
            <w:fldChar w:fldCharType="end"/>
          </w:r>
        </w:p>
      </w:sdtContent>
    </w:sdt>
    <w:p w14:paraId="61E75307" w14:textId="026925BD" w:rsidR="00F64DB4" w:rsidRDefault="00F64DB4">
      <w:pPr>
        <w:spacing w:after="200"/>
        <w:rPr>
          <w:rFonts w:eastAsiaTheme="majorEastAsia" w:cstheme="majorBidi"/>
          <w:bCs/>
          <w:color w:val="365F91" w:themeColor="accent1" w:themeShade="BF"/>
          <w:sz w:val="28"/>
          <w:szCs w:val="28"/>
        </w:rPr>
      </w:pPr>
    </w:p>
    <w:p w14:paraId="3B0A3771" w14:textId="77777777" w:rsidR="00B61819" w:rsidRDefault="00000000">
      <w:r>
        <w:br w:type="page"/>
      </w:r>
    </w:p>
    <w:p w14:paraId="11FDD08E" w14:textId="44AC6A4F" w:rsidR="00B61819" w:rsidRDefault="00000000" w:rsidP="00F64DB4">
      <w:pPr>
        <w:pStyle w:val="Heading1"/>
        <w:numPr>
          <w:ilvl w:val="0"/>
          <w:numId w:val="10"/>
        </w:numPr>
        <w:rPr>
          <w:rFonts w:ascii="Times New Roman" w:hAnsi="Times New Roman"/>
          <w:b w:val="0"/>
          <w:sz w:val="32"/>
          <w:szCs w:val="32"/>
        </w:rPr>
      </w:pPr>
      <w:bookmarkStart w:id="1" w:name="_Toc228203262"/>
      <w:r w:rsidRPr="00F64DB4">
        <w:rPr>
          <w:rFonts w:ascii="Times New Roman" w:hAnsi="Times New Roman"/>
          <w:b w:val="0"/>
          <w:sz w:val="32"/>
          <w:szCs w:val="32"/>
        </w:rPr>
        <w:lastRenderedPageBreak/>
        <w:t>Introduction</w:t>
      </w:r>
      <w:bookmarkEnd w:id="1"/>
    </w:p>
    <w:p w14:paraId="1FC0DB5E" w14:textId="77777777" w:rsidR="00F64DB4" w:rsidRPr="00F64DB4" w:rsidRDefault="00F64DB4" w:rsidP="00F64DB4"/>
    <w:p w14:paraId="51369DA5" w14:textId="77777777" w:rsidR="00B61819" w:rsidRDefault="00000000">
      <w:pPr>
        <w:jc w:val="both"/>
      </w:pPr>
      <w:r>
        <w:t>Artificial intelligence has become one of the defining global business challenges of the current decade because it changes how firms create value, how they are supervised and how they are trusted. In financial services, the challenge is especially sharp. AI can improve fraud detection, compliance monitoring, customer service and operational speed, but it can also intensify bias, opacity, privacy risk, cyber exposure and legal liability. For multinational fintechs, the strategic issue is therefore not simply whether to adopt AI, but how to govern AI across jurisdictions with different regulatory logics, macroeconomic pressures and stakeholder expectations (Aldasoro et al., 2025; Batool et al., 2025).</w:t>
      </w:r>
    </w:p>
    <w:p w14:paraId="4474CD6B" w14:textId="77777777" w:rsidR="00F64DB4" w:rsidRDefault="00F64DB4">
      <w:pPr>
        <w:jc w:val="both"/>
      </w:pPr>
    </w:p>
    <w:p w14:paraId="374A966A" w14:textId="77777777" w:rsidR="00B61819" w:rsidRDefault="00000000">
      <w:pPr>
        <w:jc w:val="both"/>
      </w:pPr>
      <w:r>
        <w:t xml:space="preserve">This report advises Revolut on the impact of rapid AI growth on risk management within the business, focusing on the United Kingdom and the European Union. Revolut is a particularly useful company to analyse because it operates at the intersection of finance, technology and regulation. It serves tens of millions of customers, operates across multiple legal entities and jurisdictions, and uses automation in core activities such as fraud prevention, customer operations, onboarding and product decisioning. At the same time, it is transitioning from the identity of a </w:t>
      </w:r>
      <w:proofErr w:type="gramStart"/>
      <w:r>
        <w:t>fast-scaling</w:t>
      </w:r>
      <w:proofErr w:type="gramEnd"/>
      <w:r>
        <w:t xml:space="preserve"> fintech app to that of a more fully regulated multinational financial platform (Revolut, 2025; Revolut, 2026a; Revolut, 2026c).</w:t>
      </w:r>
    </w:p>
    <w:p w14:paraId="2A857AB5" w14:textId="77777777" w:rsidR="00F64DB4" w:rsidRDefault="00F64DB4">
      <w:pPr>
        <w:jc w:val="both"/>
      </w:pPr>
    </w:p>
    <w:p w14:paraId="43792152" w14:textId="77777777" w:rsidR="00B61819" w:rsidRDefault="00000000">
      <w:pPr>
        <w:jc w:val="both"/>
      </w:pPr>
      <w:r>
        <w:t>The report addresses the key themes required by the assignment: data governance, ethical AI use, regulatory compliance and customer trust. It also evaluates the international economic environment and the effect of macroeconomic policy on business performance. This matters because AI systems do not operate in a vacuum. They are trained on historical data, deployed in real time, and evaluated in environments shaped by inflation, interest rates, fraud trends, customer vulnerability and policy change. A model that appears efficient in one macroeconomic context can become less fair, less accurate or less resilient in another (Office for National Statistics, 2026; Bank of England, 2026; European Central Bank, 2026).</w:t>
      </w:r>
    </w:p>
    <w:p w14:paraId="58CBF6ED" w14:textId="77777777" w:rsidR="00F64DB4" w:rsidRDefault="00F64DB4">
      <w:pPr>
        <w:jc w:val="both"/>
      </w:pPr>
    </w:p>
    <w:p w14:paraId="19002534" w14:textId="2116AF2D" w:rsidR="00B61819" w:rsidRDefault="00000000">
      <w:pPr>
        <w:jc w:val="both"/>
      </w:pPr>
      <w:r>
        <w:t xml:space="preserve">The argument developed here is that Revolut’s risk function must evolve from monitoring isolated AI risks to governing an AI-enabled business model. AI now sits inside the firm’s defensive architecture, customer interface and product decision processes. As a result, the core question is no longer whether AI is useful, but whether AI-enabled decisions can be shown to be lawful, explainable, resilient and commercially sustainable across both UK and EU settings. The report uses a PESTLE framework to structure the external environment, then evaluates the implications for governance and concludes with a detailed implementation plan designed for senior </w:t>
      </w:r>
      <w:proofErr w:type="spellStart"/>
      <w:r>
        <w:t>managemen</w:t>
      </w:r>
      <w:proofErr w:type="spellEnd"/>
      <w:r>
        <w:t>.</w:t>
      </w:r>
    </w:p>
    <w:p w14:paraId="359FEA46" w14:textId="2250BFDC" w:rsidR="00B61819" w:rsidRDefault="00000000" w:rsidP="00F64DB4">
      <w:pPr>
        <w:pStyle w:val="Heading1"/>
        <w:numPr>
          <w:ilvl w:val="0"/>
          <w:numId w:val="10"/>
        </w:numPr>
        <w:rPr>
          <w:rFonts w:ascii="Times New Roman" w:hAnsi="Times New Roman"/>
          <w:b w:val="0"/>
          <w:sz w:val="32"/>
          <w:szCs w:val="32"/>
        </w:rPr>
      </w:pPr>
      <w:bookmarkStart w:id="2" w:name="_Toc228203263"/>
      <w:r w:rsidRPr="00F64DB4">
        <w:rPr>
          <w:rFonts w:ascii="Times New Roman" w:hAnsi="Times New Roman"/>
          <w:b w:val="0"/>
          <w:sz w:val="32"/>
          <w:szCs w:val="32"/>
        </w:rPr>
        <w:lastRenderedPageBreak/>
        <w:t>Company and International Context</w:t>
      </w:r>
      <w:bookmarkEnd w:id="2"/>
    </w:p>
    <w:p w14:paraId="5C93848B" w14:textId="77777777" w:rsidR="00F64DB4" w:rsidRPr="00F64DB4" w:rsidRDefault="00F64DB4" w:rsidP="00F64DB4">
      <w:pPr>
        <w:pStyle w:val="ListParagraph"/>
      </w:pPr>
    </w:p>
    <w:p w14:paraId="52EB439D" w14:textId="77777777" w:rsidR="00B61819" w:rsidRDefault="00000000">
      <w:pPr>
        <w:jc w:val="both"/>
      </w:pPr>
      <w:r>
        <w:t>Revolut is now operating at a scale at which AI governance has become a strategic necessity rather than a technical refinement. According to its Annual Report 2024, the firm reached 52.5 million retail customers, exceeded GBP1 trillion in annual transaction volume and operated as a licensed bank in 30 countries (Revolut, 2025). Its Annual Report 2025 states that retail customers rose further to 68.3 million and that services were delivered across 39 countries (Revolut, 2026a). In addition, Revolut announced in 2026 that it had completed mobilisation for its UK bank, allowing 13 million UK customers to begin moving onto a banking entity rather than relying only on an e-money model (Revolut, 2026c). These figures matter because they show that Revolut is no longer simply a niche digital challenger. It is a large, internationally exposed financial institution whose governance architecture must keep pace with product breadth, geographic spread and regulatory intensity.</w:t>
      </w:r>
    </w:p>
    <w:p w14:paraId="1561FD6E" w14:textId="77777777" w:rsidR="0000370D" w:rsidRDefault="0000370D">
      <w:pPr>
        <w:jc w:val="both"/>
      </w:pPr>
    </w:p>
    <w:p w14:paraId="268DC31E" w14:textId="77777777" w:rsidR="00B61819" w:rsidRDefault="00000000">
      <w:pPr>
        <w:jc w:val="both"/>
      </w:pPr>
      <w:r>
        <w:t>Revolut’s own disclosures also show that AI is already embedded in high-consequence control functions. The company states that its fraud systems use machine learning and artificial intelligence, analyse more than 970 million transactions each month and prevented over GBP600 million in potential fraud in 2024 (Revolut, 2025). In its 2025 annual reporting, Revolut further notes that generative AI had materially reshaped customer operations and that more than 75 per cent of support interactions were handled through generative-AI-enabled systems, while an AI Regulatory Compliance Programme had been established in response to the European Union’s AI Act (Revolut, 2026a). This means AI is not a peripheral experimentation layer. It is already part of the way Revolut identifies suspicious activity, allocates operational attention, interacts with customers and manages scale.</w:t>
      </w:r>
    </w:p>
    <w:p w14:paraId="2E3F344D" w14:textId="77777777" w:rsidR="0000370D" w:rsidRDefault="0000370D">
      <w:pPr>
        <w:jc w:val="both"/>
      </w:pPr>
    </w:p>
    <w:p w14:paraId="27830AA6" w14:textId="77777777" w:rsidR="00B61819" w:rsidRDefault="00000000">
      <w:pPr>
        <w:jc w:val="both"/>
      </w:pPr>
      <w:r>
        <w:t>The UK-EU comparison is especially relevant because Revolut’s own governance arrangements already span several legal and supervisory layers. Revolut’s customer privacy notice states that, within the European Economic Area, Revolut Bank UAB is the primary controller for relevant personal data, while the Lithuanian supervisory authority is the lead data protection authority for cross-border issues. The same notice explains that Revolut may use automated processing in areas such as credit eligibility, fraud detection and account restrictions, and that individuals may request human review where automated decisions have legal or similarly significant effects (Revolut, 2026b). In other words, the company’s operating model is already built on cross-border data, automated decision-making and regulatory pluralism.</w:t>
      </w:r>
    </w:p>
    <w:p w14:paraId="5473629E" w14:textId="77777777" w:rsidR="0000370D" w:rsidRDefault="0000370D">
      <w:pPr>
        <w:jc w:val="both"/>
      </w:pPr>
    </w:p>
    <w:p w14:paraId="693C5759" w14:textId="77777777" w:rsidR="00B61819" w:rsidRDefault="00000000">
      <w:pPr>
        <w:jc w:val="both"/>
      </w:pPr>
      <w:r>
        <w:t xml:space="preserve">This context has two direct implications for risk management. First, the more AI becomes embedded in customer-facing and control-intensive processes, the less workable it is to treat AI </w:t>
      </w:r>
      <w:r>
        <w:lastRenderedPageBreak/>
        <w:t>risk as a silo within technology teams. Decisions about product design, conduct, legal exposure, model monitoring, operations and customer remediation become interconnected. Second, international scale means that the cost of weak governance rises quickly. A local control weakness in a small start-up can be damaging. A governance weakness in a multinational fintech operating across dozens of markets can become a strategic and reputational event. Revolut therefore needs a governance response that matches the reality of the business it has become, not the start-up identity from which it grew.</w:t>
      </w:r>
    </w:p>
    <w:p w14:paraId="4AEFD164" w14:textId="77777777" w:rsidR="00B61819" w:rsidRPr="00F64DB4" w:rsidRDefault="00000000">
      <w:pPr>
        <w:pStyle w:val="Heading1"/>
        <w:rPr>
          <w:sz w:val="32"/>
          <w:szCs w:val="32"/>
        </w:rPr>
      </w:pPr>
      <w:bookmarkStart w:id="3" w:name="_Toc228203264"/>
      <w:r w:rsidRPr="00F64DB4">
        <w:rPr>
          <w:rFonts w:ascii="Times New Roman" w:hAnsi="Times New Roman"/>
          <w:b w:val="0"/>
          <w:sz w:val="32"/>
          <w:szCs w:val="32"/>
        </w:rPr>
        <w:t>3. Main Findings</w:t>
      </w:r>
      <w:bookmarkEnd w:id="3"/>
    </w:p>
    <w:p w14:paraId="6D40BDEB" w14:textId="77777777" w:rsidR="00B61819" w:rsidRPr="00F64DB4" w:rsidRDefault="00000000">
      <w:pPr>
        <w:pStyle w:val="Heading2"/>
        <w:spacing w:after="120"/>
        <w:rPr>
          <w:sz w:val="28"/>
          <w:szCs w:val="28"/>
        </w:rPr>
      </w:pPr>
      <w:bookmarkStart w:id="4" w:name="_Toc228203265"/>
      <w:r w:rsidRPr="00F64DB4">
        <w:rPr>
          <w:rFonts w:ascii="Times New Roman" w:hAnsi="Times New Roman"/>
          <w:b w:val="0"/>
          <w:sz w:val="28"/>
          <w:szCs w:val="28"/>
        </w:rPr>
        <w:t>3.1 PESTLE Analysis of the External Environment</w:t>
      </w:r>
      <w:bookmarkEnd w:id="4"/>
    </w:p>
    <w:p w14:paraId="67C2E358" w14:textId="77777777" w:rsidR="00B61819" w:rsidRDefault="00000000">
      <w:pPr>
        <w:jc w:val="both"/>
      </w:pPr>
      <w:r>
        <w:t>Table 1 summarises the main external pressures shaping Revolut's AI risk environment.</w:t>
      </w:r>
    </w:p>
    <w:tbl>
      <w:tblPr>
        <w:tblStyle w:val="TableGrid"/>
        <w:tblW w:w="0" w:type="auto"/>
        <w:jc w:val="center"/>
        <w:tblLook w:val="04A0" w:firstRow="1" w:lastRow="0" w:firstColumn="1" w:lastColumn="0" w:noHBand="0" w:noVBand="1"/>
      </w:tblPr>
      <w:tblGrid>
        <w:gridCol w:w="4675"/>
        <w:gridCol w:w="4675"/>
      </w:tblGrid>
      <w:tr w:rsidR="00B61819" w14:paraId="139F0DFA" w14:textId="77777777">
        <w:trPr>
          <w:jc w:val="center"/>
        </w:trPr>
        <w:tc>
          <w:tcPr>
            <w:tcW w:w="4680" w:type="dxa"/>
          </w:tcPr>
          <w:p w14:paraId="3A98944A" w14:textId="77777777" w:rsidR="00B61819" w:rsidRDefault="00000000">
            <w:pPr>
              <w:spacing w:after="40"/>
            </w:pPr>
            <w:r>
              <w:rPr>
                <w:sz w:val="22"/>
              </w:rPr>
              <w:t>PESTLE dimension</w:t>
            </w:r>
          </w:p>
        </w:tc>
        <w:tc>
          <w:tcPr>
            <w:tcW w:w="4680" w:type="dxa"/>
          </w:tcPr>
          <w:p w14:paraId="0A7DB540" w14:textId="77777777" w:rsidR="00B61819" w:rsidRDefault="00000000">
            <w:pPr>
              <w:spacing w:after="40"/>
            </w:pPr>
            <w:r>
              <w:rPr>
                <w:sz w:val="22"/>
              </w:rPr>
              <w:t>Relevance to Revolut's AI risk management</w:t>
            </w:r>
          </w:p>
        </w:tc>
      </w:tr>
      <w:tr w:rsidR="00B61819" w14:paraId="3EB12C51" w14:textId="77777777">
        <w:trPr>
          <w:jc w:val="center"/>
        </w:trPr>
        <w:tc>
          <w:tcPr>
            <w:tcW w:w="4680" w:type="dxa"/>
          </w:tcPr>
          <w:p w14:paraId="57E7EC5C" w14:textId="77777777" w:rsidR="00B61819" w:rsidRDefault="00000000">
            <w:pPr>
              <w:spacing w:after="40"/>
            </w:pPr>
            <w:r>
              <w:rPr>
                <w:sz w:val="22"/>
              </w:rPr>
              <w:t>Political</w:t>
            </w:r>
          </w:p>
        </w:tc>
        <w:tc>
          <w:tcPr>
            <w:tcW w:w="4680" w:type="dxa"/>
          </w:tcPr>
          <w:p w14:paraId="77637CA1" w14:textId="77777777" w:rsidR="00B61819" w:rsidRDefault="00000000">
            <w:pPr>
              <w:spacing w:after="40"/>
            </w:pPr>
            <w:r>
              <w:rPr>
                <w:sz w:val="22"/>
              </w:rPr>
              <w:t>UK-EU divergence creates different governance logics, supervisory expectations and policy signals for AI deployment.</w:t>
            </w:r>
          </w:p>
        </w:tc>
      </w:tr>
      <w:tr w:rsidR="00B61819" w14:paraId="0BF2D20C" w14:textId="77777777">
        <w:trPr>
          <w:jc w:val="center"/>
        </w:trPr>
        <w:tc>
          <w:tcPr>
            <w:tcW w:w="4680" w:type="dxa"/>
          </w:tcPr>
          <w:p w14:paraId="2DFDF49F" w14:textId="77777777" w:rsidR="00B61819" w:rsidRDefault="00000000">
            <w:pPr>
              <w:spacing w:after="40"/>
            </w:pPr>
            <w:r>
              <w:rPr>
                <w:sz w:val="22"/>
              </w:rPr>
              <w:t>Economic</w:t>
            </w:r>
          </w:p>
        </w:tc>
        <w:tc>
          <w:tcPr>
            <w:tcW w:w="4680" w:type="dxa"/>
          </w:tcPr>
          <w:p w14:paraId="029E3F66" w14:textId="77777777" w:rsidR="00B61819" w:rsidRDefault="00000000">
            <w:pPr>
              <w:spacing w:after="40"/>
            </w:pPr>
            <w:r>
              <w:rPr>
                <w:sz w:val="22"/>
              </w:rPr>
              <w:t>Inflation, interest rates and household stress affect fraud patterns, credit behaviour, complaints and model performance.</w:t>
            </w:r>
          </w:p>
        </w:tc>
      </w:tr>
      <w:tr w:rsidR="00B61819" w14:paraId="1F6F910C" w14:textId="77777777">
        <w:trPr>
          <w:jc w:val="center"/>
        </w:trPr>
        <w:tc>
          <w:tcPr>
            <w:tcW w:w="4680" w:type="dxa"/>
          </w:tcPr>
          <w:p w14:paraId="7D70CD5B" w14:textId="77777777" w:rsidR="00B61819" w:rsidRDefault="00000000">
            <w:pPr>
              <w:spacing w:after="40"/>
            </w:pPr>
            <w:r>
              <w:rPr>
                <w:sz w:val="22"/>
              </w:rPr>
              <w:t>Social</w:t>
            </w:r>
          </w:p>
        </w:tc>
        <w:tc>
          <w:tcPr>
            <w:tcW w:w="4680" w:type="dxa"/>
          </w:tcPr>
          <w:p w14:paraId="6B831954" w14:textId="77777777" w:rsidR="00B61819" w:rsidRDefault="00000000">
            <w:pPr>
              <w:spacing w:after="40"/>
            </w:pPr>
            <w:r>
              <w:rPr>
                <w:sz w:val="22"/>
              </w:rPr>
              <w:t>Customers expect fast, personalised services but also explanation, fairness, escalation and remedy when automation causes harm.</w:t>
            </w:r>
          </w:p>
        </w:tc>
      </w:tr>
      <w:tr w:rsidR="00B61819" w14:paraId="325237E7" w14:textId="77777777">
        <w:trPr>
          <w:jc w:val="center"/>
        </w:trPr>
        <w:tc>
          <w:tcPr>
            <w:tcW w:w="4680" w:type="dxa"/>
          </w:tcPr>
          <w:p w14:paraId="161C31A2" w14:textId="77777777" w:rsidR="00B61819" w:rsidRDefault="00000000">
            <w:pPr>
              <w:spacing w:after="40"/>
            </w:pPr>
            <w:r>
              <w:rPr>
                <w:sz w:val="22"/>
              </w:rPr>
              <w:t>Technological</w:t>
            </w:r>
          </w:p>
        </w:tc>
        <w:tc>
          <w:tcPr>
            <w:tcW w:w="4680" w:type="dxa"/>
          </w:tcPr>
          <w:p w14:paraId="52A8D723" w14:textId="77777777" w:rsidR="00B61819" w:rsidRDefault="00000000">
            <w:pPr>
              <w:spacing w:after="40"/>
            </w:pPr>
            <w:r>
              <w:rPr>
                <w:sz w:val="22"/>
              </w:rPr>
              <w:t>AI improves fraud detection and service scale while increasing exposure to deepfakes, model drift, cloud dependence and automation bias.</w:t>
            </w:r>
          </w:p>
        </w:tc>
      </w:tr>
      <w:tr w:rsidR="00B61819" w14:paraId="6F635922" w14:textId="77777777">
        <w:trPr>
          <w:jc w:val="center"/>
        </w:trPr>
        <w:tc>
          <w:tcPr>
            <w:tcW w:w="4680" w:type="dxa"/>
          </w:tcPr>
          <w:p w14:paraId="173758C2" w14:textId="77777777" w:rsidR="00B61819" w:rsidRDefault="00000000">
            <w:pPr>
              <w:spacing w:after="40"/>
            </w:pPr>
            <w:r>
              <w:rPr>
                <w:sz w:val="22"/>
              </w:rPr>
              <w:t>Legal</w:t>
            </w:r>
          </w:p>
        </w:tc>
        <w:tc>
          <w:tcPr>
            <w:tcW w:w="4680" w:type="dxa"/>
          </w:tcPr>
          <w:p w14:paraId="4154DB06" w14:textId="77777777" w:rsidR="00B61819" w:rsidRDefault="00000000">
            <w:pPr>
              <w:spacing w:after="40"/>
            </w:pPr>
            <w:r>
              <w:rPr>
                <w:sz w:val="22"/>
              </w:rPr>
              <w:t>The AI Act, GDPR, DORA, UK data protection law and conduct rules increase documentation, accountability and resilience expectations.</w:t>
            </w:r>
          </w:p>
        </w:tc>
      </w:tr>
      <w:tr w:rsidR="00B61819" w14:paraId="3339D9F1" w14:textId="77777777">
        <w:trPr>
          <w:jc w:val="center"/>
        </w:trPr>
        <w:tc>
          <w:tcPr>
            <w:tcW w:w="4680" w:type="dxa"/>
          </w:tcPr>
          <w:p w14:paraId="515F5307" w14:textId="77777777" w:rsidR="00B61819" w:rsidRDefault="00000000">
            <w:pPr>
              <w:spacing w:after="40"/>
            </w:pPr>
            <w:r>
              <w:rPr>
                <w:sz w:val="22"/>
              </w:rPr>
              <w:t>Environmental</w:t>
            </w:r>
          </w:p>
        </w:tc>
        <w:tc>
          <w:tcPr>
            <w:tcW w:w="4680" w:type="dxa"/>
          </w:tcPr>
          <w:p w14:paraId="5101201D" w14:textId="77777777" w:rsidR="00B61819" w:rsidRDefault="00000000">
            <w:pPr>
              <w:spacing w:after="40"/>
            </w:pPr>
            <w:r>
              <w:rPr>
                <w:sz w:val="22"/>
              </w:rPr>
              <w:t>Growing scrutiny of digital infrastructure, supplier concentration and compute-intensive services adds an emerging governance dimension.</w:t>
            </w:r>
          </w:p>
        </w:tc>
      </w:tr>
    </w:tbl>
    <w:p w14:paraId="125814F1" w14:textId="77777777" w:rsidR="00F64DB4" w:rsidRDefault="00F64DB4">
      <w:pPr>
        <w:jc w:val="both"/>
      </w:pPr>
    </w:p>
    <w:p w14:paraId="4D6AD17C" w14:textId="582829A1" w:rsidR="00B61819" w:rsidRDefault="00000000">
      <w:pPr>
        <w:jc w:val="both"/>
      </w:pPr>
      <w:r>
        <w:t>A useful way to frame Revolut’s AI risk challenge is through a PESTLE analysis, because AI governance is shaped by more than technology alone. Political choices determine regulatory philosophy and cross-border cooperation. Economic conditions influence fraud behaviour, credit demand and customer vulnerability. Social expectations affect trust, tolerance for automation and brand legitimacy. Technological change creates new tools but also new attack surfaces. Legal developments define what is permitted, documented and contestable. Environmental pressures, while less immediate than other dimensions, increasingly affect the governance of digital infrastructure and supply chains.</w:t>
      </w:r>
    </w:p>
    <w:p w14:paraId="7EC7394B" w14:textId="77777777" w:rsidR="0000370D" w:rsidRDefault="0000370D">
      <w:pPr>
        <w:jc w:val="both"/>
      </w:pPr>
    </w:p>
    <w:p w14:paraId="15F36135" w14:textId="77777777" w:rsidR="00B61819" w:rsidRDefault="00000000">
      <w:pPr>
        <w:jc w:val="both"/>
      </w:pPr>
      <w:r>
        <w:lastRenderedPageBreak/>
        <w:t>Politically, the most important issue for Revolut is regulatory divergence between the UK and the EU. The UK continues to favour a principles-based and regulator-led model, intended to support innovation while applying broad principles such as safety, fairness, accountability and contestability through existing institutions (Department for Science, Innovation and Technology, 2024). The EU, by contrast, is moving through a more codified and rights-based framework in which specific obligations arise from legislation such as the AI Act, the General Data Protection Regulation and the Digital Operational Resilience Act. For Revolut, this means that one AI use case may be commercially similar across markets but governed differently depending on location, legal classification and customer impact.</w:t>
      </w:r>
    </w:p>
    <w:p w14:paraId="348BDFBB" w14:textId="77777777" w:rsidR="0000370D" w:rsidRDefault="0000370D">
      <w:pPr>
        <w:jc w:val="both"/>
      </w:pPr>
    </w:p>
    <w:p w14:paraId="34E4FBF5" w14:textId="77777777" w:rsidR="00B61819" w:rsidRDefault="00000000">
      <w:pPr>
        <w:jc w:val="both"/>
      </w:pPr>
      <w:r>
        <w:t>Economically, the environment remains relevant because financial stress changes both customer behaviour and model performance. In the UK, the Consumer Prices Index rose by 3.3 per cent in the year to March 2026, while the Bank of England maintained Bank Rate at 3.75 per cent in March 2026 (Office for National Statistics, 2026; Bank of England, 2026). In the euro area, the European Central Bank projected average headline inflation of 2.6 per cent in 2026 alongside weaker-than-previously expected growth (European Central Bank, 2026). These conditions matter for Revolut because fraud patterns, arrears risk, support demand and complaint sensitivity are all affected by pressure on household finances.</w:t>
      </w:r>
    </w:p>
    <w:p w14:paraId="6D25DF0B" w14:textId="77777777" w:rsidR="0000370D" w:rsidRDefault="0000370D">
      <w:pPr>
        <w:jc w:val="both"/>
      </w:pPr>
    </w:p>
    <w:p w14:paraId="4FA2A757" w14:textId="77777777" w:rsidR="00B61819" w:rsidRDefault="00000000">
      <w:pPr>
        <w:jc w:val="both"/>
      </w:pPr>
      <w:r>
        <w:t>Socially, fintech customers increasingly expect both convenience and protection. Fast onboarding, personalised interfaces and always-on digital service have become normalised. At the same time, customers are less willing to tolerate unexplained account restrictions, poor complaint handling or opaque automated outcomes. The social licence to use AI in finance is therefore conditional. Customers may value speed and lower friction, but only if they believe decisions can be challenged and harms can be corrected (</w:t>
      </w:r>
      <w:proofErr w:type="spellStart"/>
      <w:r>
        <w:t>Aldboush</w:t>
      </w:r>
      <w:proofErr w:type="spellEnd"/>
      <w:r>
        <w:t xml:space="preserve"> and Ferdous, 2023).</w:t>
      </w:r>
    </w:p>
    <w:p w14:paraId="23FFAB92" w14:textId="77777777" w:rsidR="0000370D" w:rsidRDefault="0000370D">
      <w:pPr>
        <w:jc w:val="both"/>
      </w:pPr>
    </w:p>
    <w:p w14:paraId="2DFA9D6E" w14:textId="77777777" w:rsidR="00B61819" w:rsidRDefault="00000000">
      <w:pPr>
        <w:jc w:val="both"/>
      </w:pPr>
      <w:r>
        <w:t>Technologically, AI creates a double movement for Revolut. It strengthens defence and scale by improving anomaly detection, triage and service automation, but it also expands the threat landscape. Deepfake-enabled scams, synthetic identity attacks, model drift, cloud concentration and generative-AI failure modes all increase the complexity of operational risk. What makes this especially significant is that AI-related operational risk is not confined to internal models. It also includes data pipelines, vendor dependencies and customer-facing automation (Aldasoro et al., 2025).</w:t>
      </w:r>
    </w:p>
    <w:p w14:paraId="36B251F0" w14:textId="77777777" w:rsidR="0000370D" w:rsidRDefault="0000370D">
      <w:pPr>
        <w:jc w:val="both"/>
      </w:pPr>
    </w:p>
    <w:p w14:paraId="0276633A" w14:textId="77777777" w:rsidR="00B61819" w:rsidRDefault="00000000">
      <w:pPr>
        <w:jc w:val="both"/>
      </w:pPr>
      <w:r>
        <w:t xml:space="preserve">Legally, the environment is becoming more demanding. The EU AI Act entered into force on 1 August 2024, with prohibited practices and AI-literacy obligations applying from 2 February 2025 and the general regime becoming fully applicable from 2 August 2026, subject to phased </w:t>
      </w:r>
      <w:r>
        <w:lastRenderedPageBreak/>
        <w:t>exceptions (European Commission, 2025). At the same time, DORA has applied from 17 January 2025, reinforcing expectations around ICT risk, resilience testing, incident management and oversight of third-party dependencies (European Securities and Markets Authority, 2025). In the UK, the legal picture is less centralised but still substantial because data protection law, conduct regulation and sector-specific expectations all remain applicable.</w:t>
      </w:r>
    </w:p>
    <w:p w14:paraId="42D1F661" w14:textId="77777777" w:rsidR="0000370D" w:rsidRDefault="0000370D">
      <w:pPr>
        <w:jc w:val="both"/>
      </w:pPr>
    </w:p>
    <w:p w14:paraId="12C94884" w14:textId="77777777" w:rsidR="00B61819" w:rsidRDefault="00000000">
      <w:pPr>
        <w:jc w:val="both"/>
      </w:pPr>
      <w:r>
        <w:t>Finally, the environmental dimension is smaller than the others but should not be ignored. Financial institutions increasingly face scrutiny over the resilience and sustainability of digital infrastructure, including cloud usage, data storage and outsourced compute-intensive processes. For Revolut, this is not yet the primary AI risk driver, but a mature governance model should still register it as an emerging issue rather than focusing only on immediate compliance.</w:t>
      </w:r>
    </w:p>
    <w:p w14:paraId="4EEFBC62" w14:textId="77777777" w:rsidR="00B61819" w:rsidRDefault="00000000">
      <w:pPr>
        <w:pStyle w:val="Heading2"/>
        <w:spacing w:after="120"/>
        <w:rPr>
          <w:rFonts w:ascii="Times New Roman" w:hAnsi="Times New Roman"/>
          <w:b w:val="0"/>
          <w:sz w:val="28"/>
          <w:szCs w:val="28"/>
        </w:rPr>
      </w:pPr>
      <w:bookmarkStart w:id="5" w:name="_Toc228203266"/>
      <w:r w:rsidRPr="00F64DB4">
        <w:rPr>
          <w:rFonts w:ascii="Times New Roman" w:hAnsi="Times New Roman"/>
          <w:b w:val="0"/>
          <w:sz w:val="28"/>
          <w:szCs w:val="28"/>
        </w:rPr>
        <w:t>3.2 Political Change and Regulatory Divergence</w:t>
      </w:r>
      <w:bookmarkEnd w:id="5"/>
    </w:p>
    <w:p w14:paraId="5744A6C0" w14:textId="77777777" w:rsidR="00F64DB4" w:rsidRPr="00F64DB4" w:rsidRDefault="00F64DB4" w:rsidP="00F64DB4"/>
    <w:p w14:paraId="5E1AD092" w14:textId="77777777" w:rsidR="00B61819" w:rsidRDefault="00000000">
      <w:pPr>
        <w:jc w:val="both"/>
      </w:pPr>
      <w:r>
        <w:t>Political change needs separate attention because it determines the strategic context in which AI governance decisions are made. Revolut is not managing technology in a neutral environment; it is managing technology within a contested policy landscape shaped by post-Brexit divergence, state competition for innovation, and growing public concern about digital power. For a multinational fintech, these dynamics matter because they influence supervisory expectations, legal design and enforcement style.</w:t>
      </w:r>
    </w:p>
    <w:p w14:paraId="05474F4F" w14:textId="77777777" w:rsidR="0000370D" w:rsidRDefault="0000370D">
      <w:pPr>
        <w:jc w:val="both"/>
      </w:pPr>
    </w:p>
    <w:p w14:paraId="45C04A21" w14:textId="77777777" w:rsidR="00B61819" w:rsidRDefault="00000000">
      <w:pPr>
        <w:jc w:val="both"/>
      </w:pPr>
      <w:r>
        <w:t>In the UK, government policy has consistently framed AI as an area where regulation should remain proportionate, context-specific and innovation-friendly. The Department for Science, Innovation and Technology has emphasised a principles-based model to be applied by existing regulators rather than by a single new cross-economy AI regulator (Department for Science, Innovation and Technology, 2024). Politically, this reflects a broader post-Brexit positioning strategy: the UK seeks to present itself as agile, pro-innovation and supportive of digital growth. For Revolut, this can create commercial room to iterate quickly. However, it also creates managerial ambiguity because firms must translate broad principles into defensible control practices without always having a single detailed statutory checklist to follow.</w:t>
      </w:r>
    </w:p>
    <w:p w14:paraId="5114CCAD" w14:textId="77777777" w:rsidR="0000370D" w:rsidRDefault="0000370D">
      <w:pPr>
        <w:jc w:val="both"/>
      </w:pPr>
    </w:p>
    <w:p w14:paraId="7CE8ACB3" w14:textId="77777777" w:rsidR="00B61819" w:rsidRDefault="00000000">
      <w:pPr>
        <w:jc w:val="both"/>
      </w:pPr>
      <w:r>
        <w:t>The EU’s political logic is different. Its digital policy agenda has increasingly emphasised rights, risk classification, documentation and enforceable obligations. In this setting, the AI Act complements a wider governance model already associated with the General Data Protection Regulation, platform regulation and stronger digital oversight. For Revolut, operating across both systems means it cannot choose one governance philosophy and apply it globally without adaptation. A practice that may appear acceptable under a principles-led UK interpretation may still require formal classification, documentation and process redesign in the EU.</w:t>
      </w:r>
    </w:p>
    <w:p w14:paraId="053651A2" w14:textId="77777777" w:rsidR="00E76BCC" w:rsidRDefault="00000000">
      <w:r>
        <w:lastRenderedPageBreak/>
        <w:t>Critically, the choice is not between a ‘light-touch’ UK regime and a ‘strict’ EU regime in any simple sense. A principles-based approach can preserve managerial discretion and support faster experimentation, but it also leaves firms carrying a heavier interpretive burden when they must evidence why a control is sufficient. A rules-based model improves ex ante clarity, comparability and auditability, yet it can also encourage formalistic compliance if documentation becomes detached from operational reality. For Revolut, the strategic task is therefore to retain UK-style adaptability while building EU-grade traceability and transparency (Krook et al., 2025; Papagiannidis et al., 2025).</w:t>
      </w:r>
    </w:p>
    <w:p w14:paraId="7362F6A8" w14:textId="77777777" w:rsidR="0000370D" w:rsidRDefault="0000370D"/>
    <w:p w14:paraId="0FE6580C" w14:textId="77777777" w:rsidR="00B61819" w:rsidRDefault="00000000">
      <w:pPr>
        <w:jc w:val="both"/>
      </w:pPr>
      <w:r>
        <w:t>Political divergence also matters at the level of supervision and stakeholder signalling. In the UK, the Financial Conduct Authority’s strategy for 2025 to 2030 is framed around deepening trust, rebalancing risk and supporting growth (Financial Conduct Authority, 2025b). In the EU, the same broad concern appears in more explicit legal form through the language of trustworthy AI, individual protection and operational resilience. Revolut therefore faces not merely two sets of rules, but two policy cultures.</w:t>
      </w:r>
    </w:p>
    <w:p w14:paraId="5291E9F6" w14:textId="77777777" w:rsidR="0000370D" w:rsidRDefault="0000370D">
      <w:pPr>
        <w:jc w:val="both"/>
      </w:pPr>
    </w:p>
    <w:p w14:paraId="12CC6D93" w14:textId="77777777" w:rsidR="00B61819" w:rsidRDefault="00000000">
      <w:pPr>
        <w:jc w:val="both"/>
      </w:pPr>
      <w:r>
        <w:t>A further political issue is digital sovereignty. European supervisors and policymakers have become more attentive to the risks created by heavy dependency on third-country technology providers, cloud concentration and cross-border data flows. Questions about where data sit, who can access them and how resilient shared providers are under stress have moved from purely technical debates into regulatory and geopolitical concern. The implication is that Revolut should treat political change as a live input into risk strategy and design modular governance: shared global standards, but local control overlays where law, supervision and political expectations differ.</w:t>
      </w:r>
    </w:p>
    <w:p w14:paraId="77951233" w14:textId="77777777" w:rsidR="00F64DB4" w:rsidRDefault="00F64DB4">
      <w:pPr>
        <w:jc w:val="both"/>
      </w:pPr>
    </w:p>
    <w:p w14:paraId="47945022" w14:textId="77777777" w:rsidR="00B61819" w:rsidRPr="00F64DB4" w:rsidRDefault="00000000">
      <w:pPr>
        <w:pStyle w:val="Heading2"/>
        <w:spacing w:after="120"/>
        <w:rPr>
          <w:sz w:val="28"/>
          <w:szCs w:val="28"/>
        </w:rPr>
      </w:pPr>
      <w:bookmarkStart w:id="6" w:name="_Toc228203267"/>
      <w:r w:rsidRPr="00F64DB4">
        <w:rPr>
          <w:rFonts w:ascii="Times New Roman" w:hAnsi="Times New Roman"/>
          <w:b w:val="0"/>
          <w:sz w:val="28"/>
          <w:szCs w:val="28"/>
        </w:rPr>
        <w:t>3.3 AI as Strategic Capability and Risk Multiplier</w:t>
      </w:r>
      <w:bookmarkEnd w:id="6"/>
    </w:p>
    <w:p w14:paraId="1FD2F6E1" w14:textId="77777777" w:rsidR="00B61819" w:rsidRDefault="00000000">
      <w:pPr>
        <w:jc w:val="both"/>
      </w:pPr>
      <w:r>
        <w:t>The growth of AI creates genuine strategic value for Revolut. In digital financial services, competitive advantage depends heavily on speed, scale and the ability to detect patterns that humans alone would miss or identify too late. AI supports these aims by improving fraud detection, prioritising alerts, triaging customer requests and helping allocate operational resources more efficiently. Research on AI in finance similarly suggests that institutions are expanding its use across credit analysis, compliance, anti-financial-crime monitoring and process automation because it increases data-handling capacity and decision speed (Aldasoro et al., 2025).</w:t>
      </w:r>
    </w:p>
    <w:p w14:paraId="418FD2AD" w14:textId="77777777" w:rsidR="0000370D" w:rsidRDefault="0000370D">
      <w:pPr>
        <w:jc w:val="both"/>
      </w:pPr>
    </w:p>
    <w:p w14:paraId="7B55D6FF" w14:textId="77777777" w:rsidR="00B61819" w:rsidRDefault="00000000">
      <w:pPr>
        <w:jc w:val="both"/>
      </w:pPr>
      <w:r>
        <w:t xml:space="preserve">Revolut’s own disclosures support this view. The scale of transaction monitoring and the volume of prevented fraud suggest that machine learning and AI are already contributing to real defensive value rather than serving merely as a marketing claim (Revolut, 2025). Likewise, the use of </w:t>
      </w:r>
      <w:r>
        <w:lastRenderedPageBreak/>
        <w:t>generative-AI-enabled systems in customer operations reflects a rational response to scale. A firm serving tens of millions of customers cannot rely only on linear growth in headcount. AI offers a route to absorb growing service demand while preserving responsiveness and cost discipline.</w:t>
      </w:r>
    </w:p>
    <w:p w14:paraId="102F5AC2" w14:textId="77777777" w:rsidR="0000370D" w:rsidRDefault="0000370D">
      <w:pPr>
        <w:jc w:val="both"/>
      </w:pPr>
    </w:p>
    <w:p w14:paraId="2725FCDC" w14:textId="77777777" w:rsidR="00B61819" w:rsidRDefault="00000000">
      <w:pPr>
        <w:jc w:val="both"/>
      </w:pPr>
      <w:r>
        <w:t>However, the more important strategic point is that AI redistributes risk rather than simply reducing it. The same systems that allow faster decisions can also make errors at greater speed and scale. A fraud model can reduce false negatives while increasing false positives. A customer-support model can reduce waiting times while also routing vulnerable cases poorly. A decisioning model can increase consistency while making it harder for customers and staff to understand why certain outcomes occurred. In this sense, AI does not remove trade-offs; it changes where the trade-offs sit and who bears them.</w:t>
      </w:r>
    </w:p>
    <w:p w14:paraId="7EEDA9C8" w14:textId="77777777" w:rsidR="0000370D" w:rsidRDefault="0000370D">
      <w:pPr>
        <w:jc w:val="both"/>
      </w:pPr>
    </w:p>
    <w:p w14:paraId="77623FF0" w14:textId="77777777" w:rsidR="00B61819" w:rsidRDefault="00000000">
      <w:pPr>
        <w:jc w:val="both"/>
      </w:pPr>
      <w:r>
        <w:t>This is why the idea of AI as a risk multiplier is more useful than the idea of AI as a pure efficiency tool. Model performance depends on data quality, representativeness and relevance. If the underlying data become stale, biased or poorly governed, the model can reproduce and amplify these weaknesses. Similarly, if customer behaviour changes in response to inflation, scams or product shifts, a once-effective model may degrade. Generative AI adds another layer of risk because it can produce plausible but incorrect outputs, create over-confidence in automated interaction and obscure the line between support automation and decision support. Weak human oversight can convert these technical limitations into conduct problems and reputational harm (Batool et al., 2025).</w:t>
      </w:r>
    </w:p>
    <w:p w14:paraId="0EA281FD" w14:textId="77777777" w:rsidR="0000370D" w:rsidRDefault="0000370D">
      <w:pPr>
        <w:jc w:val="both"/>
      </w:pPr>
    </w:p>
    <w:p w14:paraId="0F3BC6FD" w14:textId="77777777" w:rsidR="00B61819" w:rsidRDefault="00000000">
      <w:pPr>
        <w:jc w:val="both"/>
      </w:pPr>
      <w:r>
        <w:t>Operational concentration risk is another reason to view AI as a multiplier. AI systems rely on infrastructure: data pipelines, feature stores, vendor tools, cloud architecture and monitoring environments. If these fail, drift or become compromised, the model’s apparent intelligence offers little protection. DORA is relevant precisely because digital operational resilience can no longer be separated from business resilience in model-heavy organisations (European Securities and Markets Authority, 2025; Lou et al., 2025). For Revolut, a firm whose growth model depends on digital delivery, AI-related infrastructure risk is therefore not secondary. It is part of core enterprise risk.</w:t>
      </w:r>
    </w:p>
    <w:p w14:paraId="345388A4" w14:textId="77777777" w:rsidR="0000370D" w:rsidRDefault="0000370D">
      <w:pPr>
        <w:jc w:val="both"/>
      </w:pPr>
    </w:p>
    <w:p w14:paraId="034D8180" w14:textId="77777777" w:rsidR="00B61819" w:rsidRDefault="00000000">
      <w:pPr>
        <w:jc w:val="both"/>
      </w:pPr>
      <w:r>
        <w:t xml:space="preserve">There is also a strategic management issue about organisational behaviour. When AI works well, firms may become overconfident in it. Teams start to treat model outputs as neutral or authoritative because they are fast and data-driven. Yet many high-impact decisions in financial services still require judgement about context, vulnerability, fairness and proportionality. If AI becomes normalised without strong challenge processes, the organisation risks developing automation bias: the tendency to defer to system outputs even when nuance is required. This is especially </w:t>
      </w:r>
      <w:r>
        <w:lastRenderedPageBreak/>
        <w:t>problematic in cases involving fraud interventions, account restrictions or affordability concerns, where individual circumstances may matter significantly.</w:t>
      </w:r>
    </w:p>
    <w:p w14:paraId="3BB6A003" w14:textId="77777777" w:rsidR="0000370D" w:rsidRDefault="0000370D">
      <w:pPr>
        <w:jc w:val="both"/>
      </w:pPr>
    </w:p>
    <w:p w14:paraId="4F6DB7B5" w14:textId="77777777" w:rsidR="00B61819" w:rsidRDefault="00000000">
      <w:pPr>
        <w:jc w:val="both"/>
      </w:pPr>
      <w:r>
        <w:t xml:space="preserve">The practical implication is that Revolut should govern AI as a strategic capability embedded inside enterprise risk management. That means model utility should never be assessed solely in terms of detection rate, cost efficiency or customer service throughput. It should also be assessed against false-positive costs, complaint outcomes, bias indicators, escalations, resilience performance and legal defensibility. In other words, success in AI deployment should be defined not only by what the model does quickly, but by whether the surrounding governance makes those outcomes safe, reviewable and aligned with the firm’s long-term </w:t>
      </w:r>
      <w:proofErr w:type="spellStart"/>
      <w:r>
        <w:t>licence</w:t>
      </w:r>
      <w:proofErr w:type="spellEnd"/>
      <w:r>
        <w:t xml:space="preserve"> to operate.</w:t>
      </w:r>
    </w:p>
    <w:p w14:paraId="708F2A05" w14:textId="77777777" w:rsidR="00F64DB4" w:rsidRDefault="00F64DB4">
      <w:pPr>
        <w:jc w:val="both"/>
      </w:pPr>
    </w:p>
    <w:p w14:paraId="3F2D7B0A" w14:textId="77777777" w:rsidR="00B61819" w:rsidRPr="00F64DB4" w:rsidRDefault="00000000">
      <w:pPr>
        <w:pStyle w:val="Heading2"/>
        <w:spacing w:after="120"/>
        <w:rPr>
          <w:sz w:val="28"/>
          <w:szCs w:val="28"/>
        </w:rPr>
      </w:pPr>
      <w:bookmarkStart w:id="7" w:name="_Toc228203268"/>
      <w:r w:rsidRPr="00F64DB4">
        <w:rPr>
          <w:rFonts w:ascii="Times New Roman" w:hAnsi="Times New Roman"/>
          <w:b w:val="0"/>
          <w:sz w:val="28"/>
          <w:szCs w:val="28"/>
        </w:rPr>
        <w:t>3.4 Data Governance, Ethical AI and Model Accountability</w:t>
      </w:r>
      <w:bookmarkEnd w:id="7"/>
    </w:p>
    <w:p w14:paraId="4ED608C5" w14:textId="77777777" w:rsidR="00B61819" w:rsidRDefault="00000000">
      <w:pPr>
        <w:jc w:val="both"/>
      </w:pPr>
      <w:r>
        <w:t>Data governance is the foundation of trustworthy AI because model quality, legality and explainability all depend on the data that feed the system. Revolut’s privacy notice indicates that personal data may be used to run services, prevent fraud, assess eligibility, develop internal models and support automated decisions in areas including affordability, credit, account opening and account restriction (Revolut, 2026b). This means data governance is not a back-office compliance topic. It directly affects who gets access to products, who is flagged as risky, who is stopped from transacting and how easily those outcomes can be justified.</w:t>
      </w:r>
    </w:p>
    <w:p w14:paraId="006EA584" w14:textId="77777777" w:rsidR="0000370D" w:rsidRDefault="0000370D">
      <w:pPr>
        <w:jc w:val="both"/>
      </w:pPr>
    </w:p>
    <w:p w14:paraId="041B5B1E" w14:textId="77777777" w:rsidR="00B61819" w:rsidRDefault="00000000">
      <w:pPr>
        <w:jc w:val="both"/>
      </w:pPr>
      <w:r>
        <w:t>At a minimum, good data governance in this context requires clarity on lawful basis, data lineage, retention logic, cross-border transfer arrangements, feature governance and documentation of how data are transformed into model inputs. If these elements are weak, multiple problems arise simultaneously. The legal basis for processing may be unclear. The model may rely on stale, low-quality or non-representative data. Internal teams may struggle to explain why a decision occurred. Customers may be unable to challenge decisions effectively because the organisation itself cannot reconstruct them clearly. This is why the governance burden rises as AI becomes more material to the business.</w:t>
      </w:r>
    </w:p>
    <w:p w14:paraId="67196972" w14:textId="77777777" w:rsidR="0000370D" w:rsidRDefault="0000370D">
      <w:pPr>
        <w:jc w:val="both"/>
      </w:pPr>
    </w:p>
    <w:p w14:paraId="28833071" w14:textId="77777777" w:rsidR="00B61819" w:rsidRDefault="00000000">
      <w:pPr>
        <w:jc w:val="both"/>
      </w:pPr>
      <w:r>
        <w:t xml:space="preserve">The ethical dimension follows directly from the data dimension. Ethical AI in financial services is not well captured by broad statements about innovation or responsibility. It is operational. It concerns whether customer data are used proportionately, whether automated outcomes treat comparable customers consistently, whether protected or vulnerable groups are disproportionately harmed, and whether people can understand and contest decisions that matter to them. Literature on fintech trust consistently identifies privacy, transparency, fairness and accountability as central drivers of willingness to use digital financial services (Aldboush and Ferdous, 2023). For Revolut, </w:t>
      </w:r>
      <w:r>
        <w:lastRenderedPageBreak/>
        <w:t>this is highly relevant because the firm’s brand promise depends on convenience and control. If automation produces unexplained or seemingly unfair outcomes, that promise weakens quickly.</w:t>
      </w:r>
    </w:p>
    <w:p w14:paraId="7703740D" w14:textId="77777777" w:rsidR="0000370D" w:rsidRDefault="0000370D">
      <w:pPr>
        <w:jc w:val="both"/>
      </w:pPr>
    </w:p>
    <w:p w14:paraId="4BE62EC6" w14:textId="77777777" w:rsidR="00B61819" w:rsidRDefault="00000000">
      <w:pPr>
        <w:jc w:val="both"/>
      </w:pPr>
      <w:r>
        <w:t>Regulatory guidance reinforces this point. The Information Commissioner’s Office and the European Data Protection Board have both emphasised that automated decision-making and profiling require careful attention to lawful processing, meaningful information and meaningful human involvement when legal or similarly significant effects are involved (Information Commissioner’s Office, 2022; European Data Protection Board, 2018). The phrase meaningful human involvement is critical. It implies more than a procedural label. A nominal human reviewer who simply rubber-stamps a model outcome is not sufficient. The reviewer must have access to relevant context, authority to depart from the model and enough time and training to make a substantive judgement.</w:t>
      </w:r>
    </w:p>
    <w:p w14:paraId="30D62001" w14:textId="77777777" w:rsidR="0000370D" w:rsidRDefault="0000370D">
      <w:pPr>
        <w:jc w:val="both"/>
      </w:pPr>
    </w:p>
    <w:p w14:paraId="589D45F5" w14:textId="77777777" w:rsidR="00B61819" w:rsidRDefault="00000000">
      <w:pPr>
        <w:jc w:val="both"/>
      </w:pPr>
      <w:r>
        <w:t>Model accountability therefore has to be built deliberately. Revolut should know which models are in production, which data they rely on, what outcomes they influence, who owns them, how they are monitored and when they must be escalated. High-impact use cases should not be governed in the same way as low-impact ones. A marketing recommendation system and an account restriction model do not carry the same level of customer harm or legal exposure. Use-case tiering is therefore essential. It allows the business to apply proportionate controls while ensuring that high-consequence models receive stronger testing, documentation, review and governance.</w:t>
      </w:r>
    </w:p>
    <w:p w14:paraId="2656CD10" w14:textId="77777777" w:rsidR="0000370D" w:rsidRDefault="0000370D">
      <w:pPr>
        <w:jc w:val="both"/>
      </w:pPr>
    </w:p>
    <w:p w14:paraId="2491B4A7" w14:textId="77777777" w:rsidR="00B61819" w:rsidRDefault="00000000">
      <w:pPr>
        <w:jc w:val="both"/>
      </w:pPr>
      <w:r>
        <w:t>A further issue is explainability. It is unrealistic to expect every model to be fully interpretable in a simple sense, especially when systems are complex or layered. Yet from a governance perspective the relevant standard is not perfect transparency. It is adequate explainability for the decision context. Senior management, regulators, internal audit and affected customers do not all need the same explanation. What matters is that the firm can produce explanations that are appropriate to each audience and sufficiently robust for accountability. This may include reason codes for customer decisions, model cards for internal governance, and documented limits on how outputs should be used operationally.</w:t>
      </w:r>
    </w:p>
    <w:p w14:paraId="51598094" w14:textId="77777777" w:rsidR="0000370D" w:rsidRDefault="0000370D">
      <w:pPr>
        <w:jc w:val="both"/>
      </w:pPr>
    </w:p>
    <w:p w14:paraId="04CC2CAF" w14:textId="77777777" w:rsidR="00E76BCC" w:rsidRDefault="00000000">
      <w:r>
        <w:t xml:space="preserve">This creates a direct tension between efficiency and explainability. In practice, the models that maximise predictive performance are often the ones least intuitive to customers, frontline reviewers and even senior managers. Yet in high-stakes financial contexts, opacity is not a neutral technical feature; it can weaken challenge, delay remediation and make lawful justification harder. Moreover, what appears low stakes case by case can become high stakes in aggregate when repeated flags, delays or denials accumulate over time. Revolut therefore needs </w:t>
      </w:r>
      <w:r>
        <w:lastRenderedPageBreak/>
        <w:t>actionable explanation, not merely accurate prediction (Coussement et al., 2024; Munch et al., 2024).</w:t>
      </w:r>
    </w:p>
    <w:p w14:paraId="27DAEA07" w14:textId="77777777" w:rsidR="00B61819" w:rsidRDefault="00000000">
      <w:pPr>
        <w:jc w:val="both"/>
      </w:pPr>
      <w:r>
        <w:t>The strongest conclusion here is that data governance and ethical AI are not parallel workstreams. They are the same governance challenge viewed from legal, operational and moral angles. If Revolut wants AI to be a durable advantage, it must treat model documentation, data quality, fairness review, vulnerability assessment and human oversight as part of ordinary risk management discipline rather than as special projects triggered only by regulatory pressure.</w:t>
      </w:r>
    </w:p>
    <w:p w14:paraId="7B1A04D0" w14:textId="77777777" w:rsidR="00F64DB4" w:rsidRDefault="00F64DB4">
      <w:pPr>
        <w:jc w:val="both"/>
      </w:pPr>
    </w:p>
    <w:p w14:paraId="1450C7B7" w14:textId="77777777" w:rsidR="00B61819" w:rsidRPr="00F64DB4" w:rsidRDefault="00000000">
      <w:pPr>
        <w:pStyle w:val="Heading2"/>
        <w:spacing w:after="120"/>
        <w:rPr>
          <w:sz w:val="28"/>
          <w:szCs w:val="28"/>
        </w:rPr>
      </w:pPr>
      <w:bookmarkStart w:id="8" w:name="_Toc228203269"/>
      <w:r w:rsidRPr="00F64DB4">
        <w:rPr>
          <w:rFonts w:ascii="Times New Roman" w:hAnsi="Times New Roman"/>
          <w:b w:val="0"/>
          <w:sz w:val="28"/>
          <w:szCs w:val="28"/>
        </w:rPr>
        <w:t>3.5 Customer Trust, Conduct Risk and Peer Benchmark</w:t>
      </w:r>
      <w:bookmarkEnd w:id="8"/>
    </w:p>
    <w:p w14:paraId="7A0A81A8" w14:textId="77777777" w:rsidR="00B61819" w:rsidRDefault="00000000">
      <w:pPr>
        <w:jc w:val="both"/>
      </w:pPr>
      <w:r>
        <w:t>Customer trust and conduct risk are strategically inseparable in digital finance because trust is one of the few durable assets a fintech can build at scale. Customers may initially adopt a service because it is cheaper, faster or more convenient, but they remain with it only if they believe the firm will treat them fairly when things go wrong. AI complicates this because many of the most commercially valuable use cases in financial services also have the greatest potential to damage trust: fraud blocking, account restrictions, affordability checks, complaint triage and automated support.</w:t>
      </w:r>
    </w:p>
    <w:p w14:paraId="1D03531A" w14:textId="77777777" w:rsidR="0000370D" w:rsidRDefault="0000370D">
      <w:pPr>
        <w:jc w:val="both"/>
      </w:pPr>
    </w:p>
    <w:p w14:paraId="001D037F" w14:textId="77777777" w:rsidR="00B61819" w:rsidRDefault="00000000">
      <w:pPr>
        <w:jc w:val="both"/>
      </w:pPr>
      <w:r>
        <w:t>In the UK, the Financial Conduct Authority has made clear that Consumer Duty remains central to its 2025 to 2026 priorities and is intended to deepen trust, rebalance risk, support growth and improve lives (Financial Conduct Authority, 2025a). For Revolut, this means AI-enabled processes should be evaluated not only through efficiency metrics but also through customer outcomes. A system that resolves tickets faster but produces poor outcomes for vulnerable customers may be operationally efficient while failing a conduct standard. Similarly, the Payment Systems Regulator’s APP fraud reimbursement framework increases the financial consequences of weak scam controls and weak post-event customer handling (Payment Systems Regulator, 2025). Conduct risk is therefore no longer separable from operational design.</w:t>
      </w:r>
    </w:p>
    <w:p w14:paraId="14115FB7" w14:textId="77777777" w:rsidR="0000370D" w:rsidRDefault="0000370D">
      <w:pPr>
        <w:jc w:val="both"/>
      </w:pPr>
    </w:p>
    <w:p w14:paraId="741BBD2E" w14:textId="77777777" w:rsidR="00B61819" w:rsidRDefault="00000000">
      <w:pPr>
        <w:jc w:val="both"/>
      </w:pPr>
      <w:r>
        <w:t>The same problem appears in a somewhat different form in the European Union. There, the language of trustworthy AI, data rights and high-risk system governance places greater emphasis on formal accountability, transparency and rights of affected individuals (European Commission, 2025). Yet the practical issue is similar: customers must be able to understand, challenge and obtain remedy when automated systems materially affect them. Revolut therefore needs to think of trust not as soft reputation management, but as a measurable risk variable. False positives, appeals, complaint rates, time to human escalation and outcomes for vulnerable customers should be monitored as seriously as fraud savings or service throughput.</w:t>
      </w:r>
    </w:p>
    <w:p w14:paraId="62732AB1" w14:textId="77777777" w:rsidR="0000370D" w:rsidRDefault="0000370D">
      <w:pPr>
        <w:jc w:val="both"/>
      </w:pPr>
    </w:p>
    <w:p w14:paraId="673587B2" w14:textId="77777777" w:rsidR="00B61819" w:rsidRDefault="00000000">
      <w:pPr>
        <w:jc w:val="both"/>
      </w:pPr>
      <w:r>
        <w:lastRenderedPageBreak/>
        <w:t>A short benchmark against peers reinforces this point. Monzo’s Annual Report 2025 shows a business that, while much smaller than Revolut in international reach, has grown to more than 12 million customers within a more concentrated UK banking context (Monzo, 2025). Wise’s Annual Report and Accounts 2025 reports 15.6 million active customers and a large cross-border payments business, but one with a narrower product mix and more focused proposition than Revolut (Wise plc, 2025). Compared with these peers, Revolut faces a more complex combination of product breadth, geographic expansion and multi-regime AI governance. That does not necessarily make its strategy weaker, but it does mean its governance burden is heavier. More specifically, Revolut’s governance load is heavier because complexity arises on several dimensions at once: broader product scope than Wise, less domestic concentration than Monzo, more cross-border entity structuring, and a wider range of automated decisions spanning fraud, onboarding, support and eligibility. This means control mapping, documentation, escalation and customer-redress processes cannot be standardised as easily across the firm. Scale matters, but heterogeneity matters more for AI governance (Papagiannidis et al., 2025; Revolut, 2026a).</w:t>
      </w:r>
    </w:p>
    <w:p w14:paraId="332B5CD4" w14:textId="77777777" w:rsidR="00F64DB4" w:rsidRDefault="00F64DB4">
      <w:pPr>
        <w:jc w:val="both"/>
      </w:pPr>
    </w:p>
    <w:p w14:paraId="0BA394CE" w14:textId="77777777" w:rsidR="00B61819" w:rsidRDefault="00000000">
      <w:pPr>
        <w:pStyle w:val="Heading1"/>
      </w:pPr>
      <w:bookmarkStart w:id="9" w:name="_Toc228203270"/>
      <w:r>
        <w:rPr>
          <w:rFonts w:ascii="Times New Roman" w:hAnsi="Times New Roman"/>
          <w:b w:val="0"/>
        </w:rPr>
        <w:t>4. Recommendations and Implementation Plan</w:t>
      </w:r>
      <w:bookmarkEnd w:id="9"/>
    </w:p>
    <w:p w14:paraId="1D904DD9" w14:textId="77777777" w:rsidR="00B61819" w:rsidRDefault="00000000">
      <w:pPr>
        <w:jc w:val="both"/>
      </w:pPr>
      <w:r>
        <w:t>The analysis supports six main recommendations for Revolut. Together, they are designed to future-proof governance rather than merely react to current regulation.</w:t>
      </w:r>
    </w:p>
    <w:p w14:paraId="44073B59" w14:textId="77777777" w:rsidR="00B61819" w:rsidRDefault="00000000">
      <w:pPr>
        <w:jc w:val="both"/>
      </w:pPr>
      <w:r>
        <w:t>First, Revolut should adopt a board-approved enterprise AI governance framework. This should define AI risk appetite, decision rights, escalation thresholds and minimum control standards for all material AI use cases. It should also make clear which committee owns AI risk at board level, how management information will be reported, and when a use case requires legal, compliance or conduct sign-off before deployment. This matters because fragmented governance is one of the main risks in fast-scaling firms: AI initiatives appear in many functions at once, but no single framework ensures consistency of oversight.</w:t>
      </w:r>
    </w:p>
    <w:p w14:paraId="7CC865CF" w14:textId="77777777" w:rsidR="0000370D" w:rsidRDefault="0000370D">
      <w:pPr>
        <w:jc w:val="both"/>
      </w:pPr>
    </w:p>
    <w:p w14:paraId="647CA40A" w14:textId="77777777" w:rsidR="00B61819" w:rsidRDefault="00000000">
      <w:pPr>
        <w:jc w:val="both"/>
      </w:pPr>
      <w:r>
        <w:t>Second, Revolut should build a single enterprise AI inventory with risk tiering. Every relevant use case should have a named owner, a business purpose, a jurisdiction map, the data categories used, the legal basis for processing, the model type, the decision it influences and the level of potential customer harm. Use cases involving credit eligibility, affordability, account restriction, fraud blocking or customer vulnerability should automatically be classified as high scrutiny. This would create a practical bridge between strategy and control and help the firm respond quickly to future regulation.</w:t>
      </w:r>
    </w:p>
    <w:p w14:paraId="4B9D89B2" w14:textId="77777777" w:rsidR="0000370D" w:rsidRDefault="0000370D">
      <w:pPr>
        <w:jc w:val="both"/>
      </w:pPr>
    </w:p>
    <w:p w14:paraId="1CAE0441" w14:textId="77777777" w:rsidR="00B61819" w:rsidRDefault="00000000">
      <w:pPr>
        <w:jc w:val="both"/>
      </w:pPr>
      <w:r>
        <w:t xml:space="preserve">Third, Revolut should strengthen AI-specific data governance and model documentation. Material models should require documented data lineage, training-data justification, retention logic, representativeness checks, performance thresholds and model monitoring plans. They should also </w:t>
      </w:r>
      <w:r>
        <w:lastRenderedPageBreak/>
        <w:t>include records of third-party tools or external providers that are operationally important. This recommendation is not only about compliance with data law or the EU AI Act. It is about making the business governable. Without strong documentation, internal challenge becomes weak, auditability declines and customer explanation becomes harder.</w:t>
      </w:r>
    </w:p>
    <w:p w14:paraId="3C26AF2A" w14:textId="77777777" w:rsidR="0000370D" w:rsidRDefault="0000370D">
      <w:pPr>
        <w:jc w:val="both"/>
      </w:pPr>
    </w:p>
    <w:p w14:paraId="5AE5E550" w14:textId="77777777" w:rsidR="00B61819" w:rsidRDefault="00000000">
      <w:pPr>
        <w:jc w:val="both"/>
      </w:pPr>
      <w:r>
        <w:t>Fourth, Revolut should formalise meaningful human review for materially adverse outcomes. It should define a set of decisions for which human review is mandatory either before action or immediately after automated action. These should include prolonged account restrictions, repeated fraud flags, suspected vulnerability, complex complaints and decisions with major financial consequences. Human review should be supported by clear operating procedures, training and management information so that reviewers are not simply approving model outputs.</w:t>
      </w:r>
    </w:p>
    <w:p w14:paraId="1FAB9012" w14:textId="77777777" w:rsidR="0000370D" w:rsidRDefault="0000370D">
      <w:pPr>
        <w:jc w:val="both"/>
      </w:pPr>
    </w:p>
    <w:p w14:paraId="409B14A4" w14:textId="77777777" w:rsidR="00B61819" w:rsidRDefault="00000000">
      <w:pPr>
        <w:jc w:val="both"/>
      </w:pPr>
      <w:r>
        <w:t>Fifth, Revolut should build an explicit customer trust architecture around AI. This should include plain-language explanation templates, visible escalation routes, stronger complaint handling protocols and customer-facing information about how to request review where automation has significant effects. Internally, the company should track a trust dashboard covering false positives, appeals, turnaround time for review, complaint themes, vulnerable-customer indicators and remediation outcomes. This would allow senior management to see whether AI is improving customer outcomes or merely moving operational pressure elsewhere.</w:t>
      </w:r>
    </w:p>
    <w:p w14:paraId="33821E73" w14:textId="77777777" w:rsidR="0000370D" w:rsidRDefault="0000370D">
      <w:pPr>
        <w:jc w:val="both"/>
      </w:pPr>
    </w:p>
    <w:p w14:paraId="1873A49B" w14:textId="77777777" w:rsidR="00B61819" w:rsidRDefault="00000000">
      <w:pPr>
        <w:jc w:val="both"/>
      </w:pPr>
      <w:r>
        <w:t>Sixth, Revolut should stress-test AI-enabled operations against emerging threats and macroeconomic shocks. Scenario analysis should cover deepfake-enabled fraud surges, sudden increases in scam volumes during consumer stress, vendor or cloud outage, deterioration in model performance during economic downturns, and failure of generative-AI support systems to escalate complex or vulnerable cases. These tests should involve risk, operations, engineering and compliance rather than remaining purely technical exercises.</w:t>
      </w:r>
    </w:p>
    <w:p w14:paraId="4CD94C97" w14:textId="77777777" w:rsidR="0000370D" w:rsidRDefault="0000370D">
      <w:pPr>
        <w:jc w:val="both"/>
      </w:pPr>
    </w:p>
    <w:p w14:paraId="277E9DA9" w14:textId="77777777" w:rsidR="00B61819" w:rsidRDefault="00000000">
      <w:pPr>
        <w:pStyle w:val="Heading2"/>
        <w:spacing w:after="120"/>
        <w:rPr>
          <w:rFonts w:ascii="Times New Roman" w:hAnsi="Times New Roman"/>
          <w:b w:val="0"/>
          <w:sz w:val="28"/>
          <w:szCs w:val="28"/>
        </w:rPr>
      </w:pPr>
      <w:bookmarkStart w:id="10" w:name="_Toc228203271"/>
      <w:r w:rsidRPr="00F64DB4">
        <w:rPr>
          <w:rFonts w:ascii="Times New Roman" w:hAnsi="Times New Roman"/>
          <w:b w:val="0"/>
          <w:sz w:val="28"/>
          <w:szCs w:val="28"/>
        </w:rPr>
        <w:t>Implementation Plan</w:t>
      </w:r>
      <w:bookmarkEnd w:id="10"/>
    </w:p>
    <w:p w14:paraId="0757DAE4" w14:textId="77777777" w:rsidR="00F64DB4" w:rsidRPr="00F64DB4" w:rsidRDefault="00F64DB4" w:rsidP="00F64DB4"/>
    <w:tbl>
      <w:tblPr>
        <w:tblStyle w:val="TableGrid"/>
        <w:tblW w:w="0" w:type="auto"/>
        <w:jc w:val="center"/>
        <w:tblLook w:val="04A0" w:firstRow="1" w:lastRow="0" w:firstColumn="1" w:lastColumn="0" w:noHBand="0" w:noVBand="1"/>
      </w:tblPr>
      <w:tblGrid>
        <w:gridCol w:w="2337"/>
        <w:gridCol w:w="2337"/>
        <w:gridCol w:w="2338"/>
        <w:gridCol w:w="2338"/>
      </w:tblGrid>
      <w:tr w:rsidR="00B61819" w14:paraId="4900F148" w14:textId="77777777">
        <w:trPr>
          <w:jc w:val="center"/>
        </w:trPr>
        <w:tc>
          <w:tcPr>
            <w:tcW w:w="2340" w:type="dxa"/>
          </w:tcPr>
          <w:p w14:paraId="3F731D95" w14:textId="77777777" w:rsidR="00B61819" w:rsidRDefault="00000000">
            <w:pPr>
              <w:spacing w:after="40"/>
            </w:pPr>
            <w:r>
              <w:rPr>
                <w:sz w:val="21"/>
              </w:rPr>
              <w:t>Phase</w:t>
            </w:r>
          </w:p>
        </w:tc>
        <w:tc>
          <w:tcPr>
            <w:tcW w:w="2340" w:type="dxa"/>
          </w:tcPr>
          <w:p w14:paraId="3E42B804" w14:textId="77777777" w:rsidR="00B61819" w:rsidRDefault="00000000">
            <w:pPr>
              <w:spacing w:after="40"/>
            </w:pPr>
            <w:r>
              <w:rPr>
                <w:sz w:val="21"/>
              </w:rPr>
              <w:t>Timing</w:t>
            </w:r>
          </w:p>
        </w:tc>
        <w:tc>
          <w:tcPr>
            <w:tcW w:w="2340" w:type="dxa"/>
          </w:tcPr>
          <w:p w14:paraId="209A57F5" w14:textId="77777777" w:rsidR="00B61819" w:rsidRDefault="00000000">
            <w:pPr>
              <w:spacing w:after="40"/>
            </w:pPr>
            <w:r>
              <w:rPr>
                <w:sz w:val="21"/>
              </w:rPr>
              <w:t>Priority Actions</w:t>
            </w:r>
          </w:p>
        </w:tc>
        <w:tc>
          <w:tcPr>
            <w:tcW w:w="2340" w:type="dxa"/>
          </w:tcPr>
          <w:p w14:paraId="5C2D180F" w14:textId="77777777" w:rsidR="00B61819" w:rsidRDefault="00000000">
            <w:pPr>
              <w:spacing w:after="40"/>
            </w:pPr>
            <w:r>
              <w:rPr>
                <w:sz w:val="21"/>
              </w:rPr>
              <w:t>Lead Functions</w:t>
            </w:r>
          </w:p>
        </w:tc>
      </w:tr>
      <w:tr w:rsidR="00B61819" w14:paraId="59ADA790" w14:textId="77777777">
        <w:trPr>
          <w:jc w:val="center"/>
        </w:trPr>
        <w:tc>
          <w:tcPr>
            <w:tcW w:w="2340" w:type="dxa"/>
          </w:tcPr>
          <w:p w14:paraId="44353E55" w14:textId="77777777" w:rsidR="00B61819" w:rsidRDefault="00000000">
            <w:pPr>
              <w:spacing w:after="40"/>
            </w:pPr>
            <w:r>
              <w:rPr>
                <w:sz w:val="21"/>
              </w:rPr>
              <w:t>1</w:t>
            </w:r>
          </w:p>
        </w:tc>
        <w:tc>
          <w:tcPr>
            <w:tcW w:w="2340" w:type="dxa"/>
          </w:tcPr>
          <w:p w14:paraId="49A5214A" w14:textId="77777777" w:rsidR="00B61819" w:rsidRDefault="00000000">
            <w:pPr>
              <w:spacing w:after="40"/>
            </w:pPr>
            <w:r>
              <w:rPr>
                <w:sz w:val="21"/>
              </w:rPr>
              <w:t>0-3 months</w:t>
            </w:r>
          </w:p>
        </w:tc>
        <w:tc>
          <w:tcPr>
            <w:tcW w:w="2340" w:type="dxa"/>
          </w:tcPr>
          <w:p w14:paraId="5EFAE8A0" w14:textId="77777777" w:rsidR="00B61819" w:rsidRDefault="00000000">
            <w:pPr>
              <w:spacing w:after="40"/>
            </w:pPr>
            <w:r>
              <w:rPr>
                <w:sz w:val="21"/>
              </w:rPr>
              <w:t>Approve AI governance framework, define risk appetite, appoint accountable executive owner</w:t>
            </w:r>
          </w:p>
        </w:tc>
        <w:tc>
          <w:tcPr>
            <w:tcW w:w="2340" w:type="dxa"/>
          </w:tcPr>
          <w:p w14:paraId="5ABB2CAC" w14:textId="77777777" w:rsidR="00B61819" w:rsidRDefault="00000000">
            <w:pPr>
              <w:spacing w:after="40"/>
            </w:pPr>
            <w:r>
              <w:rPr>
                <w:sz w:val="21"/>
              </w:rPr>
              <w:t>Board, CRO, Compliance</w:t>
            </w:r>
          </w:p>
        </w:tc>
      </w:tr>
      <w:tr w:rsidR="00B61819" w14:paraId="0F7E3FB4" w14:textId="77777777">
        <w:trPr>
          <w:jc w:val="center"/>
        </w:trPr>
        <w:tc>
          <w:tcPr>
            <w:tcW w:w="2340" w:type="dxa"/>
          </w:tcPr>
          <w:p w14:paraId="76021A6C" w14:textId="77777777" w:rsidR="00B61819" w:rsidRDefault="00000000">
            <w:pPr>
              <w:spacing w:after="40"/>
            </w:pPr>
            <w:r>
              <w:rPr>
                <w:sz w:val="21"/>
              </w:rPr>
              <w:t>2</w:t>
            </w:r>
          </w:p>
        </w:tc>
        <w:tc>
          <w:tcPr>
            <w:tcW w:w="2340" w:type="dxa"/>
          </w:tcPr>
          <w:p w14:paraId="49BC9CA4" w14:textId="77777777" w:rsidR="00B61819" w:rsidRDefault="00000000">
            <w:pPr>
              <w:spacing w:after="40"/>
            </w:pPr>
            <w:r>
              <w:rPr>
                <w:sz w:val="21"/>
              </w:rPr>
              <w:t>3-6 months</w:t>
            </w:r>
          </w:p>
        </w:tc>
        <w:tc>
          <w:tcPr>
            <w:tcW w:w="2340" w:type="dxa"/>
          </w:tcPr>
          <w:p w14:paraId="63D21FB6" w14:textId="77777777" w:rsidR="00B61819" w:rsidRDefault="00000000">
            <w:pPr>
              <w:spacing w:after="40"/>
            </w:pPr>
            <w:r>
              <w:rPr>
                <w:sz w:val="21"/>
              </w:rPr>
              <w:t xml:space="preserve">Complete enterprise AI inventory and classify </w:t>
            </w:r>
            <w:r>
              <w:rPr>
                <w:sz w:val="21"/>
              </w:rPr>
              <w:lastRenderedPageBreak/>
              <w:t>use cases by jurisdiction and impact</w:t>
            </w:r>
          </w:p>
        </w:tc>
        <w:tc>
          <w:tcPr>
            <w:tcW w:w="2340" w:type="dxa"/>
          </w:tcPr>
          <w:p w14:paraId="0F1764AF" w14:textId="77777777" w:rsidR="00B61819" w:rsidRDefault="00000000">
            <w:pPr>
              <w:spacing w:after="40"/>
            </w:pPr>
            <w:r>
              <w:rPr>
                <w:sz w:val="21"/>
              </w:rPr>
              <w:lastRenderedPageBreak/>
              <w:t>Risk, Legal, Product</w:t>
            </w:r>
          </w:p>
        </w:tc>
      </w:tr>
      <w:tr w:rsidR="00B61819" w14:paraId="47EF6F9D" w14:textId="77777777">
        <w:trPr>
          <w:jc w:val="center"/>
        </w:trPr>
        <w:tc>
          <w:tcPr>
            <w:tcW w:w="2340" w:type="dxa"/>
          </w:tcPr>
          <w:p w14:paraId="795EA3B8" w14:textId="77777777" w:rsidR="00B61819" w:rsidRDefault="00000000">
            <w:pPr>
              <w:spacing w:after="40"/>
            </w:pPr>
            <w:r>
              <w:rPr>
                <w:sz w:val="21"/>
              </w:rPr>
              <w:t>3</w:t>
            </w:r>
          </w:p>
        </w:tc>
        <w:tc>
          <w:tcPr>
            <w:tcW w:w="2340" w:type="dxa"/>
          </w:tcPr>
          <w:p w14:paraId="3EBBC70D" w14:textId="77777777" w:rsidR="00B61819" w:rsidRDefault="00000000">
            <w:pPr>
              <w:spacing w:after="40"/>
            </w:pPr>
            <w:r>
              <w:rPr>
                <w:sz w:val="21"/>
              </w:rPr>
              <w:t>6-9 months</w:t>
            </w:r>
          </w:p>
        </w:tc>
        <w:tc>
          <w:tcPr>
            <w:tcW w:w="2340" w:type="dxa"/>
          </w:tcPr>
          <w:p w14:paraId="44D00547" w14:textId="77777777" w:rsidR="00B61819" w:rsidRDefault="00000000">
            <w:pPr>
              <w:spacing w:after="40"/>
            </w:pPr>
            <w:r>
              <w:rPr>
                <w:sz w:val="21"/>
              </w:rPr>
              <w:t>Introduce AI-specific data lineage, model documentation and dependency mapping controls</w:t>
            </w:r>
          </w:p>
        </w:tc>
        <w:tc>
          <w:tcPr>
            <w:tcW w:w="2340" w:type="dxa"/>
          </w:tcPr>
          <w:p w14:paraId="7B676089" w14:textId="77777777" w:rsidR="00B61819" w:rsidRDefault="00000000">
            <w:pPr>
              <w:spacing w:after="40"/>
            </w:pPr>
            <w:r>
              <w:rPr>
                <w:sz w:val="21"/>
              </w:rPr>
              <w:t>Data Governance, Engineering</w:t>
            </w:r>
          </w:p>
        </w:tc>
      </w:tr>
      <w:tr w:rsidR="00B61819" w14:paraId="09FA7239" w14:textId="77777777">
        <w:trPr>
          <w:jc w:val="center"/>
        </w:trPr>
        <w:tc>
          <w:tcPr>
            <w:tcW w:w="2340" w:type="dxa"/>
          </w:tcPr>
          <w:p w14:paraId="4799C003" w14:textId="77777777" w:rsidR="00B61819" w:rsidRDefault="00000000">
            <w:pPr>
              <w:spacing w:after="40"/>
            </w:pPr>
            <w:r>
              <w:rPr>
                <w:sz w:val="21"/>
              </w:rPr>
              <w:t>4</w:t>
            </w:r>
          </w:p>
        </w:tc>
        <w:tc>
          <w:tcPr>
            <w:tcW w:w="2340" w:type="dxa"/>
          </w:tcPr>
          <w:p w14:paraId="70681518" w14:textId="77777777" w:rsidR="00B61819" w:rsidRDefault="00000000">
            <w:pPr>
              <w:spacing w:after="40"/>
            </w:pPr>
            <w:r>
              <w:rPr>
                <w:sz w:val="21"/>
              </w:rPr>
              <w:t>9-12 months</w:t>
            </w:r>
          </w:p>
        </w:tc>
        <w:tc>
          <w:tcPr>
            <w:tcW w:w="2340" w:type="dxa"/>
          </w:tcPr>
          <w:p w14:paraId="63FE2A09" w14:textId="77777777" w:rsidR="00B61819" w:rsidRDefault="00000000">
            <w:pPr>
              <w:spacing w:after="40"/>
            </w:pPr>
            <w:r>
              <w:rPr>
                <w:sz w:val="21"/>
              </w:rPr>
              <w:t>Implement mandatory human-review protocols for high-impact and vulnerable-customer cases</w:t>
            </w:r>
          </w:p>
        </w:tc>
        <w:tc>
          <w:tcPr>
            <w:tcW w:w="2340" w:type="dxa"/>
          </w:tcPr>
          <w:p w14:paraId="289F7FE6" w14:textId="77777777" w:rsidR="00B61819" w:rsidRDefault="00000000">
            <w:pPr>
              <w:spacing w:after="40"/>
            </w:pPr>
            <w:r>
              <w:rPr>
                <w:sz w:val="21"/>
              </w:rPr>
              <w:t>Operations, Compliance</w:t>
            </w:r>
          </w:p>
        </w:tc>
      </w:tr>
      <w:tr w:rsidR="00B61819" w14:paraId="15C44E3A" w14:textId="77777777">
        <w:trPr>
          <w:jc w:val="center"/>
        </w:trPr>
        <w:tc>
          <w:tcPr>
            <w:tcW w:w="2340" w:type="dxa"/>
          </w:tcPr>
          <w:p w14:paraId="67FCBC1D" w14:textId="77777777" w:rsidR="00B61819" w:rsidRDefault="00000000">
            <w:pPr>
              <w:spacing w:after="40"/>
            </w:pPr>
            <w:r>
              <w:rPr>
                <w:sz w:val="21"/>
              </w:rPr>
              <w:t>5</w:t>
            </w:r>
          </w:p>
        </w:tc>
        <w:tc>
          <w:tcPr>
            <w:tcW w:w="2340" w:type="dxa"/>
          </w:tcPr>
          <w:p w14:paraId="65C98258" w14:textId="77777777" w:rsidR="00B61819" w:rsidRDefault="00000000">
            <w:pPr>
              <w:spacing w:after="40"/>
            </w:pPr>
            <w:r>
              <w:rPr>
                <w:sz w:val="21"/>
              </w:rPr>
              <w:t>12-15 months</w:t>
            </w:r>
          </w:p>
        </w:tc>
        <w:tc>
          <w:tcPr>
            <w:tcW w:w="2340" w:type="dxa"/>
          </w:tcPr>
          <w:p w14:paraId="7E9A53B0" w14:textId="77777777" w:rsidR="00B61819" w:rsidRDefault="00000000">
            <w:pPr>
              <w:spacing w:after="40"/>
            </w:pPr>
            <w:r>
              <w:rPr>
                <w:sz w:val="21"/>
              </w:rPr>
              <w:t>Launch trust dashboard covering appeals, complaints, false positives and remediation outcomes</w:t>
            </w:r>
          </w:p>
        </w:tc>
        <w:tc>
          <w:tcPr>
            <w:tcW w:w="2340" w:type="dxa"/>
          </w:tcPr>
          <w:p w14:paraId="01899275" w14:textId="77777777" w:rsidR="00B61819" w:rsidRDefault="00000000">
            <w:pPr>
              <w:spacing w:after="40"/>
            </w:pPr>
            <w:r>
              <w:rPr>
                <w:sz w:val="21"/>
              </w:rPr>
              <w:t>Conduct Risk, Analytics</w:t>
            </w:r>
          </w:p>
        </w:tc>
      </w:tr>
      <w:tr w:rsidR="00B61819" w14:paraId="49435938" w14:textId="77777777">
        <w:trPr>
          <w:jc w:val="center"/>
        </w:trPr>
        <w:tc>
          <w:tcPr>
            <w:tcW w:w="2340" w:type="dxa"/>
          </w:tcPr>
          <w:p w14:paraId="26F9B1A2" w14:textId="77777777" w:rsidR="00B61819" w:rsidRDefault="00000000">
            <w:pPr>
              <w:spacing w:after="40"/>
            </w:pPr>
            <w:r>
              <w:rPr>
                <w:sz w:val="21"/>
              </w:rPr>
              <w:t>6</w:t>
            </w:r>
          </w:p>
        </w:tc>
        <w:tc>
          <w:tcPr>
            <w:tcW w:w="2340" w:type="dxa"/>
          </w:tcPr>
          <w:p w14:paraId="5420596C" w14:textId="77777777" w:rsidR="00B61819" w:rsidRDefault="00000000">
            <w:pPr>
              <w:spacing w:after="40"/>
            </w:pPr>
            <w:r>
              <w:rPr>
                <w:sz w:val="21"/>
              </w:rPr>
              <w:t>15-18 months</w:t>
            </w:r>
          </w:p>
        </w:tc>
        <w:tc>
          <w:tcPr>
            <w:tcW w:w="2340" w:type="dxa"/>
          </w:tcPr>
          <w:p w14:paraId="781363F4" w14:textId="77777777" w:rsidR="00B61819" w:rsidRDefault="00000000">
            <w:pPr>
              <w:spacing w:after="40"/>
            </w:pPr>
            <w:r>
              <w:rPr>
                <w:sz w:val="21"/>
              </w:rPr>
              <w:t>Run enterprise AI stress tests, validate remediation plans and close material gaps</w:t>
            </w:r>
          </w:p>
        </w:tc>
        <w:tc>
          <w:tcPr>
            <w:tcW w:w="2340" w:type="dxa"/>
          </w:tcPr>
          <w:p w14:paraId="1AEE7676" w14:textId="77777777" w:rsidR="00B61819" w:rsidRDefault="00000000">
            <w:pPr>
              <w:spacing w:after="40"/>
            </w:pPr>
            <w:r>
              <w:rPr>
                <w:sz w:val="21"/>
              </w:rPr>
              <w:t>Operational Resilience, Internal Audit</w:t>
            </w:r>
          </w:p>
        </w:tc>
      </w:tr>
    </w:tbl>
    <w:p w14:paraId="37C296B5" w14:textId="77777777" w:rsidR="00B61819" w:rsidRDefault="00000000">
      <w:pPr>
        <w:jc w:val="both"/>
      </w:pPr>
      <w:r>
        <w:t>This sequencing matters. The greatest risk for a fast-growing fintech is not simply under-governance. It is oscillation between under-governance and control overload. A staged model is more realistic: first identify and prioritise, then strengthen documentation and oversight, then deepen customer and resilience controls. Such sequencing is also strategically preferable because it aligns control intensity with actual risk rather than creating a universal compliance burden that slows lower-risk innovation unnecessarily.</w:t>
      </w:r>
    </w:p>
    <w:p w14:paraId="00861551" w14:textId="77777777" w:rsidR="00F64DB4" w:rsidRDefault="00F64DB4">
      <w:pPr>
        <w:jc w:val="both"/>
      </w:pPr>
    </w:p>
    <w:p w14:paraId="3F1C5DAB" w14:textId="77777777" w:rsidR="00B61819" w:rsidRPr="00F64DB4" w:rsidRDefault="00000000">
      <w:pPr>
        <w:pStyle w:val="Heading1"/>
        <w:rPr>
          <w:sz w:val="32"/>
          <w:szCs w:val="32"/>
        </w:rPr>
      </w:pPr>
      <w:bookmarkStart w:id="11" w:name="_Toc228203272"/>
      <w:r w:rsidRPr="00F64DB4">
        <w:rPr>
          <w:rFonts w:ascii="Times New Roman" w:hAnsi="Times New Roman"/>
          <w:b w:val="0"/>
          <w:sz w:val="32"/>
          <w:szCs w:val="32"/>
        </w:rPr>
        <w:t>5. Conclusion</w:t>
      </w:r>
      <w:bookmarkEnd w:id="11"/>
    </w:p>
    <w:p w14:paraId="3E4240A3" w14:textId="77777777" w:rsidR="00B61819" w:rsidRDefault="00000000">
      <w:pPr>
        <w:jc w:val="both"/>
      </w:pPr>
      <w:r>
        <w:t>Revolut is well positioned to create strategic value from AI, but it is equally exposed to the risks generated by it. Its scale, rapid international expansion, increasing product breadth and reliance on AI in fraud prevention and customer operations mean that AI governance is now a core business issue rather than a technical subtopic (Revolut, 2025; Revolut, 2026a). The key challenge is that the company must govern AI across at least two distinct regulatory and political environments: a more principles-based UK system and a more codified EU system. That divergence matters because it affects not only legal compliance, but also how customer rights, operational resilience and model accountability are interpreted in practice.</w:t>
      </w:r>
    </w:p>
    <w:p w14:paraId="34D3A5D6" w14:textId="77777777" w:rsidR="0000370D" w:rsidRDefault="0000370D">
      <w:pPr>
        <w:jc w:val="both"/>
      </w:pPr>
    </w:p>
    <w:p w14:paraId="0EB68D0D" w14:textId="77777777" w:rsidR="00B61819" w:rsidRDefault="00000000">
      <w:pPr>
        <w:jc w:val="both"/>
      </w:pPr>
      <w:r>
        <w:t xml:space="preserve">The report has shown through a PESTLE analysis that the growth of AI changes Revolut’s risk profile through interacting external pressures. Political divergence increases governance complexity. Macroeconomic conditions affect fraud patterns, customer vulnerability and model fairness. Social expectations make explainability and redress commercially significant. </w:t>
      </w:r>
      <w:r>
        <w:lastRenderedPageBreak/>
        <w:t>Technological change simultaneously improves defence and expands operational dependence. Legal developments increase formal obligations. Even environmental pressures are beginning to widen the lens through which digital infrastructure is judged. Taken together, these factors mean Revolut cannot treat AI as a narrow tool for efficiency. It must treat it as part of the firm’s operating model and risk architecture.</w:t>
      </w:r>
    </w:p>
    <w:p w14:paraId="3ABAEBAE" w14:textId="77777777" w:rsidR="0000370D" w:rsidRDefault="0000370D">
      <w:pPr>
        <w:jc w:val="both"/>
      </w:pPr>
    </w:p>
    <w:p w14:paraId="0C4DEB6A" w14:textId="77777777" w:rsidR="00B61819" w:rsidRDefault="00000000">
      <w:pPr>
        <w:jc w:val="both"/>
      </w:pPr>
      <w:r>
        <w:t>The main conclusion is therefore balanced but clear. Revolut should continue to scale AI because the commercial and defensive value is real. However, that scaling should be accompanied by stronger enterprise governance, clearer accountability, better data controls, jurisdiction-aware compliance design, meaningful human review and more systematic tracking of customer outcomes. If Revolut achieves that, AI can become a durable source of competitive advantage. If it does not, the same technologies that support growth may also accelerate regulatory pressure, conduct failures and loss of trust.</w:t>
      </w:r>
    </w:p>
    <w:p w14:paraId="244D041F" w14:textId="77777777" w:rsidR="00B61819" w:rsidRPr="00F64DB4" w:rsidRDefault="00000000" w:rsidP="008E477E">
      <w:pPr>
        <w:pStyle w:val="Heading1"/>
        <w:pageBreakBefore/>
        <w:rPr>
          <w:sz w:val="32"/>
          <w:szCs w:val="32"/>
        </w:rPr>
      </w:pPr>
      <w:bookmarkStart w:id="12" w:name="_Toc228203273"/>
      <w:r w:rsidRPr="00F64DB4">
        <w:rPr>
          <w:rFonts w:ascii="Times New Roman" w:hAnsi="Times New Roman"/>
          <w:b w:val="0"/>
          <w:sz w:val="32"/>
          <w:szCs w:val="32"/>
        </w:rPr>
        <w:lastRenderedPageBreak/>
        <w:t>6. Bibliography</w:t>
      </w:r>
      <w:bookmarkEnd w:id="12"/>
    </w:p>
    <w:p w14:paraId="39A3DF18" w14:textId="32C07613" w:rsidR="00B61819" w:rsidRDefault="00000000">
      <w:pPr>
        <w:spacing w:after="60"/>
        <w:ind w:left="340" w:hanging="340"/>
        <w:rPr>
          <w:sz w:val="22"/>
        </w:rPr>
      </w:pPr>
      <w:r>
        <w:rPr>
          <w:sz w:val="22"/>
        </w:rPr>
        <w:t xml:space="preserve">Aldboush, H.H.H. and Ferdous, M. (2023) 'Building trust in fintech: an analysis of ethical and privacy considerations in the intersection of big data, AI, and customer trust', International Journal of Financial Studies, 11(3), p. 90. Available at: </w:t>
      </w:r>
      <w:hyperlink r:id="rId8" w:history="1">
        <w:r w:rsidR="00F64DB4" w:rsidRPr="0024122B">
          <w:rPr>
            <w:rStyle w:val="Hyperlink"/>
            <w:sz w:val="22"/>
          </w:rPr>
          <w:t>https:/</w:t>
        </w:r>
        <w:r w:rsidR="00F64DB4" w:rsidRPr="0024122B">
          <w:rPr>
            <w:rStyle w:val="Hyperlink"/>
            <w:sz w:val="22"/>
          </w:rPr>
          <w:t>/</w:t>
        </w:r>
        <w:r w:rsidR="00F64DB4" w:rsidRPr="0024122B">
          <w:rPr>
            <w:rStyle w:val="Hyperlink"/>
            <w:sz w:val="22"/>
          </w:rPr>
          <w:t>www.mdpi.com/2227-7072/11/3/90</w:t>
        </w:r>
      </w:hyperlink>
      <w:r>
        <w:rPr>
          <w:sz w:val="22"/>
        </w:rPr>
        <w:t>.</w:t>
      </w:r>
    </w:p>
    <w:p w14:paraId="36279033" w14:textId="77777777" w:rsidR="00F64DB4" w:rsidRDefault="00F64DB4">
      <w:pPr>
        <w:spacing w:after="60"/>
        <w:ind w:left="340" w:hanging="340"/>
      </w:pPr>
    </w:p>
    <w:p w14:paraId="5EB280A5" w14:textId="487A7D3D" w:rsidR="00B61819" w:rsidRDefault="00000000">
      <w:pPr>
        <w:spacing w:after="60"/>
        <w:ind w:left="340" w:hanging="340"/>
        <w:rPr>
          <w:sz w:val="22"/>
        </w:rPr>
      </w:pPr>
      <w:r>
        <w:rPr>
          <w:sz w:val="22"/>
        </w:rPr>
        <w:t xml:space="preserve">Aldasoro, I., Gambacorta, L., Korinek, A., Shreeti, V. and Stein, M. (2025) 'Intelligent financial system: How AI is transforming finance', Journal of Financial Stability, 81, 101472. Available at: </w:t>
      </w:r>
      <w:hyperlink r:id="rId9" w:history="1">
        <w:r w:rsidR="00F64DB4" w:rsidRPr="0024122B">
          <w:rPr>
            <w:rStyle w:val="Hyperlink"/>
            <w:sz w:val="22"/>
          </w:rPr>
          <w:t>https://www.sciencedirect.com/science/article/pii/S1572308925001019</w:t>
        </w:r>
      </w:hyperlink>
      <w:r>
        <w:rPr>
          <w:sz w:val="22"/>
        </w:rPr>
        <w:t>.</w:t>
      </w:r>
    </w:p>
    <w:p w14:paraId="3214FE12" w14:textId="77777777" w:rsidR="00F64DB4" w:rsidRDefault="00F64DB4">
      <w:pPr>
        <w:spacing w:after="60"/>
        <w:ind w:left="340" w:hanging="340"/>
      </w:pPr>
    </w:p>
    <w:p w14:paraId="00FE2D7C" w14:textId="77777777" w:rsidR="00B61819" w:rsidRDefault="00000000">
      <w:pPr>
        <w:spacing w:after="60"/>
        <w:ind w:left="340" w:hanging="340"/>
        <w:rPr>
          <w:sz w:val="22"/>
        </w:rPr>
      </w:pPr>
      <w:r>
        <w:rPr>
          <w:sz w:val="22"/>
        </w:rPr>
        <w:t>Bank of England (2026) 'Bank Rate maintained at 3.75% - March 2026 Monetary Policy Summary and Minutes'. Available at: https://www.bankofengland.co.uk/monetary-policy-summary-and-minutes/2026/march-2026 (Accessed: 22 April 2026).</w:t>
      </w:r>
    </w:p>
    <w:p w14:paraId="2000F045" w14:textId="77777777" w:rsidR="00F64DB4" w:rsidRDefault="00F64DB4">
      <w:pPr>
        <w:spacing w:after="60"/>
        <w:ind w:left="340" w:hanging="340"/>
      </w:pPr>
    </w:p>
    <w:p w14:paraId="3223A4F8" w14:textId="3112E348" w:rsidR="00B61819" w:rsidRDefault="00000000">
      <w:pPr>
        <w:spacing w:after="60"/>
        <w:ind w:left="340" w:hanging="340"/>
        <w:rPr>
          <w:sz w:val="22"/>
        </w:rPr>
      </w:pPr>
      <w:r>
        <w:rPr>
          <w:sz w:val="22"/>
        </w:rPr>
        <w:t xml:space="preserve">Batool, A., Zowghi, D., Bano, M. and Sadiq, S. (2025) 'AI governance: a systematic literature review', AI and Ethics, 5, pp. 3265-3279. Available at: </w:t>
      </w:r>
      <w:hyperlink r:id="rId10" w:history="1">
        <w:r w:rsidR="00F64DB4" w:rsidRPr="0024122B">
          <w:rPr>
            <w:rStyle w:val="Hyperlink"/>
            <w:sz w:val="22"/>
          </w:rPr>
          <w:t>https://link.springer.com/article/10.1007/s43681-024-00653-w</w:t>
        </w:r>
      </w:hyperlink>
      <w:r>
        <w:rPr>
          <w:sz w:val="22"/>
        </w:rPr>
        <w:t>.</w:t>
      </w:r>
    </w:p>
    <w:p w14:paraId="3BBB7A11" w14:textId="77777777" w:rsidR="00F64DB4" w:rsidRDefault="00F64DB4">
      <w:pPr>
        <w:spacing w:after="60"/>
        <w:ind w:left="340" w:hanging="340"/>
      </w:pPr>
    </w:p>
    <w:p w14:paraId="1C7C9D68" w14:textId="61675646" w:rsidR="00B61819" w:rsidRDefault="00000000">
      <w:pPr>
        <w:spacing w:after="60"/>
        <w:ind w:left="340" w:hanging="340"/>
        <w:rPr>
          <w:sz w:val="22"/>
        </w:rPr>
      </w:pPr>
      <w:r>
        <w:rPr>
          <w:sz w:val="22"/>
        </w:rPr>
        <w:t xml:space="preserve">Coussement, K., Abedin, M.Z., Kraus, M., Maldonado, S. and Topuz, K. (2024) 'Explainable AI for enhanced decision-making', Decision Support Systems, 184, 114276. Available at: </w:t>
      </w:r>
      <w:hyperlink r:id="rId11" w:history="1">
        <w:r w:rsidR="00F64DB4" w:rsidRPr="0024122B">
          <w:rPr>
            <w:rStyle w:val="Hyperlink"/>
            <w:sz w:val="22"/>
          </w:rPr>
          <w:t>https://doi.org/10.1016/j.dss.2024.114276</w:t>
        </w:r>
      </w:hyperlink>
      <w:r>
        <w:rPr>
          <w:sz w:val="22"/>
        </w:rPr>
        <w:t>.</w:t>
      </w:r>
    </w:p>
    <w:p w14:paraId="6CDDB4E2" w14:textId="77777777" w:rsidR="00F64DB4" w:rsidRDefault="00F64DB4">
      <w:pPr>
        <w:spacing w:after="60"/>
        <w:ind w:left="340" w:hanging="340"/>
      </w:pPr>
    </w:p>
    <w:p w14:paraId="73AF5F8E" w14:textId="77777777" w:rsidR="00B61819" w:rsidRDefault="00000000">
      <w:pPr>
        <w:spacing w:after="60"/>
        <w:ind w:left="340" w:hanging="340"/>
        <w:rPr>
          <w:sz w:val="22"/>
        </w:rPr>
      </w:pPr>
      <w:r>
        <w:rPr>
          <w:sz w:val="22"/>
        </w:rPr>
        <w:t>Department for Science, Innovation and Technology (2024) 'A pro-innovation approach to AI regulation'. Available at: https://www.gov.uk/government/publications/ai-regulation-a-pro-innovation-approach (Accessed: 22 April 2026).</w:t>
      </w:r>
    </w:p>
    <w:p w14:paraId="022DF2A4" w14:textId="77777777" w:rsidR="00F64DB4" w:rsidRDefault="00F64DB4">
      <w:pPr>
        <w:spacing w:after="60"/>
        <w:ind w:left="340" w:hanging="340"/>
      </w:pPr>
    </w:p>
    <w:p w14:paraId="29F1B8B2" w14:textId="77777777" w:rsidR="00B61819" w:rsidRDefault="00000000">
      <w:pPr>
        <w:spacing w:after="60"/>
        <w:ind w:left="340" w:hanging="340"/>
        <w:rPr>
          <w:sz w:val="22"/>
        </w:rPr>
      </w:pPr>
      <w:r>
        <w:rPr>
          <w:sz w:val="22"/>
        </w:rPr>
        <w:t>European Central Bank (2026) 'ECB staff macroeconomic projections for the euro area, March 2026'. Available at: https://www.ecb.europa.eu/press/projections/html/ecb.projections202603_ecbstaff~ebe291cd3d.en.html (Accessed: 22 April 2026).</w:t>
      </w:r>
    </w:p>
    <w:p w14:paraId="2E488A20" w14:textId="77777777" w:rsidR="00F64DB4" w:rsidRDefault="00F64DB4">
      <w:pPr>
        <w:spacing w:after="60"/>
        <w:ind w:left="340" w:hanging="340"/>
      </w:pPr>
    </w:p>
    <w:p w14:paraId="39474853" w14:textId="77777777" w:rsidR="00B61819" w:rsidRDefault="00000000">
      <w:pPr>
        <w:spacing w:after="60"/>
        <w:ind w:left="340" w:hanging="340"/>
        <w:rPr>
          <w:sz w:val="22"/>
        </w:rPr>
      </w:pPr>
      <w:r>
        <w:rPr>
          <w:sz w:val="22"/>
        </w:rPr>
        <w:t>European Commission (2024) 'AI in Finance'. Available at: https://finance.ec.europa.eu/news/ai-finance-2024-06-19_en (Accessed: 22 April 2026).</w:t>
      </w:r>
    </w:p>
    <w:p w14:paraId="68F31C60" w14:textId="77777777" w:rsidR="00F64DB4" w:rsidRDefault="00F64DB4">
      <w:pPr>
        <w:spacing w:after="60"/>
        <w:ind w:left="340" w:hanging="340"/>
      </w:pPr>
    </w:p>
    <w:p w14:paraId="7EAE72D0" w14:textId="77777777" w:rsidR="00B61819" w:rsidRDefault="00000000">
      <w:pPr>
        <w:spacing w:after="60"/>
        <w:ind w:left="340" w:hanging="340"/>
        <w:rPr>
          <w:sz w:val="22"/>
        </w:rPr>
      </w:pPr>
      <w:r>
        <w:rPr>
          <w:sz w:val="22"/>
        </w:rPr>
        <w:t>European Commission (2025) 'AI Act | Shaping Europe's digital future'. Available at: https://digital-strategy.ec.europa.eu/en/policies/regulatory-framework-ai (Accessed: 22 April 2026).</w:t>
      </w:r>
    </w:p>
    <w:p w14:paraId="4978B880" w14:textId="77777777" w:rsidR="00F64DB4" w:rsidRDefault="00F64DB4">
      <w:pPr>
        <w:spacing w:after="60"/>
        <w:ind w:left="340" w:hanging="340"/>
      </w:pPr>
    </w:p>
    <w:p w14:paraId="05778D87" w14:textId="77777777" w:rsidR="00B61819" w:rsidRDefault="00000000">
      <w:pPr>
        <w:spacing w:after="60"/>
        <w:ind w:left="340" w:hanging="340"/>
        <w:rPr>
          <w:sz w:val="22"/>
        </w:rPr>
      </w:pPr>
      <w:r>
        <w:rPr>
          <w:sz w:val="22"/>
        </w:rPr>
        <w:t>European Data Protection Board (2018) 'Guidelines on Automated Individual Decision-Making and Profiling for the Purposes of Regulation 2016/679'. Available at: https://www.edpb.europa.eu/our-</w:t>
      </w:r>
      <w:r>
        <w:rPr>
          <w:sz w:val="22"/>
        </w:rPr>
        <w:lastRenderedPageBreak/>
        <w:t>work-tools/our-documents/guidelines/guidelines-32018-automated-individual-decision-making-and_en (Accessed: 22 April 2026).</w:t>
      </w:r>
    </w:p>
    <w:p w14:paraId="4EF1D6C0" w14:textId="77777777" w:rsidR="00F64DB4" w:rsidRDefault="00F64DB4">
      <w:pPr>
        <w:spacing w:after="60"/>
        <w:ind w:left="340" w:hanging="340"/>
      </w:pPr>
    </w:p>
    <w:p w14:paraId="567D202D" w14:textId="77777777" w:rsidR="00B61819" w:rsidRDefault="00000000">
      <w:pPr>
        <w:spacing w:after="60"/>
        <w:ind w:left="340" w:hanging="340"/>
        <w:rPr>
          <w:sz w:val="22"/>
        </w:rPr>
      </w:pPr>
      <w:r>
        <w:rPr>
          <w:sz w:val="22"/>
        </w:rPr>
        <w:t>European Securities and Markets Authority (2025) 'Digital Operational Resilience Act (DORA)'. Available at: https://www.esma.europa.eu/esmas-activities/digital-finance-and-innovation/digital-operational-resilience-act-dora (Accessed: 22 April 2026).</w:t>
      </w:r>
    </w:p>
    <w:p w14:paraId="590B8C65" w14:textId="77777777" w:rsidR="00F64DB4" w:rsidRDefault="00F64DB4">
      <w:pPr>
        <w:spacing w:after="60"/>
        <w:ind w:left="340" w:hanging="340"/>
      </w:pPr>
    </w:p>
    <w:p w14:paraId="194837AA" w14:textId="77777777" w:rsidR="00B61819" w:rsidRDefault="00000000">
      <w:pPr>
        <w:spacing w:after="60"/>
        <w:ind w:left="340" w:hanging="340"/>
        <w:rPr>
          <w:sz w:val="22"/>
        </w:rPr>
      </w:pPr>
      <w:r>
        <w:rPr>
          <w:sz w:val="22"/>
        </w:rPr>
        <w:t>Financial Conduct Authority (2025a) 'Our Consumer Duty focus areas'. Available at: https://www.fca.org.uk/publications/corporate-documents/consumer-duty-focus-areas (Accessed: 22 April 2026).</w:t>
      </w:r>
    </w:p>
    <w:p w14:paraId="028AAF47" w14:textId="77777777" w:rsidR="00F64DB4" w:rsidRDefault="00F64DB4">
      <w:pPr>
        <w:spacing w:after="60"/>
        <w:ind w:left="340" w:hanging="340"/>
      </w:pPr>
    </w:p>
    <w:p w14:paraId="028C3C05" w14:textId="77777777" w:rsidR="00B61819" w:rsidRDefault="00000000">
      <w:pPr>
        <w:spacing w:after="60"/>
        <w:ind w:left="340" w:hanging="340"/>
        <w:rPr>
          <w:sz w:val="22"/>
        </w:rPr>
      </w:pPr>
      <w:r>
        <w:rPr>
          <w:sz w:val="22"/>
        </w:rPr>
        <w:t>Financial Conduct Authority (2025b) 'FCA launches 5-year strategy to support growth and improve lives'. Available at: https://www.fca.org.uk/news/press-releases/fca-launches-5-year-strategy-support-growth-and-improve-lives (Accessed: 22 April 2026).</w:t>
      </w:r>
    </w:p>
    <w:p w14:paraId="5BF411DA" w14:textId="77777777" w:rsidR="00F64DB4" w:rsidRDefault="00F64DB4">
      <w:pPr>
        <w:spacing w:after="60"/>
        <w:ind w:left="340" w:hanging="340"/>
      </w:pPr>
    </w:p>
    <w:p w14:paraId="58E73553" w14:textId="77777777" w:rsidR="00B61819" w:rsidRDefault="00000000">
      <w:pPr>
        <w:spacing w:after="60"/>
        <w:ind w:left="340" w:hanging="340"/>
        <w:rPr>
          <w:sz w:val="22"/>
        </w:rPr>
      </w:pPr>
      <w:r>
        <w:rPr>
          <w:sz w:val="22"/>
        </w:rPr>
        <w:t>Information Commissioner's Office (2022) 'Automated decision-making and profiling'. Available at: https://ico.org.uk/media/for-organisations/documents/2615834/ai-and-data-protection-risk-toolkit.pdf (Accessed: 22 April 2026).</w:t>
      </w:r>
    </w:p>
    <w:p w14:paraId="515DF418" w14:textId="77777777" w:rsidR="00F64DB4" w:rsidRDefault="00F64DB4">
      <w:pPr>
        <w:spacing w:after="60"/>
        <w:ind w:left="340" w:hanging="340"/>
      </w:pPr>
    </w:p>
    <w:p w14:paraId="38F5A31F" w14:textId="5EF38642" w:rsidR="00B61819" w:rsidRDefault="00000000">
      <w:pPr>
        <w:spacing w:after="60"/>
        <w:ind w:left="340" w:hanging="340"/>
        <w:rPr>
          <w:sz w:val="22"/>
        </w:rPr>
      </w:pPr>
      <w:r>
        <w:rPr>
          <w:sz w:val="22"/>
        </w:rPr>
        <w:t xml:space="preserve">Krook, J., Winter, P., Downer, J. and Blockx, J. (2025) 'A systematic literature review of artificial intelligence (AI) transparency laws in the European Union (EU) and United Kingdom (UK): a socio-legal approach to AI transparency governance', AI and Ethics, 5(4), pp. 4069-4090. Available at: </w:t>
      </w:r>
      <w:hyperlink r:id="rId12" w:history="1">
        <w:r w:rsidR="00F64DB4" w:rsidRPr="0024122B">
          <w:rPr>
            <w:rStyle w:val="Hyperlink"/>
            <w:sz w:val="22"/>
          </w:rPr>
          <w:t>https://doi.org/10.1007/s43681-025-00674-z</w:t>
        </w:r>
      </w:hyperlink>
      <w:r>
        <w:rPr>
          <w:sz w:val="22"/>
        </w:rPr>
        <w:t>.</w:t>
      </w:r>
    </w:p>
    <w:p w14:paraId="2B3B5148" w14:textId="77777777" w:rsidR="00F64DB4" w:rsidRDefault="00F64DB4">
      <w:pPr>
        <w:spacing w:after="60"/>
        <w:ind w:left="340" w:hanging="340"/>
      </w:pPr>
    </w:p>
    <w:p w14:paraId="427FB14E" w14:textId="0094E928" w:rsidR="00B61819" w:rsidRDefault="00000000">
      <w:pPr>
        <w:spacing w:after="60"/>
        <w:ind w:left="340" w:hanging="340"/>
        <w:rPr>
          <w:sz w:val="22"/>
        </w:rPr>
      </w:pPr>
      <w:r>
        <w:rPr>
          <w:sz w:val="22"/>
        </w:rPr>
        <w:t xml:space="preserve">Lou, Y., Zhu, Q. and Liang, C. (2025) 'Financial technology and firm operational resilience: The roles of supply chain resilience and marketing capability', International Review of Economics &amp; Finance, 104, 104744. Available at: </w:t>
      </w:r>
      <w:hyperlink r:id="rId13" w:history="1">
        <w:r w:rsidR="00F64DB4" w:rsidRPr="0024122B">
          <w:rPr>
            <w:rStyle w:val="Hyperlink"/>
            <w:sz w:val="22"/>
          </w:rPr>
          <w:t>https://doi.org/10.1016/j.iref.2025.104744</w:t>
        </w:r>
      </w:hyperlink>
      <w:r>
        <w:rPr>
          <w:sz w:val="22"/>
        </w:rPr>
        <w:t>.</w:t>
      </w:r>
    </w:p>
    <w:p w14:paraId="7854761A" w14:textId="77777777" w:rsidR="00F64DB4" w:rsidRDefault="00F64DB4">
      <w:pPr>
        <w:spacing w:after="60"/>
        <w:ind w:left="340" w:hanging="340"/>
      </w:pPr>
    </w:p>
    <w:p w14:paraId="37C1DD65" w14:textId="77777777" w:rsidR="00B61819" w:rsidRDefault="00000000">
      <w:pPr>
        <w:spacing w:after="60"/>
        <w:ind w:left="340" w:hanging="340"/>
        <w:rPr>
          <w:sz w:val="22"/>
        </w:rPr>
      </w:pPr>
      <w:r>
        <w:rPr>
          <w:sz w:val="22"/>
        </w:rPr>
        <w:t>Monzo (2025) 'Annual Report 2025'. Available at: https://monzo.com/annual-report/ (Accessed: 22 April 2026).</w:t>
      </w:r>
    </w:p>
    <w:p w14:paraId="76FD91BA" w14:textId="77777777" w:rsidR="00F64DB4" w:rsidRDefault="00F64DB4">
      <w:pPr>
        <w:spacing w:after="60"/>
        <w:ind w:left="340" w:hanging="340"/>
      </w:pPr>
    </w:p>
    <w:p w14:paraId="2357404A" w14:textId="68A45A12" w:rsidR="00B61819" w:rsidRDefault="00000000">
      <w:pPr>
        <w:spacing w:after="60"/>
        <w:ind w:left="340" w:hanging="340"/>
        <w:rPr>
          <w:sz w:val="22"/>
        </w:rPr>
      </w:pPr>
      <w:r>
        <w:rPr>
          <w:sz w:val="22"/>
        </w:rPr>
        <w:t xml:space="preserve">Munch, L.A., Bjerring, J.C. and Mainz, J.T. (2024) 'Algorithmic decision-making: The right to explanation and the significance of stakes', Big Data &amp; Society, 11(1). Available at: </w:t>
      </w:r>
      <w:hyperlink r:id="rId14" w:history="1">
        <w:r w:rsidR="00F64DB4" w:rsidRPr="0024122B">
          <w:rPr>
            <w:rStyle w:val="Hyperlink"/>
            <w:sz w:val="22"/>
          </w:rPr>
          <w:t>https://doi.org/10.1177/20539517231222872</w:t>
        </w:r>
      </w:hyperlink>
      <w:r>
        <w:rPr>
          <w:sz w:val="22"/>
        </w:rPr>
        <w:t>.</w:t>
      </w:r>
    </w:p>
    <w:p w14:paraId="547BD4D3" w14:textId="77777777" w:rsidR="00F64DB4" w:rsidRDefault="00F64DB4">
      <w:pPr>
        <w:spacing w:after="60"/>
        <w:ind w:left="340" w:hanging="340"/>
      </w:pPr>
    </w:p>
    <w:p w14:paraId="654A0D21" w14:textId="77777777" w:rsidR="00B61819" w:rsidRDefault="00000000">
      <w:pPr>
        <w:spacing w:after="60"/>
        <w:ind w:left="340" w:hanging="340"/>
      </w:pPr>
      <w:r>
        <w:rPr>
          <w:sz w:val="22"/>
        </w:rPr>
        <w:t>Office for National Statistics (2026) 'Consumer price inflation, UK: March 2026'. Available at: https://www.ons.gov.uk/economy/inflationandpriceindices/bulletins/consumerpriceinflation/march2026 (Accessed: 22 April 2026).</w:t>
      </w:r>
    </w:p>
    <w:p w14:paraId="64E6984F" w14:textId="4BBF5EEF" w:rsidR="00B61819" w:rsidRDefault="00000000">
      <w:pPr>
        <w:spacing w:after="60"/>
        <w:ind w:left="340" w:hanging="340"/>
        <w:rPr>
          <w:sz w:val="22"/>
        </w:rPr>
      </w:pPr>
      <w:r>
        <w:rPr>
          <w:sz w:val="22"/>
        </w:rPr>
        <w:lastRenderedPageBreak/>
        <w:t xml:space="preserve">Papagiannidis, E., Mikalef, P. and Conboy, K. (2025) 'Responsible artificial intelligence governance: A review and research framework', The Journal of Strategic Information Systems, 34(2), 101885. Available at: </w:t>
      </w:r>
      <w:hyperlink r:id="rId15" w:history="1">
        <w:r w:rsidR="00F64DB4" w:rsidRPr="0024122B">
          <w:rPr>
            <w:rStyle w:val="Hyperlink"/>
            <w:sz w:val="22"/>
          </w:rPr>
          <w:t>https://doi.org/10.1016/j.jsis.2024.101885</w:t>
        </w:r>
      </w:hyperlink>
      <w:r>
        <w:rPr>
          <w:sz w:val="22"/>
        </w:rPr>
        <w:t>.</w:t>
      </w:r>
    </w:p>
    <w:p w14:paraId="383E3695" w14:textId="77777777" w:rsidR="00F64DB4" w:rsidRDefault="00F64DB4">
      <w:pPr>
        <w:spacing w:after="60"/>
        <w:ind w:left="340" w:hanging="340"/>
      </w:pPr>
    </w:p>
    <w:p w14:paraId="7D6DE90F" w14:textId="77777777" w:rsidR="00B61819" w:rsidRDefault="00000000">
      <w:pPr>
        <w:spacing w:after="60"/>
        <w:ind w:left="340" w:hanging="340"/>
        <w:rPr>
          <w:sz w:val="22"/>
        </w:rPr>
      </w:pPr>
      <w:r>
        <w:rPr>
          <w:sz w:val="22"/>
        </w:rPr>
        <w:t>Payment Systems Regulator (2025) 'PS25/5 APP scams reimbursement requirement'. Available at: https://www.psr.org.uk/publications/policy-statements/ps255-app-scams-reimbursement-requirement/ (Accessed: 22 April 2026).</w:t>
      </w:r>
    </w:p>
    <w:p w14:paraId="431D4A0E" w14:textId="77777777" w:rsidR="00F64DB4" w:rsidRDefault="00F64DB4">
      <w:pPr>
        <w:spacing w:after="60"/>
        <w:ind w:left="340" w:hanging="340"/>
      </w:pPr>
    </w:p>
    <w:p w14:paraId="7C92E6E5" w14:textId="77777777" w:rsidR="00E76BCC" w:rsidRDefault="00000000">
      <w:r>
        <w:t>Revolut (2025) 'Annual Report 2024'. Available at: https://assets.revolut.com/pdf/annualreport2024.pdf (Accessed: 22 April 2026).</w:t>
      </w:r>
    </w:p>
    <w:p w14:paraId="30FA24F3" w14:textId="77777777" w:rsidR="00F64DB4" w:rsidRDefault="00F64DB4"/>
    <w:p w14:paraId="2AB0E889" w14:textId="77777777" w:rsidR="00E76BCC" w:rsidRDefault="00000000">
      <w:r>
        <w:t>Revolut (2026a) 'Annual Report 2025'. Available at: https://assets.revolut.com/pdf/annualreport2025.pdf (Accessed: 22 April 2026).</w:t>
      </w:r>
    </w:p>
    <w:p w14:paraId="4745FCE0" w14:textId="77777777" w:rsidR="00F64DB4" w:rsidRDefault="00F64DB4"/>
    <w:p w14:paraId="5FD5A7A9" w14:textId="77777777" w:rsidR="00E76BCC" w:rsidRDefault="00000000">
      <w:r>
        <w:t>Revolut (2026b) 'Customer Privacy Notice'. Available at: https://www.revolut.com/en-LT/legal/privacy/ (Accessed: 22 April 2026).</w:t>
      </w:r>
    </w:p>
    <w:p w14:paraId="02FB345B" w14:textId="77777777" w:rsidR="00F64DB4" w:rsidRDefault="00F64DB4"/>
    <w:p w14:paraId="228DDAB5" w14:textId="77777777" w:rsidR="00E76BCC" w:rsidRDefault="00000000">
      <w:r>
        <w:t>Revolut (2026c) 'Revolut launches UK bank'. Available at: https://www.revolut.com/news/revolut_launches_uk_bank/ (Accessed: 22 April 2026).</w:t>
      </w:r>
    </w:p>
    <w:p w14:paraId="75588877" w14:textId="77777777" w:rsidR="00F64DB4" w:rsidRDefault="00F64DB4"/>
    <w:p w14:paraId="370C2334" w14:textId="77777777" w:rsidR="00E76BCC" w:rsidRDefault="00000000">
      <w:r>
        <w:t>Wise plc (2025) 'Annual Report and Accounts 2025'. Available at: https://wise.com/owners/ (Accessed: 22 April 2026).</w:t>
      </w:r>
    </w:p>
    <w:sectPr w:rsidR="00E76BCC" w:rsidSect="00034616">
      <w:footerReference w:type="defaul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F73D5" w14:textId="77777777" w:rsidR="00D10902" w:rsidRDefault="00D10902">
      <w:pPr>
        <w:spacing w:after="0" w:line="240" w:lineRule="auto"/>
      </w:pPr>
      <w:r>
        <w:separator/>
      </w:r>
    </w:p>
  </w:endnote>
  <w:endnote w:type="continuationSeparator" w:id="0">
    <w:p w14:paraId="39C8027F" w14:textId="77777777" w:rsidR="00D10902" w:rsidRDefault="00D10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E635D" w14:textId="77777777" w:rsidR="00B61819" w:rsidRDefault="00000000">
    <w:pPr>
      <w:pStyle w:val="Footer"/>
      <w:jc w:val="center"/>
    </w:pPr>
    <w:r>
      <w:fldChar w:fldCharType="begin"/>
    </w:r>
    <w:r>
      <w:instrText xml:space="preserve"> PAGE </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DE629" w14:textId="77777777" w:rsidR="00B61819" w:rsidRDefault="00B61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1D5B7" w14:textId="77777777" w:rsidR="00D10902" w:rsidRDefault="00D10902">
      <w:pPr>
        <w:spacing w:after="0" w:line="240" w:lineRule="auto"/>
      </w:pPr>
      <w:r>
        <w:separator/>
      </w:r>
    </w:p>
  </w:footnote>
  <w:footnote w:type="continuationSeparator" w:id="0">
    <w:p w14:paraId="64006E59" w14:textId="77777777" w:rsidR="00D10902" w:rsidRDefault="00D109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8BA7044"/>
    <w:multiLevelType w:val="hybridMultilevel"/>
    <w:tmpl w:val="1F707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3751380">
    <w:abstractNumId w:val="8"/>
  </w:num>
  <w:num w:numId="2" w16cid:durableId="1986658857">
    <w:abstractNumId w:val="6"/>
  </w:num>
  <w:num w:numId="3" w16cid:durableId="686953267">
    <w:abstractNumId w:val="5"/>
  </w:num>
  <w:num w:numId="4" w16cid:durableId="1587378633">
    <w:abstractNumId w:val="4"/>
  </w:num>
  <w:num w:numId="5" w16cid:durableId="849833770">
    <w:abstractNumId w:val="7"/>
  </w:num>
  <w:num w:numId="6" w16cid:durableId="216819260">
    <w:abstractNumId w:val="3"/>
  </w:num>
  <w:num w:numId="7" w16cid:durableId="1254244988">
    <w:abstractNumId w:val="2"/>
  </w:num>
  <w:num w:numId="8" w16cid:durableId="630209418">
    <w:abstractNumId w:val="1"/>
  </w:num>
  <w:num w:numId="9" w16cid:durableId="654724915">
    <w:abstractNumId w:val="0"/>
  </w:num>
  <w:num w:numId="10" w16cid:durableId="7648878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70D"/>
    <w:rsid w:val="00022B30"/>
    <w:rsid w:val="00034616"/>
    <w:rsid w:val="0006063C"/>
    <w:rsid w:val="0015074B"/>
    <w:rsid w:val="0029639D"/>
    <w:rsid w:val="00326F90"/>
    <w:rsid w:val="00884E92"/>
    <w:rsid w:val="008E477E"/>
    <w:rsid w:val="00A725F8"/>
    <w:rsid w:val="00A852CD"/>
    <w:rsid w:val="00AA1D8D"/>
    <w:rsid w:val="00B47730"/>
    <w:rsid w:val="00B61819"/>
    <w:rsid w:val="00CB0664"/>
    <w:rsid w:val="00D10902"/>
    <w:rsid w:val="00E76BCC"/>
    <w:rsid w:val="00F64DB4"/>
    <w:rsid w:val="00FA57F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115ADA"/>
  <w14:defaultImageDpi w14:val="300"/>
  <w15:docId w15:val="{3B262039-75EC-44BD-B1B2-9A7891DE1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64DB4"/>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F64DB4"/>
    <w:pPr>
      <w:spacing w:before="120" w:after="0"/>
      <w:ind w:left="240"/>
    </w:pPr>
    <w:rPr>
      <w:rFonts w:asciiTheme="minorHAnsi" w:hAnsiTheme="minorHAnsi"/>
      <w:b/>
      <w:bCs/>
      <w:sz w:val="22"/>
    </w:rPr>
  </w:style>
  <w:style w:type="character" w:styleId="Hyperlink">
    <w:name w:val="Hyperlink"/>
    <w:basedOn w:val="DefaultParagraphFont"/>
    <w:uiPriority w:val="99"/>
    <w:unhideWhenUsed/>
    <w:rsid w:val="00F64DB4"/>
    <w:rPr>
      <w:color w:val="0000FF" w:themeColor="hyperlink"/>
      <w:u w:val="single"/>
    </w:rPr>
  </w:style>
  <w:style w:type="paragraph" w:styleId="TOC3">
    <w:name w:val="toc 3"/>
    <w:basedOn w:val="Normal"/>
    <w:next w:val="Normal"/>
    <w:autoRedefine/>
    <w:uiPriority w:val="39"/>
    <w:semiHidden/>
    <w:unhideWhenUsed/>
    <w:rsid w:val="00F64DB4"/>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F64DB4"/>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F64DB4"/>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F64DB4"/>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F64DB4"/>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F64DB4"/>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F64DB4"/>
    <w:pPr>
      <w:spacing w:after="0"/>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F64DB4"/>
    <w:rPr>
      <w:color w:val="605E5C"/>
      <w:shd w:val="clear" w:color="auto" w:fill="E1DFDD"/>
    </w:rPr>
  </w:style>
  <w:style w:type="character" w:customStyle="1" w:styleId="apple-converted-space">
    <w:name w:val="apple-converted-space"/>
    <w:basedOn w:val="DefaultParagraphFont"/>
    <w:rsid w:val="00884E92"/>
  </w:style>
  <w:style w:type="character" w:customStyle="1" w:styleId="whitespace-normal">
    <w:name w:val="whitespace-normal"/>
    <w:basedOn w:val="DefaultParagraphFont"/>
    <w:rsid w:val="00884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227-7072/11/3/90" TargetMode="External"/><Relationship Id="rId13" Type="http://schemas.openxmlformats.org/officeDocument/2006/relationships/hyperlink" Target="https://doi.org/10.1016/j.iref.2025.10474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43681-025-00674-z"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dss.2024.114276" TargetMode="External"/><Relationship Id="rId5" Type="http://schemas.openxmlformats.org/officeDocument/2006/relationships/webSettings" Target="webSettings.xml"/><Relationship Id="rId15" Type="http://schemas.openxmlformats.org/officeDocument/2006/relationships/hyperlink" Target="https://doi.org/10.1016/j.jsis.2024.101885" TargetMode="External"/><Relationship Id="rId10" Type="http://schemas.openxmlformats.org/officeDocument/2006/relationships/hyperlink" Target="https://link.springer.com/article/10.1007/s43681-024-00653-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ciencedirect.com/science/article/pii/S1572308925001019" TargetMode="External"/><Relationship Id="rId14" Type="http://schemas.openxmlformats.org/officeDocument/2006/relationships/hyperlink" Target="https://doi.org/10.1177/205395172312228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21</Pages>
  <Words>7052</Words>
  <Characters>40201</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47159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Laxmi Krushika Katukam (2510032)</cp:lastModifiedBy>
  <cp:revision>2</cp:revision>
  <dcterms:created xsi:type="dcterms:W3CDTF">2026-04-27T16:27:00Z</dcterms:created>
  <dcterms:modified xsi:type="dcterms:W3CDTF">2026-04-27T16:27:00Z</dcterms:modified>
  <cp:category/>
</cp:coreProperties>
</file>