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word/numbering.xml" ContentType="application/vnd.openxmlformats-officedocument.wordprocessingml.numbering+xml"/>
  <Override PartName="/word/footer2.xml" ContentType="application/vnd.openxmlformats-officedocument.wordprocessingml.footer+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6829AE0D">
      <w:pPr>
        <w:pStyle w:val="style0"/>
        <w:spacing w:after="800"/>
        <w:rPr/>
      </w:pPr>
      <w:r>
        <w:rPr>
          <w:rFonts w:ascii="Arial" w:cs="Arial" w:hAnsi="Arial"/>
          <w:noProof/>
        </w:rPr>
        <w:drawing>
          <wp:anchor distT="0" distB="0" distL="114300" distR="114300" simplePos="false" relativeHeight="2" behindDoc="false" locked="false" layoutInCell="true" allowOverlap="true">
            <wp:simplePos x="0" y="0"/>
            <wp:positionH relativeFrom="column">
              <wp:posOffset>-365760</wp:posOffset>
            </wp:positionH>
            <wp:positionV relativeFrom="paragraph">
              <wp:posOffset>381</wp:posOffset>
            </wp:positionV>
            <wp:extent cx="1809750" cy="723900"/>
            <wp:effectExtent l="0" t="0" r="0" b="0"/>
            <wp:wrapSquare wrapText="bothSides"/>
            <wp:docPr id="1026" name="Picture 560265900" descr="Discover University of Wales Trinity Saint Davi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560265900"/>
                    <pic:cNvPicPr/>
                  </pic:nvPicPr>
                  <pic:blipFill>
                    <a:blip r:embed="rId2" cstate="print"/>
                    <a:srcRect l="0" t="0" r="0" b="0"/>
                    <a:stretch/>
                  </pic:blipFill>
                  <pic:spPr>
                    <a:xfrm rot="0">
                      <a:off x="0" y="0"/>
                      <a:ext cx="1809750" cy="723900"/>
                    </a:xfrm>
                    <a:prstGeom prst="rect"/>
                    <a:ln>
                      <a:noFill/>
                    </a:ln>
                  </pic:spPr>
                </pic:pic>
              </a:graphicData>
            </a:graphic>
          </wp:anchor>
        </w:drawing>
      </w:r>
    </w:p>
    <w:p w14:paraId="4128A1B9">
      <w:pPr>
        <w:pStyle w:val="style0"/>
        <w:spacing w:after="120"/>
        <w:jc w:val="center"/>
        <w:rPr>
          <w:b/>
          <w:bCs/>
          <w:sz w:val="28"/>
          <w:szCs w:val="28"/>
        </w:rPr>
      </w:pPr>
    </w:p>
    <w:p w14:paraId="468F4074">
      <w:pPr>
        <w:pStyle w:val="style0"/>
        <w:spacing w:after="120"/>
        <w:jc w:val="center"/>
        <w:rPr>
          <w:b/>
          <w:bCs/>
          <w:sz w:val="28"/>
          <w:szCs w:val="28"/>
        </w:rPr>
      </w:pPr>
    </w:p>
    <w:p w14:paraId="6205E947">
      <w:pPr>
        <w:pStyle w:val="style0"/>
        <w:spacing w:after="120"/>
        <w:jc w:val="center"/>
        <w:rPr>
          <w:b/>
          <w:bCs/>
          <w:sz w:val="28"/>
          <w:szCs w:val="28"/>
        </w:rPr>
      </w:pPr>
    </w:p>
    <w:p w14:paraId="22071D3D">
      <w:pPr>
        <w:pStyle w:val="style0"/>
        <w:spacing w:after="120"/>
        <w:jc w:val="center"/>
        <w:rPr/>
      </w:pPr>
      <w:r>
        <w:rPr>
          <w:b/>
          <w:bCs/>
          <w:sz w:val="28"/>
          <w:szCs w:val="28"/>
        </w:rPr>
        <w:t>University of Wales Trinity Saint David</w:t>
      </w:r>
    </w:p>
    <w:p w14:paraId="05F971F3">
      <w:pPr>
        <w:pStyle w:val="style0"/>
        <w:spacing w:after="600"/>
        <w:jc w:val="center"/>
        <w:rPr/>
      </w:pPr>
      <w:r>
        <w:rPr>
          <w:i/>
          <w:iCs/>
        </w:rPr>
        <w:t>MSc Public Health and Social Care in Practice</w:t>
      </w:r>
    </w:p>
    <w:p w14:paraId="4D952103">
      <w:pPr>
        <w:pStyle w:val="style0"/>
        <w:spacing w:after="200"/>
        <w:jc w:val="center"/>
        <w:rPr/>
      </w:pPr>
      <w:r>
        <w:t>LCHS7002: Health Care System Organisation and Leadership</w:t>
      </w:r>
    </w:p>
    <w:p w14:paraId="6D205098">
      <w:pPr>
        <w:pStyle w:val="style0"/>
        <w:spacing w:before="300" w:after="700"/>
        <w:jc w:val="center"/>
        <w:rPr/>
      </w:pPr>
      <w:r>
        <w:rPr>
          <w:b/>
          <w:bCs/>
          <w:color w:val="1f3b57"/>
          <w:sz w:val="34"/>
          <w:szCs w:val="34"/>
        </w:rPr>
        <w:t>Case Study Analysis Report: Leadership, Governance and Systems Failure in Health Care – The Lewis Blackman Case</w:t>
      </w:r>
    </w:p>
    <w:p w14:paraId="0BC0D5A0">
      <w:pPr>
        <w:pStyle w:val="style0"/>
        <w:spacing w:after="120"/>
        <w:jc w:val="center"/>
        <w:rPr/>
      </w:pPr>
      <w:r>
        <w:t xml:space="preserve">Student Name: </w:t>
      </w:r>
      <w:r>
        <w:t>Akashpuri</w:t>
      </w:r>
      <w:r>
        <w:t xml:space="preserve"> </w:t>
      </w:r>
      <w:r>
        <w:t>Ishvarpuri</w:t>
      </w:r>
    </w:p>
    <w:p w14:paraId="7660B5BB">
      <w:pPr>
        <w:pStyle w:val="style0"/>
        <w:spacing w:after="120"/>
        <w:jc w:val="center"/>
        <w:rPr/>
      </w:pPr>
      <w:r>
        <w:t xml:space="preserve">Student ID Number: </w:t>
      </w:r>
      <w:r>
        <w:t>2535801</w:t>
      </w:r>
    </w:p>
    <w:p w14:paraId="7A909C78">
      <w:pPr>
        <w:pStyle w:val="style0"/>
        <w:spacing w:after="120"/>
        <w:jc w:val="center"/>
        <w:rPr/>
      </w:pPr>
      <w:r>
        <w:t>Module code: LCHS7002</w:t>
      </w:r>
    </w:p>
    <w:p w14:paraId="7728C14A">
      <w:pPr>
        <w:pStyle w:val="style0"/>
        <w:spacing w:after="120"/>
        <w:jc w:val="center"/>
        <w:rPr/>
      </w:pPr>
      <w:r>
        <w:t>Submission Date: 11 August 2026</w:t>
      </w:r>
    </w:p>
    <w:p w14:paraId="718C258C">
      <w:pPr>
        <w:pStyle w:val="style0"/>
        <w:rPr/>
      </w:pPr>
      <w:r>
        <w:br w:type="page"/>
      </w:r>
    </w:p>
    <w:p w14:paraId="0A6F330F">
      <w:pPr>
        <w:pStyle w:val="style0"/>
        <w:tabs>
          <w:tab w:val="right" w:leader="dot" w:pos="9026"/>
        </w:tabs>
        <w:spacing w:after="120"/>
        <w:rPr>
          <w:b/>
          <w:bCs/>
        </w:rPr>
      </w:pPr>
    </w:p>
    <w:p w14:paraId="053749B1">
      <w:pPr>
        <w:pStyle w:val="style0"/>
        <w:tabs>
          <w:tab w:val="right" w:leader="dot" w:pos="9026"/>
        </w:tabs>
        <w:spacing w:after="120"/>
        <w:jc w:val="center"/>
        <w:rPr>
          <w:b/>
          <w:bCs/>
        </w:rPr>
      </w:pPr>
      <w:r>
        <w:rPr>
          <w:b/>
          <w:bCs/>
        </w:rPr>
        <w:t>CONTENT</w:t>
      </w:r>
    </w:p>
    <w:p w14:paraId="0FF14AFF">
      <w:pPr>
        <w:pStyle w:val="style0"/>
        <w:tabs>
          <w:tab w:val="right" w:leader="dot" w:pos="9026"/>
        </w:tabs>
        <w:spacing w:after="120"/>
        <w:rPr>
          <w:b/>
          <w:bCs/>
        </w:rPr>
      </w:pPr>
    </w:p>
    <w:p w14:paraId="683093EA">
      <w:pPr>
        <w:pStyle w:val="style0"/>
        <w:tabs>
          <w:tab w:val="right" w:leader="dot" w:pos="9026"/>
        </w:tabs>
        <w:spacing w:after="120"/>
        <w:rPr>
          <w:b/>
          <w:bCs/>
        </w:rPr>
      </w:pPr>
    </w:p>
    <w:p w14:paraId="386E514E">
      <w:pPr>
        <w:pStyle w:val="style0"/>
        <w:tabs>
          <w:tab w:val="right" w:leader="dot" w:pos="9026"/>
        </w:tabs>
        <w:spacing w:after="120"/>
        <w:rPr/>
      </w:pPr>
      <w:r>
        <w:rPr>
          <w:b/>
          <w:bCs/>
        </w:rPr>
        <w:t>1. Introduction</w:t>
      </w:r>
    </w:p>
    <w:p w14:paraId="7B31F274">
      <w:pPr>
        <w:pStyle w:val="style0"/>
        <w:tabs>
          <w:tab w:val="right" w:leader="dot" w:pos="9026"/>
        </w:tabs>
        <w:spacing w:after="120"/>
        <w:rPr/>
      </w:pPr>
      <w:r>
        <w:rPr>
          <w:b/>
          <w:bCs/>
        </w:rPr>
        <w:t>2. Main Body and Analysis</w:t>
      </w:r>
    </w:p>
    <w:p w14:paraId="462F332B">
      <w:pPr>
        <w:pStyle w:val="style0"/>
        <w:tabs>
          <w:tab w:val="right" w:leader="dot" w:pos="9026"/>
        </w:tabs>
        <w:spacing w:after="120"/>
        <w:ind w:left="431"/>
        <w:rPr/>
      </w:pPr>
      <w:r>
        <w:t>2.1 Identifying the Problem and Setting the System Context</w:t>
      </w:r>
    </w:p>
    <w:p w14:paraId="1BCAC92C">
      <w:pPr>
        <w:pStyle w:val="style0"/>
        <w:tabs>
          <w:tab w:val="right" w:leader="dot" w:pos="9026"/>
        </w:tabs>
        <w:spacing w:after="120"/>
        <w:ind w:left="431"/>
        <w:rPr/>
      </w:pPr>
      <w:r>
        <w:t>2.2 Centralisation or Decentralisation within the Case Study</w:t>
      </w:r>
    </w:p>
    <w:p w14:paraId="4D945A93">
      <w:pPr>
        <w:pStyle w:val="style0"/>
        <w:tabs>
          <w:tab w:val="right" w:leader="dot" w:pos="9026"/>
        </w:tabs>
        <w:spacing w:after="120"/>
        <w:ind w:left="431"/>
        <w:rPr/>
      </w:pPr>
      <w:r>
        <w:t>2.3 Leadership Theories and Application to the Case Study</w:t>
      </w:r>
    </w:p>
    <w:p w14:paraId="4F639F14">
      <w:pPr>
        <w:pStyle w:val="style0"/>
        <w:tabs>
          <w:tab w:val="right" w:leader="dot" w:pos="9026"/>
        </w:tabs>
        <w:spacing w:after="120"/>
        <w:ind w:left="431"/>
        <w:rPr/>
      </w:pPr>
      <w:r>
        <w:t>2.4 Improvement and Lessons Learned</w:t>
      </w:r>
    </w:p>
    <w:p w14:paraId="3BDAAEC3">
      <w:pPr>
        <w:pStyle w:val="style0"/>
        <w:tabs>
          <w:tab w:val="right" w:leader="dot" w:pos="9026"/>
        </w:tabs>
        <w:spacing w:after="120"/>
        <w:rPr/>
      </w:pPr>
      <w:r>
        <w:rPr>
          <w:b/>
          <w:bCs/>
        </w:rPr>
        <w:t>3. Recommendation</w:t>
      </w:r>
    </w:p>
    <w:p w14:paraId="4F6F4947">
      <w:pPr>
        <w:pStyle w:val="style0"/>
        <w:tabs>
          <w:tab w:val="right" w:leader="dot" w:pos="9026"/>
        </w:tabs>
        <w:spacing w:after="120"/>
        <w:rPr/>
      </w:pPr>
      <w:r>
        <w:rPr>
          <w:b/>
          <w:bCs/>
        </w:rPr>
        <w:t>4. Conclusion</w:t>
      </w:r>
    </w:p>
    <w:p w14:paraId="7B5B0BD8">
      <w:pPr>
        <w:pStyle w:val="style0"/>
        <w:tabs>
          <w:tab w:val="right" w:leader="dot" w:pos="9026"/>
        </w:tabs>
        <w:spacing w:after="120"/>
        <w:rPr/>
      </w:pPr>
      <w:r>
        <w:rPr>
          <w:b/>
          <w:bCs/>
        </w:rPr>
        <w:t>Reference List</w:t>
      </w:r>
    </w:p>
    <w:p w14:paraId="6EE2629D">
      <w:pPr>
        <w:pStyle w:val="style0"/>
        <w:rPr/>
      </w:pPr>
      <w:r>
        <w:br w:type="page"/>
      </w:r>
    </w:p>
    <w:p w14:paraId="7DEE18B1">
      <w:pPr>
        <w:pStyle w:val="style1"/>
        <w:spacing w:before="400" w:after="200"/>
        <w:rPr/>
      </w:pPr>
      <w:r>
        <w:rPr>
          <w:b/>
          <w:bCs/>
          <w:color w:val="1f3b57"/>
          <w:sz w:val="30"/>
          <w:szCs w:val="30"/>
        </w:rPr>
        <w:t>1. Introduction</w:t>
      </w:r>
    </w:p>
    <w:p w14:paraId="323641A7">
      <w:pPr>
        <w:pStyle w:val="style0"/>
        <w:spacing w:after="200" w:lineRule="auto" w:line="360"/>
        <w:jc w:val="both"/>
        <w:rPr/>
      </w:pPr>
      <w:r>
        <w:t>In April 2000, a fifteen-year-old boy named Lewis Blackman died in a Charleston, South Carolina hospital, two days after routine elective surgery to correct a chest wall deformity. His death was not the result of a rare or unforeseeable complication; it followed a perforated ulcer that produced fatal internal bleeding, a condition that a series of clinical signs pointed toward for many hours before any senior clinician intervened (Acquaviva, Haskell and Johnson, 2013). His mother, Helen Haskell, repeatedly asked staff to look again, unaware that the deference built into the ward's culture meant that her concerns, and eventually those of the treating chief resident, were absorbed and set aside rather than acted upon. The case has become one of the most widely taught examples in patient safety education because it demonstrates, with painful clarity, how a poorly governed system can convert a survivable complication into an avoidable death (Academy for Emerging Leaders in Patient Safety [AELPS], 2019).</w:t>
      </w:r>
    </w:p>
    <w:p w14:paraId="6681672D">
      <w:pPr>
        <w:pStyle w:val="style0"/>
        <w:spacing w:after="200" w:lineRule="auto" w:line="360"/>
        <w:jc w:val="both"/>
        <w:rPr/>
      </w:pPr>
      <w:r>
        <w:t xml:space="preserve">This report uses the Lewis Blackman case as the foundation for an analysis of leadership, governance and systems thinking within health and social care organisations. Leadership, in this context, is understood as the capacity to influence others toward a shared goal of safe, high-quality care, whether that influence is exercised through formal authority or through informal persuasion (Storey and Holti, 2013). Health systems and the organisations within them sit somewhere along a continuum between centralisation, in which decision-making authority is concentrated among a small number of senior figures, and decentralisation, in which authority and responsibility are pushed toward the point of care (Saltman, </w:t>
      </w:r>
      <w:r>
        <w:t>Bankauskaite</w:t>
      </w:r>
      <w:r>
        <w:t xml:space="preserve"> and Vrangbæk, 2007). Leadership theory offers several lenses through which the choices made, and not made, on Lewis's ward can be understood, including transactional and transformational leadership (Bass, 1985; Burns, 1978), situational leadership (Hersey and Blanchard, 1969) and more recent models of compassionate and collective leadership developed specifically for the NHS (West, </w:t>
      </w:r>
      <w:r>
        <w:t>Lyubovnikova</w:t>
      </w:r>
      <w:r>
        <w:t>, Eckert and Denis, 2014).</w:t>
      </w:r>
    </w:p>
    <w:p w14:paraId="0D601C71">
      <w:pPr>
        <w:pStyle w:val="style0"/>
        <w:spacing w:after="200" w:lineRule="auto" w:line="360"/>
        <w:jc w:val="both"/>
        <w:rPr/>
      </w:pPr>
      <w:r>
        <w:t xml:space="preserve">Selecting the appropriate leadership style is not simply a matter of preference; evidence consistently links leadership behaviour to patient outcomes, staff psychological safety and organisational learning (Edmondson, 1999; Dixon-Woods et al., 2014), and the human and financial cost of getting it wrong is well documented globally (World Health Organization, </w:t>
      </w:r>
      <w:r>
        <w:t>2024). This report first identifies the central problem in the Lewis Blackman case and situates it within global, national and organisational data, supported by a Rich Picture diagram. It then examines the case through the lens of centralisation and decentralisation, before critically applying relevant leadership theories to the decisions taken on Lewis's ward. It closes with a discussion of the lessons that other health and social care organisations can draw from this case, together with practical, evidence-based recommendations for sustaining improvement.</w:t>
      </w:r>
    </w:p>
    <w:p w14:paraId="3B2FCE87">
      <w:pPr>
        <w:pStyle w:val="style1"/>
        <w:spacing w:before="400" w:after="200"/>
        <w:rPr/>
      </w:pPr>
      <w:r>
        <w:rPr>
          <w:b/>
          <w:bCs/>
          <w:color w:val="1f3b57"/>
          <w:sz w:val="30"/>
          <w:szCs w:val="30"/>
        </w:rPr>
        <w:t>2. Main Body and Analysis</w:t>
      </w:r>
    </w:p>
    <w:p w14:paraId="3412E2B7">
      <w:pPr>
        <w:pStyle w:val="style2"/>
        <w:spacing w:before="320" w:after="160"/>
        <w:rPr/>
      </w:pPr>
      <w:r>
        <w:rPr>
          <w:b/>
          <w:bCs/>
          <w:color w:val="2e5c8a"/>
        </w:rPr>
        <w:t>2.1 Identifying the Problem and Setting the System Context: Applying Systems Thinking and the Rich Picture</w:t>
      </w:r>
    </w:p>
    <w:p w14:paraId="53905FDE">
      <w:pPr>
        <w:pStyle w:val="style0"/>
        <w:spacing w:after="200" w:lineRule="auto" w:line="360"/>
        <w:jc w:val="both"/>
        <w:rPr/>
      </w:pPr>
      <w:r>
        <w:t>The central problem in the Lewis Blackman case was a failure to rescue: a patient whose vital signs were deteriorating for many hours was not escalated for senior clinical review until it was too late to save him (AELPS, 2019). Lewis underwent an elective pectus excavatum repair; post-operatively he developed abdominal pain, tachycardia, low urine output and pallor, signs that, with hindsight and arguably with reasonable contemporaneous judgement, indicated a surgical complication rather than routine post-operative discomfort (Acquaviva, Haskell and Johnson, 2013). A newly assigned agency night nurse recognised his deterioration but did not escalate her concerns beyond her immediate peers; the treating chief resident did raise the alarm with his attending surgeon, only to be dismissed (AELPS, 2017). Analyses of the case describe a set of interacting cognitive and organisational failures, including anchoring on the initial diagnosis, belief perseverance, groupthink and an inflexible authority gradient that discouraged junior staff from challenging senior judgement (Acquaviva, Haskell and Johnson, 2013). No single individual acted with malicious intent; the tragedy emerged from the way people, processes and structures interacted, which is why systems thinking, rather than a search for one culpable individual, is the appropriate analytical lens (AELPS, 2017).</w:t>
      </w:r>
    </w:p>
    <w:p w14:paraId="64BABC3C">
      <w:pPr>
        <w:pStyle w:val="style0"/>
        <w:spacing w:after="200" w:lineRule="auto" w:line="360"/>
        <w:jc w:val="both"/>
        <w:rPr/>
      </w:pPr>
      <w:r>
        <w:t xml:space="preserve">Global statistics establish that Lewis's case, while extreme in outcome, reflects a pattern rather than an isolated anomaly. The World Health Organization estimates that around one in every ten patients is harmed during health care, and that unsafe care contributes to more than three million deaths globally each year, with roughly half of this harm considered preventable (World Health Organization, 2024). In low- and middle-income countries the picture is worse still, with as many as four in every hundred people dying as a result of unsafe </w:t>
      </w:r>
      <w:r>
        <w:t xml:space="preserve">care (World Health Organization, 2023). At national level, comparable British evidence is similarly troubling: NHS England's own reporting recorded 403 Never Events, incidents defined as wholly preventable because national protective barriers already exist, in the twelve months to March 2026 alone (LBC, cited in </w:t>
      </w:r>
      <w:r>
        <w:t>Teeslaw</w:t>
      </w:r>
      <w:r>
        <w:t>, 2026). Earlier National Reporting and Learning System data recorded thousands of deaths linked to reported patient safety incidents within a single reporting period, alongside close to half a million incident reports every quarter (Tingle, 2019). These figures matter because they demonstrate that failure to rescue, and the communication breakdowns that produce it, are not confined to one hospital or one health system; they are a structural feature of how care is organised and supervised.</w:t>
      </w:r>
    </w:p>
    <w:p w14:paraId="6AD43BE9">
      <w:pPr>
        <w:pStyle w:val="style0"/>
        <w:spacing w:after="200" w:lineRule="auto" w:line="360"/>
        <w:jc w:val="both"/>
        <w:rPr/>
      </w:pPr>
      <w:r>
        <w:t>Organisations focused specifically on patient safety improvement reinforce this picture. The Institute for Healthcare Improvement identifies failure to rescue as an emerging quality indicator, reflecting the expectation that health systems should be able to identify and treat complications, whether or not they were preventable in the first instance (AELPS, 2019). Research examining almost two million Medicare beneficiaries found that hospital and patient characteristics accounted for at most 57 per cent of the variation in failure-to-rescue rates between institutions, indicating that the remainder is explained by microsystem factors, such as ward culture, communication norms and escalation pathways, that are shaped directly by leadership and governance choices (AELPS, 2019). This connects the local incident on Lewis's ward to a wider evidence base: wherever escalation depends on an individual being willing to challenge a more senior colleague, and wherever no reliable mechanism exists to prompt review once several early-warning signs accumulate, failure-to-rescue events of this kind become statistically probable rather than merely possible.</w:t>
      </w:r>
    </w:p>
    <w:p w14:paraId="6B0B4BFC">
      <w:pPr>
        <w:pStyle w:val="style0"/>
        <w:spacing w:after="200" w:lineRule="auto" w:line="360"/>
        <w:jc w:val="both"/>
        <w:rPr/>
      </w:pPr>
      <w:r>
        <w:t xml:space="preserve">The underlying systemic weaknesses in the Lewis Blackman case cluster around three areas: communication, accountability and governance oversight. Communication failed both horizontally, between the night nurse and the resident team, and vertically, between residents and the attending surgeon (Acquaviva, Haskell and Johnson, 2013). Accountability was diffuse: because care was organised around a rotating team of residents supervised remotely by an attending who reviewed the patient infrequently, no individual held continuous responsibility for noticing the trend in Lewis's vital signs (AELPS, 2017). Governance oversight, meanwhile, sat at the level of the hospital board and senior management, well removed from ward-level decision-making, meaning that the systemic </w:t>
      </w:r>
      <w:r>
        <w:t>weaknesses that enabled the error were not visible to those with the authority to correct them until after Lewis had died.</w:t>
      </w:r>
    </w:p>
    <w:p w14:paraId="2B6EE36E">
      <w:pPr>
        <w:pStyle w:val="style0"/>
        <w:spacing w:after="200" w:lineRule="auto" w:line="360"/>
        <w:jc w:val="both"/>
        <w:rPr/>
      </w:pPr>
      <w:r>
        <w:t xml:space="preserve">Figure 1 presents a Rich Picture, a Soft Systems Methodology tool developed by </w:t>
      </w:r>
      <w:r>
        <w:t>Checkland</w:t>
      </w:r>
      <w:r>
        <w:t xml:space="preserve"> (1981) to visualise messy, real-world problem situations without imposing a premature structure upon them. Rich pictures are particularly suited to patient safety analysis because they allow multiple stakeholder perspectives, and the emotional and relational dynamics between them, to be represented alongside formal reporting lines (</w:t>
      </w:r>
      <w:r>
        <w:t>Checkland</w:t>
      </w:r>
      <w:r>
        <w:t xml:space="preserve"> and Poulter, 2010). The diagram below maps the actors involved in Lewis's care, the flow of information, and its frequent absence, between them, and the feedback loop through which silence at one level produced a lack of correction at the next. Read from the top down, the diagram shows a governance structure with limited visibility of ward-level events; read from the bottom up, it shows several points at which a different response, a nurse escalating outside her immediate hierarchy, a resident insisting on review, an attending returning promptly to the bedside, could plausibly have interrupted the deteriorating trajectory before it became fatal.</w:t>
      </w:r>
    </w:p>
    <w:p w14:paraId="5817C78E">
      <w:pPr>
        <w:pStyle w:val="style0"/>
        <w:spacing w:before="200" w:after="80"/>
        <w:jc w:val="center"/>
        <w:rPr/>
      </w:pPr>
      <w:r>
        <w:rPr>
          <w:noProof/>
        </w:rPr>
        <w:drawing>
          <wp:inline distL="0" distT="0" distB="0" distR="0">
            <wp:extent cx="5334000" cy="3533775"/>
            <wp:effectExtent l="0" t="0" r="0" b="0"/>
            <wp:docPr id="102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5334000" cy="3533775"/>
                    </a:xfrm>
                    <a:prstGeom prst="rect"/>
                  </pic:spPr>
                </pic:pic>
              </a:graphicData>
            </a:graphic>
          </wp:inline>
        </w:drawing>
      </w:r>
    </w:p>
    <w:p w14:paraId="234F6F33">
      <w:pPr>
        <w:pStyle w:val="style0"/>
        <w:spacing w:after="260"/>
        <w:jc w:val="center"/>
        <w:rPr/>
      </w:pPr>
      <w:r>
        <w:rPr>
          <w:i/>
          <w:iCs/>
          <w:sz w:val="20"/>
          <w:szCs w:val="20"/>
        </w:rPr>
        <w:t xml:space="preserve">Figure 1: Rich Picture of the Lewis Blackman case, showing actors, communication gaps and the feedback loop that allowed a preventable deterioration to go unaddressed (developed using </w:t>
      </w:r>
      <w:r>
        <w:rPr>
          <w:i/>
          <w:iCs/>
          <w:sz w:val="20"/>
          <w:szCs w:val="20"/>
        </w:rPr>
        <w:t>Checkland's</w:t>
      </w:r>
      <w:r>
        <w:rPr>
          <w:i/>
          <w:iCs/>
          <w:sz w:val="20"/>
          <w:szCs w:val="20"/>
        </w:rPr>
        <w:t>, 1981, Soft Systems Methodology).</w:t>
      </w:r>
    </w:p>
    <w:p w14:paraId="3969BE7C">
      <w:pPr>
        <w:pStyle w:val="style0"/>
        <w:spacing w:after="200" w:lineRule="auto" w:line="360"/>
        <w:jc w:val="both"/>
        <w:rPr/>
      </w:pPr>
      <w:r>
        <w:t>A brief CATWOE analysis (</w:t>
      </w:r>
      <w:r>
        <w:t>Checkland</w:t>
      </w:r>
      <w:r>
        <w:t xml:space="preserve"> and Poulter, 2010) sharpens this picture further. The Customers of the ward system were Lewis and his family; the Actors were the nursing and </w:t>
      </w:r>
      <w:r>
        <w:t>medical staff who carried out care; the Transformation was the intended conversion of a post-surgical patient into a safely recovered one; the Worldview was an assumption, unstated but powerful, that the initial diagnosis of constipation and anxiety remained correct despite contrary evidence; the Owner of the system, with the authority to change it, was the attending surgeon and, ultimately, the hospital board; and the Environment included the staffing model, shift patterns and hierarchical culture within which the ward operated. This structured reading confirms that the root cause of the failure sat not with any single actor's competence, but with a Worldview that the system had no mechanism to challenge once it had been set.</w:t>
      </w:r>
    </w:p>
    <w:p w14:paraId="28BD756A">
      <w:pPr>
        <w:pStyle w:val="style2"/>
        <w:spacing w:before="320" w:after="160"/>
        <w:rPr/>
      </w:pPr>
      <w:r>
        <w:rPr>
          <w:b/>
          <w:bCs/>
          <w:color w:val="2e5c8a"/>
        </w:rPr>
        <w:t>2.2 Centralisation or Decentralisation within the Case Study</w:t>
      </w:r>
    </w:p>
    <w:p w14:paraId="074E193C">
      <w:pPr>
        <w:pStyle w:val="style0"/>
        <w:spacing w:after="200" w:lineRule="auto" w:line="360"/>
        <w:jc w:val="both"/>
        <w:rPr/>
      </w:pPr>
      <w:r>
        <w:t xml:space="preserve">Health systems, and the individual organisations within them, sit somewhere along a continuum between centralisation, in which decision-making authority is concentrated among a small number of senior figures, and decentralisation, in which authority and responsibility for decisions are distributed to lower levels, closer to the point of care (Saltman, </w:t>
      </w:r>
      <w:r>
        <w:t>Bankauskaite</w:t>
      </w:r>
      <w:r>
        <w:t xml:space="preserve"> and Vrangbæk, 2007). In a centralised system, decisions about escalation, resource allocation and clinical override are concentrated with attending physicians and hospital administration, while ward staff are expected to implement rather than originate decisions. The hospital where Lewis was treated exhibited many features of a centralised clinical hierarchy: ultimate authority over his care rested with the attending surgeon, who was not present on the ward for most of the relevant period, while junior residents and nurses, who observed his deterioration directly, had limited authority to act independently (AELPS, 2017; Acquaviva, Haskell and Johnson, 2013).</w:t>
      </w:r>
    </w:p>
    <w:p w14:paraId="5A2ACF56">
      <w:pPr>
        <w:pStyle w:val="style0"/>
        <w:spacing w:after="200" w:lineRule="auto" w:line="360"/>
        <w:jc w:val="both"/>
        <w:rPr/>
      </w:pPr>
      <w:r>
        <w:t xml:space="preserve">The advantages of centralisation are real and should not be dismissed. Centralised clinical hierarchies provide consistency of decision-making, a single point of accountability, and a clear chain of command that, in principle, allows expertise to be concentrated where it is most needed (OECD, 2019). In an emergency, having one recognised final decision-maker can prevent the paralysis that sometimes results from too many voices attempting to direct care simultaneously. However, the disadvantages exposed by the Lewis Blackman case were severe. Because authority to override the working diagnosis rested almost entirely with a single senior clinician who was not continuously present, the system created what is </w:t>
      </w:r>
      <w:r>
        <w:t>described in the literature as an authority gradient: a difference in perceived status and power between team members that discourages those lower in the hierarchy from challenging those above them, even when their direct observations suggest a different course of action is needed (Acquaviva, Haskell and Johnson, 2013). The chief resident did attempt to escalate his concern, illustrating that centralisation does not remove judgement from junior staff, but it does mean that judgement can be overridden by a single senior opinion, with no structural safeguard requiring a second, independent review when that opinion is challenged.</w:t>
      </w:r>
    </w:p>
    <w:p w14:paraId="37610D74">
      <w:pPr>
        <w:pStyle w:val="style0"/>
        <w:spacing w:after="200" w:lineRule="auto" w:line="360"/>
        <w:jc w:val="both"/>
        <w:rPr/>
      </w:pPr>
      <w:r>
        <w:t>Decentralised systems distribute authority and responsibility away from a single senior figure toward the staff closest to the patient. In health care, this can take the form of nurse-led rapid response teams empowered to summon senior review without first seeking permission, structured early-warning score systems that trigger mandatory escalation once agreed thresholds are crossed, or organisational cultures that explicitly authorise any team member, regardless of seniority, to pause care when they are concerned (AELPS, 2019). The clear advantage of decentralisation in this context is speed: it removes the requirement for a junior member of staff to persuade a senior colleague before action is taken, replacing personal persuasion with a standardised trigger. Its disadvantages include the risk of inconsistency between teams, the possibility of unnecessary escalation and additional cost, and the requirement for significant investment in training and protocol design to ensure local decisions remain aligned with organisational standards (OECD, 2019; Lorenzoni et al., 2019).</w:t>
      </w:r>
    </w:p>
    <w:p w14:paraId="214DF49B">
      <w:pPr>
        <w:pStyle w:val="style0"/>
        <w:spacing w:after="200" w:lineRule="auto" w:line="360"/>
        <w:jc w:val="both"/>
        <w:rPr/>
      </w:pPr>
      <w:r>
        <w:t xml:space="preserve">Comparative national and international data support a nuanced reading of this trade-off rather than treating either pole of the continuum as inherently superior. OECD analysis of health system decentralisation across member states found a non-linear, 'fish-shaped' relationship between decentralisation and system performance: moderate decentralisation is generally associated with lower public health spending and higher life expectancy compared with predominantly centralised systems, but health systems that are excessively decentralised tend to show the worst cost and quality outcomes of all (Lorenzoni et al., 2019). This suggests that neither pole of the continuum is optimal in isolation, and that health organisations perform best when they combine centrally set standards and safety barriers with meaningful autonomy for staff to act on those standards at the point of care. This is broadly consistent with the design of the NHS Never Events framework, which sets national protective barriers centrally but relies on local trusts and ward teams to implement and </w:t>
      </w:r>
      <w:r>
        <w:t>monitor them; the continued occurrence of several hundred Never Events per year in England indicates that even a moderately decentralised system with strong national standards does not eliminate risk, but it does provide the transparency needed to identify where local implementation is failing (</w:t>
      </w:r>
      <w:r>
        <w:t>Hudgell</w:t>
      </w:r>
      <w:r>
        <w:t xml:space="preserve"> Solicitors, 2025; </w:t>
      </w:r>
      <w:r>
        <w:t>Penningtons</w:t>
      </w:r>
      <w:r>
        <w:t xml:space="preserve"> Law, 2026).</w:t>
      </w:r>
    </w:p>
    <w:p w14:paraId="46ADB381">
      <w:pPr>
        <w:pStyle w:val="style0"/>
        <w:spacing w:before="200" w:after="80"/>
        <w:jc w:val="center"/>
        <w:rPr/>
      </w:pPr>
      <w:r>
        <w:rPr>
          <w:noProof/>
        </w:rPr>
        <w:drawing>
          <wp:inline distL="0" distT="0" distB="0" distR="0">
            <wp:extent cx="5334000" cy="2581275"/>
            <wp:effectExtent l="0" t="0" r="0" b="0"/>
            <wp:docPr id="1028" name="Picture 319104446"/>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319104446"/>
                    <pic:cNvPicPr/>
                  </pic:nvPicPr>
                  <pic:blipFill>
                    <a:blip r:embed="rId4" cstate="print"/>
                    <a:srcRect l="0" t="0" r="0" b="0"/>
                    <a:stretch/>
                  </pic:blipFill>
                  <pic:spPr>
                    <a:xfrm rot="0">
                      <a:off x="0" y="0"/>
                      <a:ext cx="5334000" cy="2581275"/>
                    </a:xfrm>
                    <a:prstGeom prst="rect"/>
                  </pic:spPr>
                </pic:pic>
              </a:graphicData>
            </a:graphic>
          </wp:inline>
        </w:drawing>
      </w:r>
    </w:p>
    <w:p w14:paraId="10CC237F">
      <w:pPr>
        <w:pStyle w:val="style0"/>
        <w:spacing w:after="260"/>
        <w:jc w:val="center"/>
        <w:rPr/>
      </w:pPr>
      <w:r>
        <w:rPr>
          <w:i/>
          <w:iCs/>
          <w:sz w:val="20"/>
          <w:szCs w:val="20"/>
        </w:rPr>
        <w:t>Figure 2: The centralisation–decentralisation continuum applied to health system governance, showing where the Lewis Blackman case, and comparable NHS and international examples, sit in relation to OECD evidence on system performance.</w:t>
      </w:r>
    </w:p>
    <w:p w14:paraId="027A8B7E">
      <w:pPr>
        <w:pStyle w:val="style0"/>
        <w:spacing w:after="200" w:lineRule="auto" w:line="360"/>
        <w:jc w:val="both"/>
        <w:rPr/>
      </w:pPr>
      <w:r>
        <w:t>Critically analysing the Lewis Blackman case against this evidence, the hospital's system structure hindered rather than supported effective crisis management. Numerical evidence from failure-to-rescue research indicates that microsystem-level factors, precisely the factors shaped by how authority is distributed on a ward, account for a substantial share of the variation in whether hospitals successfully rescue deteriorating patients (AELPS, 2019). Where authority for escalation rests almost exclusively with a single, intermittently present senior clinician, and where no independent trigger exists to force review once early-warning signs accumulate, the system will systematically under-respond to slow deteriorations of the kind Lewis experienced, regardless of the individual competence of the staff involved. A moderately decentralised model, of the kind now widely implemented in NHS and North American hospitals through rapid response teams and early-warning scoring, directly addresses this specific failure mode by giving staff at the bedside an alternative escalation route that does not depend on persuading a single senior figure.</w:t>
      </w:r>
    </w:p>
    <w:p w14:paraId="324617C6">
      <w:pPr>
        <w:pStyle w:val="style2"/>
        <w:spacing w:before="320" w:after="160"/>
        <w:rPr/>
      </w:pPr>
      <w:r>
        <w:rPr>
          <w:b/>
          <w:bCs/>
          <w:color w:val="2e5c8a"/>
        </w:rPr>
        <w:t>2.3 Leadership Theories and Application to the Case Study</w:t>
      </w:r>
    </w:p>
    <w:p w14:paraId="460AC6D9">
      <w:pPr>
        <w:pStyle w:val="style0"/>
        <w:spacing w:after="200" w:lineRule="auto" w:line="360"/>
        <w:jc w:val="both"/>
        <w:rPr/>
      </w:pPr>
      <w:r>
        <w:t>Three points structure the critical analysis in this section: first, the leadership theories relevant to the case; second, how each theory connects to specific examples of its application, or absence, within the case; and third, the data that supports or challenges each interpretation.</w:t>
      </w:r>
    </w:p>
    <w:p w14:paraId="267B3AFD">
      <w:pPr>
        <w:pStyle w:val="style0"/>
        <w:spacing w:after="200" w:lineRule="auto" w:line="360"/>
        <w:jc w:val="both"/>
        <w:rPr/>
      </w:pPr>
      <w:r>
        <w:t>Burns (1978) and later Bass (1985) distinguished between transactional and transformational leadership. Transactional leadership operates through a clear exchange: the leader sets expectations and standards, and followers are rewarded for compliance or corrected for deviation, typically within an established hierarchy (Bass, 1990). Transformational leadership, by contrast, involves inspiring followers toward a shared vision, encouraging them to exceed formal expectations, and actively developing their capacity for independent judgement (Bass, 1985). The leadership style evident on Lewis's ward was overwhelmingly transactional in character: junior staff were expected to report observations upward and follow the treatment plan set by the attending, rather than being empowered or encouraged to exercise independent clinical judgement about escalation. This style is not inherently wrong; transactional leadership provides useful structure in routine, low-uncertainty situations. However, the evidence from this case indicates it was poorly matched to a situation involving genuine diagnostic uncertainty and a deteriorating patient, precisely the circumstances in which transformational leadership behaviours, actively inviting challenge and treating a junior colleague's concern as valuable information rather than a nuisance, are associated with better outcomes (Storey and Holti, 2013).</w:t>
      </w:r>
    </w:p>
    <w:p w14:paraId="6092D2AD">
      <w:pPr>
        <w:pStyle w:val="style0"/>
        <w:spacing w:after="200" w:lineRule="auto" w:line="360"/>
        <w:jc w:val="both"/>
        <w:rPr/>
      </w:pPr>
      <w:r>
        <w:t xml:space="preserve">Hersey and Blanchard's (1969) situational leadership theory offers a complementary lens. This model argues that no single leadership style is universally correct; effective leaders adapt their behaviour, ranging from directive 'telling' through to empowering 'delegating', according to the readiness and experience of those they are leading (Hersey, Blanchard and Johnson, 2007). Applied to the Lewis Blackman case, the attending surgeon's leadership style did not adapt to the specific circumstances at hand. A chief resident who had gathered sufficient evidence to raise a formal concern was reasonably ready for a more participative response, in which his observations were discussed and jointly evaluated, yet he was met with a directive dismissal more appropriate to a lower-readiness situation (AELPS, 2017). Situational leadership theory suggests that matching response style to the follower's demonstrated competence and the urgency of the situation, rather than defaulting to a fixed </w:t>
      </w:r>
      <w:r>
        <w:t>hierarchical response, was the leadership behaviour the situation required and did not receive.</w:t>
      </w:r>
    </w:p>
    <w:p w14:paraId="7BA91DB9">
      <w:pPr>
        <w:pStyle w:val="style0"/>
        <w:spacing w:after="200" w:lineRule="auto" w:line="360"/>
        <w:jc w:val="both"/>
        <w:rPr/>
      </w:pPr>
      <w:r>
        <w:t>Was the leadership style adopted appropriate for the situation? The evidence suggests not. Were leaders reactive and command-driven, or proactive and purpose-driven? The available accounts of the case describe a reactive posture: staff responded to Lewis's symptoms individually as they arose, rather than proactively synthesising the pattern of vital-sign trends into a single, escalating clinical picture (AELPS, 2019; Acquaviva, Haskell and Johnson, 2013). What did the data reveal about the leadership's effectiveness? Broader research on healthcare staff engagement offers an indirect but relevant answer: studies of NHS culture consistently find that staff engagement, psychological safety and willingness to speak up are strongly associated with patient safety outcomes (Dixon-Woods et al., 2014), and Edmondson's (1999) foundational work on psychological safety demonstrates that teams in which members feel safe to admit uncertainty or challenge a colleague's judgement learn faster and make fewer uncorrected errors. The absence of psychological safety on Lewis's ward, most visible in the night nurse's decision not to escalate her own observations despite recognising his deterioration, is consistent with this literature and offers a plausible explanatory mechanism for why early warning signs were not acted upon.</w:t>
      </w:r>
    </w:p>
    <w:p w14:paraId="21E62B1C">
      <w:pPr>
        <w:pStyle w:val="style0"/>
        <w:spacing w:after="200" w:lineRule="auto" w:line="360"/>
        <w:jc w:val="both"/>
        <w:rPr/>
      </w:pPr>
      <w:r>
        <w:t>What could have been done differently? A more distributed leadership model, in which expertise, authority and responsibility for escalation are allocated to whoever is best placed to notice and respond to a problem, rather than concentrated at the top of a formal hierarchy, is directly relevant here. Fitzgerald et al. (2013), studying English healthcare organisations, found that distributed leadership patterns were associated with more effective service improvement, because they allow leadership to emerge at the point where problems are actually encountered rather than requiring problems to travel upward before a response can be authorised (see also Bolden, 2011). The King's Fund's subsequent work on collective leadership for the NHS builds on this evidence, arguing explicitly that collective leadership, which distributes leadership power to wherever expertise, capability and motivation are located within an organisation, provides a stronger basis for safety-focused, compassionate care cultures than traditional command-and-control structures (West, 2014).</w:t>
      </w:r>
    </w:p>
    <w:p w14:paraId="1610900A">
      <w:pPr>
        <w:pStyle w:val="style0"/>
        <w:spacing w:after="200" w:lineRule="auto" w:line="360"/>
        <w:jc w:val="both"/>
        <w:rPr/>
      </w:pPr>
      <w:r>
        <w:t>Emotionally intelligent leadership, drawing on Goleman's (1995; 2000) model comprising self-awareness, self-regulation, motivation, empathy and social skill, adds a further dimension to this analysis. Evidence from nursing leadership research links higher emotional intelligence among leaders to improved communication, lower staff turnover and stronger patient satisfaction, partly because emotionally intelligent leaders are more likely to notice and respond constructively to a colleague's hesitant or indirectly expressed concern (Heikkinen, 2026; Australian Nursing and Midwifery Journal [ANMJ], 2024). An attending surgeon exercising higher self-awareness and empathy might have recognised the chief resident's persistence, returning with concerns despite an initial dismissal, as a signal worth investigating rather than a challenge to authority to be managed. In combination, the evidence from transformational, situational, distributed and emotionally intelligent leadership theory converges on a single conclusion: the case required, and did not receive, leadership that treated frontline observation as valuable information flowing upward through the hierarchy, rather than treating downward compliance as the primary measure of a well-functioning team.</w:t>
      </w:r>
    </w:p>
    <w:p w14:paraId="14729252">
      <w:pPr>
        <w:pStyle w:val="style2"/>
        <w:spacing w:before="320" w:after="160"/>
        <w:rPr/>
      </w:pPr>
      <w:r>
        <w:rPr>
          <w:b/>
          <w:bCs/>
          <w:color w:val="2e5c8a"/>
        </w:rPr>
        <w:t>2.4 Improvement and Lessons Learned</w:t>
      </w:r>
    </w:p>
    <w:p w14:paraId="0A642098">
      <w:pPr>
        <w:pStyle w:val="style0"/>
        <w:spacing w:after="200" w:lineRule="auto" w:line="360"/>
        <w:jc w:val="both"/>
        <w:rPr/>
      </w:pPr>
      <w:r>
        <w:t>Critically evaluating how leadership and governance interacted to produce the outcome in the Lewis Blackman case requires separating two related but distinct failures: a leadership failure, in which the attending surgeon did not respond appropriately to escalated concern, and a governance failure, in which the hospital's systems did not provide a structural safety net when individual leadership judgement proved wrong. Missed opportunities existed at multiple points. The night nurse's initial observation of deterioration represented an opportunity for early intervention that was lost when no clear, low-threshold escalation route existed for a new, agency member of staff unfamiliar with the unit's informal norms. The chief resident's escalation represented a second opportunity, lost when his concern was evaluated informally by a single senior colleague rather than triggering a structured second review. A formal early-warning scoring system, of the kind now standard on NHS wards, would have represented a third, structural opportunity, converting Lewis's vital-sign trend into an objective trigger for escalation independent of any individual's willingness to challenge authority.</w:t>
      </w:r>
    </w:p>
    <w:p w14:paraId="3E4321AA">
      <w:pPr>
        <w:pStyle w:val="style0"/>
        <w:spacing w:after="200" w:lineRule="auto" w:line="360"/>
        <w:jc w:val="both"/>
        <w:rPr/>
      </w:pPr>
      <w:r>
        <w:t>Evidence-based solutions exist for each of these missed opportunities. A useful comparator is the type of scenario widely used in patient-safety education and audit: a hospital review revealing that a large proportion of safety-relevant incidents remain unreported for an extended period after they occur, undermining the speed with which trends can be identified and corrected, followed by the introduction of structured digital reporting and empowered local teams as the corrective response. As in the Lewis Blackman case, the recurring lesson across such examples is that delayed reporting and diffuse accountability, rather than any single catastrophic decision, are what convert a manageable clinical risk into a fatal outcome (</w:t>
      </w:r>
      <w:r>
        <w:t>Croskerry</w:t>
      </w:r>
      <w:r>
        <w:t>, 2003; Kohn, Corrigan and Donaldson, 2000).</w:t>
      </w:r>
    </w:p>
    <w:p w14:paraId="306F444F">
      <w:pPr>
        <w:pStyle w:val="style0"/>
        <w:spacing w:after="200" w:lineRule="auto" w:line="360"/>
        <w:jc w:val="both"/>
        <w:rPr/>
      </w:pPr>
      <w:r>
        <w:t xml:space="preserve">The improvement most directly evidenced by this case, and by the wider patient safety literature, is structured communication. Tools such as SBAR (Situation, Background, Assessment, Recommendation), developed originally in high-reliability industries and adapted for healthcare by Leonard, Graham and </w:t>
      </w:r>
      <w:r>
        <w:t>Bonacum</w:t>
      </w:r>
      <w:r>
        <w:t xml:space="preserve"> (2004), give staff at every level of seniority a standardised format for raising a concern, explicitly including a recommendation, which reduces the likelihood that a legitimate concern is dismissed as vague or unfounded. Broader team communication and coordination frameworks, such as the Agency for Healthcare Research and Quality's </w:t>
      </w:r>
      <w:r>
        <w:t>TeamSTEPPS</w:t>
      </w:r>
      <w:r>
        <w:t xml:space="preserve"> programme, similarly aim to flatten the communication barriers created by hierarchy, training all staff, regardless of seniority, in a shared vocabulary and set of expectations for raising safety concerns (Agency for Healthcare Research and Quality, 2014).</w:t>
      </w:r>
    </w:p>
    <w:p w14:paraId="379C6477">
      <w:pPr>
        <w:pStyle w:val="style0"/>
        <w:spacing w:after="200" w:lineRule="auto" w:line="360"/>
        <w:jc w:val="both"/>
        <w:rPr/>
      </w:pPr>
      <w:r>
        <w:t>Linking these findings together: the interaction between system structure, leadership style and feedback in the Lewis Blackman case followed a consistent and mutually reinforcing pattern. A centralised system structure concentrated authority with a single, intermittently present senior clinician; a transactional, non-adaptive leadership style meant that when a subordinate did attempt to challenge that authority, the response was dismissal rather than inquiry; and the absence of any structural feedback loop, no early-warning score, no mandatory second review, no protected reporting channel, meant that the system had no mechanism to correct the leader's error once it had been made. Each element on its own might have been survivable; together, they produced a fatal outcome.</w:t>
      </w:r>
    </w:p>
    <w:p w14:paraId="05C6F3F0">
      <w:pPr>
        <w:pStyle w:val="style0"/>
        <w:spacing w:after="200" w:lineRule="auto" w:line="360"/>
        <w:jc w:val="both"/>
        <w:rPr/>
      </w:pPr>
      <w:r>
        <w:t>The lessons for other health and social care organisations are substantial and generalisable well beyond this single case. First, systems that rely primarily on an individual's willingness to challenge senior authority will systematically under-detect slow, cumulative deteriorations, because such challenges carry real personal and professional risk for the person making them (</w:t>
      </w:r>
      <w:r>
        <w:t>Croskerry</w:t>
      </w:r>
      <w:r>
        <w:t>, 2003). Second, comparative UK evidence from the Mid Staffordshire NHS Foundation Trust inquiry demonstrates that the same pattern, an insidious culture that tolerated poor standards and allowed staff and managers to disengage from their safety responsibilities, can develop at organisational scale and persist for years without correction, contributing to an estimated 1,200 avoidable deaths at that single trust (Francis, 2013). Third, evidence and data can be used to ensure continuous improvement and accountability only where organisations are willing to treat incident data as a prompt for system redesign rather than as a performance-management figure to be minimised; NHS England's continued public reporting of Never Events, despite the reputational discomfort this creates, is instructive precisely because transparency, rather than the absence of error, is what allows a health system to learn (</w:t>
      </w:r>
      <w:r>
        <w:t>Penningtons</w:t>
      </w:r>
      <w:r>
        <w:t xml:space="preserve"> Law, 2026).</w:t>
      </w:r>
    </w:p>
    <w:p w14:paraId="3C88F556">
      <w:pPr>
        <w:pStyle w:val="style1"/>
        <w:spacing w:before="400" w:after="200"/>
        <w:rPr/>
      </w:pPr>
      <w:r>
        <w:rPr>
          <w:b/>
          <w:bCs/>
          <w:color w:val="1f3b57"/>
          <w:sz w:val="30"/>
          <w:szCs w:val="30"/>
        </w:rPr>
        <w:t>3. Recommendation</w:t>
      </w:r>
    </w:p>
    <w:p w14:paraId="6D38B217">
      <w:pPr>
        <w:pStyle w:val="style0"/>
        <w:spacing w:after="200" w:lineRule="auto" w:line="360"/>
        <w:jc w:val="both"/>
        <w:rPr/>
      </w:pPr>
      <w:r>
        <w:t>Building directly on the analysis above, the recommendations that follow are organised around leadership style, governance and communication structures, efficiency, and continuous learning, each linked explicitly to the evidence discussed in the main body.</w:t>
      </w:r>
    </w:p>
    <w:p w14:paraId="331511FE">
      <w:pPr>
        <w:pStyle w:val="style0"/>
        <w:spacing w:after="200" w:lineRule="auto" w:line="360"/>
        <w:jc w:val="both"/>
        <w:rPr/>
      </w:pPr>
      <w:r>
        <w:t>The organisation in this case study, and comparable health and social care providers more broadly, should adopt a hybrid leadership approach that combines situational judgement with the principles of collective and compassionate leadership (Hersey and Blanchard, 1969; West, 2014). In practice, this means retaining clear clinical accountability for final decisions, appropriate given the complexity and risk involved in acute care, while systematically inviting and rewarding challenge from junior staff, particularly during periods of diagnostic uncertainty. Leaders should be trained explicitly in the behaviours associated with psychological safety, actively soliciting concerns, responding to challenge with curiosity rather than defensiveness, and visibly changing course when new information warrants it (Edmondson, 1999).</w:t>
      </w:r>
    </w:p>
    <w:p w14:paraId="4A601DDB">
      <w:pPr>
        <w:pStyle w:val="style0"/>
        <w:spacing w:after="200" w:lineRule="auto" w:line="360"/>
        <w:jc w:val="both"/>
        <w:rPr/>
      </w:pPr>
      <w:r>
        <w:t xml:space="preserve">To strengthen governance, communication and systems integration, the organisation should implement a structured early-warning scoring system with mandatory, protocol-driven escalation thresholds that do not depend on an individual's willingness to challenge a senior colleague. This directly addresses the specific mechanism of failure identified in the Lewis Blackman case and is consistent with the moderate decentralisation model shown by OECD evidence to produce better outcomes than either extreme of the centralisation–decentralisation continuum (Lorenzoni et al., 2019). Complementing this, structured communication tools such as SBAR should be embedded in staff training and reinforced through simulation, giving every member of staff, regardless of seniority or employment status, including agency and newly appointed staff, as in Lewis's case, a standardised, legitimate format for raising a safety concern (Leonard, Graham and </w:t>
      </w:r>
      <w:r>
        <w:t>Bonacum</w:t>
      </w:r>
      <w:r>
        <w:t>, 2004).</w:t>
      </w:r>
    </w:p>
    <w:p w14:paraId="64663991">
      <w:pPr>
        <w:pStyle w:val="style0"/>
        <w:spacing w:after="200" w:lineRule="auto" w:line="360"/>
        <w:jc w:val="both"/>
        <w:rPr/>
      </w:pPr>
      <w:r>
        <w:t xml:space="preserve">Governance oversight should also be restructured to close the distance between board-level accountability and ward-level reality identified in the Rich Picture analysis. This can be achieved through regular, unannounced senior leadership </w:t>
      </w:r>
      <w:r>
        <w:t>walkrounds</w:t>
      </w:r>
      <w:r>
        <w:t>, which research has associated with stronger safety climates and greater risk reduction (Schwendimann et al., 2013), and through board-level reporting that includes near-miss and unreported concern data, not only confirmed incidents, so that governance bodies gain visibility of the same early-warning signals available to frontline staff.</w:t>
      </w:r>
    </w:p>
    <w:p w14:paraId="40BB55CE">
      <w:pPr>
        <w:pStyle w:val="style0"/>
        <w:spacing w:after="200" w:lineRule="auto" w:line="360"/>
        <w:jc w:val="both"/>
        <w:rPr/>
      </w:pPr>
      <w:r>
        <w:t>To enhance technical and allocative efficiency, escalation and rapid-response resources should be targeted using the same evidence base that identifies where failure-to-rescue risk concentrates, adjusting staffing levels and senior review availability during the specific post-operative windows and shift patterns in which deterioration is most likely to be missed, rather than distributing scarce senior clinical time evenly across all periods regardless of risk (drawing on the microsystem-level evidence discussed in Section 2.1).</w:t>
      </w:r>
    </w:p>
    <w:p w14:paraId="6DD7896A">
      <w:pPr>
        <w:pStyle w:val="style0"/>
        <w:spacing w:after="200" w:lineRule="auto" w:line="360"/>
        <w:jc w:val="both"/>
        <w:rPr/>
      </w:pPr>
      <w:r>
        <w:t xml:space="preserve">Finally, the organisation should build methods for continuous learning, stakeholder engagement and co-production directly into its patient safety architecture. This includes the formal involvement of patients and families, of the kind Helen Haskell's advocacy eventually achieved through changed hospital policy following Lewis's death, in the design of escalation and communication protocols, recognising that families are often the first to notice deterioration and require a legitimate, trusted channel through which to raise concern (World </w:t>
      </w:r>
      <w:r>
        <w:t>Health Organization, 2023). It also includes treating every Never Event, serious incident and near miss as a mandatory trigger for structured learning review, following the transparent reporting model used by NHS England, rather than as an isolated failure to be managed defensively (</w:t>
      </w:r>
      <w:r>
        <w:t>Teeslaw</w:t>
      </w:r>
      <w:r>
        <w:t>, 2026).</w:t>
      </w:r>
    </w:p>
    <w:p w14:paraId="00BF8F96">
      <w:pPr>
        <w:pStyle w:val="style0"/>
        <w:spacing w:after="200" w:lineRule="auto" w:line="360"/>
        <w:jc w:val="both"/>
        <w:rPr/>
      </w:pPr>
      <w:r>
        <w:t>These recommendations are deliberately practical and evidence-based rather than aspirational: each responds to a specific, identified mechanism of failure in the case study, and each is grounded in an intervention that has already demonstrated measurable benefit in a comparable health or social care setting.</w:t>
      </w:r>
    </w:p>
    <w:p w14:paraId="4FF42C82">
      <w:pPr>
        <w:pStyle w:val="style1"/>
        <w:spacing w:before="400" w:after="200"/>
        <w:rPr/>
      </w:pPr>
      <w:r>
        <w:rPr>
          <w:b/>
          <w:bCs/>
          <w:color w:val="1f3b57"/>
          <w:sz w:val="30"/>
          <w:szCs w:val="30"/>
        </w:rPr>
        <w:t>4. Conclusion</w:t>
      </w:r>
    </w:p>
    <w:p w14:paraId="655C47D9">
      <w:pPr>
        <w:pStyle w:val="style0"/>
        <w:spacing w:after="200" w:lineRule="auto" w:line="360"/>
        <w:jc w:val="both"/>
        <w:rPr/>
      </w:pPr>
      <w:r>
        <w:t xml:space="preserve">The death of Lewis Blackman illustrates, with unusual clarity, how leadership style, governance structure and systems design interact to determine whether a health organisation can rescue a deteriorating patient. The central problem, a failure to escalate clear clinical warning signs, was not the result of any single actor's incompetence or malice, but emerged from a centralised authority structure, a transactional and non-adaptive leadership style, and the absence of structural feedback mechanisms capable of correcting a senior clinician's misjudgement. Global and national data confirm that this pattern is neither rare nor confined to one health system: unsafe care contributes to millions of preventable deaths worldwide each year, and several hundred wholly preventable Never Events continue to occur annually within the NHS alone, indicating that the systemic weaknesses exposed in this case study remain live risks across contemporary health and social care organisations (World Health Organization, 2024; </w:t>
      </w:r>
      <w:r>
        <w:t>Teeslaw</w:t>
      </w:r>
      <w:r>
        <w:t>, 2026).</w:t>
      </w:r>
    </w:p>
    <w:p w14:paraId="203D4639">
      <w:pPr>
        <w:pStyle w:val="style0"/>
        <w:spacing w:after="200" w:lineRule="auto" w:line="360"/>
        <w:jc w:val="both"/>
        <w:rPr/>
      </w:pPr>
      <w:r>
        <w:t>This report has shown that centralisation and decentralisation each carry genuine advantages and risks, and that the strongest available evidence favours a moderate, hybrid model that combines clear national or organisational standards with meaningful frontline authority to escalate concern (Lorenzoni et al., 2019). It has applied transformational, situational, distributed and emotionally intelligent leadership theory to demonstrate that the appropriate response to genuine clinical uncertainty is a leadership style that actively invites challenge and adapts to the demonstrated competence of those raising it, rather than a fixed hierarchical response that treats compliance as the primary marker of good practice.</w:t>
      </w:r>
    </w:p>
    <w:p w14:paraId="69BBABE1">
      <w:pPr>
        <w:pStyle w:val="style0"/>
        <w:spacing w:after="200" w:lineRule="auto" w:line="360"/>
        <w:jc w:val="both"/>
        <w:rPr/>
      </w:pPr>
      <w:r>
        <w:t>Above all, the case underscores that leadership, governance and systems thinking are not abstract academic concepts but practical determinants of whether patients live or die. Health and social care organisations that build structured escalation pathways, invest in psychologically safe and emotionally intelligent leadership, and treat incident data as a continuous prompt for learning are substantially better placed to prevent the recurrence of tragedies of the kind that ended Lewis Blackman's life.</w:t>
      </w:r>
    </w:p>
    <w:p w14:paraId="5FBDD943">
      <w:pPr>
        <w:pStyle w:val="style0"/>
        <w:rPr/>
      </w:pPr>
      <w:r>
        <w:br w:type="page"/>
      </w:r>
    </w:p>
    <w:p w14:paraId="1144C937">
      <w:pPr>
        <w:pStyle w:val="style1"/>
        <w:spacing w:before="400" w:after="200"/>
        <w:rPr/>
      </w:pPr>
      <w:r>
        <w:rPr>
          <w:b/>
          <w:bCs/>
          <w:color w:val="1f3b57"/>
          <w:sz w:val="30"/>
          <w:szCs w:val="30"/>
        </w:rPr>
        <w:t>Reference List</w:t>
      </w:r>
    </w:p>
    <w:p w14:paraId="16E80FB6">
      <w:pPr>
        <w:pStyle w:val="style0"/>
        <w:spacing w:after="240" w:lineRule="auto" w:line="360"/>
        <w:jc w:val="both"/>
        <w:rPr/>
      </w:pPr>
      <w:r>
        <w:rPr>
          <w:i/>
          <w:iCs/>
        </w:rPr>
        <w:t>Harvard referencing style is used throughout this report, in line with the assessment guidance.</w:t>
      </w:r>
    </w:p>
    <w:p w14:paraId="5FAF6C97">
      <w:pPr>
        <w:pStyle w:val="style0"/>
        <w:spacing w:after="160" w:lineRule="auto" w:line="300"/>
        <w:ind w:left="720" w:hanging="720"/>
        <w:jc w:val="both"/>
        <w:rPr/>
      </w:pPr>
      <w:r>
        <w:rPr>
          <w:sz w:val="22"/>
          <w:szCs w:val="22"/>
        </w:rPr>
        <w:t>Academy for Emerging Leaders in Patient Safety (2017) Day 1 Reflection: Lewis Blackman and Systems Culture. Available at: https://aelpsworkshops.com/day-1-reflection-lewis-blackman-and-systems-culture/ (Accessed: 10 August 2026).</w:t>
      </w:r>
    </w:p>
    <w:p w14:paraId="67E5D4E3">
      <w:pPr>
        <w:pStyle w:val="style0"/>
        <w:spacing w:after="160" w:lineRule="auto" w:line="300"/>
        <w:ind w:left="720" w:hanging="720"/>
        <w:jc w:val="both"/>
        <w:rPr/>
      </w:pPr>
      <w:r>
        <w:rPr>
          <w:sz w:val="22"/>
          <w:szCs w:val="22"/>
        </w:rPr>
        <w:t>Academy for Emerging Leaders in Patient Safety (2019) Failure to Rescue: The Story of Lewis Blackman. Available at: https://aelpsworkshops.com/failure-to-rescue-the-story-of-lewis-blackman/ (Accessed: 10 August 2026).</w:t>
      </w:r>
    </w:p>
    <w:p w14:paraId="77250837">
      <w:pPr>
        <w:pStyle w:val="style0"/>
        <w:spacing w:after="160" w:lineRule="auto" w:line="300"/>
        <w:ind w:left="720" w:hanging="720"/>
        <w:jc w:val="both"/>
        <w:rPr/>
      </w:pPr>
      <w:r>
        <w:rPr>
          <w:sz w:val="22"/>
          <w:szCs w:val="22"/>
        </w:rPr>
        <w:t>Acquaviva, K., Haskell, H. and Johnson, J. (2013) 'Human cognition and the dynamics of failure to rescue: The Lewis Blackman case', Journal of Professional Nursing, 29(2), pp. 95–101.</w:t>
      </w:r>
    </w:p>
    <w:p w14:paraId="62B91A91">
      <w:pPr>
        <w:pStyle w:val="style0"/>
        <w:spacing w:after="160" w:lineRule="auto" w:line="300"/>
        <w:ind w:left="720" w:hanging="720"/>
        <w:jc w:val="both"/>
        <w:rPr/>
      </w:pPr>
      <w:r>
        <w:rPr>
          <w:sz w:val="22"/>
          <w:szCs w:val="22"/>
        </w:rPr>
        <w:t xml:space="preserve">Agency for Healthcare Research and Quality (2014) </w:t>
      </w:r>
      <w:r>
        <w:rPr>
          <w:sz w:val="22"/>
          <w:szCs w:val="22"/>
        </w:rPr>
        <w:t>TeamSTEPPS</w:t>
      </w:r>
      <w:r>
        <w:rPr>
          <w:sz w:val="22"/>
          <w:szCs w:val="22"/>
        </w:rPr>
        <w:t xml:space="preserve"> 2.0: Strategies and Tools to Enhance Performance and Patient Safety. Rockville, MD: AHRQ.</w:t>
      </w:r>
    </w:p>
    <w:p w14:paraId="723D1ECA">
      <w:pPr>
        <w:pStyle w:val="style0"/>
        <w:spacing w:after="160" w:lineRule="auto" w:line="300"/>
        <w:ind w:left="720" w:hanging="720"/>
        <w:jc w:val="both"/>
        <w:rPr/>
      </w:pPr>
      <w:r>
        <w:rPr>
          <w:sz w:val="22"/>
          <w:szCs w:val="22"/>
        </w:rPr>
        <w:t>Australian Nursing and Midwifery Journal (2024) Emotional Intelligence in Nursing Leadership: Clinical Update. Available at: https://anmj.org.au/emotional-intelligence-in-nursing-leadership-clinical-update/ (Accessed: 10 August 2026).</w:t>
      </w:r>
    </w:p>
    <w:p w14:paraId="2DD31DBA">
      <w:pPr>
        <w:pStyle w:val="style0"/>
        <w:spacing w:after="160" w:lineRule="auto" w:line="300"/>
        <w:ind w:left="720" w:hanging="720"/>
        <w:jc w:val="both"/>
        <w:rPr/>
      </w:pPr>
      <w:r>
        <w:rPr>
          <w:sz w:val="22"/>
          <w:szCs w:val="22"/>
        </w:rPr>
        <w:t>Bass, B.M. (1985) Leadership and Performance Beyond Expectations. New York: Free Press.</w:t>
      </w:r>
    </w:p>
    <w:p w14:paraId="17282318">
      <w:pPr>
        <w:pStyle w:val="style0"/>
        <w:spacing w:after="160" w:lineRule="auto" w:line="300"/>
        <w:ind w:left="720" w:hanging="720"/>
        <w:jc w:val="both"/>
        <w:rPr/>
      </w:pPr>
      <w:r>
        <w:rPr>
          <w:sz w:val="22"/>
          <w:szCs w:val="22"/>
        </w:rPr>
        <w:t>Bass, B.M. (1990) 'From transactional to transformational leadership: Learning to share the vision', Organizational Dynamics, 18(3), pp. 19–31.</w:t>
      </w:r>
    </w:p>
    <w:p w14:paraId="79D6FDDF">
      <w:pPr>
        <w:pStyle w:val="style0"/>
        <w:spacing w:after="160" w:lineRule="auto" w:line="300"/>
        <w:ind w:left="720" w:hanging="720"/>
        <w:jc w:val="both"/>
        <w:rPr/>
      </w:pPr>
      <w:r>
        <w:rPr>
          <w:sz w:val="22"/>
          <w:szCs w:val="22"/>
        </w:rPr>
        <w:t>Bolden, R. (2011) 'Distributed leadership in organizations: A review of theory and research', International Journal of Management Reviews, 13(3), pp. 251–269.</w:t>
      </w:r>
    </w:p>
    <w:p w14:paraId="47D65005">
      <w:pPr>
        <w:pStyle w:val="style0"/>
        <w:spacing w:after="160" w:lineRule="auto" w:line="300"/>
        <w:ind w:left="720" w:hanging="720"/>
        <w:jc w:val="both"/>
        <w:rPr/>
      </w:pPr>
      <w:r>
        <w:rPr>
          <w:sz w:val="22"/>
          <w:szCs w:val="22"/>
        </w:rPr>
        <w:t>Burns, J.M. (1978) Leadership. New York: Harper &amp; Row.</w:t>
      </w:r>
    </w:p>
    <w:p w14:paraId="03C89AF9">
      <w:pPr>
        <w:pStyle w:val="style0"/>
        <w:spacing w:after="160" w:lineRule="auto" w:line="300"/>
        <w:ind w:left="720" w:hanging="720"/>
        <w:jc w:val="both"/>
        <w:rPr/>
      </w:pPr>
      <w:r>
        <w:rPr>
          <w:sz w:val="22"/>
          <w:szCs w:val="22"/>
        </w:rPr>
        <w:t>Checkland</w:t>
      </w:r>
      <w:r>
        <w:rPr>
          <w:sz w:val="22"/>
          <w:szCs w:val="22"/>
        </w:rPr>
        <w:t>, P. (1981) Systems Thinking, Systems Practice. Chichester: Wiley.</w:t>
      </w:r>
    </w:p>
    <w:p w14:paraId="41EDFD0D">
      <w:pPr>
        <w:pStyle w:val="style0"/>
        <w:spacing w:after="160" w:lineRule="auto" w:line="300"/>
        <w:ind w:left="720" w:hanging="720"/>
        <w:jc w:val="both"/>
        <w:rPr/>
      </w:pPr>
      <w:r>
        <w:rPr>
          <w:sz w:val="22"/>
          <w:szCs w:val="22"/>
        </w:rPr>
        <w:t>Checkland</w:t>
      </w:r>
      <w:r>
        <w:rPr>
          <w:sz w:val="22"/>
          <w:szCs w:val="22"/>
        </w:rPr>
        <w:t>, P. and Poulter, J. (2010) 'Soft systems methodology', in Reynolds, M. and Holwell, S. (eds) Systems Approaches to Managing Change: A Practical Guide. London: Springer, pp. 191–242.</w:t>
      </w:r>
    </w:p>
    <w:p w14:paraId="6211B735">
      <w:pPr>
        <w:pStyle w:val="style0"/>
        <w:spacing w:after="160" w:lineRule="auto" w:line="300"/>
        <w:ind w:left="720" w:hanging="720"/>
        <w:jc w:val="both"/>
        <w:rPr/>
      </w:pPr>
      <w:r>
        <w:rPr>
          <w:sz w:val="22"/>
          <w:szCs w:val="22"/>
        </w:rPr>
        <w:t>Croskerry</w:t>
      </w:r>
      <w:r>
        <w:rPr>
          <w:sz w:val="22"/>
          <w:szCs w:val="22"/>
        </w:rPr>
        <w:t>, P. (2003) 'The importance of cognitive errors in diagnosis and strategies to minimize them', Academic Medicine, 78(8), pp. 775–780.</w:t>
      </w:r>
    </w:p>
    <w:p w14:paraId="5CAE6423">
      <w:pPr>
        <w:pStyle w:val="style0"/>
        <w:spacing w:after="160" w:lineRule="auto" w:line="300"/>
        <w:ind w:left="720" w:hanging="720"/>
        <w:jc w:val="both"/>
        <w:rPr/>
      </w:pPr>
      <w:r>
        <w:rPr>
          <w:sz w:val="22"/>
          <w:szCs w:val="22"/>
        </w:rPr>
        <w:t xml:space="preserve">Dixon-Woods, M., Baker, R., Charles, K., Dawson, J., </w:t>
      </w:r>
      <w:r>
        <w:rPr>
          <w:sz w:val="22"/>
          <w:szCs w:val="22"/>
        </w:rPr>
        <w:t>Jerzembek</w:t>
      </w:r>
      <w:r>
        <w:rPr>
          <w:sz w:val="22"/>
          <w:szCs w:val="22"/>
        </w:rPr>
        <w:t xml:space="preserve">, G., Martin, G., McCarthy, I., McKee, L., Minion, J., </w:t>
      </w:r>
      <w:r>
        <w:rPr>
          <w:sz w:val="22"/>
          <w:szCs w:val="22"/>
        </w:rPr>
        <w:t>Ozieranski</w:t>
      </w:r>
      <w:r>
        <w:rPr>
          <w:sz w:val="22"/>
          <w:szCs w:val="22"/>
        </w:rPr>
        <w:t>, P., Willars, J., Wilkie, P. and West, M. (2014) 'Culture and behaviour in the English National Health Service: Overview of lessons from a large multimethod study', BMJ Quality &amp; Safety, 23(2), pp. 106–115.</w:t>
      </w:r>
    </w:p>
    <w:p w14:paraId="29448488">
      <w:pPr>
        <w:pStyle w:val="style0"/>
        <w:spacing w:after="160" w:lineRule="auto" w:line="300"/>
        <w:ind w:left="720" w:hanging="720"/>
        <w:jc w:val="both"/>
        <w:rPr/>
      </w:pPr>
      <w:r>
        <w:rPr>
          <w:sz w:val="22"/>
          <w:szCs w:val="22"/>
        </w:rPr>
        <w:t xml:space="preserve">Edmondson, A.C. (1999) 'Psychological safety and learning </w:t>
      </w:r>
      <w:r>
        <w:rPr>
          <w:sz w:val="22"/>
          <w:szCs w:val="22"/>
        </w:rPr>
        <w:t>behavior</w:t>
      </w:r>
      <w:r>
        <w:rPr>
          <w:sz w:val="22"/>
          <w:szCs w:val="22"/>
        </w:rPr>
        <w:t xml:space="preserve"> in work teams', Administrative Science Quarterly, 44(2), pp. 350–383.</w:t>
      </w:r>
    </w:p>
    <w:p w14:paraId="449D2BE0">
      <w:pPr>
        <w:pStyle w:val="style0"/>
        <w:spacing w:after="160" w:lineRule="auto" w:line="300"/>
        <w:ind w:left="720" w:hanging="720"/>
        <w:jc w:val="both"/>
        <w:rPr/>
      </w:pPr>
      <w:r>
        <w:rPr>
          <w:sz w:val="22"/>
          <w:szCs w:val="22"/>
        </w:rPr>
        <w:t>Fitzgerald, L., Ferlie, E., McGivern, G. and Buchanan, D. (2013) 'Distributed leadership patterns and service improvement: Evidence and argument from English healthcare', The Leadership Quarterly, 24(1), pp. 227–239.</w:t>
      </w:r>
    </w:p>
    <w:p w14:paraId="5CA8FB60">
      <w:pPr>
        <w:pStyle w:val="style0"/>
        <w:spacing w:after="160" w:lineRule="auto" w:line="300"/>
        <w:ind w:left="720" w:hanging="720"/>
        <w:jc w:val="both"/>
        <w:rPr/>
      </w:pPr>
      <w:r>
        <w:rPr>
          <w:sz w:val="22"/>
          <w:szCs w:val="22"/>
        </w:rPr>
        <w:t>Francis, R. (2013) Report of the Mid Staffordshire NHS Foundation Trust Public Inquiry. London: The Stationery Office.</w:t>
      </w:r>
    </w:p>
    <w:p w14:paraId="59C08B42">
      <w:pPr>
        <w:pStyle w:val="style0"/>
        <w:spacing w:after="160" w:lineRule="auto" w:line="300"/>
        <w:ind w:left="720" w:hanging="720"/>
        <w:jc w:val="both"/>
        <w:rPr/>
      </w:pPr>
      <w:r>
        <w:rPr>
          <w:sz w:val="22"/>
          <w:szCs w:val="22"/>
        </w:rPr>
        <w:t>Goleman, D. (1995) Emotional Intelligence: Why It Can Matter More Than IQ. New York: Bantam Books.</w:t>
      </w:r>
    </w:p>
    <w:p w14:paraId="4AAB46B5">
      <w:pPr>
        <w:pStyle w:val="style0"/>
        <w:spacing w:after="160" w:lineRule="auto" w:line="300"/>
        <w:ind w:left="720" w:hanging="720"/>
        <w:jc w:val="both"/>
        <w:rPr/>
      </w:pPr>
      <w:r>
        <w:rPr>
          <w:sz w:val="22"/>
          <w:szCs w:val="22"/>
        </w:rPr>
        <w:t>Goleman, D. (2000) 'Leadership that gets results', Harvard Business Review, 78(2), pp. 78–90.</w:t>
      </w:r>
    </w:p>
    <w:p w14:paraId="27C45E87">
      <w:pPr>
        <w:pStyle w:val="style0"/>
        <w:spacing w:after="160" w:lineRule="auto" w:line="300"/>
        <w:ind w:left="720" w:hanging="720"/>
        <w:jc w:val="both"/>
        <w:rPr/>
      </w:pPr>
      <w:r>
        <w:rPr>
          <w:sz w:val="22"/>
          <w:szCs w:val="22"/>
        </w:rPr>
        <w:t>Heikkinen, S. (2026) 'Exploring the core of emotional intelligence in healthcare leadership: A concept analysis', Journal of Advanced Nursing, early view.</w:t>
      </w:r>
    </w:p>
    <w:p w14:paraId="336B338A">
      <w:pPr>
        <w:pStyle w:val="style0"/>
        <w:spacing w:after="160" w:lineRule="auto" w:line="300"/>
        <w:ind w:left="720" w:hanging="720"/>
        <w:jc w:val="both"/>
        <w:rPr/>
      </w:pPr>
      <w:r>
        <w:rPr>
          <w:sz w:val="22"/>
          <w:szCs w:val="22"/>
        </w:rPr>
        <w:t>Hersey, P. and Blanchard, K.H. (1969) 'Life cycle theory of leadership', Training and Development Journal, 23(5), pp. 26–34.</w:t>
      </w:r>
    </w:p>
    <w:p w14:paraId="32A50E73">
      <w:pPr>
        <w:pStyle w:val="style0"/>
        <w:spacing w:after="160" w:lineRule="auto" w:line="300"/>
        <w:ind w:left="720" w:hanging="720"/>
        <w:jc w:val="both"/>
        <w:rPr/>
      </w:pPr>
      <w:r>
        <w:rPr>
          <w:sz w:val="22"/>
          <w:szCs w:val="22"/>
        </w:rPr>
        <w:t xml:space="preserve">Hersey, P., Blanchard, K.H. and Johnson, D.E. (2007) Management of Organizational </w:t>
      </w:r>
      <w:r>
        <w:rPr>
          <w:sz w:val="22"/>
          <w:szCs w:val="22"/>
        </w:rPr>
        <w:t>Behavior</w:t>
      </w:r>
      <w:r>
        <w:rPr>
          <w:sz w:val="22"/>
          <w:szCs w:val="22"/>
        </w:rPr>
        <w:t xml:space="preserve">. 9th </w:t>
      </w:r>
      <w:r>
        <w:rPr>
          <w:sz w:val="22"/>
          <w:szCs w:val="22"/>
        </w:rPr>
        <w:t>edn</w:t>
      </w:r>
      <w:r>
        <w:rPr>
          <w:sz w:val="22"/>
          <w:szCs w:val="22"/>
        </w:rPr>
        <w:t>. Upper Saddle River, NJ: Pearson Prentice Hall.</w:t>
      </w:r>
    </w:p>
    <w:p w14:paraId="0128190A">
      <w:pPr>
        <w:pStyle w:val="style0"/>
        <w:spacing w:after="160" w:lineRule="auto" w:line="300"/>
        <w:ind w:left="720" w:hanging="720"/>
        <w:jc w:val="both"/>
        <w:rPr/>
      </w:pPr>
      <w:r>
        <w:rPr>
          <w:sz w:val="22"/>
          <w:szCs w:val="22"/>
        </w:rPr>
        <w:t>Hudgell</w:t>
      </w:r>
      <w:r>
        <w:rPr>
          <w:sz w:val="22"/>
          <w:szCs w:val="22"/>
        </w:rPr>
        <w:t xml:space="preserve"> Solicitors (2025) NHS Records 2,272 Never Events in Five Years – But What Are They? Available at: https://www.hudgellsolicitors.co.uk/advice/nhs-records-2272-never-events-in-five-years-but-what-are-they (Accessed: 10 August 2026).</w:t>
      </w:r>
    </w:p>
    <w:p w14:paraId="7A553E24">
      <w:pPr>
        <w:pStyle w:val="style0"/>
        <w:spacing w:after="160" w:lineRule="auto" w:line="300"/>
        <w:ind w:left="720" w:hanging="720"/>
        <w:jc w:val="both"/>
        <w:rPr/>
      </w:pPr>
      <w:r>
        <w:rPr>
          <w:sz w:val="22"/>
          <w:szCs w:val="22"/>
        </w:rPr>
        <w:t>Kohn, L.T., Corrigan, J.M. and Donaldson, M.S. (eds) (2000) To Err Is Human: Building a Safer Health System. Washington, DC: National Academies Press.</w:t>
      </w:r>
    </w:p>
    <w:p w14:paraId="333DDD0C">
      <w:pPr>
        <w:pStyle w:val="style0"/>
        <w:spacing w:after="160" w:lineRule="auto" w:line="300"/>
        <w:ind w:left="720" w:hanging="720"/>
        <w:jc w:val="both"/>
        <w:rPr/>
      </w:pPr>
      <w:r>
        <w:rPr>
          <w:sz w:val="22"/>
          <w:szCs w:val="22"/>
        </w:rPr>
        <w:t xml:space="preserve">Leonard, M., Graham, S. and </w:t>
      </w:r>
      <w:r>
        <w:rPr>
          <w:sz w:val="22"/>
          <w:szCs w:val="22"/>
        </w:rPr>
        <w:t>Bonacum</w:t>
      </w:r>
      <w:r>
        <w:rPr>
          <w:sz w:val="22"/>
          <w:szCs w:val="22"/>
        </w:rPr>
        <w:t>, D. (2004) 'The human factor: the critical importance of effective teamwork and communication in providing safe care', Quality and Safety in Health Care, 13(suppl. 1), pp. i85–i90.</w:t>
      </w:r>
    </w:p>
    <w:p w14:paraId="6755DEDD">
      <w:pPr>
        <w:pStyle w:val="style0"/>
        <w:spacing w:after="160" w:lineRule="auto" w:line="300"/>
        <w:ind w:left="720" w:hanging="720"/>
        <w:jc w:val="both"/>
        <w:rPr/>
      </w:pPr>
      <w:r>
        <w:rPr>
          <w:sz w:val="22"/>
          <w:szCs w:val="22"/>
        </w:rPr>
        <w:t>Lorenzoni, L., Marino, A., Or, Z. and Wei, L. (2019) The Impact of Decentralisation on the Performance of Health Care Systems: A Non-linear Relationship. Paris: OECD Publishing.</w:t>
      </w:r>
    </w:p>
    <w:p w14:paraId="6453A564">
      <w:pPr>
        <w:pStyle w:val="style0"/>
        <w:spacing w:after="160" w:lineRule="auto" w:line="300"/>
        <w:ind w:left="720" w:hanging="720"/>
        <w:jc w:val="both"/>
        <w:rPr/>
      </w:pPr>
      <w:r>
        <w:rPr>
          <w:sz w:val="22"/>
          <w:szCs w:val="22"/>
        </w:rPr>
        <w:t>Makary, M.A. and Daniel, M. (2016) 'Medical error – the third leading cause of death in the US', BMJ, 353, i2139.</w:t>
      </w:r>
    </w:p>
    <w:p w14:paraId="77FCD6C0">
      <w:pPr>
        <w:pStyle w:val="style0"/>
        <w:spacing w:after="160" w:lineRule="auto" w:line="300"/>
        <w:ind w:left="720" w:hanging="720"/>
        <w:jc w:val="both"/>
        <w:rPr/>
      </w:pPr>
      <w:r>
        <w:rPr>
          <w:sz w:val="22"/>
          <w:szCs w:val="22"/>
        </w:rPr>
        <w:t>OECD (2019) Decentralisation and Performance Measurement Systems in Health Care. Paris: OECD Publishing.</w:t>
      </w:r>
    </w:p>
    <w:p w14:paraId="39C77365">
      <w:pPr>
        <w:pStyle w:val="style0"/>
        <w:spacing w:after="160" w:lineRule="auto" w:line="300"/>
        <w:ind w:left="720" w:hanging="720"/>
        <w:jc w:val="both"/>
        <w:rPr/>
      </w:pPr>
      <w:r>
        <w:rPr>
          <w:sz w:val="22"/>
          <w:szCs w:val="22"/>
        </w:rPr>
        <w:t>Penningtons</w:t>
      </w:r>
      <w:r>
        <w:rPr>
          <w:sz w:val="22"/>
          <w:szCs w:val="22"/>
        </w:rPr>
        <w:t xml:space="preserve"> Law (2026) NHS Never Events – What Are the Trends? Available at: https://www.penningtonslaw.com/insights/nhs-never-events-what-are-the-trends/ (Accessed: 10 August 2026).</w:t>
      </w:r>
    </w:p>
    <w:p w14:paraId="33A2B5E5">
      <w:pPr>
        <w:pStyle w:val="style0"/>
        <w:spacing w:after="160" w:lineRule="auto" w:line="300"/>
        <w:ind w:left="720" w:hanging="720"/>
        <w:jc w:val="both"/>
        <w:rPr/>
      </w:pPr>
      <w:r>
        <w:rPr>
          <w:sz w:val="22"/>
          <w:szCs w:val="22"/>
        </w:rPr>
        <w:t xml:space="preserve">Saltman, R.B., </w:t>
      </w:r>
      <w:r>
        <w:rPr>
          <w:sz w:val="22"/>
          <w:szCs w:val="22"/>
        </w:rPr>
        <w:t>Bankauskaite</w:t>
      </w:r>
      <w:r>
        <w:rPr>
          <w:sz w:val="22"/>
          <w:szCs w:val="22"/>
        </w:rPr>
        <w:t>, V. and Vrangbæk, K. (eds) (2007) Decentralization in Health Care: Strategies and Outcomes. Maidenhead: Open University Press / European Observatory on Health Systems and Policies.</w:t>
      </w:r>
    </w:p>
    <w:p w14:paraId="0428E19F">
      <w:pPr>
        <w:pStyle w:val="style0"/>
        <w:spacing w:after="160" w:lineRule="auto" w:line="300"/>
        <w:ind w:left="720" w:hanging="720"/>
        <w:jc w:val="both"/>
        <w:rPr/>
      </w:pPr>
      <w:r>
        <w:rPr>
          <w:sz w:val="22"/>
          <w:szCs w:val="22"/>
        </w:rPr>
        <w:t xml:space="preserve">Schwendimann, R., Milne, J., Frush, K., Ahrens, S.L., Wu, C.L. and Sexton, B. (2013) 'A closer look at associations between hospital leadership </w:t>
      </w:r>
      <w:r>
        <w:rPr>
          <w:sz w:val="22"/>
          <w:szCs w:val="22"/>
        </w:rPr>
        <w:t>walkrounds</w:t>
      </w:r>
      <w:r>
        <w:rPr>
          <w:sz w:val="22"/>
          <w:szCs w:val="22"/>
        </w:rPr>
        <w:t xml:space="preserve"> and patient safety climate and risk reduction: a cross-sectional study', American Journal of Medical Quality, 28(5), pp. 414–421.</w:t>
      </w:r>
    </w:p>
    <w:p w14:paraId="2F64328E">
      <w:pPr>
        <w:pStyle w:val="style0"/>
        <w:spacing w:after="160" w:lineRule="auto" w:line="300"/>
        <w:ind w:left="720" w:hanging="720"/>
        <w:jc w:val="both"/>
        <w:rPr/>
      </w:pPr>
      <w:r>
        <w:rPr>
          <w:sz w:val="22"/>
          <w:szCs w:val="22"/>
        </w:rPr>
        <w:t>Storey, J. and Holti, R. (2013) Towards a New Model of Leadership for the NHS. Leeds: NHS Leadership Academy.</w:t>
      </w:r>
    </w:p>
    <w:p w14:paraId="31F4485B">
      <w:pPr>
        <w:pStyle w:val="style0"/>
        <w:spacing w:after="160" w:lineRule="auto" w:line="300"/>
        <w:ind w:left="720" w:hanging="720"/>
        <w:jc w:val="both"/>
        <w:rPr/>
      </w:pPr>
      <w:r>
        <w:rPr>
          <w:sz w:val="22"/>
          <w:szCs w:val="22"/>
        </w:rPr>
        <w:t>Teeslaw</w:t>
      </w:r>
      <w:r>
        <w:rPr>
          <w:sz w:val="22"/>
          <w:szCs w:val="22"/>
        </w:rPr>
        <w:t xml:space="preserve"> (2026) Never Events on the Rise? What the Latest NHS England Data Reveals. Available at: https://teeslaw.com/articles/never-events-nhs-england-2025-data/ (Accessed: 10 August 2026).</w:t>
      </w:r>
    </w:p>
    <w:p w14:paraId="03888B93">
      <w:pPr>
        <w:pStyle w:val="style0"/>
        <w:spacing w:after="160" w:lineRule="auto" w:line="300"/>
        <w:ind w:left="720" w:hanging="720"/>
        <w:jc w:val="both"/>
        <w:rPr/>
      </w:pPr>
      <w:r>
        <w:rPr>
          <w:sz w:val="22"/>
          <w:szCs w:val="22"/>
        </w:rPr>
        <w:t xml:space="preserve">Tingle, J. (2019) 'Reviewing and responding to patient safety incidents in the NHS', Petrie-Flom </w:t>
      </w:r>
      <w:r>
        <w:rPr>
          <w:sz w:val="22"/>
          <w:szCs w:val="22"/>
        </w:rPr>
        <w:t>Center</w:t>
      </w:r>
      <w:r>
        <w:rPr>
          <w:sz w:val="22"/>
          <w:szCs w:val="22"/>
        </w:rPr>
        <w:t xml:space="preserve"> Blog, Harvard Law School. Available at: https://petrieflom.law.harvard.edu/2019/04/10/reviewing-and-responding-to-patient-safety-incidents-in-the-nhs/ (Accessed: 10 August 2026).</w:t>
      </w:r>
    </w:p>
    <w:p w14:paraId="285F48F1">
      <w:pPr>
        <w:pStyle w:val="style0"/>
        <w:spacing w:after="160" w:lineRule="auto" w:line="300"/>
        <w:ind w:left="720" w:hanging="720"/>
        <w:jc w:val="both"/>
        <w:rPr/>
      </w:pPr>
      <w:r>
        <w:rPr>
          <w:sz w:val="22"/>
          <w:szCs w:val="22"/>
        </w:rPr>
        <w:t>West, M. (2014) Developing Collective Leadership for Health Care. London: The King's Fund.</w:t>
      </w:r>
    </w:p>
    <w:p w14:paraId="6A7E046A">
      <w:pPr>
        <w:pStyle w:val="style0"/>
        <w:spacing w:after="160" w:lineRule="auto" w:line="300"/>
        <w:ind w:left="720" w:hanging="720"/>
        <w:jc w:val="both"/>
        <w:rPr/>
      </w:pPr>
      <w:r>
        <w:rPr>
          <w:sz w:val="22"/>
          <w:szCs w:val="22"/>
        </w:rPr>
        <w:t>West, M., Lyubovnikova, J., Eckert, R. and Denis, J.L. (2014) 'Collective leadership for cultures of high quality health care', Journal of Organizational Effectiveness: People and Performance, 1(3), pp. 240–260.</w:t>
      </w:r>
    </w:p>
    <w:p w14:paraId="7F7C3F8E">
      <w:pPr>
        <w:pStyle w:val="style0"/>
        <w:spacing w:after="160" w:lineRule="auto" w:line="300"/>
        <w:ind w:left="720" w:hanging="720"/>
        <w:jc w:val="both"/>
        <w:rPr/>
      </w:pPr>
      <w:r>
        <w:rPr>
          <w:sz w:val="22"/>
          <w:szCs w:val="22"/>
        </w:rPr>
        <w:t>World Health Organization (2021) Global Patient Safety Action Plan 2021–2030: Towards Eliminating Avoidable Harm in Health Care. Geneva: WHO.</w:t>
      </w:r>
    </w:p>
    <w:p w14:paraId="5C9F1DC0">
      <w:pPr>
        <w:pStyle w:val="style0"/>
        <w:spacing w:after="160" w:lineRule="auto" w:line="300"/>
        <w:ind w:left="720" w:hanging="720"/>
        <w:jc w:val="both"/>
        <w:rPr/>
      </w:pPr>
      <w:r>
        <w:rPr>
          <w:sz w:val="22"/>
          <w:szCs w:val="22"/>
        </w:rPr>
        <w:t>World Health Organization (2023) Patient Safety. Fact sheet. Geneva: WHO. Available at: https://www.who.int/news-room/fact-sheets/detail/patient-safety (Accessed: 10 August 2026).</w:t>
      </w:r>
    </w:p>
    <w:p w14:paraId="5F452FA1">
      <w:pPr>
        <w:pStyle w:val="style0"/>
        <w:spacing w:after="160" w:lineRule="auto" w:line="300"/>
        <w:ind w:left="720" w:hanging="720"/>
        <w:jc w:val="both"/>
        <w:rPr/>
      </w:pPr>
      <w:r>
        <w:rPr>
          <w:sz w:val="22"/>
          <w:szCs w:val="22"/>
        </w:rPr>
        <w:t>World Health Organization (2024) Global Patient Safety Report 2024. Geneva: WHO.</w:t>
      </w:r>
    </w:p>
    <w:sectPr>
      <w:headerReference w:type="default" r:id="rId5"/>
      <w:footerReference w:type="default" r:id="rId6"/>
      <w:pgSz w:w="11906" w:h="16838" w:orient="portrait"/>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00"/>
    <w:family w:val="swiss"/>
    <w:pitch w:val="variable"/>
    <w:sig w:usb0="E0002AFF" w:usb1="C000247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Aptos">
    <w:altName w:val="Aptos"/>
    <w:panose1 w:val="020b0004020002020204"/>
    <w:charset w:val="00"/>
    <w:family w:val="swiss"/>
    <w:pitch w:val="variable"/>
    <w:sig w:usb0="20000287" w:usb1="00000003" w:usb2="00000000" w:usb3="00000000" w:csb0="0000019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79C6A889">
    <w:pPr>
      <w:pStyle w:val="style0"/>
      <w:jc w:val="center"/>
      <w:rP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Pr>
        <w:noProof/>
        <w:color w:val="888888"/>
        <w:sz w:val="18"/>
        <w:szCs w:val="18"/>
      </w:rPr>
      <w:t>1</w:t>
    </w:r>
    <w:r>
      <w:rPr>
        <w:color w:val="888888"/>
        <w:sz w:val="18"/>
        <w:szCs w:val="18"/>
      </w:rPr>
      <w:fldChar w:fldCharType="end"/>
    </w:r>
    <w:r>
      <w:rPr>
        <w:color w:val="888888"/>
        <w:sz w:val="18"/>
        <w:szCs w:val="18"/>
      </w:rPr>
      <w:t xml:space="preserve"> of </w:t>
    </w:r>
    <w:r>
      <w:rPr>
        <w:color w:val="888888"/>
        <w:sz w:val="18"/>
        <w:szCs w:val="18"/>
      </w:rPr>
      <w:fldChar w:fldCharType="begin"/>
    </w:r>
    <w:r>
      <w:rPr>
        <w:color w:val="888888"/>
        <w:sz w:val="18"/>
        <w:szCs w:val="18"/>
      </w:rPr>
      <w:instrText>NUMPAGES</w:instrText>
    </w:r>
    <w:r>
      <w:rPr>
        <w:color w:val="888888"/>
        <w:sz w:val="18"/>
        <w:szCs w:val="18"/>
      </w:rPr>
      <w:fldChar w:fldCharType="separate"/>
    </w:r>
    <w:r>
      <w:rPr>
        <w:noProof/>
        <w:color w:val="888888"/>
        <w:sz w:val="18"/>
        <w:szCs w:val="18"/>
      </w:rPr>
      <w:t>2</w:t>
    </w:r>
    <w:r>
      <w:rPr>
        <w:color w:val="888888"/>
        <w:sz w:val="18"/>
        <w:szCs w:val="18"/>
      </w:rPr>
      <w:fldChar w:fldCharType="end"/>
    </w: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65FB6173">
    <w:pPr>
      <w:pStyle w:val="style0"/>
      <w:jc w:val="right"/>
      <w:rPr/>
    </w:pPr>
    <w:r>
      <w:rPr>
        <w:color w:val="888888"/>
        <w:sz w:val="18"/>
        <w:szCs w:val="18"/>
      </w:rPr>
      <w:t>LCHS7002 – Case Study Analysis Report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B5E6D70C"/>
    <w:lvl w:ilvl="0" w:tplc="6DA4C726">
      <w:start w:val="1"/>
      <w:numFmt w:val="bullet"/>
      <w:lvlText w:val="●"/>
      <w:lvlJc w:val="left"/>
      <w:pPr>
        <w:ind w:left="720" w:hanging="360"/>
      </w:pPr>
    </w:lvl>
    <w:lvl w:ilvl="1" w:tplc="99887990">
      <w:start w:val="1"/>
      <w:numFmt w:val="bullet"/>
      <w:lvlText w:val="○"/>
      <w:lvlJc w:val="left"/>
      <w:pPr>
        <w:ind w:left="1440" w:hanging="360"/>
      </w:pPr>
    </w:lvl>
    <w:lvl w:ilvl="2" w:tplc="FF1446C0">
      <w:start w:val="1"/>
      <w:numFmt w:val="bullet"/>
      <w:lvlText w:val="■"/>
      <w:lvlJc w:val="left"/>
      <w:pPr>
        <w:ind w:left="2160" w:hanging="360"/>
      </w:pPr>
    </w:lvl>
    <w:lvl w:ilvl="3" w:tplc="8626DA14">
      <w:start w:val="1"/>
      <w:numFmt w:val="bullet"/>
      <w:lvlText w:val="●"/>
      <w:lvlJc w:val="left"/>
      <w:pPr>
        <w:ind w:left="2880" w:hanging="360"/>
      </w:pPr>
    </w:lvl>
    <w:lvl w:ilvl="4" w:tplc="DC4AB19C">
      <w:start w:val="1"/>
      <w:numFmt w:val="bullet"/>
      <w:lvlText w:val="○"/>
      <w:lvlJc w:val="left"/>
      <w:pPr>
        <w:ind w:left="3600" w:hanging="360"/>
      </w:pPr>
    </w:lvl>
    <w:lvl w:ilvl="5" w:tplc="4F749D90">
      <w:start w:val="1"/>
      <w:numFmt w:val="bullet"/>
      <w:lvlText w:val="■"/>
      <w:lvlJc w:val="left"/>
      <w:pPr>
        <w:ind w:left="4320" w:hanging="360"/>
      </w:pPr>
    </w:lvl>
    <w:lvl w:ilvl="6" w:tplc="2926DFD0">
      <w:start w:val="1"/>
      <w:numFmt w:val="bullet"/>
      <w:lvlText w:val="●"/>
      <w:lvlJc w:val="left"/>
      <w:pPr>
        <w:ind w:left="5040" w:hanging="360"/>
      </w:pPr>
    </w:lvl>
    <w:lvl w:ilvl="7" w:tplc="E08CE0EC">
      <w:start w:val="1"/>
      <w:numFmt w:val="bullet"/>
      <w:lvlText w:val="●"/>
      <w:lvlJc w:val="left"/>
      <w:pPr>
        <w:ind w:left="5760" w:hanging="360"/>
      </w:pPr>
    </w:lvl>
    <w:lvl w:ilvl="8" w:tplc="3D381BB0">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w="http://schemas.openxmlformats.org/wordprocessingml/2006/main" xmlns:r="http://schemas.openxmlformats.org/officeDocument/2006/relationships" xmlns:m="http://schemas.openxmlformats.org/officeDocument/2006/math">
  <w:zoom w:percent="90"/>
  <w:displayBackgroundShape/>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Calibri" w:eastAsia="Calibri" w:hAnsi="Calibri"/>
        <w:sz w:val="24"/>
        <w:szCs w:val="24"/>
        <w:lang w:val="en-IN" w:bidi="ar-SA" w:eastAsia="en-GB"/>
      </w:rPr>
    </w:rPrDefault>
    <w:pPrDefault>
      <w:pPr/>
    </w:pPrDefault>
  </w:docDefaults>
  <w:style w:type="paragraph" w:default="1" w:styleId="style0">
    <w:name w:val="Normal"/>
    <w:next w:val="style0"/>
    <w:qFormat/>
    <w:pPr/>
  </w:style>
  <w:style w:type="paragraph" w:styleId="style1">
    <w:name w:val="heading 1"/>
    <w:next w:val="style1"/>
    <w:qFormat/>
    <w:uiPriority w:val="9"/>
    <w:pPr>
      <w:outlineLvl w:val="0"/>
    </w:pPr>
    <w:rPr>
      <w:color w:val="2e74b5"/>
      <w:sz w:val="32"/>
      <w:szCs w:val="32"/>
    </w:rPr>
  </w:style>
  <w:style w:type="paragraph" w:styleId="style2">
    <w:name w:val="heading 2"/>
    <w:next w:val="style2"/>
    <w:qFormat/>
    <w:uiPriority w:val="9"/>
    <w:pPr>
      <w:outlineLvl w:val="1"/>
    </w:pPr>
    <w:rPr>
      <w:color w:val="2e74b5"/>
      <w:sz w:val="26"/>
      <w:szCs w:val="26"/>
    </w:rPr>
  </w:style>
  <w:style w:type="paragraph" w:styleId="style3">
    <w:name w:val="heading 3"/>
    <w:next w:val="style3"/>
    <w:qFormat/>
    <w:uiPriority w:val="9"/>
    <w:pPr>
      <w:outlineLvl w:val="2"/>
    </w:pPr>
    <w:rPr>
      <w:color w:val="1f4d78"/>
    </w:rPr>
  </w:style>
  <w:style w:type="paragraph" w:styleId="style4">
    <w:name w:val="heading 4"/>
    <w:next w:val="style4"/>
    <w:qFormat/>
    <w:uiPriority w:val="9"/>
    <w:pPr>
      <w:outlineLvl w:val="3"/>
    </w:pPr>
    <w:rPr>
      <w:i/>
      <w:iCs/>
      <w:color w:val="2e74b5"/>
    </w:rPr>
  </w:style>
  <w:style w:type="paragraph" w:styleId="style5">
    <w:name w:val="heading 5"/>
    <w:next w:val="style5"/>
    <w:qFormat/>
    <w:uiPriority w:val="9"/>
    <w:pPr>
      <w:outlineLvl w:val="4"/>
    </w:pPr>
    <w:rPr>
      <w:color w:val="2e74b5"/>
    </w:rPr>
  </w:style>
  <w:style w:type="paragraph" w:styleId="style6">
    <w:name w:val="heading 6"/>
    <w:next w:val="style6"/>
    <w:qFormat/>
    <w:uiPriority w:val="9"/>
    <w:pPr>
      <w:outlineLvl w:val="5"/>
    </w:pPr>
    <w:rPr>
      <w:color w:val="1f4d78"/>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2">
    <w:name w:val="Title"/>
    <w:next w:val="style62"/>
    <w:qFormat/>
    <w:uiPriority w:val="10"/>
    <w:pPr/>
    <w:rPr>
      <w:sz w:val="56"/>
      <w:szCs w:val="56"/>
    </w:rPr>
  </w:style>
  <w:style w:type="paragraph" w:customStyle="1" w:styleId="style4097">
    <w:name w:val="Strong1"/>
    <w:next w:val="style4097"/>
    <w:qFormat/>
    <w:pPr/>
    <w:rPr>
      <w:b/>
      <w:bCs/>
    </w:rPr>
  </w:style>
  <w:style w:type="paragraph" w:styleId="style179">
    <w:name w:val="List Paragraph"/>
    <w:next w:val="style179"/>
    <w:qFormat/>
    <w:pPr/>
  </w:style>
  <w:style w:type="character" w:styleId="style85">
    <w:name w:val="Hyperlink"/>
    <w:next w:val="style85"/>
    <w:uiPriority w:val="99"/>
    <w:rPr>
      <w:color w:val="0563c1"/>
      <w:u w:val="single"/>
    </w:rPr>
  </w:style>
  <w:style w:type="character" w:styleId="style38">
    <w:name w:val="footnote reference"/>
    <w:next w:val="style38"/>
    <w:uiPriority w:val="99"/>
    <w:rPr>
      <w:vertAlign w:val="superscript"/>
    </w:rPr>
  </w:style>
  <w:style w:type="paragraph" w:styleId="style29">
    <w:name w:val="footnote text"/>
    <w:next w:val="style29"/>
    <w:link w:val="style4098"/>
    <w:uiPriority w:val="99"/>
    <w:pPr/>
    <w:rPr>
      <w:sz w:val="20"/>
      <w:szCs w:val="20"/>
    </w:rPr>
  </w:style>
  <w:style w:type="character" w:customStyle="1" w:styleId="style4098">
    <w:name w:val="Footnote Text Char"/>
    <w:next w:val="style4098"/>
    <w:link w:val="style29"/>
    <w:uiPriority w:val="99"/>
    <w:rPr>
      <w:sz w:val="20"/>
      <w:szCs w:val="20"/>
    </w:rPr>
  </w:style>
  <w:style w:type="character" w:styleId="style42">
    <w:name w:val="endnote reference"/>
    <w:next w:val="style42"/>
    <w:uiPriority w:val="99"/>
    <w:rPr>
      <w:vertAlign w:val="superscript"/>
    </w:rPr>
  </w:style>
  <w:style w:type="paragraph" w:styleId="style43">
    <w:name w:val="endnote text"/>
    <w:next w:val="style43"/>
    <w:link w:val="style4099"/>
    <w:uiPriority w:val="99"/>
    <w:pPr/>
    <w:rPr>
      <w:sz w:val="20"/>
      <w:szCs w:val="20"/>
    </w:rPr>
  </w:style>
  <w:style w:type="character" w:customStyle="1" w:styleId="style4099">
    <w:name w:val="Endnote Text Char"/>
    <w:next w:val="style4099"/>
    <w:link w:val="style43"/>
    <w:uiPriority w:val="99"/>
    <w:rPr>
      <w:sz w:val="20"/>
      <w:szCs w:val="20"/>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0" Type="http://schemas.openxmlformats.org/officeDocument/2006/relationships/theme" Target="theme/theme1.xml"/><Relationship Id="rId9" Type="http://schemas.openxmlformats.org/officeDocument/2006/relationships/settings" Target="settings.xml"/><Relationship Id="rId5" Type="http://schemas.openxmlformats.org/officeDocument/2006/relationships/header" Target="header1.xml"/><Relationship Id="rId6" Type="http://schemas.openxmlformats.org/officeDocument/2006/relationships/footer" Target="footer2.xml"/><Relationship Id="rId7" Type="http://schemas.openxmlformats.org/officeDocument/2006/relationships/styles" Target="styles.xml"/><Relationship Id="rId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Words>5826</Words>
  <Pages>20</Pages>
  <Characters>36028</Characters>
  <Application>WPS Office</Application>
  <DocSecurity>0</DocSecurity>
  <Paragraphs>119</Paragraphs>
  <ScaleCrop>false</ScaleCrop>
  <LinksUpToDate>false</LinksUpToDate>
  <CharactersWithSpaces>41749</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2026-08-11T00:31:00Z</dcterms:created>
  <dc:creator>Un-named</dc:creator>
  <lastModifiedBy>CPH2707</lastModifiedBy>
  <dcterms:modified xsi:type="dcterms:W3CDTF">2026-08-11T00:50:16Z</dcterms:modified>
  <revision>3</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9b54034a939945ec95ca01287beae53a_23</vt:lpwstr>
  </property>
</Properties>
</file>