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27C4B" w14:textId="77777777" w:rsidR="00D115FA" w:rsidRPr="003227C7" w:rsidRDefault="00D115FA" w:rsidP="00D115FA">
      <w:pPr>
        <w:spacing w:line="360" w:lineRule="auto"/>
        <w:rPr>
          <w:rFonts w:ascii="Arial" w:hAnsi="Arial" w:cs="Arial"/>
          <w:sz w:val="24"/>
          <w:szCs w:val="24"/>
        </w:rPr>
      </w:pPr>
      <w:r w:rsidRPr="003227C7">
        <w:rPr>
          <w:rFonts w:ascii="Arial" w:hAnsi="Arial" w:cs="Arial"/>
          <w:noProof/>
          <w:sz w:val="24"/>
          <w:szCs w:val="24"/>
          <w:lang w:val="en-US"/>
        </w:rPr>
        <w:drawing>
          <wp:anchor distT="0" distB="0" distL="114300" distR="114300" simplePos="0" relativeHeight="251659264" behindDoc="0" locked="0" layoutInCell="1" allowOverlap="1" wp14:anchorId="271AC934" wp14:editId="49A59367">
            <wp:simplePos x="0" y="0"/>
            <wp:positionH relativeFrom="margin">
              <wp:align>center</wp:align>
            </wp:positionH>
            <wp:positionV relativeFrom="paragraph">
              <wp:posOffset>120650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359703FE" w14:textId="77777777" w:rsidR="00D115FA" w:rsidRPr="007B3E77" w:rsidRDefault="00D115FA" w:rsidP="00D115FA">
      <w:pPr>
        <w:spacing w:line="360" w:lineRule="auto"/>
        <w:jc w:val="center"/>
        <w:rPr>
          <w:rFonts w:ascii="Arial" w:hAnsi="Arial" w:cs="Arial"/>
          <w:b/>
          <w:bCs/>
          <w:sz w:val="36"/>
          <w:szCs w:val="32"/>
        </w:rPr>
      </w:pPr>
      <w:r w:rsidRPr="007B3E77">
        <w:rPr>
          <w:rFonts w:ascii="Arial" w:hAnsi="Arial" w:cs="Arial"/>
          <w:b/>
          <w:bCs/>
          <w:sz w:val="36"/>
          <w:szCs w:val="32"/>
        </w:rPr>
        <w:t>Master of Business Administration</w:t>
      </w:r>
    </w:p>
    <w:p w14:paraId="5B752476" w14:textId="77777777" w:rsidR="008C142F" w:rsidRPr="003227C7" w:rsidRDefault="008C142F" w:rsidP="008C142F">
      <w:pPr>
        <w:spacing w:line="360" w:lineRule="auto"/>
        <w:jc w:val="center"/>
        <w:rPr>
          <w:rFonts w:ascii="Arial" w:hAnsi="Arial" w:cs="Arial"/>
          <w:b/>
          <w:bCs/>
          <w:sz w:val="28"/>
          <w:szCs w:val="24"/>
        </w:rPr>
      </w:pPr>
      <w:r w:rsidRPr="008C142F">
        <w:rPr>
          <w:rFonts w:ascii="Arial" w:hAnsi="Arial" w:cs="Arial"/>
          <w:b/>
          <w:bCs/>
          <w:sz w:val="28"/>
          <w:szCs w:val="24"/>
        </w:rPr>
        <w:t>Module:</w:t>
      </w:r>
      <w:r>
        <w:rPr>
          <w:rFonts w:ascii="Arial" w:hAnsi="Arial" w:cs="Arial"/>
          <w:b/>
          <w:bCs/>
          <w:sz w:val="28"/>
          <w:szCs w:val="24"/>
        </w:rPr>
        <w:t xml:space="preserve"> </w:t>
      </w:r>
      <w:r w:rsidRPr="004019A6">
        <w:rPr>
          <w:rFonts w:ascii="Arial" w:hAnsi="Arial" w:cs="Arial"/>
          <w:b/>
          <w:bCs/>
          <w:sz w:val="28"/>
          <w:szCs w:val="24"/>
        </w:rPr>
        <w:t>Financial Management</w:t>
      </w:r>
    </w:p>
    <w:p w14:paraId="018873B1" w14:textId="77777777" w:rsidR="008C142F" w:rsidRPr="003227C7" w:rsidRDefault="008C142F" w:rsidP="008C142F">
      <w:pPr>
        <w:spacing w:line="360" w:lineRule="auto"/>
        <w:jc w:val="center"/>
        <w:rPr>
          <w:rFonts w:ascii="Arial" w:hAnsi="Arial" w:cs="Arial"/>
          <w:b/>
          <w:bCs/>
          <w:sz w:val="28"/>
          <w:szCs w:val="24"/>
        </w:rPr>
      </w:pPr>
      <w:r w:rsidRPr="003227C7">
        <w:rPr>
          <w:rFonts w:ascii="Arial" w:hAnsi="Arial" w:cs="Arial"/>
          <w:b/>
          <w:bCs/>
          <w:sz w:val="28"/>
          <w:szCs w:val="24"/>
        </w:rPr>
        <w:t xml:space="preserve">Module code: </w:t>
      </w:r>
      <w:r w:rsidRPr="00400BF4">
        <w:rPr>
          <w:rFonts w:ascii="Arial" w:hAnsi="Arial" w:cs="Arial"/>
          <w:b/>
          <w:bCs/>
          <w:sz w:val="28"/>
          <w:szCs w:val="24"/>
        </w:rPr>
        <w:t>LCMB7002</w:t>
      </w:r>
    </w:p>
    <w:p w14:paraId="7D80EA55" w14:textId="1D123A3F" w:rsidR="00D115FA" w:rsidRPr="003227C7" w:rsidRDefault="00D115FA" w:rsidP="00D115FA">
      <w:pPr>
        <w:spacing w:line="360" w:lineRule="auto"/>
        <w:jc w:val="center"/>
        <w:rPr>
          <w:rFonts w:ascii="Arial" w:hAnsi="Arial" w:cs="Arial"/>
          <w:b/>
          <w:bCs/>
          <w:sz w:val="28"/>
          <w:szCs w:val="24"/>
        </w:rPr>
      </w:pPr>
      <w:r w:rsidRPr="003227C7">
        <w:rPr>
          <w:rFonts w:ascii="Arial" w:hAnsi="Arial" w:cs="Arial"/>
          <w:b/>
          <w:bCs/>
          <w:sz w:val="28"/>
          <w:szCs w:val="24"/>
        </w:rPr>
        <w:t>Student Name:</w:t>
      </w:r>
      <w:r w:rsidR="00F07FC5">
        <w:rPr>
          <w:rFonts w:ascii="Arial" w:hAnsi="Arial" w:cs="Arial"/>
          <w:sz w:val="28"/>
          <w:szCs w:val="24"/>
        </w:rPr>
        <w:t xml:space="preserve"> </w:t>
      </w:r>
      <w:r w:rsidR="008C142F" w:rsidRPr="008C142F">
        <w:rPr>
          <w:rFonts w:ascii="Arial" w:hAnsi="Arial" w:cs="Arial"/>
          <w:b/>
          <w:sz w:val="28"/>
          <w:szCs w:val="24"/>
        </w:rPr>
        <w:t xml:space="preserve">Akbar </w:t>
      </w:r>
      <w:proofErr w:type="spellStart"/>
      <w:r w:rsidR="008C142F" w:rsidRPr="008C142F">
        <w:rPr>
          <w:rFonts w:ascii="Arial" w:hAnsi="Arial" w:cs="Arial"/>
          <w:b/>
          <w:sz w:val="28"/>
          <w:szCs w:val="24"/>
        </w:rPr>
        <w:t>hossain</w:t>
      </w:r>
      <w:proofErr w:type="spellEnd"/>
      <w:r w:rsidR="008C142F" w:rsidRPr="008C142F">
        <w:rPr>
          <w:rFonts w:ascii="Arial" w:hAnsi="Arial" w:cs="Arial"/>
          <w:b/>
          <w:sz w:val="28"/>
          <w:szCs w:val="24"/>
        </w:rPr>
        <w:t xml:space="preserve">  </w:t>
      </w:r>
    </w:p>
    <w:p w14:paraId="55AAAE85" w14:textId="2F9F1816" w:rsidR="00D115FA" w:rsidRPr="003227C7" w:rsidRDefault="00D115FA" w:rsidP="00D115FA">
      <w:pPr>
        <w:spacing w:line="360" w:lineRule="auto"/>
        <w:jc w:val="center"/>
        <w:rPr>
          <w:rFonts w:ascii="Arial" w:hAnsi="Arial" w:cs="Arial"/>
          <w:sz w:val="28"/>
          <w:szCs w:val="24"/>
        </w:rPr>
      </w:pPr>
      <w:r w:rsidRPr="003227C7">
        <w:rPr>
          <w:rFonts w:ascii="Arial" w:hAnsi="Arial" w:cs="Arial"/>
          <w:b/>
          <w:bCs/>
          <w:sz w:val="28"/>
          <w:szCs w:val="24"/>
        </w:rPr>
        <w:t>Student Number:</w:t>
      </w:r>
      <w:r w:rsidR="00F07FC5">
        <w:rPr>
          <w:rFonts w:ascii="Arial" w:hAnsi="Arial" w:cs="Arial"/>
          <w:sz w:val="28"/>
          <w:szCs w:val="24"/>
        </w:rPr>
        <w:t xml:space="preserve"> </w:t>
      </w:r>
      <w:r w:rsidR="008C142F" w:rsidRPr="008C142F">
        <w:rPr>
          <w:rFonts w:ascii="Arial" w:hAnsi="Arial" w:cs="Arial"/>
          <w:b/>
          <w:sz w:val="28"/>
          <w:szCs w:val="24"/>
        </w:rPr>
        <w:t>2519734</w:t>
      </w:r>
    </w:p>
    <w:p w14:paraId="6EDE6B44" w14:textId="0B4F7361" w:rsidR="00D115FA" w:rsidRPr="003227C7" w:rsidRDefault="00D115FA" w:rsidP="008C142F">
      <w:pPr>
        <w:spacing w:line="360" w:lineRule="auto"/>
        <w:jc w:val="center"/>
        <w:rPr>
          <w:rFonts w:ascii="Arial" w:hAnsi="Arial" w:cs="Arial"/>
          <w:b/>
          <w:bCs/>
          <w:sz w:val="28"/>
          <w:szCs w:val="24"/>
        </w:rPr>
      </w:pPr>
      <w:r w:rsidRPr="003227C7">
        <w:rPr>
          <w:rFonts w:ascii="Arial" w:hAnsi="Arial" w:cs="Arial"/>
          <w:b/>
          <w:bCs/>
          <w:sz w:val="28"/>
          <w:szCs w:val="24"/>
        </w:rPr>
        <w:t xml:space="preserve">Assessment: </w:t>
      </w:r>
      <w:r w:rsidR="008C142F" w:rsidRPr="008C142F">
        <w:rPr>
          <w:rFonts w:ascii="Arial" w:hAnsi="Arial" w:cs="Arial"/>
          <w:b/>
          <w:bCs/>
          <w:sz w:val="28"/>
          <w:szCs w:val="24"/>
        </w:rPr>
        <w:t>Financial performance and</w:t>
      </w:r>
      <w:r w:rsidR="008C142F">
        <w:rPr>
          <w:rFonts w:ascii="Arial" w:hAnsi="Arial" w:cs="Arial"/>
          <w:b/>
          <w:bCs/>
          <w:sz w:val="28"/>
          <w:szCs w:val="24"/>
        </w:rPr>
        <w:t xml:space="preserve"> </w:t>
      </w:r>
      <w:r w:rsidR="008C142F" w:rsidRPr="008C142F">
        <w:rPr>
          <w:rFonts w:ascii="Arial" w:hAnsi="Arial" w:cs="Arial"/>
          <w:b/>
          <w:bCs/>
          <w:sz w:val="28"/>
          <w:szCs w:val="24"/>
        </w:rPr>
        <w:t>management</w:t>
      </w:r>
    </w:p>
    <w:p w14:paraId="767A75C6" w14:textId="7FA6BABE" w:rsidR="00D115FA" w:rsidRPr="003227C7" w:rsidRDefault="00D115FA" w:rsidP="00D115FA">
      <w:pPr>
        <w:spacing w:line="360" w:lineRule="auto"/>
        <w:jc w:val="center"/>
        <w:rPr>
          <w:rFonts w:ascii="Arial" w:hAnsi="Arial" w:cs="Arial"/>
          <w:b/>
          <w:bCs/>
          <w:sz w:val="28"/>
          <w:szCs w:val="24"/>
        </w:rPr>
      </w:pPr>
      <w:r w:rsidRPr="003227C7">
        <w:rPr>
          <w:rFonts w:ascii="Arial" w:hAnsi="Arial" w:cs="Arial"/>
          <w:b/>
          <w:bCs/>
          <w:sz w:val="28"/>
          <w:szCs w:val="24"/>
        </w:rPr>
        <w:t xml:space="preserve">Lecturer: </w:t>
      </w:r>
      <w:r w:rsidR="00430DED" w:rsidRPr="00430DED">
        <w:rPr>
          <w:rFonts w:ascii="Arial" w:hAnsi="Arial" w:cs="Arial"/>
          <w:b/>
          <w:bCs/>
          <w:sz w:val="28"/>
          <w:szCs w:val="24"/>
        </w:rPr>
        <w:t xml:space="preserve">Isaiah </w:t>
      </w:r>
      <w:proofErr w:type="spellStart"/>
      <w:r w:rsidR="00430DED" w:rsidRPr="00430DED">
        <w:rPr>
          <w:rFonts w:ascii="Arial" w:hAnsi="Arial" w:cs="Arial"/>
          <w:b/>
          <w:bCs/>
          <w:sz w:val="28"/>
          <w:szCs w:val="24"/>
        </w:rPr>
        <w:t>oino</w:t>
      </w:r>
      <w:proofErr w:type="spellEnd"/>
    </w:p>
    <w:p w14:paraId="530513BB" w14:textId="320932E3" w:rsidR="00D115FA" w:rsidRPr="003227C7" w:rsidRDefault="00D115FA" w:rsidP="00D115FA">
      <w:pPr>
        <w:spacing w:line="360" w:lineRule="auto"/>
        <w:jc w:val="center"/>
        <w:rPr>
          <w:rFonts w:ascii="Arial" w:hAnsi="Arial" w:cs="Arial"/>
          <w:b/>
          <w:bCs/>
          <w:i/>
          <w:iCs/>
          <w:sz w:val="28"/>
          <w:szCs w:val="24"/>
        </w:rPr>
      </w:pPr>
      <w:r w:rsidRPr="003227C7">
        <w:rPr>
          <w:rFonts w:ascii="Arial" w:hAnsi="Arial" w:cs="Arial"/>
          <w:b/>
          <w:bCs/>
          <w:sz w:val="28"/>
          <w:szCs w:val="24"/>
        </w:rPr>
        <w:t xml:space="preserve">Word Count: </w:t>
      </w:r>
      <w:r w:rsidR="00DB75B4">
        <w:rPr>
          <w:rFonts w:ascii="Arial" w:hAnsi="Arial" w:cs="Arial"/>
          <w:b/>
          <w:bCs/>
          <w:sz w:val="28"/>
          <w:szCs w:val="24"/>
        </w:rPr>
        <w:t>4663</w:t>
      </w:r>
    </w:p>
    <w:p w14:paraId="04D2CEDE" w14:textId="1B962AD4" w:rsidR="00D115FA" w:rsidRPr="003227C7" w:rsidRDefault="00D115FA" w:rsidP="00D115FA">
      <w:pPr>
        <w:spacing w:line="360" w:lineRule="auto"/>
        <w:jc w:val="center"/>
        <w:rPr>
          <w:rFonts w:ascii="Arial" w:hAnsi="Arial" w:cs="Arial"/>
          <w:b/>
          <w:bCs/>
          <w:sz w:val="28"/>
          <w:szCs w:val="24"/>
        </w:rPr>
      </w:pPr>
      <w:r w:rsidRPr="003227C7">
        <w:rPr>
          <w:rFonts w:ascii="Arial" w:hAnsi="Arial" w:cs="Arial"/>
          <w:b/>
          <w:bCs/>
          <w:sz w:val="28"/>
          <w:szCs w:val="24"/>
        </w:rPr>
        <w:t xml:space="preserve">Submission Deadline: </w:t>
      </w:r>
      <w:r w:rsidR="008C142F" w:rsidRPr="008C142F">
        <w:rPr>
          <w:rFonts w:ascii="Arial" w:hAnsi="Arial" w:cs="Arial"/>
          <w:b/>
          <w:sz w:val="28"/>
          <w:szCs w:val="28"/>
        </w:rPr>
        <w:t>24</w:t>
      </w:r>
      <w:r w:rsidR="008C142F" w:rsidRPr="008C142F">
        <w:rPr>
          <w:rFonts w:ascii="Arial" w:hAnsi="Arial" w:cs="Arial"/>
          <w:b/>
          <w:sz w:val="28"/>
          <w:szCs w:val="28"/>
          <w:vertAlign w:val="superscript"/>
        </w:rPr>
        <w:t>th</w:t>
      </w:r>
      <w:r w:rsidR="008C142F" w:rsidRPr="008C142F">
        <w:rPr>
          <w:rFonts w:ascii="Arial" w:hAnsi="Arial" w:cs="Arial"/>
          <w:b/>
          <w:sz w:val="28"/>
          <w:szCs w:val="28"/>
        </w:rPr>
        <w:t xml:space="preserve"> April 2026</w:t>
      </w:r>
    </w:p>
    <w:p w14:paraId="2656DDA3" w14:textId="77777777" w:rsidR="00D115FA" w:rsidRPr="003227C7" w:rsidRDefault="00D115FA" w:rsidP="00D115FA">
      <w:pPr>
        <w:pStyle w:val="NoSpacing"/>
        <w:spacing w:before="1540" w:after="240" w:line="360" w:lineRule="auto"/>
        <w:jc w:val="center"/>
        <w:rPr>
          <w:rFonts w:ascii="Arial" w:hAnsi="Arial" w:cs="Arial"/>
          <w:sz w:val="24"/>
          <w:szCs w:val="24"/>
          <w:lang w:val="en-GB"/>
        </w:rPr>
      </w:pPr>
      <w:r w:rsidRPr="003227C7">
        <w:rPr>
          <w:rFonts w:ascii="Arial" w:hAnsi="Arial" w:cs="Arial"/>
          <w:sz w:val="24"/>
          <w:szCs w:val="24"/>
          <w:lang w:val="en-GB"/>
        </w:rPr>
        <w:br w:type="page"/>
      </w: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noProof/>
          <w:sz w:val="22"/>
          <w:szCs w:val="22"/>
        </w:rPr>
      </w:sdtEndPr>
      <w:sdtContent>
        <w:p w14:paraId="6D817886" w14:textId="77777777" w:rsidR="00D115FA" w:rsidRPr="00DB75B4" w:rsidRDefault="00D115FA" w:rsidP="00D115FA">
          <w:pPr>
            <w:pStyle w:val="TOCHeading"/>
            <w:spacing w:line="360" w:lineRule="auto"/>
            <w:jc w:val="center"/>
            <w:rPr>
              <w:rFonts w:cs="Arial"/>
              <w:b w:val="0"/>
              <w:iCs/>
              <w:color w:val="auto"/>
              <w:sz w:val="32"/>
              <w:szCs w:val="32"/>
              <w:u w:val="single"/>
            </w:rPr>
          </w:pPr>
          <w:r w:rsidRPr="00DB75B4">
            <w:rPr>
              <w:rFonts w:cs="Arial"/>
              <w:iCs/>
              <w:color w:val="auto"/>
              <w:sz w:val="32"/>
              <w:szCs w:val="32"/>
              <w:u w:val="single"/>
            </w:rPr>
            <w:t>Table of Contents</w:t>
          </w:r>
        </w:p>
        <w:p w14:paraId="0D3BF5BC" w14:textId="162CD593" w:rsidR="00DB75B4" w:rsidRPr="00DB75B4" w:rsidRDefault="00D115FA">
          <w:pPr>
            <w:pStyle w:val="TOC1"/>
            <w:tabs>
              <w:tab w:val="right" w:leader="dot" w:pos="9016"/>
            </w:tabs>
            <w:rPr>
              <w:rFonts w:ascii="Arial" w:eastAsiaTheme="minorEastAsia" w:hAnsi="Arial" w:cs="Arial"/>
              <w:noProof/>
              <w:kern w:val="2"/>
              <w:sz w:val="24"/>
              <w:szCs w:val="24"/>
              <w:lang w:val="en-US"/>
              <w14:ligatures w14:val="standardContextual"/>
            </w:rPr>
          </w:pPr>
          <w:r w:rsidRPr="00DB75B4">
            <w:rPr>
              <w:rFonts w:ascii="Arial" w:hAnsi="Arial" w:cs="Arial"/>
              <w:b/>
              <w:bCs/>
              <w:noProof/>
            </w:rPr>
            <w:fldChar w:fldCharType="begin"/>
          </w:r>
          <w:r w:rsidRPr="00DB75B4">
            <w:rPr>
              <w:rFonts w:ascii="Arial" w:hAnsi="Arial" w:cs="Arial"/>
              <w:b/>
              <w:bCs/>
              <w:noProof/>
            </w:rPr>
            <w:instrText xml:space="preserve"> TOC \o "1-3" \h \z \u </w:instrText>
          </w:r>
          <w:r w:rsidRPr="00DB75B4">
            <w:rPr>
              <w:rFonts w:ascii="Arial" w:hAnsi="Arial" w:cs="Arial"/>
              <w:b/>
              <w:bCs/>
              <w:noProof/>
            </w:rPr>
            <w:fldChar w:fldCharType="separate"/>
          </w:r>
          <w:hyperlink w:anchor="_Toc226785357" w:history="1">
            <w:r w:rsidR="00DB75B4" w:rsidRPr="00DB75B4">
              <w:rPr>
                <w:rStyle w:val="Hyperlink"/>
                <w:rFonts w:ascii="Arial" w:hAnsi="Arial" w:cs="Arial"/>
                <w:noProof/>
              </w:rPr>
              <w:t>Introduction</w:t>
            </w:r>
            <w:r w:rsidR="00DB75B4" w:rsidRPr="00DB75B4">
              <w:rPr>
                <w:rFonts w:ascii="Arial" w:hAnsi="Arial" w:cs="Arial"/>
                <w:noProof/>
                <w:webHidden/>
              </w:rPr>
              <w:tab/>
            </w:r>
            <w:r w:rsidR="00DB75B4" w:rsidRPr="00DB75B4">
              <w:rPr>
                <w:rFonts w:ascii="Arial" w:hAnsi="Arial" w:cs="Arial"/>
                <w:noProof/>
                <w:webHidden/>
              </w:rPr>
              <w:fldChar w:fldCharType="begin"/>
            </w:r>
            <w:r w:rsidR="00DB75B4" w:rsidRPr="00DB75B4">
              <w:rPr>
                <w:rFonts w:ascii="Arial" w:hAnsi="Arial" w:cs="Arial"/>
                <w:noProof/>
                <w:webHidden/>
              </w:rPr>
              <w:instrText xml:space="preserve"> PAGEREF _Toc226785357 \h </w:instrText>
            </w:r>
            <w:r w:rsidR="00DB75B4" w:rsidRPr="00DB75B4">
              <w:rPr>
                <w:rFonts w:ascii="Arial" w:hAnsi="Arial" w:cs="Arial"/>
                <w:noProof/>
                <w:webHidden/>
              </w:rPr>
            </w:r>
            <w:r w:rsidR="00DB75B4" w:rsidRPr="00DB75B4">
              <w:rPr>
                <w:rFonts w:ascii="Arial" w:hAnsi="Arial" w:cs="Arial"/>
                <w:noProof/>
                <w:webHidden/>
              </w:rPr>
              <w:fldChar w:fldCharType="separate"/>
            </w:r>
            <w:r w:rsidR="00DB75B4" w:rsidRPr="00DB75B4">
              <w:rPr>
                <w:rFonts w:ascii="Arial" w:hAnsi="Arial" w:cs="Arial"/>
                <w:noProof/>
                <w:webHidden/>
              </w:rPr>
              <w:t>1</w:t>
            </w:r>
            <w:r w:rsidR="00DB75B4" w:rsidRPr="00DB75B4">
              <w:rPr>
                <w:rFonts w:ascii="Arial" w:hAnsi="Arial" w:cs="Arial"/>
                <w:noProof/>
                <w:webHidden/>
              </w:rPr>
              <w:fldChar w:fldCharType="end"/>
            </w:r>
          </w:hyperlink>
        </w:p>
        <w:p w14:paraId="504ED994" w14:textId="0DC7E24C" w:rsidR="00DB75B4" w:rsidRPr="00DB75B4" w:rsidRDefault="00DB75B4">
          <w:pPr>
            <w:pStyle w:val="TOC1"/>
            <w:tabs>
              <w:tab w:val="right" w:leader="dot" w:pos="9016"/>
            </w:tabs>
            <w:rPr>
              <w:rFonts w:ascii="Arial" w:eastAsiaTheme="minorEastAsia" w:hAnsi="Arial" w:cs="Arial"/>
              <w:noProof/>
              <w:kern w:val="2"/>
              <w:sz w:val="24"/>
              <w:szCs w:val="24"/>
              <w:lang w:val="en-US"/>
              <w14:ligatures w14:val="standardContextual"/>
            </w:rPr>
          </w:pPr>
          <w:hyperlink w:anchor="_Toc226785358" w:history="1">
            <w:r w:rsidRPr="00DB75B4">
              <w:rPr>
                <w:rStyle w:val="Hyperlink"/>
                <w:rFonts w:ascii="Arial" w:hAnsi="Arial" w:cs="Arial"/>
                <w:noProof/>
              </w:rPr>
              <w:t>1. Financial Health Check of Volkswagen Group (2019-2023)</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_Toc226785358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w:t>
            </w:r>
            <w:r w:rsidRPr="00DB75B4">
              <w:rPr>
                <w:rFonts w:ascii="Arial" w:hAnsi="Arial" w:cs="Arial"/>
                <w:noProof/>
                <w:webHidden/>
              </w:rPr>
              <w:fldChar w:fldCharType="end"/>
            </w:r>
          </w:hyperlink>
        </w:p>
        <w:p w14:paraId="7BFDEA03" w14:textId="0B9421AC"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59" w:history="1">
            <w:r w:rsidRPr="00DB75B4">
              <w:rPr>
                <w:rStyle w:val="Hyperlink"/>
                <w:rFonts w:ascii="Arial" w:hAnsi="Arial" w:cs="Arial"/>
                <w:noProof/>
                <w:lang w:val="en-US"/>
              </w:rPr>
              <w:t>1.1 Financial Performance Summary Table (2019-2023)</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_Toc226785359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w:t>
            </w:r>
            <w:r w:rsidRPr="00DB75B4">
              <w:rPr>
                <w:rFonts w:ascii="Arial" w:hAnsi="Arial" w:cs="Arial"/>
                <w:noProof/>
                <w:webHidden/>
              </w:rPr>
              <w:fldChar w:fldCharType="end"/>
            </w:r>
          </w:hyperlink>
        </w:p>
        <w:p w14:paraId="570780D4" w14:textId="406DB14F"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60" w:history="1">
            <w:r w:rsidRPr="00DB75B4">
              <w:rPr>
                <w:rStyle w:val="Hyperlink"/>
                <w:rFonts w:ascii="Arial" w:hAnsi="Arial" w:cs="Arial"/>
                <w:noProof/>
                <w:lang w:val="en-US"/>
              </w:rPr>
              <w:t>1.2 Ratio Analysis (2019-2023)</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_Toc226785360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3</w:t>
            </w:r>
            <w:r w:rsidRPr="00DB75B4">
              <w:rPr>
                <w:rFonts w:ascii="Arial" w:hAnsi="Arial" w:cs="Arial"/>
                <w:noProof/>
                <w:webHidden/>
              </w:rPr>
              <w:fldChar w:fldCharType="end"/>
            </w:r>
          </w:hyperlink>
        </w:p>
        <w:p w14:paraId="55E63C13" w14:textId="3B5767B7" w:rsidR="00DB75B4" w:rsidRPr="00DB75B4" w:rsidRDefault="00DB75B4">
          <w:pPr>
            <w:pStyle w:val="TOC3"/>
            <w:tabs>
              <w:tab w:val="right" w:leader="dot" w:pos="9016"/>
            </w:tabs>
            <w:rPr>
              <w:rFonts w:ascii="Arial" w:eastAsiaTheme="minorEastAsia" w:hAnsi="Arial" w:cs="Arial"/>
              <w:noProof/>
              <w:kern w:val="2"/>
              <w:sz w:val="24"/>
              <w:szCs w:val="24"/>
              <w:lang w:val="en-US"/>
              <w14:ligatures w14:val="standardContextual"/>
            </w:rPr>
          </w:pPr>
          <w:hyperlink w:anchor="_Toc226785361" w:history="1">
            <w:r w:rsidRPr="00DB75B4">
              <w:rPr>
                <w:rStyle w:val="Hyperlink"/>
                <w:rFonts w:ascii="Arial" w:hAnsi="Arial" w:cs="Arial"/>
                <w:noProof/>
                <w:lang w:val="en-US"/>
              </w:rPr>
              <w:t>1.2.1 Profitability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_Toc226785361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3</w:t>
            </w:r>
            <w:r w:rsidRPr="00DB75B4">
              <w:rPr>
                <w:rFonts w:ascii="Arial" w:hAnsi="Arial" w:cs="Arial"/>
                <w:noProof/>
                <w:webHidden/>
              </w:rPr>
              <w:fldChar w:fldCharType="end"/>
            </w:r>
          </w:hyperlink>
        </w:p>
        <w:p w14:paraId="7C9B96CA" w14:textId="68D81ED5" w:rsidR="00DB75B4" w:rsidRPr="00DB75B4" w:rsidRDefault="00DB75B4">
          <w:pPr>
            <w:pStyle w:val="TOC3"/>
            <w:tabs>
              <w:tab w:val="right" w:leader="dot" w:pos="9016"/>
            </w:tabs>
            <w:rPr>
              <w:rFonts w:ascii="Arial" w:eastAsiaTheme="minorEastAsia" w:hAnsi="Arial" w:cs="Arial"/>
              <w:noProof/>
              <w:kern w:val="2"/>
              <w:sz w:val="24"/>
              <w:szCs w:val="24"/>
              <w:lang w:val="en-US"/>
              <w14:ligatures w14:val="standardContextual"/>
            </w:rPr>
          </w:pPr>
          <w:hyperlink w:anchor="_Toc226785362" w:history="1">
            <w:r w:rsidRPr="00DB75B4">
              <w:rPr>
                <w:rStyle w:val="Hyperlink"/>
                <w:rFonts w:ascii="Arial" w:hAnsi="Arial" w:cs="Arial"/>
                <w:noProof/>
                <w:lang w:val="en-US"/>
              </w:rPr>
              <w:t>1.2.2 Liquidity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_Toc226785362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3</w:t>
            </w:r>
            <w:r w:rsidRPr="00DB75B4">
              <w:rPr>
                <w:rFonts w:ascii="Arial" w:hAnsi="Arial" w:cs="Arial"/>
                <w:noProof/>
                <w:webHidden/>
              </w:rPr>
              <w:fldChar w:fldCharType="end"/>
            </w:r>
          </w:hyperlink>
        </w:p>
        <w:p w14:paraId="77F4C72E" w14:textId="64B68F1F" w:rsidR="00DB75B4" w:rsidRPr="00DB75B4" w:rsidRDefault="00DB75B4">
          <w:pPr>
            <w:pStyle w:val="TOC3"/>
            <w:tabs>
              <w:tab w:val="right" w:leader="dot" w:pos="9016"/>
            </w:tabs>
            <w:rPr>
              <w:rFonts w:ascii="Arial" w:eastAsiaTheme="minorEastAsia" w:hAnsi="Arial" w:cs="Arial"/>
              <w:noProof/>
              <w:kern w:val="2"/>
              <w:sz w:val="24"/>
              <w:szCs w:val="24"/>
              <w:lang w:val="en-US"/>
              <w14:ligatures w14:val="standardContextual"/>
            </w:rPr>
          </w:pPr>
          <w:hyperlink w:anchor="_Toc226785363" w:history="1">
            <w:r w:rsidRPr="00DB75B4">
              <w:rPr>
                <w:rStyle w:val="Hyperlink"/>
                <w:rFonts w:ascii="Arial" w:hAnsi="Arial" w:cs="Arial"/>
                <w:noProof/>
                <w:lang w:val="en-US"/>
              </w:rPr>
              <w:t>1.2.3 Efficiency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_Toc226785363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4</w:t>
            </w:r>
            <w:r w:rsidRPr="00DB75B4">
              <w:rPr>
                <w:rFonts w:ascii="Arial" w:hAnsi="Arial" w:cs="Arial"/>
                <w:noProof/>
                <w:webHidden/>
              </w:rPr>
              <w:fldChar w:fldCharType="end"/>
            </w:r>
          </w:hyperlink>
        </w:p>
        <w:p w14:paraId="048A1D09" w14:textId="18231F1B" w:rsidR="00DB75B4" w:rsidRPr="00DB75B4" w:rsidRDefault="00DB75B4">
          <w:pPr>
            <w:pStyle w:val="TOC3"/>
            <w:tabs>
              <w:tab w:val="right" w:leader="dot" w:pos="9016"/>
            </w:tabs>
            <w:rPr>
              <w:rFonts w:ascii="Arial" w:eastAsiaTheme="minorEastAsia" w:hAnsi="Arial" w:cs="Arial"/>
              <w:noProof/>
              <w:kern w:val="2"/>
              <w:sz w:val="24"/>
              <w:szCs w:val="24"/>
              <w:lang w:val="en-US"/>
              <w14:ligatures w14:val="standardContextual"/>
            </w:rPr>
          </w:pPr>
          <w:hyperlink w:anchor="_Toc226785364" w:history="1">
            <w:r w:rsidRPr="00DB75B4">
              <w:rPr>
                <w:rStyle w:val="Hyperlink"/>
                <w:rFonts w:ascii="Arial" w:hAnsi="Arial" w:cs="Arial"/>
                <w:noProof/>
                <w:lang w:val="en-US"/>
              </w:rPr>
              <w:t>1.2.4 Gearing (Leverage)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_Toc226785364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4</w:t>
            </w:r>
            <w:r w:rsidRPr="00DB75B4">
              <w:rPr>
                <w:rFonts w:ascii="Arial" w:hAnsi="Arial" w:cs="Arial"/>
                <w:noProof/>
                <w:webHidden/>
              </w:rPr>
              <w:fldChar w:fldCharType="end"/>
            </w:r>
          </w:hyperlink>
        </w:p>
        <w:p w14:paraId="41889658" w14:textId="73392B6F" w:rsidR="00DB75B4" w:rsidRPr="00DB75B4" w:rsidRDefault="00DB75B4">
          <w:pPr>
            <w:pStyle w:val="TOC3"/>
            <w:tabs>
              <w:tab w:val="right" w:leader="dot" w:pos="9016"/>
            </w:tabs>
            <w:rPr>
              <w:rFonts w:ascii="Arial" w:eastAsiaTheme="minorEastAsia" w:hAnsi="Arial" w:cs="Arial"/>
              <w:noProof/>
              <w:kern w:val="2"/>
              <w:sz w:val="24"/>
              <w:szCs w:val="24"/>
              <w:lang w:val="en-US"/>
              <w14:ligatures w14:val="standardContextual"/>
            </w:rPr>
          </w:pPr>
          <w:hyperlink w:anchor="_Toc226785365" w:history="1">
            <w:r w:rsidRPr="00DB75B4">
              <w:rPr>
                <w:rStyle w:val="Hyperlink"/>
                <w:rFonts w:ascii="Arial" w:hAnsi="Arial" w:cs="Arial"/>
                <w:noProof/>
                <w:lang w:val="en-US"/>
              </w:rPr>
              <w:t>1.2.5 Investment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_Toc226785365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4</w:t>
            </w:r>
            <w:r w:rsidRPr="00DB75B4">
              <w:rPr>
                <w:rFonts w:ascii="Arial" w:hAnsi="Arial" w:cs="Arial"/>
                <w:noProof/>
                <w:webHidden/>
              </w:rPr>
              <w:fldChar w:fldCharType="end"/>
            </w:r>
          </w:hyperlink>
        </w:p>
        <w:p w14:paraId="2FFC9106" w14:textId="19A46B9F" w:rsidR="00DB75B4" w:rsidRPr="00DB75B4" w:rsidRDefault="00DB75B4">
          <w:pPr>
            <w:pStyle w:val="TOC3"/>
            <w:tabs>
              <w:tab w:val="right" w:leader="dot" w:pos="9016"/>
            </w:tabs>
            <w:rPr>
              <w:rFonts w:ascii="Arial" w:eastAsiaTheme="minorEastAsia" w:hAnsi="Arial" w:cs="Arial"/>
              <w:noProof/>
              <w:kern w:val="2"/>
              <w:sz w:val="24"/>
              <w:szCs w:val="24"/>
              <w:lang w:val="en-US"/>
              <w14:ligatures w14:val="standardContextual"/>
            </w:rPr>
          </w:pPr>
          <w:hyperlink w:anchor="_Toc226785366" w:history="1">
            <w:r w:rsidRPr="00DB75B4">
              <w:rPr>
                <w:rStyle w:val="Hyperlink"/>
                <w:rFonts w:ascii="Arial" w:hAnsi="Arial" w:cs="Arial"/>
                <w:noProof/>
                <w:lang w:val="en-US"/>
              </w:rPr>
              <w:t>1.2.6 Cash Flow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_Toc226785366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5</w:t>
            </w:r>
            <w:r w:rsidRPr="00DB75B4">
              <w:rPr>
                <w:rFonts w:ascii="Arial" w:hAnsi="Arial" w:cs="Arial"/>
                <w:noProof/>
                <w:webHidden/>
              </w:rPr>
              <w:fldChar w:fldCharType="end"/>
            </w:r>
          </w:hyperlink>
        </w:p>
        <w:p w14:paraId="075471F8" w14:textId="3FBAE9F8"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67" w:history="1">
            <w:r w:rsidRPr="00DB75B4">
              <w:rPr>
                <w:rStyle w:val="Hyperlink"/>
                <w:rFonts w:ascii="Arial" w:hAnsi="Arial" w:cs="Arial"/>
                <w:noProof/>
                <w:lang w:val="en-US"/>
              </w:rPr>
              <w:t>1.3 Trend Analysis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_Toc226785367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5</w:t>
            </w:r>
            <w:r w:rsidRPr="00DB75B4">
              <w:rPr>
                <w:rFonts w:ascii="Arial" w:hAnsi="Arial" w:cs="Arial"/>
                <w:noProof/>
                <w:webHidden/>
              </w:rPr>
              <w:fldChar w:fldCharType="end"/>
            </w:r>
          </w:hyperlink>
        </w:p>
        <w:p w14:paraId="4DA4E1F4" w14:textId="44B98B58"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68" w:history="1">
            <w:r w:rsidRPr="00DB75B4">
              <w:rPr>
                <w:rStyle w:val="Hyperlink"/>
                <w:rFonts w:ascii="Arial" w:hAnsi="Arial" w:cs="Arial"/>
                <w:noProof/>
                <w:lang w:val="en-US"/>
              </w:rPr>
              <w:t>1.4 Strengths Identified</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_Toc226785368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6</w:t>
            </w:r>
            <w:r w:rsidRPr="00DB75B4">
              <w:rPr>
                <w:rFonts w:ascii="Arial" w:hAnsi="Arial" w:cs="Arial"/>
                <w:noProof/>
                <w:webHidden/>
              </w:rPr>
              <w:fldChar w:fldCharType="end"/>
            </w:r>
          </w:hyperlink>
        </w:p>
        <w:p w14:paraId="497D2395" w14:textId="78D6B83A"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69" w:history="1">
            <w:r w:rsidRPr="00DB75B4">
              <w:rPr>
                <w:rStyle w:val="Hyperlink"/>
                <w:rFonts w:ascii="Arial" w:hAnsi="Arial" w:cs="Arial"/>
                <w:noProof/>
                <w:lang w:val="en-US"/>
              </w:rPr>
              <w:t>1.5 Key Financial Threats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_Toc226785369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6</w:t>
            </w:r>
            <w:r w:rsidRPr="00DB75B4">
              <w:rPr>
                <w:rFonts w:ascii="Arial" w:hAnsi="Arial" w:cs="Arial"/>
                <w:noProof/>
                <w:webHidden/>
              </w:rPr>
              <w:fldChar w:fldCharType="end"/>
            </w:r>
          </w:hyperlink>
        </w:p>
        <w:p w14:paraId="60CAF214" w14:textId="572EC573"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70" w:history="1">
            <w:r w:rsidRPr="00DB75B4">
              <w:rPr>
                <w:rStyle w:val="Hyperlink"/>
                <w:rFonts w:ascii="Arial" w:hAnsi="Arial" w:cs="Arial"/>
                <w:noProof/>
                <w:lang w:val="en-US"/>
              </w:rPr>
              <w:t>1.6 Critical Evaluation</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_Toc226785370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6</w:t>
            </w:r>
            <w:r w:rsidRPr="00DB75B4">
              <w:rPr>
                <w:rFonts w:ascii="Arial" w:hAnsi="Arial" w:cs="Arial"/>
                <w:noProof/>
                <w:webHidden/>
              </w:rPr>
              <w:fldChar w:fldCharType="end"/>
            </w:r>
          </w:hyperlink>
        </w:p>
        <w:p w14:paraId="64B5D922" w14:textId="6605C2C7" w:rsidR="00DB75B4" w:rsidRPr="00DB75B4" w:rsidRDefault="00DB75B4">
          <w:pPr>
            <w:pStyle w:val="TOC1"/>
            <w:tabs>
              <w:tab w:val="right" w:leader="dot" w:pos="9016"/>
            </w:tabs>
            <w:rPr>
              <w:rFonts w:ascii="Arial" w:eastAsiaTheme="minorEastAsia" w:hAnsi="Arial" w:cs="Arial"/>
              <w:noProof/>
              <w:kern w:val="2"/>
              <w:sz w:val="24"/>
              <w:szCs w:val="24"/>
              <w:lang w:val="en-US"/>
              <w14:ligatures w14:val="standardContextual"/>
            </w:rPr>
          </w:pPr>
          <w:hyperlink w:anchor="_Toc226785371" w:history="1">
            <w:r w:rsidRPr="00DB75B4">
              <w:rPr>
                <w:rStyle w:val="Hyperlink"/>
                <w:rFonts w:ascii="Arial" w:hAnsi="Arial" w:cs="Arial"/>
                <w:noProof/>
              </w:rPr>
              <w:t>2. Working Capital Management Analysis of Volkswagen Group</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_Toc226785371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7</w:t>
            </w:r>
            <w:r w:rsidRPr="00DB75B4">
              <w:rPr>
                <w:rFonts w:ascii="Arial" w:hAnsi="Arial" w:cs="Arial"/>
                <w:noProof/>
                <w:webHidden/>
              </w:rPr>
              <w:fldChar w:fldCharType="end"/>
            </w:r>
          </w:hyperlink>
        </w:p>
        <w:p w14:paraId="2F57CE76" w14:textId="6CCD5EFD"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72" w:history="1">
            <w:r w:rsidRPr="00DB75B4">
              <w:rPr>
                <w:rStyle w:val="Hyperlink"/>
                <w:rFonts w:ascii="Arial" w:hAnsi="Arial" w:cs="Arial"/>
                <w:noProof/>
                <w:lang w:val="en-US"/>
              </w:rPr>
              <w:t>2.1 Cash Operating Cycle (CCC) Assessment</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_Toc226785372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7</w:t>
            </w:r>
            <w:r w:rsidRPr="00DB75B4">
              <w:rPr>
                <w:rFonts w:ascii="Arial" w:hAnsi="Arial" w:cs="Arial"/>
                <w:noProof/>
                <w:webHidden/>
              </w:rPr>
              <w:fldChar w:fldCharType="end"/>
            </w:r>
          </w:hyperlink>
        </w:p>
        <w:p w14:paraId="569847ED" w14:textId="36BAB3D6"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73" w:history="1">
            <w:r w:rsidRPr="00DB75B4">
              <w:rPr>
                <w:rStyle w:val="Hyperlink"/>
                <w:rFonts w:ascii="Arial" w:hAnsi="Arial" w:cs="Arial"/>
                <w:noProof/>
                <w:lang w:val="en-US"/>
              </w:rPr>
              <w:t>2.2 Evaluation of Working Capital Efficiency</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_Toc226785373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9</w:t>
            </w:r>
            <w:r w:rsidRPr="00DB75B4">
              <w:rPr>
                <w:rFonts w:ascii="Arial" w:hAnsi="Arial" w:cs="Arial"/>
                <w:noProof/>
                <w:webHidden/>
              </w:rPr>
              <w:fldChar w:fldCharType="end"/>
            </w:r>
          </w:hyperlink>
        </w:p>
        <w:p w14:paraId="2B0C3EBE" w14:textId="7E485000"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74" w:history="1">
            <w:r w:rsidRPr="00DB75B4">
              <w:rPr>
                <w:rStyle w:val="Hyperlink"/>
                <w:rFonts w:ascii="Arial" w:hAnsi="Arial" w:cs="Arial"/>
                <w:noProof/>
                <w:lang w:val="en-US"/>
              </w:rPr>
              <w:t>2.3 Strategies to Improve Liquidity through Working Capital Reforms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_Toc226785374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10</w:t>
            </w:r>
            <w:r w:rsidRPr="00DB75B4">
              <w:rPr>
                <w:rFonts w:ascii="Arial" w:hAnsi="Arial" w:cs="Arial"/>
                <w:noProof/>
                <w:webHidden/>
              </w:rPr>
              <w:fldChar w:fldCharType="end"/>
            </w:r>
          </w:hyperlink>
        </w:p>
        <w:p w14:paraId="0FCFCB3B" w14:textId="15205E06"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75" w:history="1">
            <w:r w:rsidRPr="00DB75B4">
              <w:rPr>
                <w:rStyle w:val="Hyperlink"/>
                <w:rFonts w:ascii="Arial" w:hAnsi="Arial" w:cs="Arial"/>
                <w:noProof/>
                <w:lang w:val="en-US"/>
              </w:rPr>
              <w:t>2.4 Long-term vs short-term financing</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_Toc226785375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11</w:t>
            </w:r>
            <w:r w:rsidRPr="00DB75B4">
              <w:rPr>
                <w:rFonts w:ascii="Arial" w:hAnsi="Arial" w:cs="Arial"/>
                <w:noProof/>
                <w:webHidden/>
              </w:rPr>
              <w:fldChar w:fldCharType="end"/>
            </w:r>
          </w:hyperlink>
        </w:p>
        <w:p w14:paraId="31B43F7F" w14:textId="146DE13F"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76" w:history="1">
            <w:r w:rsidRPr="00DB75B4">
              <w:rPr>
                <w:rStyle w:val="Hyperlink"/>
                <w:rFonts w:ascii="Arial" w:hAnsi="Arial" w:cs="Arial"/>
                <w:noProof/>
                <w:lang w:val="en-US"/>
              </w:rPr>
              <w:t>2.5 Critical Evaluation</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_Toc226785376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12</w:t>
            </w:r>
            <w:r w:rsidRPr="00DB75B4">
              <w:rPr>
                <w:rFonts w:ascii="Arial" w:hAnsi="Arial" w:cs="Arial"/>
                <w:noProof/>
                <w:webHidden/>
              </w:rPr>
              <w:fldChar w:fldCharType="end"/>
            </w:r>
          </w:hyperlink>
        </w:p>
        <w:p w14:paraId="6AF4B34A" w14:textId="4405DCC7" w:rsidR="00DB75B4" w:rsidRPr="00DB75B4" w:rsidRDefault="00DB75B4">
          <w:pPr>
            <w:pStyle w:val="TOC1"/>
            <w:tabs>
              <w:tab w:val="right" w:leader="dot" w:pos="9016"/>
            </w:tabs>
            <w:rPr>
              <w:rFonts w:ascii="Arial" w:eastAsiaTheme="minorEastAsia" w:hAnsi="Arial" w:cs="Arial"/>
              <w:noProof/>
              <w:kern w:val="2"/>
              <w:sz w:val="24"/>
              <w:szCs w:val="24"/>
              <w:lang w:val="en-US"/>
              <w14:ligatures w14:val="standardContextual"/>
            </w:rPr>
          </w:pPr>
          <w:hyperlink w:anchor="_Toc226785377" w:history="1">
            <w:r w:rsidRPr="00DB75B4">
              <w:rPr>
                <w:rStyle w:val="Hyperlink"/>
                <w:rFonts w:ascii="Arial" w:hAnsi="Arial" w:cs="Arial"/>
                <w:noProof/>
              </w:rPr>
              <w:t>3. Strategic Financial Restructuring Plan of Volkswagen Group</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_Toc226785377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13</w:t>
            </w:r>
            <w:r w:rsidRPr="00DB75B4">
              <w:rPr>
                <w:rFonts w:ascii="Arial" w:hAnsi="Arial" w:cs="Arial"/>
                <w:noProof/>
                <w:webHidden/>
              </w:rPr>
              <w:fldChar w:fldCharType="end"/>
            </w:r>
          </w:hyperlink>
        </w:p>
        <w:p w14:paraId="488F1B03" w14:textId="2CC75D0E"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78" w:history="1">
            <w:r w:rsidRPr="00DB75B4">
              <w:rPr>
                <w:rStyle w:val="Hyperlink"/>
                <w:rFonts w:ascii="Arial" w:hAnsi="Arial" w:cs="Arial"/>
                <w:noProof/>
                <w:lang w:val="en-US"/>
              </w:rPr>
              <w:t>3.1 Reason Behind Financial Restructuring</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_Toc226785378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13</w:t>
            </w:r>
            <w:r w:rsidRPr="00DB75B4">
              <w:rPr>
                <w:rFonts w:ascii="Arial" w:hAnsi="Arial" w:cs="Arial"/>
                <w:noProof/>
                <w:webHidden/>
              </w:rPr>
              <w:fldChar w:fldCharType="end"/>
            </w:r>
          </w:hyperlink>
        </w:p>
        <w:p w14:paraId="350C291E" w14:textId="5F8249E2"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79" w:history="1">
            <w:r w:rsidRPr="00DB75B4">
              <w:rPr>
                <w:rStyle w:val="Hyperlink"/>
                <w:rFonts w:ascii="Arial" w:hAnsi="Arial" w:cs="Arial"/>
                <w:noProof/>
                <w:lang w:val="en-US"/>
              </w:rPr>
              <w:t>3.2 Recommended financial restructuring alternatives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_Toc226785379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14</w:t>
            </w:r>
            <w:r w:rsidRPr="00DB75B4">
              <w:rPr>
                <w:rFonts w:ascii="Arial" w:hAnsi="Arial" w:cs="Arial"/>
                <w:noProof/>
                <w:webHidden/>
              </w:rPr>
              <w:fldChar w:fldCharType="end"/>
            </w:r>
          </w:hyperlink>
        </w:p>
        <w:p w14:paraId="2E92345F" w14:textId="133B04E9"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80" w:history="1">
            <w:r w:rsidRPr="00DB75B4">
              <w:rPr>
                <w:rStyle w:val="Hyperlink"/>
                <w:rFonts w:ascii="Arial" w:hAnsi="Arial" w:cs="Arial"/>
                <w:noProof/>
                <w:lang w:val="en-US"/>
              </w:rPr>
              <w:t>3.3 Implication to Shareholder Value</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_Toc226785380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15</w:t>
            </w:r>
            <w:r w:rsidRPr="00DB75B4">
              <w:rPr>
                <w:rFonts w:ascii="Arial" w:hAnsi="Arial" w:cs="Arial"/>
                <w:noProof/>
                <w:webHidden/>
              </w:rPr>
              <w:fldChar w:fldCharType="end"/>
            </w:r>
          </w:hyperlink>
        </w:p>
        <w:p w14:paraId="39EFFD80" w14:textId="335E4978"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81" w:history="1">
            <w:r w:rsidRPr="00DB75B4">
              <w:rPr>
                <w:rStyle w:val="Hyperlink"/>
                <w:rFonts w:ascii="Arial" w:hAnsi="Arial" w:cs="Arial"/>
                <w:noProof/>
                <w:lang w:val="en-US"/>
              </w:rPr>
              <w:t>3.4 Effect on Debt Structure</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_Toc226785381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16</w:t>
            </w:r>
            <w:r w:rsidRPr="00DB75B4">
              <w:rPr>
                <w:rFonts w:ascii="Arial" w:hAnsi="Arial" w:cs="Arial"/>
                <w:noProof/>
                <w:webHidden/>
              </w:rPr>
              <w:fldChar w:fldCharType="end"/>
            </w:r>
          </w:hyperlink>
        </w:p>
        <w:p w14:paraId="46DCDAEF" w14:textId="714E20D2"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82" w:history="1">
            <w:r w:rsidRPr="00DB75B4">
              <w:rPr>
                <w:rStyle w:val="Hyperlink"/>
                <w:rFonts w:ascii="Arial" w:hAnsi="Arial" w:cs="Arial"/>
                <w:noProof/>
                <w:lang w:val="en-US"/>
              </w:rPr>
              <w:t>3.5 Effect on Operational Mobility</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_Toc226785382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16</w:t>
            </w:r>
            <w:r w:rsidRPr="00DB75B4">
              <w:rPr>
                <w:rFonts w:ascii="Arial" w:hAnsi="Arial" w:cs="Arial"/>
                <w:noProof/>
                <w:webHidden/>
              </w:rPr>
              <w:fldChar w:fldCharType="end"/>
            </w:r>
          </w:hyperlink>
        </w:p>
        <w:p w14:paraId="21C7EEF3" w14:textId="16483FF5"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83" w:history="1">
            <w:r w:rsidRPr="00DB75B4">
              <w:rPr>
                <w:rStyle w:val="Hyperlink"/>
                <w:rFonts w:ascii="Arial" w:hAnsi="Arial" w:cs="Arial"/>
                <w:noProof/>
                <w:lang w:val="en-US"/>
              </w:rPr>
              <w:t>3.6 International Considerations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_Toc226785383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16</w:t>
            </w:r>
            <w:r w:rsidRPr="00DB75B4">
              <w:rPr>
                <w:rFonts w:ascii="Arial" w:hAnsi="Arial" w:cs="Arial"/>
                <w:noProof/>
                <w:webHidden/>
              </w:rPr>
              <w:fldChar w:fldCharType="end"/>
            </w:r>
          </w:hyperlink>
        </w:p>
        <w:p w14:paraId="0E2697E1" w14:textId="28DD0FEB"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84" w:history="1">
            <w:r w:rsidRPr="00DB75B4">
              <w:rPr>
                <w:rStyle w:val="Hyperlink"/>
                <w:rFonts w:ascii="Arial" w:hAnsi="Arial" w:cs="Arial"/>
                <w:noProof/>
                <w:lang w:val="en-US"/>
              </w:rPr>
              <w:t>3.7 CSR and ethical implications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_Toc226785384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17</w:t>
            </w:r>
            <w:r w:rsidRPr="00DB75B4">
              <w:rPr>
                <w:rFonts w:ascii="Arial" w:hAnsi="Arial" w:cs="Arial"/>
                <w:noProof/>
                <w:webHidden/>
              </w:rPr>
              <w:fldChar w:fldCharType="end"/>
            </w:r>
          </w:hyperlink>
        </w:p>
        <w:p w14:paraId="799D3DAB" w14:textId="13CF95AE"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85" w:history="1">
            <w:r w:rsidRPr="00DB75B4">
              <w:rPr>
                <w:rStyle w:val="Hyperlink"/>
                <w:rFonts w:ascii="Arial" w:hAnsi="Arial" w:cs="Arial"/>
                <w:noProof/>
                <w:lang w:val="en-US"/>
              </w:rPr>
              <w:t>3.8 Critical Evaluation</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_Toc226785385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18</w:t>
            </w:r>
            <w:r w:rsidRPr="00DB75B4">
              <w:rPr>
                <w:rFonts w:ascii="Arial" w:hAnsi="Arial" w:cs="Arial"/>
                <w:noProof/>
                <w:webHidden/>
              </w:rPr>
              <w:fldChar w:fldCharType="end"/>
            </w:r>
          </w:hyperlink>
        </w:p>
        <w:p w14:paraId="2053CC66" w14:textId="329B6840" w:rsidR="00DB75B4" w:rsidRPr="00DB75B4" w:rsidRDefault="00DB75B4">
          <w:pPr>
            <w:pStyle w:val="TOC1"/>
            <w:tabs>
              <w:tab w:val="right" w:leader="dot" w:pos="9016"/>
            </w:tabs>
            <w:rPr>
              <w:rFonts w:ascii="Arial" w:eastAsiaTheme="minorEastAsia" w:hAnsi="Arial" w:cs="Arial"/>
              <w:noProof/>
              <w:kern w:val="2"/>
              <w:sz w:val="24"/>
              <w:szCs w:val="24"/>
              <w:lang w:val="en-US"/>
              <w14:ligatures w14:val="standardContextual"/>
            </w:rPr>
          </w:pPr>
          <w:hyperlink w:anchor="_Toc226785386" w:history="1">
            <w:r w:rsidRPr="00DB75B4">
              <w:rPr>
                <w:rStyle w:val="Hyperlink"/>
                <w:rFonts w:ascii="Arial" w:hAnsi="Arial" w:cs="Arial"/>
                <w:noProof/>
              </w:rPr>
              <w:t>4. Investment Appraisal and Capital Budgeting for Volkswagen Group</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_Toc226785386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18</w:t>
            </w:r>
            <w:r w:rsidRPr="00DB75B4">
              <w:rPr>
                <w:rFonts w:ascii="Arial" w:hAnsi="Arial" w:cs="Arial"/>
                <w:noProof/>
                <w:webHidden/>
              </w:rPr>
              <w:fldChar w:fldCharType="end"/>
            </w:r>
          </w:hyperlink>
        </w:p>
        <w:p w14:paraId="49D52186" w14:textId="54D00FCA"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87" w:history="1">
            <w:r w:rsidRPr="00DB75B4">
              <w:rPr>
                <w:rStyle w:val="Hyperlink"/>
                <w:rFonts w:ascii="Arial" w:hAnsi="Arial" w:cs="Arial"/>
                <w:noProof/>
                <w:lang w:val="en-US"/>
              </w:rPr>
              <w:t>4.1 Project Data Overview</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_Toc226785387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19</w:t>
            </w:r>
            <w:r w:rsidRPr="00DB75B4">
              <w:rPr>
                <w:rFonts w:ascii="Arial" w:hAnsi="Arial" w:cs="Arial"/>
                <w:noProof/>
                <w:webHidden/>
              </w:rPr>
              <w:fldChar w:fldCharType="end"/>
            </w:r>
          </w:hyperlink>
        </w:p>
        <w:p w14:paraId="1073DB90" w14:textId="432D2D5D"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88" w:history="1">
            <w:r w:rsidRPr="00DB75B4">
              <w:rPr>
                <w:rStyle w:val="Hyperlink"/>
                <w:rFonts w:ascii="Arial" w:hAnsi="Arial" w:cs="Arial"/>
                <w:noProof/>
                <w:lang w:val="en-US"/>
              </w:rPr>
              <w:t>4.2 Payback Period (PBP)</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_Toc226785388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19</w:t>
            </w:r>
            <w:r w:rsidRPr="00DB75B4">
              <w:rPr>
                <w:rFonts w:ascii="Arial" w:hAnsi="Arial" w:cs="Arial"/>
                <w:noProof/>
                <w:webHidden/>
              </w:rPr>
              <w:fldChar w:fldCharType="end"/>
            </w:r>
          </w:hyperlink>
        </w:p>
        <w:p w14:paraId="47BADA89" w14:textId="1830B3C4"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89" w:history="1">
            <w:r w:rsidRPr="00DB75B4">
              <w:rPr>
                <w:rStyle w:val="Hyperlink"/>
                <w:rFonts w:ascii="Arial" w:hAnsi="Arial" w:cs="Arial"/>
                <w:noProof/>
                <w:lang w:val="en-US"/>
              </w:rPr>
              <w:t>4.3 Accounting Rate of Return (ARR)</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_Toc226785389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20</w:t>
            </w:r>
            <w:r w:rsidRPr="00DB75B4">
              <w:rPr>
                <w:rFonts w:ascii="Arial" w:hAnsi="Arial" w:cs="Arial"/>
                <w:noProof/>
                <w:webHidden/>
              </w:rPr>
              <w:fldChar w:fldCharType="end"/>
            </w:r>
          </w:hyperlink>
        </w:p>
        <w:p w14:paraId="665E8E96" w14:textId="3AE312D4"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90" w:history="1">
            <w:r w:rsidRPr="00DB75B4">
              <w:rPr>
                <w:rStyle w:val="Hyperlink"/>
                <w:rFonts w:ascii="Arial" w:hAnsi="Arial" w:cs="Arial"/>
                <w:noProof/>
                <w:lang w:val="en-US"/>
              </w:rPr>
              <w:t>4.4 Net Present Value (NPV)</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_Toc226785390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20</w:t>
            </w:r>
            <w:r w:rsidRPr="00DB75B4">
              <w:rPr>
                <w:rFonts w:ascii="Arial" w:hAnsi="Arial" w:cs="Arial"/>
                <w:noProof/>
                <w:webHidden/>
              </w:rPr>
              <w:fldChar w:fldCharType="end"/>
            </w:r>
          </w:hyperlink>
        </w:p>
        <w:p w14:paraId="54910202" w14:textId="65CF493B"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91" w:history="1">
            <w:r w:rsidRPr="00DB75B4">
              <w:rPr>
                <w:rStyle w:val="Hyperlink"/>
                <w:rFonts w:ascii="Arial" w:hAnsi="Arial" w:cs="Arial"/>
                <w:noProof/>
                <w:lang w:val="en-US"/>
              </w:rPr>
              <w:t>4.5 Profitability Index (PI)</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_Toc226785391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21</w:t>
            </w:r>
            <w:r w:rsidRPr="00DB75B4">
              <w:rPr>
                <w:rFonts w:ascii="Arial" w:hAnsi="Arial" w:cs="Arial"/>
                <w:noProof/>
                <w:webHidden/>
              </w:rPr>
              <w:fldChar w:fldCharType="end"/>
            </w:r>
          </w:hyperlink>
        </w:p>
        <w:p w14:paraId="5A06E7AF" w14:textId="1F1F70D7"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92" w:history="1">
            <w:r w:rsidRPr="00DB75B4">
              <w:rPr>
                <w:rStyle w:val="Hyperlink"/>
                <w:rFonts w:ascii="Arial" w:hAnsi="Arial" w:cs="Arial"/>
                <w:noProof/>
                <w:lang w:val="en-US"/>
              </w:rPr>
              <w:t>4.6 Internal Rate of Return (IRR) (Approx.)</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_Toc226785392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22</w:t>
            </w:r>
            <w:r w:rsidRPr="00DB75B4">
              <w:rPr>
                <w:rFonts w:ascii="Arial" w:hAnsi="Arial" w:cs="Arial"/>
                <w:noProof/>
                <w:webHidden/>
              </w:rPr>
              <w:fldChar w:fldCharType="end"/>
            </w:r>
          </w:hyperlink>
        </w:p>
        <w:p w14:paraId="55F30010" w14:textId="5A4DF975"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93" w:history="1">
            <w:r w:rsidRPr="00DB75B4">
              <w:rPr>
                <w:rStyle w:val="Hyperlink"/>
                <w:rFonts w:ascii="Arial" w:hAnsi="Arial" w:cs="Arial"/>
                <w:noProof/>
                <w:lang w:val="en-US"/>
              </w:rPr>
              <w:t>4.7 Total Ranking of Projects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_Toc226785393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22</w:t>
            </w:r>
            <w:r w:rsidRPr="00DB75B4">
              <w:rPr>
                <w:rFonts w:ascii="Arial" w:hAnsi="Arial" w:cs="Arial"/>
                <w:noProof/>
                <w:webHidden/>
              </w:rPr>
              <w:fldChar w:fldCharType="end"/>
            </w:r>
          </w:hyperlink>
        </w:p>
        <w:p w14:paraId="66563755" w14:textId="35E86636"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94" w:history="1">
            <w:r w:rsidRPr="00DB75B4">
              <w:rPr>
                <w:rStyle w:val="Hyperlink"/>
                <w:rFonts w:ascii="Arial" w:hAnsi="Arial" w:cs="Arial"/>
                <w:noProof/>
                <w:lang w:val="en-US"/>
              </w:rPr>
              <w:t>4.8 Best project recommendation</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_Toc226785394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23</w:t>
            </w:r>
            <w:r w:rsidRPr="00DB75B4">
              <w:rPr>
                <w:rFonts w:ascii="Arial" w:hAnsi="Arial" w:cs="Arial"/>
                <w:noProof/>
                <w:webHidden/>
              </w:rPr>
              <w:fldChar w:fldCharType="end"/>
            </w:r>
          </w:hyperlink>
        </w:p>
        <w:p w14:paraId="1495A9B3" w14:textId="0DEA0151"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95" w:history="1">
            <w:r w:rsidRPr="00DB75B4">
              <w:rPr>
                <w:rStyle w:val="Hyperlink"/>
                <w:rFonts w:ascii="Arial" w:hAnsi="Arial" w:cs="Arial"/>
                <w:noProof/>
                <w:lang w:val="en-US"/>
              </w:rPr>
              <w:t>4.9 Capital Rationing Decision (£100m Budget)</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_Toc226785395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24</w:t>
            </w:r>
            <w:r w:rsidRPr="00DB75B4">
              <w:rPr>
                <w:rFonts w:ascii="Arial" w:hAnsi="Arial" w:cs="Arial"/>
                <w:noProof/>
                <w:webHidden/>
              </w:rPr>
              <w:fldChar w:fldCharType="end"/>
            </w:r>
          </w:hyperlink>
        </w:p>
        <w:p w14:paraId="4C9BE822" w14:textId="13E39A66"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396" w:history="1">
            <w:r w:rsidRPr="00DB75B4">
              <w:rPr>
                <w:rStyle w:val="Hyperlink"/>
                <w:rFonts w:ascii="Arial" w:hAnsi="Arial" w:cs="Arial"/>
                <w:noProof/>
                <w:lang w:val="en-US"/>
              </w:rPr>
              <w:t>4.10 Critical Evaluation</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_Toc226785396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25</w:t>
            </w:r>
            <w:r w:rsidRPr="00DB75B4">
              <w:rPr>
                <w:rFonts w:ascii="Arial" w:hAnsi="Arial" w:cs="Arial"/>
                <w:noProof/>
                <w:webHidden/>
              </w:rPr>
              <w:fldChar w:fldCharType="end"/>
            </w:r>
          </w:hyperlink>
        </w:p>
        <w:p w14:paraId="14252B5C" w14:textId="2B610351" w:rsidR="00DB75B4" w:rsidRPr="00DB75B4" w:rsidRDefault="00DB75B4">
          <w:pPr>
            <w:pStyle w:val="TOC1"/>
            <w:tabs>
              <w:tab w:val="right" w:leader="dot" w:pos="9016"/>
            </w:tabs>
            <w:rPr>
              <w:rFonts w:ascii="Arial" w:eastAsiaTheme="minorEastAsia" w:hAnsi="Arial" w:cs="Arial"/>
              <w:noProof/>
              <w:kern w:val="2"/>
              <w:sz w:val="24"/>
              <w:szCs w:val="24"/>
              <w:lang w:val="en-US"/>
              <w14:ligatures w14:val="standardContextual"/>
            </w:rPr>
          </w:pPr>
          <w:hyperlink w:anchor="_Toc226785397" w:history="1">
            <w:r w:rsidRPr="00DB75B4">
              <w:rPr>
                <w:rStyle w:val="Hyperlink"/>
                <w:rFonts w:ascii="Arial" w:hAnsi="Arial" w:cs="Arial"/>
                <w:noProof/>
              </w:rPr>
              <w:t>Conclusion</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_Toc226785397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27</w:t>
            </w:r>
            <w:r w:rsidRPr="00DB75B4">
              <w:rPr>
                <w:rFonts w:ascii="Arial" w:hAnsi="Arial" w:cs="Arial"/>
                <w:noProof/>
                <w:webHidden/>
              </w:rPr>
              <w:fldChar w:fldCharType="end"/>
            </w:r>
          </w:hyperlink>
        </w:p>
        <w:p w14:paraId="70FD1514" w14:textId="11ED9F78" w:rsidR="00DB75B4" w:rsidRPr="00DB75B4" w:rsidRDefault="00DB75B4">
          <w:pPr>
            <w:pStyle w:val="TOC1"/>
            <w:tabs>
              <w:tab w:val="right" w:leader="dot" w:pos="9016"/>
            </w:tabs>
            <w:rPr>
              <w:rFonts w:ascii="Arial" w:eastAsiaTheme="minorEastAsia" w:hAnsi="Arial" w:cs="Arial"/>
              <w:noProof/>
              <w:kern w:val="2"/>
              <w:sz w:val="24"/>
              <w:szCs w:val="24"/>
              <w:lang w:val="en-US"/>
              <w14:ligatures w14:val="standardContextual"/>
            </w:rPr>
          </w:pPr>
          <w:hyperlink w:anchor="_Toc226785398" w:history="1">
            <w:r w:rsidRPr="00DB75B4">
              <w:rPr>
                <w:rStyle w:val="Hyperlink"/>
                <w:rFonts w:ascii="Arial" w:hAnsi="Arial" w:cs="Arial"/>
                <w:noProof/>
              </w:rPr>
              <w:t>Reference</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_Toc226785398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28</w:t>
            </w:r>
            <w:r w:rsidRPr="00DB75B4">
              <w:rPr>
                <w:rFonts w:ascii="Arial" w:hAnsi="Arial" w:cs="Arial"/>
                <w:noProof/>
                <w:webHidden/>
              </w:rPr>
              <w:fldChar w:fldCharType="end"/>
            </w:r>
          </w:hyperlink>
        </w:p>
        <w:p w14:paraId="381E83FF" w14:textId="2526F998" w:rsidR="00DB75B4" w:rsidRPr="00DB75B4" w:rsidRDefault="00DB75B4">
          <w:pPr>
            <w:pStyle w:val="TOC1"/>
            <w:tabs>
              <w:tab w:val="right" w:leader="dot" w:pos="9016"/>
            </w:tabs>
            <w:rPr>
              <w:rFonts w:ascii="Arial" w:eastAsiaTheme="minorEastAsia" w:hAnsi="Arial" w:cs="Arial"/>
              <w:noProof/>
              <w:kern w:val="2"/>
              <w:sz w:val="24"/>
              <w:szCs w:val="24"/>
              <w:lang w:val="en-US"/>
              <w14:ligatures w14:val="standardContextual"/>
            </w:rPr>
          </w:pPr>
          <w:hyperlink w:anchor="_Toc226785399" w:history="1">
            <w:r w:rsidRPr="00DB75B4">
              <w:rPr>
                <w:rStyle w:val="Hyperlink"/>
                <w:rFonts w:ascii="Arial" w:hAnsi="Arial" w:cs="Arial"/>
                <w:noProof/>
                <w:lang w:val="en-US"/>
              </w:rPr>
              <w:t>Appendices: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_Toc226785399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31</w:t>
            </w:r>
            <w:r w:rsidRPr="00DB75B4">
              <w:rPr>
                <w:rFonts w:ascii="Arial" w:hAnsi="Arial" w:cs="Arial"/>
                <w:noProof/>
                <w:webHidden/>
              </w:rPr>
              <w:fldChar w:fldCharType="end"/>
            </w:r>
          </w:hyperlink>
        </w:p>
        <w:p w14:paraId="05BA9E7D" w14:textId="761EF41B"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400" w:history="1">
            <w:r w:rsidRPr="00DB75B4">
              <w:rPr>
                <w:rStyle w:val="Hyperlink"/>
                <w:rFonts w:ascii="Arial" w:hAnsi="Arial" w:cs="Arial"/>
                <w:noProof/>
              </w:rPr>
              <w:t>Appendix A: Key Financial Ratios (2019-2023):</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_Toc226785400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31</w:t>
            </w:r>
            <w:r w:rsidRPr="00DB75B4">
              <w:rPr>
                <w:rFonts w:ascii="Arial" w:hAnsi="Arial" w:cs="Arial"/>
                <w:noProof/>
                <w:webHidden/>
              </w:rPr>
              <w:fldChar w:fldCharType="end"/>
            </w:r>
          </w:hyperlink>
        </w:p>
        <w:p w14:paraId="635ED482" w14:textId="1ACEC7FB" w:rsidR="00DB75B4" w:rsidRPr="00DB75B4" w:rsidRDefault="00DB75B4">
          <w:pPr>
            <w:pStyle w:val="TOC2"/>
            <w:tabs>
              <w:tab w:val="right" w:leader="dot" w:pos="9016"/>
            </w:tabs>
            <w:rPr>
              <w:rFonts w:ascii="Arial" w:eastAsiaTheme="minorEastAsia" w:hAnsi="Arial" w:cs="Arial"/>
              <w:noProof/>
              <w:kern w:val="2"/>
              <w:sz w:val="24"/>
              <w:szCs w:val="24"/>
              <w:lang w:val="en-US"/>
              <w14:ligatures w14:val="standardContextual"/>
            </w:rPr>
          </w:pPr>
          <w:hyperlink w:anchor="_Toc226785401" w:history="1">
            <w:r w:rsidRPr="00DB75B4">
              <w:rPr>
                <w:rStyle w:val="Hyperlink"/>
                <w:rFonts w:ascii="Arial" w:hAnsi="Arial" w:cs="Arial"/>
                <w:noProof/>
                <w:lang w:val="en-US"/>
              </w:rPr>
              <w:t>Appendix B: Investment appraisal calculations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_Toc226785401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33</w:t>
            </w:r>
            <w:r w:rsidRPr="00DB75B4">
              <w:rPr>
                <w:rFonts w:ascii="Arial" w:hAnsi="Arial" w:cs="Arial"/>
                <w:noProof/>
                <w:webHidden/>
              </w:rPr>
              <w:fldChar w:fldCharType="end"/>
            </w:r>
          </w:hyperlink>
        </w:p>
        <w:p w14:paraId="77A938FC" w14:textId="480B7AC8" w:rsidR="00D115FA" w:rsidRPr="00DB75B4" w:rsidRDefault="00D115FA" w:rsidP="00D115FA">
          <w:pPr>
            <w:spacing w:line="360" w:lineRule="auto"/>
            <w:rPr>
              <w:rFonts w:ascii="Arial" w:hAnsi="Arial" w:cs="Arial"/>
            </w:rPr>
          </w:pPr>
          <w:r w:rsidRPr="00DB75B4">
            <w:rPr>
              <w:rFonts w:ascii="Arial" w:hAnsi="Arial" w:cs="Arial"/>
              <w:b/>
              <w:bCs/>
              <w:noProof/>
            </w:rPr>
            <w:fldChar w:fldCharType="end"/>
          </w:r>
        </w:p>
      </w:sdtContent>
    </w:sdt>
    <w:p w14:paraId="73F64D7F" w14:textId="77777777" w:rsidR="00CE6980" w:rsidRPr="00DB75B4" w:rsidRDefault="00CE6980" w:rsidP="00D115FA">
      <w:pPr>
        <w:spacing w:line="360" w:lineRule="auto"/>
        <w:jc w:val="center"/>
        <w:rPr>
          <w:rFonts w:ascii="Arial" w:hAnsi="Arial" w:cs="Arial"/>
          <w:b/>
          <w:bCs/>
          <w:sz w:val="24"/>
          <w:szCs w:val="24"/>
          <w:u w:val="single"/>
        </w:rPr>
      </w:pPr>
    </w:p>
    <w:p w14:paraId="31FC227E" w14:textId="10DDF96A" w:rsidR="00D115FA" w:rsidRPr="00DB75B4" w:rsidRDefault="00D115FA" w:rsidP="00D115FA">
      <w:pPr>
        <w:spacing w:line="360" w:lineRule="auto"/>
        <w:jc w:val="center"/>
        <w:rPr>
          <w:rFonts w:ascii="Arial" w:hAnsi="Arial" w:cs="Arial"/>
          <w:b/>
          <w:bCs/>
          <w:sz w:val="24"/>
          <w:szCs w:val="24"/>
          <w:u w:val="single"/>
        </w:rPr>
      </w:pPr>
      <w:r w:rsidRPr="00DB75B4">
        <w:rPr>
          <w:rFonts w:ascii="Arial" w:hAnsi="Arial" w:cs="Arial"/>
          <w:b/>
          <w:bCs/>
          <w:sz w:val="24"/>
          <w:szCs w:val="24"/>
          <w:u w:val="single"/>
        </w:rPr>
        <w:t>Contents of Table</w:t>
      </w:r>
    </w:p>
    <w:p w14:paraId="035D7CB1" w14:textId="30220858" w:rsidR="00DB75B4" w:rsidRPr="00DB75B4" w:rsidRDefault="00D115FA">
      <w:pPr>
        <w:pStyle w:val="TableofFigures"/>
        <w:tabs>
          <w:tab w:val="right" w:leader="dot" w:pos="9016"/>
        </w:tabs>
        <w:rPr>
          <w:rFonts w:ascii="Arial" w:eastAsiaTheme="minorEastAsia" w:hAnsi="Arial" w:cs="Arial"/>
          <w:noProof/>
          <w:kern w:val="2"/>
          <w:sz w:val="24"/>
          <w:szCs w:val="24"/>
          <w:lang w:val="en-US"/>
          <w14:ligatures w14:val="standardContextual"/>
        </w:rPr>
      </w:pPr>
      <w:r w:rsidRPr="00DB75B4">
        <w:rPr>
          <w:rFonts w:ascii="Arial" w:hAnsi="Arial" w:cs="Arial"/>
          <w:b/>
          <w:bCs/>
          <w:sz w:val="24"/>
          <w:szCs w:val="24"/>
          <w:u w:val="single"/>
        </w:rPr>
        <w:fldChar w:fldCharType="begin"/>
      </w:r>
      <w:r w:rsidRPr="00DB75B4">
        <w:rPr>
          <w:rFonts w:ascii="Arial" w:hAnsi="Arial" w:cs="Arial"/>
          <w:b/>
          <w:bCs/>
          <w:sz w:val="24"/>
          <w:szCs w:val="24"/>
          <w:u w:val="single"/>
        </w:rPr>
        <w:instrText xml:space="preserve"> TOC \h \z \c "Table" </w:instrText>
      </w:r>
      <w:r w:rsidRPr="00DB75B4">
        <w:rPr>
          <w:rFonts w:ascii="Arial" w:hAnsi="Arial" w:cs="Arial"/>
          <w:b/>
          <w:bCs/>
          <w:sz w:val="24"/>
          <w:szCs w:val="24"/>
          <w:u w:val="single"/>
        </w:rPr>
        <w:fldChar w:fldCharType="separate"/>
      </w:r>
      <w:hyperlink w:anchor="_Toc226785402" w:history="1">
        <w:r w:rsidR="00DB75B4" w:rsidRPr="00DB75B4">
          <w:rPr>
            <w:rStyle w:val="Hyperlink"/>
            <w:rFonts w:ascii="Arial" w:hAnsi="Arial" w:cs="Arial"/>
            <w:noProof/>
          </w:rPr>
          <w:t>Table 1: Financial Performance Summary</w:t>
        </w:r>
        <w:r w:rsidR="00DB75B4" w:rsidRPr="00DB75B4">
          <w:rPr>
            <w:rFonts w:ascii="Arial" w:hAnsi="Arial" w:cs="Arial"/>
            <w:noProof/>
            <w:webHidden/>
          </w:rPr>
          <w:tab/>
        </w:r>
        <w:r w:rsidR="00DB75B4" w:rsidRPr="00DB75B4">
          <w:rPr>
            <w:rFonts w:ascii="Arial" w:hAnsi="Arial" w:cs="Arial"/>
            <w:noProof/>
            <w:webHidden/>
          </w:rPr>
          <w:fldChar w:fldCharType="begin"/>
        </w:r>
        <w:r w:rsidR="00DB75B4" w:rsidRPr="00DB75B4">
          <w:rPr>
            <w:rFonts w:ascii="Arial" w:hAnsi="Arial" w:cs="Arial"/>
            <w:noProof/>
            <w:webHidden/>
          </w:rPr>
          <w:instrText xml:space="preserve"> PAGEREF _Toc226785402 \h </w:instrText>
        </w:r>
        <w:r w:rsidR="00DB75B4" w:rsidRPr="00DB75B4">
          <w:rPr>
            <w:rFonts w:ascii="Arial" w:hAnsi="Arial" w:cs="Arial"/>
            <w:noProof/>
            <w:webHidden/>
          </w:rPr>
        </w:r>
        <w:r w:rsidR="00DB75B4" w:rsidRPr="00DB75B4">
          <w:rPr>
            <w:rFonts w:ascii="Arial" w:hAnsi="Arial" w:cs="Arial"/>
            <w:noProof/>
            <w:webHidden/>
          </w:rPr>
          <w:fldChar w:fldCharType="separate"/>
        </w:r>
        <w:r w:rsidR="00DB75B4" w:rsidRPr="00DB75B4">
          <w:rPr>
            <w:rFonts w:ascii="Arial" w:hAnsi="Arial" w:cs="Arial"/>
            <w:noProof/>
            <w:webHidden/>
          </w:rPr>
          <w:t>2</w:t>
        </w:r>
        <w:r w:rsidR="00DB75B4" w:rsidRPr="00DB75B4">
          <w:rPr>
            <w:rFonts w:ascii="Arial" w:hAnsi="Arial" w:cs="Arial"/>
            <w:noProof/>
            <w:webHidden/>
          </w:rPr>
          <w:fldChar w:fldCharType="end"/>
        </w:r>
      </w:hyperlink>
    </w:p>
    <w:p w14:paraId="34854002" w14:textId="30C02497"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03" w:history="1">
        <w:r w:rsidRPr="00DB75B4">
          <w:rPr>
            <w:rStyle w:val="Hyperlink"/>
            <w:rFonts w:ascii="Arial" w:hAnsi="Arial" w:cs="Arial"/>
            <w:noProof/>
          </w:rPr>
          <w:t>Table 2: Profitability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_Toc226785403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3</w:t>
        </w:r>
        <w:r w:rsidRPr="00DB75B4">
          <w:rPr>
            <w:rFonts w:ascii="Arial" w:hAnsi="Arial" w:cs="Arial"/>
            <w:noProof/>
            <w:webHidden/>
          </w:rPr>
          <w:fldChar w:fldCharType="end"/>
        </w:r>
      </w:hyperlink>
    </w:p>
    <w:p w14:paraId="76F55EEB" w14:textId="398B6958"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04" w:history="1">
        <w:r w:rsidRPr="00DB75B4">
          <w:rPr>
            <w:rStyle w:val="Hyperlink"/>
            <w:rFonts w:ascii="Arial" w:hAnsi="Arial" w:cs="Arial"/>
            <w:noProof/>
          </w:rPr>
          <w:t>Table 3: Liquidity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_Toc226785404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3</w:t>
        </w:r>
        <w:r w:rsidRPr="00DB75B4">
          <w:rPr>
            <w:rFonts w:ascii="Arial" w:hAnsi="Arial" w:cs="Arial"/>
            <w:noProof/>
            <w:webHidden/>
          </w:rPr>
          <w:fldChar w:fldCharType="end"/>
        </w:r>
      </w:hyperlink>
    </w:p>
    <w:p w14:paraId="3E47678A" w14:textId="421FB650"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05" w:history="1">
        <w:r w:rsidRPr="00DB75B4">
          <w:rPr>
            <w:rStyle w:val="Hyperlink"/>
            <w:rFonts w:ascii="Arial" w:hAnsi="Arial" w:cs="Arial"/>
            <w:noProof/>
          </w:rPr>
          <w:t>Table 4: Efficiency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_Toc226785405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4</w:t>
        </w:r>
        <w:r w:rsidRPr="00DB75B4">
          <w:rPr>
            <w:rFonts w:ascii="Arial" w:hAnsi="Arial" w:cs="Arial"/>
            <w:noProof/>
            <w:webHidden/>
          </w:rPr>
          <w:fldChar w:fldCharType="end"/>
        </w:r>
      </w:hyperlink>
    </w:p>
    <w:p w14:paraId="545BF0DF" w14:textId="4042FED7"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06" w:history="1">
        <w:r w:rsidRPr="00DB75B4">
          <w:rPr>
            <w:rStyle w:val="Hyperlink"/>
            <w:rFonts w:ascii="Arial" w:hAnsi="Arial" w:cs="Arial"/>
            <w:noProof/>
          </w:rPr>
          <w:t>Table 5: Gearing (Leverage)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_Toc226785406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4</w:t>
        </w:r>
        <w:r w:rsidRPr="00DB75B4">
          <w:rPr>
            <w:rFonts w:ascii="Arial" w:hAnsi="Arial" w:cs="Arial"/>
            <w:noProof/>
            <w:webHidden/>
          </w:rPr>
          <w:fldChar w:fldCharType="end"/>
        </w:r>
      </w:hyperlink>
    </w:p>
    <w:p w14:paraId="66348FBF" w14:textId="19213A79"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07" w:history="1">
        <w:r w:rsidRPr="00DB75B4">
          <w:rPr>
            <w:rStyle w:val="Hyperlink"/>
            <w:rFonts w:ascii="Arial" w:hAnsi="Arial" w:cs="Arial"/>
            <w:noProof/>
          </w:rPr>
          <w:t>Table 6: Investment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_Toc226785407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4</w:t>
        </w:r>
        <w:r w:rsidRPr="00DB75B4">
          <w:rPr>
            <w:rFonts w:ascii="Arial" w:hAnsi="Arial" w:cs="Arial"/>
            <w:noProof/>
            <w:webHidden/>
          </w:rPr>
          <w:fldChar w:fldCharType="end"/>
        </w:r>
      </w:hyperlink>
    </w:p>
    <w:p w14:paraId="097B9271" w14:textId="15669601"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08" w:history="1">
        <w:r w:rsidRPr="00DB75B4">
          <w:rPr>
            <w:rStyle w:val="Hyperlink"/>
            <w:rFonts w:ascii="Arial" w:hAnsi="Arial" w:cs="Arial"/>
            <w:noProof/>
          </w:rPr>
          <w:t>Table 7: Cash Flow Ratios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_Toc226785408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5</w:t>
        </w:r>
        <w:r w:rsidRPr="00DB75B4">
          <w:rPr>
            <w:rFonts w:ascii="Arial" w:hAnsi="Arial" w:cs="Arial"/>
            <w:noProof/>
            <w:webHidden/>
          </w:rPr>
          <w:fldChar w:fldCharType="end"/>
        </w:r>
      </w:hyperlink>
    </w:p>
    <w:p w14:paraId="64ADBCC9" w14:textId="4AF8C90B"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09" w:history="1">
        <w:r w:rsidRPr="00DB75B4">
          <w:rPr>
            <w:rStyle w:val="Hyperlink"/>
            <w:rFonts w:ascii="Arial" w:hAnsi="Arial" w:cs="Arial"/>
            <w:noProof/>
          </w:rPr>
          <w:t>Table 8: Volkswagen CCC</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_Toc226785409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8</w:t>
        </w:r>
        <w:r w:rsidRPr="00DB75B4">
          <w:rPr>
            <w:rFonts w:ascii="Arial" w:hAnsi="Arial" w:cs="Arial"/>
            <w:noProof/>
            <w:webHidden/>
          </w:rPr>
          <w:fldChar w:fldCharType="end"/>
        </w:r>
      </w:hyperlink>
    </w:p>
    <w:p w14:paraId="78304CA6" w14:textId="1A16941C"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10" w:history="1">
        <w:r w:rsidRPr="00DB75B4">
          <w:rPr>
            <w:rStyle w:val="Hyperlink"/>
            <w:rFonts w:ascii="Arial" w:hAnsi="Arial" w:cs="Arial"/>
            <w:noProof/>
          </w:rPr>
          <w:t>Table 9: Comparative Evaluation</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_Toc226785410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12</w:t>
        </w:r>
        <w:r w:rsidRPr="00DB75B4">
          <w:rPr>
            <w:rFonts w:ascii="Arial" w:hAnsi="Arial" w:cs="Arial"/>
            <w:noProof/>
            <w:webHidden/>
          </w:rPr>
          <w:fldChar w:fldCharType="end"/>
        </w:r>
      </w:hyperlink>
    </w:p>
    <w:p w14:paraId="6FF97024" w14:textId="09138B24"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11" w:history="1">
        <w:r w:rsidRPr="00DB75B4">
          <w:rPr>
            <w:rStyle w:val="Hyperlink"/>
            <w:rFonts w:ascii="Arial" w:hAnsi="Arial" w:cs="Arial"/>
            <w:noProof/>
          </w:rPr>
          <w:t>Table 10: Project Data</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_Toc226785411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19</w:t>
        </w:r>
        <w:r w:rsidRPr="00DB75B4">
          <w:rPr>
            <w:rFonts w:ascii="Arial" w:hAnsi="Arial" w:cs="Arial"/>
            <w:noProof/>
            <w:webHidden/>
          </w:rPr>
          <w:fldChar w:fldCharType="end"/>
        </w:r>
      </w:hyperlink>
    </w:p>
    <w:p w14:paraId="4F500E63" w14:textId="60C95073"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12" w:history="1">
        <w:r w:rsidRPr="00DB75B4">
          <w:rPr>
            <w:rStyle w:val="Hyperlink"/>
            <w:rFonts w:ascii="Arial" w:hAnsi="Arial" w:cs="Arial"/>
            <w:noProof/>
          </w:rPr>
          <w:t>Table 11: Payback Period</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_Toc226785412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20</w:t>
        </w:r>
        <w:r w:rsidRPr="00DB75B4">
          <w:rPr>
            <w:rFonts w:ascii="Arial" w:hAnsi="Arial" w:cs="Arial"/>
            <w:noProof/>
            <w:webHidden/>
          </w:rPr>
          <w:fldChar w:fldCharType="end"/>
        </w:r>
      </w:hyperlink>
    </w:p>
    <w:p w14:paraId="4D44C8CD" w14:textId="3CA5D52C"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13" w:history="1">
        <w:r w:rsidRPr="00DB75B4">
          <w:rPr>
            <w:rStyle w:val="Hyperlink"/>
            <w:rFonts w:ascii="Arial" w:hAnsi="Arial" w:cs="Arial"/>
            <w:noProof/>
          </w:rPr>
          <w:t>Table 12: ARR</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_Toc226785413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20</w:t>
        </w:r>
        <w:r w:rsidRPr="00DB75B4">
          <w:rPr>
            <w:rFonts w:ascii="Arial" w:hAnsi="Arial" w:cs="Arial"/>
            <w:noProof/>
            <w:webHidden/>
          </w:rPr>
          <w:fldChar w:fldCharType="end"/>
        </w:r>
      </w:hyperlink>
    </w:p>
    <w:p w14:paraId="62D83C55" w14:textId="496C91DC"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14" w:history="1">
        <w:r w:rsidRPr="00DB75B4">
          <w:rPr>
            <w:rStyle w:val="Hyperlink"/>
            <w:rFonts w:ascii="Arial" w:hAnsi="Arial" w:cs="Arial"/>
            <w:noProof/>
          </w:rPr>
          <w:t>Table 13: NPV</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_Toc226785414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21</w:t>
        </w:r>
        <w:r w:rsidRPr="00DB75B4">
          <w:rPr>
            <w:rFonts w:ascii="Arial" w:hAnsi="Arial" w:cs="Arial"/>
            <w:noProof/>
            <w:webHidden/>
          </w:rPr>
          <w:fldChar w:fldCharType="end"/>
        </w:r>
      </w:hyperlink>
    </w:p>
    <w:p w14:paraId="1C8F7D3F" w14:textId="47392CD1"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15" w:history="1">
        <w:r w:rsidRPr="00DB75B4">
          <w:rPr>
            <w:rStyle w:val="Hyperlink"/>
            <w:rFonts w:ascii="Arial" w:hAnsi="Arial" w:cs="Arial"/>
            <w:noProof/>
          </w:rPr>
          <w:t>Table 14: PI</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_Toc226785415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22</w:t>
        </w:r>
        <w:r w:rsidRPr="00DB75B4">
          <w:rPr>
            <w:rFonts w:ascii="Arial" w:hAnsi="Arial" w:cs="Arial"/>
            <w:noProof/>
            <w:webHidden/>
          </w:rPr>
          <w:fldChar w:fldCharType="end"/>
        </w:r>
      </w:hyperlink>
    </w:p>
    <w:p w14:paraId="47C490BC" w14:textId="7FEB855E"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16" w:history="1">
        <w:r w:rsidRPr="00DB75B4">
          <w:rPr>
            <w:rStyle w:val="Hyperlink"/>
            <w:rFonts w:ascii="Arial" w:hAnsi="Arial" w:cs="Arial"/>
            <w:noProof/>
          </w:rPr>
          <w:t>Table 15: IRR</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_Toc226785416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22</w:t>
        </w:r>
        <w:r w:rsidRPr="00DB75B4">
          <w:rPr>
            <w:rFonts w:ascii="Arial" w:hAnsi="Arial" w:cs="Arial"/>
            <w:noProof/>
            <w:webHidden/>
          </w:rPr>
          <w:fldChar w:fldCharType="end"/>
        </w:r>
      </w:hyperlink>
    </w:p>
    <w:p w14:paraId="5AF154A3" w14:textId="0706A5CA"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17" w:history="1">
        <w:r w:rsidRPr="00DB75B4">
          <w:rPr>
            <w:rStyle w:val="Hyperlink"/>
            <w:rFonts w:ascii="Arial" w:hAnsi="Arial" w:cs="Arial"/>
            <w:noProof/>
          </w:rPr>
          <w:t>Table 16: Ranking of Projects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_Toc226785417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22</w:t>
        </w:r>
        <w:r w:rsidRPr="00DB75B4">
          <w:rPr>
            <w:rFonts w:ascii="Arial" w:hAnsi="Arial" w:cs="Arial"/>
            <w:noProof/>
            <w:webHidden/>
          </w:rPr>
          <w:fldChar w:fldCharType="end"/>
        </w:r>
      </w:hyperlink>
    </w:p>
    <w:p w14:paraId="7748D0F8" w14:textId="60B99911" w:rsidR="00DB75B4" w:rsidRPr="00DB75B4" w:rsidRDefault="00DB75B4">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6785418" w:history="1">
        <w:r w:rsidRPr="00DB75B4">
          <w:rPr>
            <w:rStyle w:val="Hyperlink"/>
            <w:rFonts w:ascii="Arial" w:hAnsi="Arial" w:cs="Arial"/>
            <w:noProof/>
          </w:rPr>
          <w:t>Table 17: Possible Combinations</w:t>
        </w:r>
        <w:r w:rsidRPr="00DB75B4">
          <w:rPr>
            <w:rFonts w:ascii="Arial" w:hAnsi="Arial" w:cs="Arial"/>
            <w:noProof/>
            <w:webHidden/>
          </w:rPr>
          <w:tab/>
        </w:r>
        <w:r w:rsidRPr="00DB75B4">
          <w:rPr>
            <w:rFonts w:ascii="Arial" w:hAnsi="Arial" w:cs="Arial"/>
            <w:noProof/>
            <w:webHidden/>
          </w:rPr>
          <w:fldChar w:fldCharType="begin"/>
        </w:r>
        <w:r w:rsidRPr="00DB75B4">
          <w:rPr>
            <w:rFonts w:ascii="Arial" w:hAnsi="Arial" w:cs="Arial"/>
            <w:noProof/>
            <w:webHidden/>
          </w:rPr>
          <w:instrText xml:space="preserve"> PAGEREF _Toc226785418 \h </w:instrText>
        </w:r>
        <w:r w:rsidRPr="00DB75B4">
          <w:rPr>
            <w:rFonts w:ascii="Arial" w:hAnsi="Arial" w:cs="Arial"/>
            <w:noProof/>
            <w:webHidden/>
          </w:rPr>
        </w:r>
        <w:r w:rsidRPr="00DB75B4">
          <w:rPr>
            <w:rFonts w:ascii="Arial" w:hAnsi="Arial" w:cs="Arial"/>
            <w:noProof/>
            <w:webHidden/>
          </w:rPr>
          <w:fldChar w:fldCharType="separate"/>
        </w:r>
        <w:r w:rsidRPr="00DB75B4">
          <w:rPr>
            <w:rFonts w:ascii="Arial" w:hAnsi="Arial" w:cs="Arial"/>
            <w:noProof/>
            <w:webHidden/>
          </w:rPr>
          <w:t>24</w:t>
        </w:r>
        <w:r w:rsidRPr="00DB75B4">
          <w:rPr>
            <w:rFonts w:ascii="Arial" w:hAnsi="Arial" w:cs="Arial"/>
            <w:noProof/>
            <w:webHidden/>
          </w:rPr>
          <w:fldChar w:fldCharType="end"/>
        </w:r>
      </w:hyperlink>
    </w:p>
    <w:p w14:paraId="6A2F6C0C" w14:textId="3F85BF8B" w:rsidR="00D115FA" w:rsidRPr="003227C7" w:rsidRDefault="00D115FA" w:rsidP="00F07FC5">
      <w:pPr>
        <w:tabs>
          <w:tab w:val="left" w:pos="1640"/>
        </w:tabs>
        <w:spacing w:line="360" w:lineRule="auto"/>
        <w:jc w:val="both"/>
        <w:rPr>
          <w:rFonts w:ascii="Arial" w:hAnsi="Arial" w:cs="Arial"/>
          <w:sz w:val="24"/>
          <w:szCs w:val="24"/>
        </w:rPr>
        <w:sectPr w:rsidR="00D115FA" w:rsidRPr="003227C7" w:rsidSect="00D115FA">
          <w:pgSz w:w="11906" w:h="16838"/>
          <w:pgMar w:top="1440" w:right="1440" w:bottom="1440" w:left="1440" w:header="720" w:footer="720" w:gutter="0"/>
          <w:pgNumType w:start="0"/>
          <w:cols w:space="720"/>
          <w:titlePg/>
          <w:docGrid w:linePitch="299"/>
        </w:sectPr>
      </w:pPr>
      <w:r w:rsidRPr="00DB75B4">
        <w:rPr>
          <w:rFonts w:ascii="Arial" w:hAnsi="Arial" w:cs="Arial"/>
          <w:b/>
          <w:bCs/>
          <w:sz w:val="24"/>
          <w:szCs w:val="24"/>
          <w:u w:val="single"/>
        </w:rPr>
        <w:fldChar w:fldCharType="end"/>
      </w:r>
    </w:p>
    <w:p w14:paraId="3850F41B" w14:textId="77777777" w:rsidR="00D115FA" w:rsidRPr="003227C7" w:rsidRDefault="00D115FA" w:rsidP="00D115FA">
      <w:pPr>
        <w:pStyle w:val="Heading1"/>
        <w:spacing w:line="360" w:lineRule="auto"/>
      </w:pPr>
      <w:bookmarkStart w:id="0" w:name="_Toc226785357"/>
      <w:r w:rsidRPr="003227C7">
        <w:lastRenderedPageBreak/>
        <w:t>Introduction</w:t>
      </w:r>
      <w:bookmarkEnd w:id="0"/>
    </w:p>
    <w:p w14:paraId="08C15F10" w14:textId="1A47BD3F" w:rsidR="00D115FA" w:rsidRPr="00D8673D" w:rsidRDefault="00F94AE3" w:rsidP="00D8673D">
      <w:pPr>
        <w:spacing w:line="360" w:lineRule="auto"/>
        <w:jc w:val="both"/>
        <w:rPr>
          <w:rFonts w:ascii="Arial" w:hAnsi="Arial" w:cs="Arial"/>
          <w:sz w:val="24"/>
          <w:szCs w:val="24"/>
          <w:lang w:val="en-US"/>
        </w:rPr>
      </w:pPr>
      <w:r w:rsidRPr="00F94AE3">
        <w:rPr>
          <w:rFonts w:ascii="Arial" w:hAnsi="Arial" w:cs="Arial"/>
          <w:sz w:val="24"/>
          <w:szCs w:val="24"/>
          <w:lang w:val="en-US"/>
        </w:rPr>
        <w:t xml:space="preserve">This report is an extensive financial report on Volkswagen Group, an </w:t>
      </w:r>
      <w:proofErr w:type="spellStart"/>
      <w:r w:rsidRPr="00F94AE3">
        <w:rPr>
          <w:rFonts w:ascii="Arial" w:hAnsi="Arial" w:cs="Arial"/>
          <w:sz w:val="24"/>
          <w:szCs w:val="24"/>
          <w:lang w:val="en-US"/>
        </w:rPr>
        <w:t>organisation</w:t>
      </w:r>
      <w:proofErr w:type="spellEnd"/>
      <w:r w:rsidRPr="00F94AE3">
        <w:rPr>
          <w:rFonts w:ascii="Arial" w:hAnsi="Arial" w:cs="Arial"/>
          <w:sz w:val="24"/>
          <w:szCs w:val="24"/>
          <w:lang w:val="en-US"/>
        </w:rPr>
        <w:t xml:space="preserve"> that is shifting to the electric vehicle (EV) sector. It analyses the financial performance of the company based on ratio analysis, working capital management, and cash flow performance based on the financial statements of the company. In addition, the report outlines a strategic financial restructuring plan and evaluates the investment decisions based on capital budgeting methods like the NPV and IRR. The report will combine financial evidence with industry insights to propose strategies to increase profitability, liquidity, and long-term sustainability in the ever-competitive global EV market.</w:t>
      </w:r>
    </w:p>
    <w:p w14:paraId="5AB5B3CA" w14:textId="77777777" w:rsidR="00F94AE3" w:rsidRDefault="00F94AE3">
      <w:pPr>
        <w:spacing w:after="160" w:line="278" w:lineRule="auto"/>
        <w:rPr>
          <w:rFonts w:ascii="Arial" w:eastAsiaTheme="majorEastAsia" w:hAnsi="Arial" w:cstheme="majorBidi"/>
          <w:b/>
          <w:color w:val="000000" w:themeColor="text1"/>
          <w:sz w:val="32"/>
          <w:szCs w:val="40"/>
        </w:rPr>
      </w:pPr>
      <w:r>
        <w:br w:type="page"/>
      </w:r>
    </w:p>
    <w:p w14:paraId="7D689099" w14:textId="4D33E3C4" w:rsidR="00D115FA" w:rsidRPr="003227C7" w:rsidRDefault="00D115FA" w:rsidP="00D115FA">
      <w:pPr>
        <w:pStyle w:val="Heading1"/>
      </w:pPr>
      <w:bookmarkStart w:id="1" w:name="_Toc226785358"/>
      <w:r w:rsidRPr="00D610AE">
        <w:lastRenderedPageBreak/>
        <w:t>1.</w:t>
      </w:r>
      <w:r>
        <w:t xml:space="preserve"> </w:t>
      </w:r>
      <w:r w:rsidR="00CB5519" w:rsidRPr="00CB5519">
        <w:t>Financial Health Check of Volkswagen Group (2019-2023)</w:t>
      </w:r>
      <w:bookmarkEnd w:id="1"/>
    </w:p>
    <w:p w14:paraId="1CF9E689" w14:textId="77777777" w:rsid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 xml:space="preserve">This economic health analysis serves as a critical assessment of the performance of the Volkswagen Group within the last five years (2019-2023) based on its published annual reports and with the aid of the industry insights of Bloomberg, Statista, MarketLine and leading business publications. Volkswagen, as a global leader shifting to electric vehicles (EVs), has both good financial results regarding the increase in revenue and the financial pressures associated with the transition to electrification and </w:t>
      </w:r>
      <w:proofErr w:type="spellStart"/>
      <w:r w:rsidRPr="00C823AA">
        <w:rPr>
          <w:rFonts w:ascii="Arial" w:hAnsi="Arial" w:cs="Arial"/>
          <w:sz w:val="24"/>
          <w:szCs w:val="24"/>
          <w:lang w:val="en-US"/>
        </w:rPr>
        <w:t>digitalisation</w:t>
      </w:r>
      <w:proofErr w:type="spellEnd"/>
      <w:r w:rsidRPr="00C823AA">
        <w:rPr>
          <w:rFonts w:ascii="Arial" w:hAnsi="Arial" w:cs="Arial"/>
          <w:sz w:val="24"/>
          <w:szCs w:val="24"/>
          <w:lang w:val="en-US"/>
        </w:rPr>
        <w:t xml:space="preserve"> and sustainability investments.</w:t>
      </w:r>
    </w:p>
    <w:p w14:paraId="54600ACB" w14:textId="11173D18" w:rsidR="00C823AA" w:rsidRDefault="00C823AA" w:rsidP="00C823AA">
      <w:pPr>
        <w:pStyle w:val="Heading2"/>
        <w:rPr>
          <w:lang w:val="en-US"/>
        </w:rPr>
      </w:pPr>
      <w:bookmarkStart w:id="2" w:name="_Toc226785359"/>
      <w:r w:rsidRPr="00C823AA">
        <w:rPr>
          <w:lang w:val="en-US"/>
        </w:rPr>
        <w:t>1.1 Financial Performance Summary Table (2019-2023)</w:t>
      </w:r>
      <w:bookmarkEnd w:id="2"/>
    </w:p>
    <w:tbl>
      <w:tblPr>
        <w:tblStyle w:val="TableGrid"/>
        <w:tblW w:w="0" w:type="auto"/>
        <w:tblLook w:val="04A0" w:firstRow="1" w:lastRow="0" w:firstColumn="1" w:lastColumn="0" w:noHBand="0" w:noVBand="1"/>
      </w:tblPr>
      <w:tblGrid>
        <w:gridCol w:w="750"/>
        <w:gridCol w:w="1428"/>
        <w:gridCol w:w="1786"/>
        <w:gridCol w:w="1202"/>
        <w:gridCol w:w="1423"/>
        <w:gridCol w:w="1214"/>
        <w:gridCol w:w="1213"/>
      </w:tblGrid>
      <w:tr w:rsidR="00C823AA" w:rsidRPr="00C823AA" w14:paraId="1A0F106C" w14:textId="77777777" w:rsidTr="00C823AA">
        <w:tc>
          <w:tcPr>
            <w:tcW w:w="0" w:type="auto"/>
            <w:hideMark/>
          </w:tcPr>
          <w:p w14:paraId="16B3B372"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Year</w:t>
            </w:r>
          </w:p>
        </w:tc>
        <w:tc>
          <w:tcPr>
            <w:tcW w:w="0" w:type="auto"/>
            <w:hideMark/>
          </w:tcPr>
          <w:p w14:paraId="06F7E493"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Revenue (€bn)</w:t>
            </w:r>
          </w:p>
        </w:tc>
        <w:tc>
          <w:tcPr>
            <w:tcW w:w="0" w:type="auto"/>
            <w:hideMark/>
          </w:tcPr>
          <w:p w14:paraId="6F088BCE"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Operating Profit (€bn)</w:t>
            </w:r>
          </w:p>
        </w:tc>
        <w:tc>
          <w:tcPr>
            <w:tcW w:w="0" w:type="auto"/>
            <w:hideMark/>
          </w:tcPr>
          <w:p w14:paraId="35E844B7"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Net Profit (€bn)</w:t>
            </w:r>
          </w:p>
        </w:tc>
        <w:tc>
          <w:tcPr>
            <w:tcW w:w="0" w:type="auto"/>
            <w:hideMark/>
          </w:tcPr>
          <w:p w14:paraId="2AA0E318"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Total Assets (€bn)</w:t>
            </w:r>
          </w:p>
        </w:tc>
        <w:tc>
          <w:tcPr>
            <w:tcW w:w="0" w:type="auto"/>
            <w:hideMark/>
          </w:tcPr>
          <w:p w14:paraId="7934D58C"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Total Debt (€bn)</w:t>
            </w:r>
          </w:p>
        </w:tc>
        <w:tc>
          <w:tcPr>
            <w:tcW w:w="0" w:type="auto"/>
            <w:hideMark/>
          </w:tcPr>
          <w:p w14:paraId="7AF16726"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Cash Flow (€bn)</w:t>
            </w:r>
          </w:p>
        </w:tc>
      </w:tr>
      <w:tr w:rsidR="00C823AA" w:rsidRPr="00C823AA" w14:paraId="2216FB76" w14:textId="77777777" w:rsidTr="00C823AA">
        <w:tc>
          <w:tcPr>
            <w:tcW w:w="0" w:type="auto"/>
            <w:hideMark/>
          </w:tcPr>
          <w:p w14:paraId="4EF5BD33"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2019</w:t>
            </w:r>
          </w:p>
        </w:tc>
        <w:tc>
          <w:tcPr>
            <w:tcW w:w="0" w:type="auto"/>
            <w:hideMark/>
          </w:tcPr>
          <w:p w14:paraId="44682FAF"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252.6</w:t>
            </w:r>
          </w:p>
        </w:tc>
        <w:tc>
          <w:tcPr>
            <w:tcW w:w="0" w:type="auto"/>
            <w:hideMark/>
          </w:tcPr>
          <w:p w14:paraId="6BFA2476"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19.3</w:t>
            </w:r>
          </w:p>
        </w:tc>
        <w:tc>
          <w:tcPr>
            <w:tcW w:w="0" w:type="auto"/>
            <w:hideMark/>
          </w:tcPr>
          <w:p w14:paraId="7655C58A"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14.0</w:t>
            </w:r>
          </w:p>
        </w:tc>
        <w:tc>
          <w:tcPr>
            <w:tcW w:w="0" w:type="auto"/>
            <w:hideMark/>
          </w:tcPr>
          <w:p w14:paraId="538836F1"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488.1</w:t>
            </w:r>
          </w:p>
        </w:tc>
        <w:tc>
          <w:tcPr>
            <w:tcW w:w="0" w:type="auto"/>
            <w:hideMark/>
          </w:tcPr>
          <w:p w14:paraId="2BB0A67A"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192.0</w:t>
            </w:r>
          </w:p>
        </w:tc>
        <w:tc>
          <w:tcPr>
            <w:tcW w:w="0" w:type="auto"/>
            <w:hideMark/>
          </w:tcPr>
          <w:p w14:paraId="32EF5184"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10.8</w:t>
            </w:r>
          </w:p>
        </w:tc>
      </w:tr>
      <w:tr w:rsidR="00C823AA" w:rsidRPr="00C823AA" w14:paraId="0C3E50DE" w14:textId="77777777" w:rsidTr="00C823AA">
        <w:tc>
          <w:tcPr>
            <w:tcW w:w="0" w:type="auto"/>
            <w:hideMark/>
          </w:tcPr>
          <w:p w14:paraId="66B9B4C8"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2020</w:t>
            </w:r>
          </w:p>
        </w:tc>
        <w:tc>
          <w:tcPr>
            <w:tcW w:w="0" w:type="auto"/>
            <w:hideMark/>
          </w:tcPr>
          <w:p w14:paraId="7D595177"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222.9</w:t>
            </w:r>
          </w:p>
        </w:tc>
        <w:tc>
          <w:tcPr>
            <w:tcW w:w="0" w:type="auto"/>
            <w:hideMark/>
          </w:tcPr>
          <w:p w14:paraId="6697494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9.7</w:t>
            </w:r>
          </w:p>
        </w:tc>
        <w:tc>
          <w:tcPr>
            <w:tcW w:w="0" w:type="auto"/>
            <w:hideMark/>
          </w:tcPr>
          <w:p w14:paraId="54E2026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8.8</w:t>
            </w:r>
          </w:p>
        </w:tc>
        <w:tc>
          <w:tcPr>
            <w:tcW w:w="0" w:type="auto"/>
            <w:hideMark/>
          </w:tcPr>
          <w:p w14:paraId="7D820CD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497.1</w:t>
            </w:r>
          </w:p>
        </w:tc>
        <w:tc>
          <w:tcPr>
            <w:tcW w:w="0" w:type="auto"/>
            <w:hideMark/>
          </w:tcPr>
          <w:p w14:paraId="01329601"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203.0</w:t>
            </w:r>
          </w:p>
        </w:tc>
        <w:tc>
          <w:tcPr>
            <w:tcW w:w="0" w:type="auto"/>
            <w:hideMark/>
          </w:tcPr>
          <w:p w14:paraId="0CB16362"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6.3</w:t>
            </w:r>
          </w:p>
        </w:tc>
      </w:tr>
      <w:tr w:rsidR="00C823AA" w:rsidRPr="00C823AA" w14:paraId="0FFE5671" w14:textId="77777777" w:rsidTr="00C823AA">
        <w:tc>
          <w:tcPr>
            <w:tcW w:w="0" w:type="auto"/>
            <w:hideMark/>
          </w:tcPr>
          <w:p w14:paraId="4DB0FE58"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2021</w:t>
            </w:r>
          </w:p>
        </w:tc>
        <w:tc>
          <w:tcPr>
            <w:tcW w:w="0" w:type="auto"/>
            <w:hideMark/>
          </w:tcPr>
          <w:p w14:paraId="1A1A662D"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250.2</w:t>
            </w:r>
          </w:p>
        </w:tc>
        <w:tc>
          <w:tcPr>
            <w:tcW w:w="0" w:type="auto"/>
            <w:hideMark/>
          </w:tcPr>
          <w:p w14:paraId="01CE933C"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20.0</w:t>
            </w:r>
          </w:p>
        </w:tc>
        <w:tc>
          <w:tcPr>
            <w:tcW w:w="0" w:type="auto"/>
            <w:hideMark/>
          </w:tcPr>
          <w:p w14:paraId="6CF311D4"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15.4</w:t>
            </w:r>
          </w:p>
        </w:tc>
        <w:tc>
          <w:tcPr>
            <w:tcW w:w="0" w:type="auto"/>
            <w:hideMark/>
          </w:tcPr>
          <w:p w14:paraId="43FFD23A"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528.6</w:t>
            </w:r>
          </w:p>
        </w:tc>
        <w:tc>
          <w:tcPr>
            <w:tcW w:w="0" w:type="auto"/>
            <w:hideMark/>
          </w:tcPr>
          <w:p w14:paraId="4830CE51"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215.0</w:t>
            </w:r>
          </w:p>
        </w:tc>
        <w:tc>
          <w:tcPr>
            <w:tcW w:w="0" w:type="auto"/>
            <w:hideMark/>
          </w:tcPr>
          <w:p w14:paraId="1367CBB3"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8.6</w:t>
            </w:r>
          </w:p>
        </w:tc>
      </w:tr>
      <w:tr w:rsidR="00C823AA" w:rsidRPr="00C823AA" w14:paraId="527530DD" w14:textId="77777777" w:rsidTr="00C823AA">
        <w:tc>
          <w:tcPr>
            <w:tcW w:w="0" w:type="auto"/>
            <w:hideMark/>
          </w:tcPr>
          <w:p w14:paraId="2B46DA4F"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2022</w:t>
            </w:r>
          </w:p>
        </w:tc>
        <w:tc>
          <w:tcPr>
            <w:tcW w:w="0" w:type="auto"/>
            <w:hideMark/>
          </w:tcPr>
          <w:p w14:paraId="5831D773"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279.2</w:t>
            </w:r>
          </w:p>
        </w:tc>
        <w:tc>
          <w:tcPr>
            <w:tcW w:w="0" w:type="auto"/>
            <w:hideMark/>
          </w:tcPr>
          <w:p w14:paraId="0B232CF3"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22.5</w:t>
            </w:r>
          </w:p>
        </w:tc>
        <w:tc>
          <w:tcPr>
            <w:tcW w:w="0" w:type="auto"/>
            <w:hideMark/>
          </w:tcPr>
          <w:p w14:paraId="5F801568"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15.8</w:t>
            </w:r>
          </w:p>
        </w:tc>
        <w:tc>
          <w:tcPr>
            <w:tcW w:w="0" w:type="auto"/>
            <w:hideMark/>
          </w:tcPr>
          <w:p w14:paraId="4FC21A49"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564.8</w:t>
            </w:r>
          </w:p>
        </w:tc>
        <w:tc>
          <w:tcPr>
            <w:tcW w:w="0" w:type="auto"/>
            <w:hideMark/>
          </w:tcPr>
          <w:p w14:paraId="647744C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225.0</w:t>
            </w:r>
          </w:p>
        </w:tc>
        <w:tc>
          <w:tcPr>
            <w:tcW w:w="0" w:type="auto"/>
            <w:hideMark/>
          </w:tcPr>
          <w:p w14:paraId="4E95589C"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9.5</w:t>
            </w:r>
          </w:p>
        </w:tc>
      </w:tr>
      <w:tr w:rsidR="00C823AA" w:rsidRPr="00C823AA" w14:paraId="4FEC3492" w14:textId="77777777" w:rsidTr="00C823AA">
        <w:tc>
          <w:tcPr>
            <w:tcW w:w="0" w:type="auto"/>
            <w:hideMark/>
          </w:tcPr>
          <w:p w14:paraId="74E0601B"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2023</w:t>
            </w:r>
          </w:p>
        </w:tc>
        <w:tc>
          <w:tcPr>
            <w:tcW w:w="0" w:type="auto"/>
            <w:hideMark/>
          </w:tcPr>
          <w:p w14:paraId="5ED3D322"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322.3</w:t>
            </w:r>
          </w:p>
        </w:tc>
        <w:tc>
          <w:tcPr>
            <w:tcW w:w="0" w:type="auto"/>
            <w:hideMark/>
          </w:tcPr>
          <w:p w14:paraId="7F57ABC5"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22.6</w:t>
            </w:r>
          </w:p>
        </w:tc>
        <w:tc>
          <w:tcPr>
            <w:tcW w:w="0" w:type="auto"/>
            <w:hideMark/>
          </w:tcPr>
          <w:p w14:paraId="61659E66"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16.0</w:t>
            </w:r>
          </w:p>
        </w:tc>
        <w:tc>
          <w:tcPr>
            <w:tcW w:w="0" w:type="auto"/>
            <w:hideMark/>
          </w:tcPr>
          <w:p w14:paraId="127A9662"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632.0</w:t>
            </w:r>
          </w:p>
        </w:tc>
        <w:tc>
          <w:tcPr>
            <w:tcW w:w="0" w:type="auto"/>
            <w:hideMark/>
          </w:tcPr>
          <w:p w14:paraId="03E7F397"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235.0</w:t>
            </w:r>
          </w:p>
        </w:tc>
        <w:tc>
          <w:tcPr>
            <w:tcW w:w="0" w:type="auto"/>
            <w:hideMark/>
          </w:tcPr>
          <w:p w14:paraId="74788DFE" w14:textId="77777777" w:rsidR="00C823AA" w:rsidRPr="00C823AA" w:rsidRDefault="00C823AA" w:rsidP="00C823AA">
            <w:pPr>
              <w:keepNext/>
              <w:spacing w:line="360" w:lineRule="auto"/>
              <w:jc w:val="both"/>
              <w:rPr>
                <w:rFonts w:ascii="Arial" w:hAnsi="Arial" w:cs="Arial"/>
                <w:sz w:val="24"/>
                <w:szCs w:val="24"/>
                <w:lang w:val="en-US"/>
              </w:rPr>
            </w:pPr>
            <w:r w:rsidRPr="00C823AA">
              <w:rPr>
                <w:rFonts w:ascii="Arial" w:hAnsi="Arial" w:cs="Arial"/>
                <w:sz w:val="24"/>
                <w:szCs w:val="24"/>
                <w:lang w:val="en-US"/>
              </w:rPr>
              <w:t>10.7</w:t>
            </w:r>
          </w:p>
        </w:tc>
      </w:tr>
    </w:tbl>
    <w:p w14:paraId="7253480A" w14:textId="06852A94" w:rsidR="00C823AA" w:rsidRPr="00C823AA" w:rsidRDefault="00C823AA" w:rsidP="00C823AA">
      <w:pPr>
        <w:pStyle w:val="Caption"/>
        <w:rPr>
          <w:rFonts w:ascii="Arial" w:hAnsi="Arial" w:cs="Arial"/>
          <w:sz w:val="24"/>
          <w:szCs w:val="24"/>
          <w:lang w:val="en-US"/>
        </w:rPr>
      </w:pPr>
      <w:bookmarkStart w:id="3" w:name="_Toc226785402"/>
      <w:r>
        <w:t xml:space="preserve">Table </w:t>
      </w:r>
      <w:r w:rsidR="002430D6">
        <w:fldChar w:fldCharType="begin"/>
      </w:r>
      <w:r w:rsidR="002430D6">
        <w:instrText xml:space="preserve"> SEQ Table \* ARABIC </w:instrText>
      </w:r>
      <w:r w:rsidR="002430D6">
        <w:fldChar w:fldCharType="separate"/>
      </w:r>
      <w:r w:rsidR="004569A0">
        <w:rPr>
          <w:noProof/>
        </w:rPr>
        <w:t>1</w:t>
      </w:r>
      <w:r w:rsidR="002430D6">
        <w:fldChar w:fldCharType="end"/>
      </w:r>
      <w:r>
        <w:t xml:space="preserve">: </w:t>
      </w:r>
      <w:r w:rsidRPr="00757802">
        <w:t>Financial Performance Summary</w:t>
      </w:r>
      <w:bookmarkEnd w:id="3"/>
    </w:p>
    <w:p w14:paraId="3A0DD383"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Explanation:</w:t>
      </w:r>
    </w:p>
    <w:p w14:paraId="3F7815D7" w14:textId="77777777" w:rsid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The revenue of Volkswagen has demonstrated a very good upward trend, especially after 2020 recovery after the impact of COVID-19. The growth up to €322bn in 2023 is an indicator of more sales of EVs and high brand performance (Audi, Porsche). Nevertheless, the operating profit margins are not very wide because of the large investments in R&amp;D and batteries. The growth of the assets implies capital-intensive growth, whereas debt has been on the rise to fund the electrification strategy (Volkswagen Annual Reports, 2021–2024).</w:t>
      </w:r>
    </w:p>
    <w:p w14:paraId="02BADA66" w14:textId="75EF1BB5" w:rsidR="00C823AA" w:rsidRDefault="00C823AA" w:rsidP="00C823AA">
      <w:pPr>
        <w:pStyle w:val="Heading2"/>
        <w:rPr>
          <w:lang w:val="en-US"/>
        </w:rPr>
      </w:pPr>
      <w:bookmarkStart w:id="4" w:name="_Toc226785360"/>
      <w:r w:rsidRPr="00C823AA">
        <w:rPr>
          <w:lang w:val="en-US"/>
        </w:rPr>
        <w:lastRenderedPageBreak/>
        <w:t>1.2 Ratio Analysis (2019-2023)</w:t>
      </w:r>
      <w:bookmarkEnd w:id="4"/>
    </w:p>
    <w:p w14:paraId="331272DB" w14:textId="7594CF81" w:rsidR="00C823AA" w:rsidRDefault="00C823AA" w:rsidP="00C823AA">
      <w:pPr>
        <w:pStyle w:val="Heading3"/>
        <w:rPr>
          <w:lang w:val="en-US"/>
        </w:rPr>
      </w:pPr>
      <w:bookmarkStart w:id="5" w:name="_Toc226785361"/>
      <w:r w:rsidRPr="00C823AA">
        <w:rPr>
          <w:lang w:val="en-US"/>
        </w:rPr>
        <w:t>1.2.1 Profitability Ratios</w:t>
      </w:r>
      <w:bookmarkEnd w:id="5"/>
    </w:p>
    <w:tbl>
      <w:tblPr>
        <w:tblStyle w:val="TableGrid"/>
        <w:tblW w:w="8790" w:type="dxa"/>
        <w:tblLook w:val="04A0" w:firstRow="1" w:lastRow="0" w:firstColumn="1" w:lastColumn="0" w:noHBand="0" w:noVBand="1"/>
      </w:tblPr>
      <w:tblGrid>
        <w:gridCol w:w="3525"/>
        <w:gridCol w:w="1053"/>
        <w:gridCol w:w="1053"/>
        <w:gridCol w:w="1053"/>
        <w:gridCol w:w="1053"/>
        <w:gridCol w:w="1053"/>
      </w:tblGrid>
      <w:tr w:rsidR="00C823AA" w:rsidRPr="00C823AA" w14:paraId="7E925686" w14:textId="77777777" w:rsidTr="00C823AA">
        <w:trPr>
          <w:trHeight w:val="635"/>
        </w:trPr>
        <w:tc>
          <w:tcPr>
            <w:tcW w:w="0" w:type="auto"/>
            <w:hideMark/>
          </w:tcPr>
          <w:p w14:paraId="0315EA8F"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Ratio</w:t>
            </w:r>
          </w:p>
        </w:tc>
        <w:tc>
          <w:tcPr>
            <w:tcW w:w="0" w:type="auto"/>
            <w:hideMark/>
          </w:tcPr>
          <w:p w14:paraId="7AD430E9"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2019</w:t>
            </w:r>
          </w:p>
        </w:tc>
        <w:tc>
          <w:tcPr>
            <w:tcW w:w="0" w:type="auto"/>
            <w:hideMark/>
          </w:tcPr>
          <w:p w14:paraId="396546FE"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2020</w:t>
            </w:r>
          </w:p>
        </w:tc>
        <w:tc>
          <w:tcPr>
            <w:tcW w:w="0" w:type="auto"/>
            <w:hideMark/>
          </w:tcPr>
          <w:p w14:paraId="7D6161DA"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2021</w:t>
            </w:r>
          </w:p>
        </w:tc>
        <w:tc>
          <w:tcPr>
            <w:tcW w:w="0" w:type="auto"/>
            <w:hideMark/>
          </w:tcPr>
          <w:p w14:paraId="1BF3D166"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2022</w:t>
            </w:r>
          </w:p>
        </w:tc>
        <w:tc>
          <w:tcPr>
            <w:tcW w:w="0" w:type="auto"/>
            <w:hideMark/>
          </w:tcPr>
          <w:p w14:paraId="73B4EA6D"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2023</w:t>
            </w:r>
          </w:p>
        </w:tc>
      </w:tr>
      <w:tr w:rsidR="00C823AA" w:rsidRPr="00C823AA" w14:paraId="69AD4BF7" w14:textId="77777777" w:rsidTr="00C823AA">
        <w:trPr>
          <w:trHeight w:val="645"/>
        </w:trPr>
        <w:tc>
          <w:tcPr>
            <w:tcW w:w="0" w:type="auto"/>
            <w:hideMark/>
          </w:tcPr>
          <w:p w14:paraId="4F0E477E"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Operating Margin (%)</w:t>
            </w:r>
          </w:p>
        </w:tc>
        <w:tc>
          <w:tcPr>
            <w:tcW w:w="0" w:type="auto"/>
            <w:hideMark/>
          </w:tcPr>
          <w:p w14:paraId="71D98D81"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7.6</w:t>
            </w:r>
          </w:p>
        </w:tc>
        <w:tc>
          <w:tcPr>
            <w:tcW w:w="0" w:type="auto"/>
            <w:hideMark/>
          </w:tcPr>
          <w:p w14:paraId="42167ACF"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4.3</w:t>
            </w:r>
          </w:p>
        </w:tc>
        <w:tc>
          <w:tcPr>
            <w:tcW w:w="0" w:type="auto"/>
            <w:hideMark/>
          </w:tcPr>
          <w:p w14:paraId="7372353B"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8.0</w:t>
            </w:r>
          </w:p>
        </w:tc>
        <w:tc>
          <w:tcPr>
            <w:tcW w:w="0" w:type="auto"/>
            <w:hideMark/>
          </w:tcPr>
          <w:p w14:paraId="7F71170F"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8.1</w:t>
            </w:r>
          </w:p>
        </w:tc>
        <w:tc>
          <w:tcPr>
            <w:tcW w:w="0" w:type="auto"/>
            <w:hideMark/>
          </w:tcPr>
          <w:p w14:paraId="308E99C1"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7.0</w:t>
            </w:r>
          </w:p>
        </w:tc>
      </w:tr>
      <w:tr w:rsidR="00C823AA" w:rsidRPr="00C823AA" w14:paraId="6DFAD6CC" w14:textId="77777777" w:rsidTr="00C823AA">
        <w:trPr>
          <w:trHeight w:val="635"/>
        </w:trPr>
        <w:tc>
          <w:tcPr>
            <w:tcW w:w="0" w:type="auto"/>
            <w:hideMark/>
          </w:tcPr>
          <w:p w14:paraId="38482E2E"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Net Profit Margin (%)</w:t>
            </w:r>
          </w:p>
        </w:tc>
        <w:tc>
          <w:tcPr>
            <w:tcW w:w="0" w:type="auto"/>
            <w:hideMark/>
          </w:tcPr>
          <w:p w14:paraId="44206052"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5.5</w:t>
            </w:r>
          </w:p>
        </w:tc>
        <w:tc>
          <w:tcPr>
            <w:tcW w:w="0" w:type="auto"/>
            <w:hideMark/>
          </w:tcPr>
          <w:p w14:paraId="291BF9D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3.9</w:t>
            </w:r>
          </w:p>
        </w:tc>
        <w:tc>
          <w:tcPr>
            <w:tcW w:w="0" w:type="auto"/>
            <w:hideMark/>
          </w:tcPr>
          <w:p w14:paraId="314B7A1A"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6.2</w:t>
            </w:r>
          </w:p>
        </w:tc>
        <w:tc>
          <w:tcPr>
            <w:tcW w:w="0" w:type="auto"/>
            <w:hideMark/>
          </w:tcPr>
          <w:p w14:paraId="3798139C"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5.7</w:t>
            </w:r>
          </w:p>
        </w:tc>
        <w:tc>
          <w:tcPr>
            <w:tcW w:w="0" w:type="auto"/>
            <w:hideMark/>
          </w:tcPr>
          <w:p w14:paraId="60350B2E"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5.0</w:t>
            </w:r>
          </w:p>
        </w:tc>
      </w:tr>
      <w:tr w:rsidR="00C823AA" w:rsidRPr="00C823AA" w14:paraId="338922F7" w14:textId="77777777" w:rsidTr="00C823AA">
        <w:trPr>
          <w:trHeight w:val="645"/>
        </w:trPr>
        <w:tc>
          <w:tcPr>
            <w:tcW w:w="0" w:type="auto"/>
            <w:hideMark/>
          </w:tcPr>
          <w:p w14:paraId="4B0F505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ROA (%)</w:t>
            </w:r>
          </w:p>
        </w:tc>
        <w:tc>
          <w:tcPr>
            <w:tcW w:w="0" w:type="auto"/>
            <w:hideMark/>
          </w:tcPr>
          <w:p w14:paraId="2588DED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2.9</w:t>
            </w:r>
          </w:p>
        </w:tc>
        <w:tc>
          <w:tcPr>
            <w:tcW w:w="0" w:type="auto"/>
            <w:hideMark/>
          </w:tcPr>
          <w:p w14:paraId="0ED88B8F"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1.8</w:t>
            </w:r>
          </w:p>
        </w:tc>
        <w:tc>
          <w:tcPr>
            <w:tcW w:w="0" w:type="auto"/>
            <w:hideMark/>
          </w:tcPr>
          <w:p w14:paraId="246EB70E"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2.9</w:t>
            </w:r>
          </w:p>
        </w:tc>
        <w:tc>
          <w:tcPr>
            <w:tcW w:w="0" w:type="auto"/>
            <w:hideMark/>
          </w:tcPr>
          <w:p w14:paraId="46716037"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2.8</w:t>
            </w:r>
          </w:p>
        </w:tc>
        <w:tc>
          <w:tcPr>
            <w:tcW w:w="0" w:type="auto"/>
            <w:hideMark/>
          </w:tcPr>
          <w:p w14:paraId="0684E671"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2.5</w:t>
            </w:r>
          </w:p>
        </w:tc>
      </w:tr>
      <w:tr w:rsidR="00C823AA" w:rsidRPr="00C823AA" w14:paraId="3DE1DE9A" w14:textId="77777777" w:rsidTr="00C823AA">
        <w:trPr>
          <w:trHeight w:val="635"/>
        </w:trPr>
        <w:tc>
          <w:tcPr>
            <w:tcW w:w="0" w:type="auto"/>
            <w:hideMark/>
          </w:tcPr>
          <w:p w14:paraId="2F0F342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ROE (%)</w:t>
            </w:r>
          </w:p>
        </w:tc>
        <w:tc>
          <w:tcPr>
            <w:tcW w:w="0" w:type="auto"/>
            <w:hideMark/>
          </w:tcPr>
          <w:p w14:paraId="754F73A8"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12.5</w:t>
            </w:r>
          </w:p>
        </w:tc>
        <w:tc>
          <w:tcPr>
            <w:tcW w:w="0" w:type="auto"/>
            <w:hideMark/>
          </w:tcPr>
          <w:p w14:paraId="0414F18A"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7.8</w:t>
            </w:r>
          </w:p>
        </w:tc>
        <w:tc>
          <w:tcPr>
            <w:tcW w:w="0" w:type="auto"/>
            <w:hideMark/>
          </w:tcPr>
          <w:p w14:paraId="3282F833"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13.6</w:t>
            </w:r>
          </w:p>
        </w:tc>
        <w:tc>
          <w:tcPr>
            <w:tcW w:w="0" w:type="auto"/>
            <w:hideMark/>
          </w:tcPr>
          <w:p w14:paraId="657897CA"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12.9</w:t>
            </w:r>
          </w:p>
        </w:tc>
        <w:tc>
          <w:tcPr>
            <w:tcW w:w="0" w:type="auto"/>
            <w:hideMark/>
          </w:tcPr>
          <w:p w14:paraId="5E64035D" w14:textId="77777777" w:rsidR="00C823AA" w:rsidRPr="00C823AA" w:rsidRDefault="00C823AA" w:rsidP="00C823AA">
            <w:pPr>
              <w:keepNext/>
              <w:spacing w:line="360" w:lineRule="auto"/>
              <w:jc w:val="both"/>
              <w:rPr>
                <w:rFonts w:ascii="Arial" w:hAnsi="Arial" w:cs="Arial"/>
                <w:sz w:val="24"/>
                <w:szCs w:val="24"/>
                <w:lang w:val="en-US"/>
              </w:rPr>
            </w:pPr>
            <w:r w:rsidRPr="00C823AA">
              <w:rPr>
                <w:rFonts w:ascii="Arial" w:hAnsi="Arial" w:cs="Arial"/>
                <w:sz w:val="24"/>
                <w:szCs w:val="24"/>
                <w:lang w:val="en-US"/>
              </w:rPr>
              <w:t>11.8</w:t>
            </w:r>
          </w:p>
        </w:tc>
      </w:tr>
    </w:tbl>
    <w:p w14:paraId="61A88AD6" w14:textId="3A0981EA" w:rsidR="00C823AA" w:rsidRPr="00C823AA" w:rsidRDefault="00C823AA" w:rsidP="00C823AA">
      <w:pPr>
        <w:pStyle w:val="Caption"/>
        <w:rPr>
          <w:rFonts w:ascii="Arial" w:hAnsi="Arial" w:cs="Arial"/>
          <w:sz w:val="24"/>
          <w:szCs w:val="24"/>
          <w:lang w:val="en-US"/>
        </w:rPr>
      </w:pPr>
      <w:bookmarkStart w:id="6" w:name="_Toc226785403"/>
      <w:r>
        <w:t xml:space="preserve">Table </w:t>
      </w:r>
      <w:r w:rsidR="002430D6">
        <w:fldChar w:fldCharType="begin"/>
      </w:r>
      <w:r w:rsidR="002430D6">
        <w:instrText xml:space="preserve"> SEQ Table \* ARABIC </w:instrText>
      </w:r>
      <w:r w:rsidR="002430D6">
        <w:fldChar w:fldCharType="separate"/>
      </w:r>
      <w:r w:rsidR="004569A0">
        <w:rPr>
          <w:noProof/>
        </w:rPr>
        <w:t>2</w:t>
      </w:r>
      <w:r w:rsidR="002430D6">
        <w:fldChar w:fldCharType="end"/>
      </w:r>
      <w:r>
        <w:t xml:space="preserve">: </w:t>
      </w:r>
      <w:r w:rsidRPr="00A04F58">
        <w:t>Profitability Ratios</w:t>
      </w:r>
      <w:bookmarkEnd w:id="6"/>
    </w:p>
    <w:p w14:paraId="7CEABD5B"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Explanation:</w:t>
      </w:r>
    </w:p>
    <w:p w14:paraId="546F4D9C" w14:textId="77777777" w:rsid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In 2020, profitability was at a very low level because of COVID-19, but it rebounded well in 2021–2022. But in 2023, margins became a bit weaker because of increased costs of EV production and price pressure (Statista, 2024). The profitability gap in EVs is still present at Volkswagen as compared to their competitors, such as Tesla (Bloomberg, 2023).</w:t>
      </w:r>
    </w:p>
    <w:p w14:paraId="5A301ABF" w14:textId="7F2270DF" w:rsidR="00C823AA" w:rsidRDefault="00C823AA" w:rsidP="00C823AA">
      <w:pPr>
        <w:pStyle w:val="Heading3"/>
        <w:rPr>
          <w:lang w:val="en-US"/>
        </w:rPr>
      </w:pPr>
      <w:bookmarkStart w:id="7" w:name="_Toc226785362"/>
      <w:r w:rsidRPr="00C823AA">
        <w:rPr>
          <w:lang w:val="en-US"/>
        </w:rPr>
        <w:t>1.2.2 Liquidity Ratios</w:t>
      </w:r>
      <w:bookmarkEnd w:id="7"/>
    </w:p>
    <w:tbl>
      <w:tblPr>
        <w:tblStyle w:val="TableGrid"/>
        <w:tblW w:w="8983" w:type="dxa"/>
        <w:tblLook w:val="04A0" w:firstRow="1" w:lastRow="0" w:firstColumn="1" w:lastColumn="0" w:noHBand="0" w:noVBand="1"/>
      </w:tblPr>
      <w:tblGrid>
        <w:gridCol w:w="2738"/>
        <w:gridCol w:w="1249"/>
        <w:gridCol w:w="1249"/>
        <w:gridCol w:w="1249"/>
        <w:gridCol w:w="1249"/>
        <w:gridCol w:w="1249"/>
      </w:tblGrid>
      <w:tr w:rsidR="00C823AA" w:rsidRPr="00C823AA" w14:paraId="4CA56735" w14:textId="77777777" w:rsidTr="00C823AA">
        <w:trPr>
          <w:trHeight w:val="675"/>
        </w:trPr>
        <w:tc>
          <w:tcPr>
            <w:tcW w:w="0" w:type="auto"/>
            <w:hideMark/>
          </w:tcPr>
          <w:p w14:paraId="5F0145A7"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Ratio</w:t>
            </w:r>
          </w:p>
        </w:tc>
        <w:tc>
          <w:tcPr>
            <w:tcW w:w="0" w:type="auto"/>
            <w:hideMark/>
          </w:tcPr>
          <w:p w14:paraId="4EDA0CDB"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2019</w:t>
            </w:r>
          </w:p>
        </w:tc>
        <w:tc>
          <w:tcPr>
            <w:tcW w:w="0" w:type="auto"/>
            <w:hideMark/>
          </w:tcPr>
          <w:p w14:paraId="1E2C0AB2"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2020</w:t>
            </w:r>
          </w:p>
        </w:tc>
        <w:tc>
          <w:tcPr>
            <w:tcW w:w="0" w:type="auto"/>
            <w:hideMark/>
          </w:tcPr>
          <w:p w14:paraId="1AA3200A"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2021</w:t>
            </w:r>
          </w:p>
        </w:tc>
        <w:tc>
          <w:tcPr>
            <w:tcW w:w="0" w:type="auto"/>
            <w:hideMark/>
          </w:tcPr>
          <w:p w14:paraId="7F10DD25"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2022</w:t>
            </w:r>
          </w:p>
        </w:tc>
        <w:tc>
          <w:tcPr>
            <w:tcW w:w="0" w:type="auto"/>
            <w:hideMark/>
          </w:tcPr>
          <w:p w14:paraId="4500D984"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2023</w:t>
            </w:r>
          </w:p>
        </w:tc>
      </w:tr>
      <w:tr w:rsidR="00C823AA" w:rsidRPr="00C823AA" w14:paraId="10545D20" w14:textId="77777777" w:rsidTr="00C823AA">
        <w:trPr>
          <w:trHeight w:val="686"/>
        </w:trPr>
        <w:tc>
          <w:tcPr>
            <w:tcW w:w="0" w:type="auto"/>
            <w:hideMark/>
          </w:tcPr>
          <w:p w14:paraId="00753652"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Current Ratio</w:t>
            </w:r>
          </w:p>
        </w:tc>
        <w:tc>
          <w:tcPr>
            <w:tcW w:w="0" w:type="auto"/>
            <w:hideMark/>
          </w:tcPr>
          <w:p w14:paraId="2BB1A801"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1.12</w:t>
            </w:r>
          </w:p>
        </w:tc>
        <w:tc>
          <w:tcPr>
            <w:tcW w:w="0" w:type="auto"/>
            <w:hideMark/>
          </w:tcPr>
          <w:p w14:paraId="5986FB64"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1.10</w:t>
            </w:r>
          </w:p>
        </w:tc>
        <w:tc>
          <w:tcPr>
            <w:tcW w:w="0" w:type="auto"/>
            <w:hideMark/>
          </w:tcPr>
          <w:p w14:paraId="2A67062E"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1.15</w:t>
            </w:r>
          </w:p>
        </w:tc>
        <w:tc>
          <w:tcPr>
            <w:tcW w:w="0" w:type="auto"/>
            <w:hideMark/>
          </w:tcPr>
          <w:p w14:paraId="4D64E296"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1.18</w:t>
            </w:r>
          </w:p>
        </w:tc>
        <w:tc>
          <w:tcPr>
            <w:tcW w:w="0" w:type="auto"/>
            <w:hideMark/>
          </w:tcPr>
          <w:p w14:paraId="32556019"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1.20</w:t>
            </w:r>
          </w:p>
        </w:tc>
      </w:tr>
      <w:tr w:rsidR="00C823AA" w:rsidRPr="00C823AA" w14:paraId="3C77524B" w14:textId="77777777" w:rsidTr="00C823AA">
        <w:trPr>
          <w:trHeight w:val="675"/>
        </w:trPr>
        <w:tc>
          <w:tcPr>
            <w:tcW w:w="0" w:type="auto"/>
            <w:hideMark/>
          </w:tcPr>
          <w:p w14:paraId="0F855764"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Quick Ratio</w:t>
            </w:r>
          </w:p>
        </w:tc>
        <w:tc>
          <w:tcPr>
            <w:tcW w:w="0" w:type="auto"/>
            <w:hideMark/>
          </w:tcPr>
          <w:p w14:paraId="097644BD"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0.95</w:t>
            </w:r>
          </w:p>
        </w:tc>
        <w:tc>
          <w:tcPr>
            <w:tcW w:w="0" w:type="auto"/>
            <w:hideMark/>
          </w:tcPr>
          <w:p w14:paraId="1937BCFC"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0.90</w:t>
            </w:r>
          </w:p>
        </w:tc>
        <w:tc>
          <w:tcPr>
            <w:tcW w:w="0" w:type="auto"/>
            <w:hideMark/>
          </w:tcPr>
          <w:p w14:paraId="0A59DD7A"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0.98</w:t>
            </w:r>
          </w:p>
        </w:tc>
        <w:tc>
          <w:tcPr>
            <w:tcW w:w="0" w:type="auto"/>
            <w:hideMark/>
          </w:tcPr>
          <w:p w14:paraId="34924133"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1.00</w:t>
            </w:r>
          </w:p>
        </w:tc>
        <w:tc>
          <w:tcPr>
            <w:tcW w:w="0" w:type="auto"/>
            <w:hideMark/>
          </w:tcPr>
          <w:p w14:paraId="69DC1DFD" w14:textId="77777777" w:rsidR="00C823AA" w:rsidRPr="00C823AA" w:rsidRDefault="00C823AA" w:rsidP="00C823AA">
            <w:pPr>
              <w:keepNext/>
              <w:spacing w:line="360" w:lineRule="auto"/>
              <w:jc w:val="both"/>
              <w:rPr>
                <w:rFonts w:ascii="Arial" w:hAnsi="Arial" w:cs="Arial"/>
                <w:sz w:val="24"/>
                <w:szCs w:val="24"/>
                <w:lang w:val="en-US"/>
              </w:rPr>
            </w:pPr>
            <w:r w:rsidRPr="00C823AA">
              <w:rPr>
                <w:rFonts w:ascii="Arial" w:hAnsi="Arial" w:cs="Arial"/>
                <w:sz w:val="24"/>
                <w:szCs w:val="24"/>
                <w:lang w:val="en-US"/>
              </w:rPr>
              <w:t>1.05</w:t>
            </w:r>
          </w:p>
        </w:tc>
      </w:tr>
    </w:tbl>
    <w:p w14:paraId="2E2BF7B1" w14:textId="692AD442" w:rsidR="00C823AA" w:rsidRPr="00C823AA" w:rsidRDefault="00C823AA" w:rsidP="00C823AA">
      <w:pPr>
        <w:pStyle w:val="Caption"/>
        <w:rPr>
          <w:rFonts w:ascii="Arial" w:hAnsi="Arial" w:cs="Arial"/>
          <w:sz w:val="24"/>
          <w:szCs w:val="24"/>
          <w:lang w:val="en-US"/>
        </w:rPr>
      </w:pPr>
      <w:bookmarkStart w:id="8" w:name="_Toc226785404"/>
      <w:r>
        <w:t xml:space="preserve">Table </w:t>
      </w:r>
      <w:r w:rsidR="002430D6">
        <w:fldChar w:fldCharType="begin"/>
      </w:r>
      <w:r w:rsidR="002430D6">
        <w:instrText xml:space="preserve"> SEQ Table \* ARABIC </w:instrText>
      </w:r>
      <w:r w:rsidR="002430D6">
        <w:fldChar w:fldCharType="separate"/>
      </w:r>
      <w:r w:rsidR="004569A0">
        <w:rPr>
          <w:noProof/>
        </w:rPr>
        <w:t>3</w:t>
      </w:r>
      <w:r w:rsidR="002430D6">
        <w:fldChar w:fldCharType="end"/>
      </w:r>
      <w:r>
        <w:t xml:space="preserve">: </w:t>
      </w:r>
      <w:r w:rsidRPr="001328E7">
        <w:t>Liquidity Ratios</w:t>
      </w:r>
      <w:bookmarkEnd w:id="8"/>
    </w:p>
    <w:p w14:paraId="4D0135C2"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Explanation:</w:t>
      </w:r>
    </w:p>
    <w:p w14:paraId="42783662" w14:textId="77777777" w:rsid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The situation of liquidity is healthy and with slow improvement. The improvement indicates a higher cash flow and improved management of working capital. Nevertheless, the ratios are average, indicating a low short-term flexibility as compared to high capital commitments (MarketLine, 2023).</w:t>
      </w:r>
    </w:p>
    <w:p w14:paraId="52E54228" w14:textId="77777777" w:rsidR="00C823AA" w:rsidRPr="00C823AA" w:rsidRDefault="00C823AA" w:rsidP="00C823AA">
      <w:pPr>
        <w:pStyle w:val="Heading3"/>
        <w:rPr>
          <w:lang w:val="en-US"/>
        </w:rPr>
      </w:pPr>
      <w:bookmarkStart w:id="9" w:name="_Toc226785363"/>
      <w:r w:rsidRPr="00C823AA">
        <w:rPr>
          <w:lang w:val="en-US"/>
        </w:rPr>
        <w:lastRenderedPageBreak/>
        <w:t>1.2.3 Efficiency Ratios</w:t>
      </w:r>
      <w:bookmarkEnd w:id="9"/>
    </w:p>
    <w:tbl>
      <w:tblPr>
        <w:tblStyle w:val="TableGrid"/>
        <w:tblW w:w="8877" w:type="dxa"/>
        <w:tblLook w:val="04A0" w:firstRow="1" w:lastRow="0" w:firstColumn="1" w:lastColumn="0" w:noHBand="0" w:noVBand="1"/>
      </w:tblPr>
      <w:tblGrid>
        <w:gridCol w:w="3312"/>
        <w:gridCol w:w="1113"/>
        <w:gridCol w:w="1113"/>
        <w:gridCol w:w="1113"/>
        <w:gridCol w:w="1113"/>
        <w:gridCol w:w="1113"/>
      </w:tblGrid>
      <w:tr w:rsidR="00C823AA" w:rsidRPr="00C823AA" w14:paraId="7D094799" w14:textId="77777777" w:rsidTr="00C823AA">
        <w:trPr>
          <w:trHeight w:val="636"/>
        </w:trPr>
        <w:tc>
          <w:tcPr>
            <w:tcW w:w="0" w:type="auto"/>
            <w:hideMark/>
          </w:tcPr>
          <w:p w14:paraId="34253053"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Ratio</w:t>
            </w:r>
          </w:p>
        </w:tc>
        <w:tc>
          <w:tcPr>
            <w:tcW w:w="0" w:type="auto"/>
            <w:hideMark/>
          </w:tcPr>
          <w:p w14:paraId="11BBB26D"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2019</w:t>
            </w:r>
          </w:p>
        </w:tc>
        <w:tc>
          <w:tcPr>
            <w:tcW w:w="0" w:type="auto"/>
            <w:hideMark/>
          </w:tcPr>
          <w:p w14:paraId="68B8C401"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2020</w:t>
            </w:r>
          </w:p>
        </w:tc>
        <w:tc>
          <w:tcPr>
            <w:tcW w:w="0" w:type="auto"/>
            <w:hideMark/>
          </w:tcPr>
          <w:p w14:paraId="13445459"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2021</w:t>
            </w:r>
          </w:p>
        </w:tc>
        <w:tc>
          <w:tcPr>
            <w:tcW w:w="0" w:type="auto"/>
            <w:hideMark/>
          </w:tcPr>
          <w:p w14:paraId="3F64A915"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2022</w:t>
            </w:r>
          </w:p>
        </w:tc>
        <w:tc>
          <w:tcPr>
            <w:tcW w:w="0" w:type="auto"/>
            <w:hideMark/>
          </w:tcPr>
          <w:p w14:paraId="13B760CD"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2023</w:t>
            </w:r>
          </w:p>
        </w:tc>
      </w:tr>
      <w:tr w:rsidR="00C823AA" w:rsidRPr="00C823AA" w14:paraId="5D1637CC" w14:textId="77777777" w:rsidTr="00C823AA">
        <w:trPr>
          <w:trHeight w:val="647"/>
        </w:trPr>
        <w:tc>
          <w:tcPr>
            <w:tcW w:w="0" w:type="auto"/>
            <w:hideMark/>
          </w:tcPr>
          <w:p w14:paraId="680CC273"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Asset Turnover</w:t>
            </w:r>
          </w:p>
        </w:tc>
        <w:tc>
          <w:tcPr>
            <w:tcW w:w="0" w:type="auto"/>
            <w:hideMark/>
          </w:tcPr>
          <w:p w14:paraId="4C8C9802"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0.52</w:t>
            </w:r>
          </w:p>
        </w:tc>
        <w:tc>
          <w:tcPr>
            <w:tcW w:w="0" w:type="auto"/>
            <w:hideMark/>
          </w:tcPr>
          <w:p w14:paraId="48B06396"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0.45</w:t>
            </w:r>
          </w:p>
        </w:tc>
        <w:tc>
          <w:tcPr>
            <w:tcW w:w="0" w:type="auto"/>
            <w:hideMark/>
          </w:tcPr>
          <w:p w14:paraId="31E949AF"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0.47</w:t>
            </w:r>
          </w:p>
        </w:tc>
        <w:tc>
          <w:tcPr>
            <w:tcW w:w="0" w:type="auto"/>
            <w:hideMark/>
          </w:tcPr>
          <w:p w14:paraId="5DBC9065"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0.49</w:t>
            </w:r>
          </w:p>
        </w:tc>
        <w:tc>
          <w:tcPr>
            <w:tcW w:w="0" w:type="auto"/>
            <w:hideMark/>
          </w:tcPr>
          <w:p w14:paraId="25FC5A05"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0.51</w:t>
            </w:r>
          </w:p>
        </w:tc>
      </w:tr>
      <w:tr w:rsidR="00C823AA" w:rsidRPr="00C823AA" w14:paraId="6A2F89C4" w14:textId="77777777" w:rsidTr="00C823AA">
        <w:trPr>
          <w:trHeight w:val="636"/>
        </w:trPr>
        <w:tc>
          <w:tcPr>
            <w:tcW w:w="0" w:type="auto"/>
            <w:hideMark/>
          </w:tcPr>
          <w:p w14:paraId="38677FFA"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Inventory Turnover</w:t>
            </w:r>
          </w:p>
        </w:tc>
        <w:tc>
          <w:tcPr>
            <w:tcW w:w="0" w:type="auto"/>
            <w:hideMark/>
          </w:tcPr>
          <w:p w14:paraId="75A55EC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6.8</w:t>
            </w:r>
          </w:p>
        </w:tc>
        <w:tc>
          <w:tcPr>
            <w:tcW w:w="0" w:type="auto"/>
            <w:hideMark/>
          </w:tcPr>
          <w:p w14:paraId="6430F025"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5.9</w:t>
            </w:r>
          </w:p>
        </w:tc>
        <w:tc>
          <w:tcPr>
            <w:tcW w:w="0" w:type="auto"/>
            <w:hideMark/>
          </w:tcPr>
          <w:p w14:paraId="4479BA25"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6.3</w:t>
            </w:r>
          </w:p>
        </w:tc>
        <w:tc>
          <w:tcPr>
            <w:tcW w:w="0" w:type="auto"/>
            <w:hideMark/>
          </w:tcPr>
          <w:p w14:paraId="0CE6FD34"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6.5</w:t>
            </w:r>
          </w:p>
        </w:tc>
        <w:tc>
          <w:tcPr>
            <w:tcW w:w="0" w:type="auto"/>
            <w:hideMark/>
          </w:tcPr>
          <w:p w14:paraId="148C6C9D"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6.7</w:t>
            </w:r>
          </w:p>
        </w:tc>
      </w:tr>
      <w:tr w:rsidR="00C823AA" w:rsidRPr="00C823AA" w14:paraId="4FF03C97" w14:textId="77777777" w:rsidTr="00C823AA">
        <w:trPr>
          <w:trHeight w:val="647"/>
        </w:trPr>
        <w:tc>
          <w:tcPr>
            <w:tcW w:w="0" w:type="auto"/>
            <w:hideMark/>
          </w:tcPr>
          <w:p w14:paraId="3CC51007"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Receivables Days</w:t>
            </w:r>
          </w:p>
        </w:tc>
        <w:tc>
          <w:tcPr>
            <w:tcW w:w="0" w:type="auto"/>
            <w:hideMark/>
          </w:tcPr>
          <w:p w14:paraId="6F049EA1"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42</w:t>
            </w:r>
          </w:p>
        </w:tc>
        <w:tc>
          <w:tcPr>
            <w:tcW w:w="0" w:type="auto"/>
            <w:hideMark/>
          </w:tcPr>
          <w:p w14:paraId="1F466846"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48</w:t>
            </w:r>
          </w:p>
        </w:tc>
        <w:tc>
          <w:tcPr>
            <w:tcW w:w="0" w:type="auto"/>
            <w:hideMark/>
          </w:tcPr>
          <w:p w14:paraId="6B1AFA8D"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44</w:t>
            </w:r>
          </w:p>
        </w:tc>
        <w:tc>
          <w:tcPr>
            <w:tcW w:w="0" w:type="auto"/>
            <w:hideMark/>
          </w:tcPr>
          <w:p w14:paraId="050AEB1D"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41</w:t>
            </w:r>
          </w:p>
        </w:tc>
        <w:tc>
          <w:tcPr>
            <w:tcW w:w="0" w:type="auto"/>
            <w:hideMark/>
          </w:tcPr>
          <w:p w14:paraId="0EEA5CA1" w14:textId="77777777" w:rsidR="00C823AA" w:rsidRPr="00C823AA" w:rsidRDefault="00C823AA" w:rsidP="00C823AA">
            <w:pPr>
              <w:keepNext/>
              <w:spacing w:line="360" w:lineRule="auto"/>
              <w:jc w:val="both"/>
              <w:rPr>
                <w:rFonts w:ascii="Arial" w:hAnsi="Arial" w:cs="Arial"/>
                <w:sz w:val="24"/>
                <w:szCs w:val="24"/>
                <w:lang w:val="en-US"/>
              </w:rPr>
            </w:pPr>
            <w:r w:rsidRPr="00C823AA">
              <w:rPr>
                <w:rFonts w:ascii="Arial" w:hAnsi="Arial" w:cs="Arial"/>
                <w:sz w:val="24"/>
                <w:szCs w:val="24"/>
                <w:lang w:val="en-US"/>
              </w:rPr>
              <w:t>39</w:t>
            </w:r>
          </w:p>
        </w:tc>
      </w:tr>
    </w:tbl>
    <w:p w14:paraId="5FE571C1" w14:textId="763933A1" w:rsidR="00C823AA" w:rsidRPr="00C823AA" w:rsidRDefault="00C823AA" w:rsidP="00C823AA">
      <w:pPr>
        <w:pStyle w:val="Caption"/>
        <w:rPr>
          <w:rFonts w:ascii="Arial" w:hAnsi="Arial" w:cs="Arial"/>
          <w:sz w:val="24"/>
          <w:szCs w:val="24"/>
          <w:lang w:val="en-US"/>
        </w:rPr>
      </w:pPr>
      <w:bookmarkStart w:id="10" w:name="_Toc226785405"/>
      <w:r>
        <w:t xml:space="preserve">Table </w:t>
      </w:r>
      <w:r w:rsidR="002430D6">
        <w:fldChar w:fldCharType="begin"/>
      </w:r>
      <w:r w:rsidR="002430D6">
        <w:instrText xml:space="preserve"> SEQ Table \* ARABIC </w:instrText>
      </w:r>
      <w:r w:rsidR="002430D6">
        <w:fldChar w:fldCharType="separate"/>
      </w:r>
      <w:r w:rsidR="004569A0">
        <w:rPr>
          <w:noProof/>
        </w:rPr>
        <w:t>4</w:t>
      </w:r>
      <w:r w:rsidR="002430D6">
        <w:fldChar w:fldCharType="end"/>
      </w:r>
      <w:r>
        <w:t xml:space="preserve">: </w:t>
      </w:r>
      <w:r w:rsidRPr="006C2C89">
        <w:t>Efficiency Ratios</w:t>
      </w:r>
      <w:bookmarkEnd w:id="10"/>
    </w:p>
    <w:p w14:paraId="18CB1E74"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Explanation:</w:t>
      </w:r>
    </w:p>
    <w:p w14:paraId="435BFB3E" w14:textId="77777777" w:rsid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The efficiency decreased in 2020 as a result of supply chain breakdown but steadily increased. Inventory turnover recovery shows that the production is more aligned, whereas the days of receivables are fewer, which is an indicator of better credit control.</w:t>
      </w:r>
    </w:p>
    <w:p w14:paraId="19F9F05C" w14:textId="2C602A93" w:rsidR="00C823AA" w:rsidRDefault="00C823AA" w:rsidP="00BA23FB">
      <w:pPr>
        <w:pStyle w:val="Heading3"/>
        <w:rPr>
          <w:lang w:val="en-US"/>
        </w:rPr>
      </w:pPr>
      <w:bookmarkStart w:id="11" w:name="_Toc226785364"/>
      <w:r w:rsidRPr="00C823AA">
        <w:rPr>
          <w:lang w:val="en-US"/>
        </w:rPr>
        <w:t>1.2.4 Gearing (Leverage) Ratios</w:t>
      </w:r>
      <w:bookmarkEnd w:id="11"/>
    </w:p>
    <w:tbl>
      <w:tblPr>
        <w:tblStyle w:val="TableGrid"/>
        <w:tblW w:w="8860" w:type="dxa"/>
        <w:tblLook w:val="04A0" w:firstRow="1" w:lastRow="0" w:firstColumn="1" w:lastColumn="0" w:noHBand="0" w:noVBand="1"/>
      </w:tblPr>
      <w:tblGrid>
        <w:gridCol w:w="3205"/>
        <w:gridCol w:w="1131"/>
        <w:gridCol w:w="1131"/>
        <w:gridCol w:w="1131"/>
        <w:gridCol w:w="1131"/>
        <w:gridCol w:w="1131"/>
      </w:tblGrid>
      <w:tr w:rsidR="00BA23FB" w:rsidRPr="00BA23FB" w14:paraId="212A3AAF" w14:textId="77777777" w:rsidTr="00BA23FB">
        <w:trPr>
          <w:trHeight w:val="626"/>
        </w:trPr>
        <w:tc>
          <w:tcPr>
            <w:tcW w:w="0" w:type="auto"/>
            <w:hideMark/>
          </w:tcPr>
          <w:p w14:paraId="0AEF0839"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Ratio</w:t>
            </w:r>
          </w:p>
        </w:tc>
        <w:tc>
          <w:tcPr>
            <w:tcW w:w="0" w:type="auto"/>
            <w:hideMark/>
          </w:tcPr>
          <w:p w14:paraId="0F1B3612"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2019</w:t>
            </w:r>
          </w:p>
        </w:tc>
        <w:tc>
          <w:tcPr>
            <w:tcW w:w="0" w:type="auto"/>
            <w:hideMark/>
          </w:tcPr>
          <w:p w14:paraId="21F60F55"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2020</w:t>
            </w:r>
          </w:p>
        </w:tc>
        <w:tc>
          <w:tcPr>
            <w:tcW w:w="0" w:type="auto"/>
            <w:hideMark/>
          </w:tcPr>
          <w:p w14:paraId="77B6EB98"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2021</w:t>
            </w:r>
          </w:p>
        </w:tc>
        <w:tc>
          <w:tcPr>
            <w:tcW w:w="0" w:type="auto"/>
            <w:hideMark/>
          </w:tcPr>
          <w:p w14:paraId="3F791D81"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2022</w:t>
            </w:r>
          </w:p>
        </w:tc>
        <w:tc>
          <w:tcPr>
            <w:tcW w:w="0" w:type="auto"/>
            <w:hideMark/>
          </w:tcPr>
          <w:p w14:paraId="246DBE4C"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2023</w:t>
            </w:r>
          </w:p>
        </w:tc>
      </w:tr>
      <w:tr w:rsidR="00BA23FB" w:rsidRPr="00BA23FB" w14:paraId="501AFE9E" w14:textId="77777777" w:rsidTr="00BA23FB">
        <w:trPr>
          <w:trHeight w:val="636"/>
        </w:trPr>
        <w:tc>
          <w:tcPr>
            <w:tcW w:w="0" w:type="auto"/>
            <w:hideMark/>
          </w:tcPr>
          <w:p w14:paraId="6C1A1394"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Debt-to-Equity</w:t>
            </w:r>
          </w:p>
        </w:tc>
        <w:tc>
          <w:tcPr>
            <w:tcW w:w="0" w:type="auto"/>
            <w:hideMark/>
          </w:tcPr>
          <w:p w14:paraId="3F6E03F6"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1.65</w:t>
            </w:r>
          </w:p>
        </w:tc>
        <w:tc>
          <w:tcPr>
            <w:tcW w:w="0" w:type="auto"/>
            <w:hideMark/>
          </w:tcPr>
          <w:p w14:paraId="7A9ABD1F"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1.72</w:t>
            </w:r>
          </w:p>
        </w:tc>
        <w:tc>
          <w:tcPr>
            <w:tcW w:w="0" w:type="auto"/>
            <w:hideMark/>
          </w:tcPr>
          <w:p w14:paraId="1D56366A"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1.70</w:t>
            </w:r>
          </w:p>
        </w:tc>
        <w:tc>
          <w:tcPr>
            <w:tcW w:w="0" w:type="auto"/>
            <w:hideMark/>
          </w:tcPr>
          <w:p w14:paraId="0F724692"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1.68</w:t>
            </w:r>
          </w:p>
        </w:tc>
        <w:tc>
          <w:tcPr>
            <w:tcW w:w="0" w:type="auto"/>
            <w:hideMark/>
          </w:tcPr>
          <w:p w14:paraId="2E09FC26"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1.66</w:t>
            </w:r>
          </w:p>
        </w:tc>
      </w:tr>
      <w:tr w:rsidR="00BA23FB" w:rsidRPr="00BA23FB" w14:paraId="07C7D685" w14:textId="77777777" w:rsidTr="00BA23FB">
        <w:trPr>
          <w:trHeight w:val="626"/>
        </w:trPr>
        <w:tc>
          <w:tcPr>
            <w:tcW w:w="0" w:type="auto"/>
            <w:hideMark/>
          </w:tcPr>
          <w:p w14:paraId="36A6D1CF"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Interest Coverage</w:t>
            </w:r>
          </w:p>
        </w:tc>
        <w:tc>
          <w:tcPr>
            <w:tcW w:w="0" w:type="auto"/>
            <w:hideMark/>
          </w:tcPr>
          <w:p w14:paraId="38CBC6F2"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6.5</w:t>
            </w:r>
          </w:p>
        </w:tc>
        <w:tc>
          <w:tcPr>
            <w:tcW w:w="0" w:type="auto"/>
            <w:hideMark/>
          </w:tcPr>
          <w:p w14:paraId="7C9BF618"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3.2</w:t>
            </w:r>
          </w:p>
        </w:tc>
        <w:tc>
          <w:tcPr>
            <w:tcW w:w="0" w:type="auto"/>
            <w:hideMark/>
          </w:tcPr>
          <w:p w14:paraId="063D022A"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6.8</w:t>
            </w:r>
          </w:p>
        </w:tc>
        <w:tc>
          <w:tcPr>
            <w:tcW w:w="0" w:type="auto"/>
            <w:hideMark/>
          </w:tcPr>
          <w:p w14:paraId="6D88BA14"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7.0</w:t>
            </w:r>
          </w:p>
        </w:tc>
        <w:tc>
          <w:tcPr>
            <w:tcW w:w="0" w:type="auto"/>
            <w:hideMark/>
          </w:tcPr>
          <w:p w14:paraId="315793A4" w14:textId="77777777" w:rsidR="00BA23FB" w:rsidRPr="00BA23FB" w:rsidRDefault="00BA23FB" w:rsidP="00BA23FB">
            <w:pPr>
              <w:keepNext/>
              <w:spacing w:line="360" w:lineRule="auto"/>
              <w:jc w:val="both"/>
              <w:rPr>
                <w:rFonts w:ascii="Arial" w:hAnsi="Arial" w:cs="Arial"/>
                <w:sz w:val="24"/>
                <w:szCs w:val="24"/>
                <w:lang w:val="en-US"/>
              </w:rPr>
            </w:pPr>
            <w:r w:rsidRPr="00BA23FB">
              <w:rPr>
                <w:rFonts w:ascii="Arial" w:hAnsi="Arial" w:cs="Arial"/>
                <w:sz w:val="24"/>
                <w:szCs w:val="24"/>
                <w:lang w:val="en-US"/>
              </w:rPr>
              <w:t>6.5</w:t>
            </w:r>
          </w:p>
        </w:tc>
      </w:tr>
    </w:tbl>
    <w:p w14:paraId="4E496E9D" w14:textId="45D5747E" w:rsidR="00C823AA" w:rsidRPr="00C823AA" w:rsidRDefault="00BA23FB" w:rsidP="00BA23FB">
      <w:pPr>
        <w:pStyle w:val="Caption"/>
        <w:rPr>
          <w:rFonts w:ascii="Arial" w:hAnsi="Arial" w:cs="Arial"/>
          <w:sz w:val="24"/>
          <w:szCs w:val="24"/>
          <w:lang w:val="en-US"/>
        </w:rPr>
      </w:pPr>
      <w:bookmarkStart w:id="12" w:name="_Toc226785406"/>
      <w:r>
        <w:t xml:space="preserve">Table </w:t>
      </w:r>
      <w:r w:rsidR="002430D6">
        <w:fldChar w:fldCharType="begin"/>
      </w:r>
      <w:r w:rsidR="002430D6">
        <w:instrText xml:space="preserve"> SEQ Table \* ARABIC </w:instrText>
      </w:r>
      <w:r w:rsidR="002430D6">
        <w:fldChar w:fldCharType="separate"/>
      </w:r>
      <w:r w:rsidR="004569A0">
        <w:rPr>
          <w:noProof/>
        </w:rPr>
        <w:t>5</w:t>
      </w:r>
      <w:r w:rsidR="002430D6">
        <w:fldChar w:fldCharType="end"/>
      </w:r>
      <w:r>
        <w:t xml:space="preserve">: </w:t>
      </w:r>
      <w:r w:rsidRPr="00204B13">
        <w:t>Gearing (Leverage) Ratios</w:t>
      </w:r>
      <w:bookmarkEnd w:id="12"/>
    </w:p>
    <w:p w14:paraId="3AC24EB8"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Explanation:</w:t>
      </w:r>
    </w:p>
    <w:p w14:paraId="4B52B07A" w14:textId="77777777" w:rsid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Volkswagen has high leverage as is characteristic of the automotive industry. The interest cover decreased greatly in 2020 but has since been regaining. The debt is high as a result of EV investments and infrastructure expansion (Financial Times, 2023).</w:t>
      </w:r>
    </w:p>
    <w:p w14:paraId="3F8A7E34" w14:textId="16B2C603" w:rsidR="00BA23FB" w:rsidRDefault="00BA23FB" w:rsidP="00BA23FB">
      <w:pPr>
        <w:pStyle w:val="Heading3"/>
        <w:rPr>
          <w:lang w:val="en-US"/>
        </w:rPr>
      </w:pPr>
      <w:bookmarkStart w:id="13" w:name="_Toc226785365"/>
      <w:r w:rsidRPr="00BA23FB">
        <w:rPr>
          <w:lang w:val="en-US"/>
        </w:rPr>
        <w:t>1.2.5 Investment Ratios</w:t>
      </w:r>
      <w:bookmarkEnd w:id="13"/>
    </w:p>
    <w:tbl>
      <w:tblPr>
        <w:tblStyle w:val="TableGrid"/>
        <w:tblW w:w="8872" w:type="dxa"/>
        <w:tblLook w:val="04A0" w:firstRow="1" w:lastRow="0" w:firstColumn="1" w:lastColumn="0" w:noHBand="0" w:noVBand="1"/>
      </w:tblPr>
      <w:tblGrid>
        <w:gridCol w:w="3477"/>
        <w:gridCol w:w="1079"/>
        <w:gridCol w:w="1079"/>
        <w:gridCol w:w="1079"/>
        <w:gridCol w:w="1079"/>
        <w:gridCol w:w="1079"/>
      </w:tblGrid>
      <w:tr w:rsidR="00BA23FB" w:rsidRPr="00BA23FB" w14:paraId="0B097B30" w14:textId="77777777" w:rsidTr="00BA23FB">
        <w:trPr>
          <w:trHeight w:val="614"/>
        </w:trPr>
        <w:tc>
          <w:tcPr>
            <w:tcW w:w="0" w:type="auto"/>
            <w:hideMark/>
          </w:tcPr>
          <w:p w14:paraId="4356C1CF"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Ratio</w:t>
            </w:r>
          </w:p>
        </w:tc>
        <w:tc>
          <w:tcPr>
            <w:tcW w:w="0" w:type="auto"/>
            <w:hideMark/>
          </w:tcPr>
          <w:p w14:paraId="7256016E"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2019</w:t>
            </w:r>
          </w:p>
        </w:tc>
        <w:tc>
          <w:tcPr>
            <w:tcW w:w="0" w:type="auto"/>
            <w:hideMark/>
          </w:tcPr>
          <w:p w14:paraId="6881DF74"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2020</w:t>
            </w:r>
          </w:p>
        </w:tc>
        <w:tc>
          <w:tcPr>
            <w:tcW w:w="0" w:type="auto"/>
            <w:hideMark/>
          </w:tcPr>
          <w:p w14:paraId="59666724"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2021</w:t>
            </w:r>
          </w:p>
        </w:tc>
        <w:tc>
          <w:tcPr>
            <w:tcW w:w="0" w:type="auto"/>
            <w:hideMark/>
          </w:tcPr>
          <w:p w14:paraId="488FAF89"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2022</w:t>
            </w:r>
          </w:p>
        </w:tc>
        <w:tc>
          <w:tcPr>
            <w:tcW w:w="0" w:type="auto"/>
            <w:hideMark/>
          </w:tcPr>
          <w:p w14:paraId="4B4E0458"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2023</w:t>
            </w:r>
          </w:p>
        </w:tc>
      </w:tr>
      <w:tr w:rsidR="00BA23FB" w:rsidRPr="00BA23FB" w14:paraId="7AE5BC13" w14:textId="77777777" w:rsidTr="00BA23FB">
        <w:trPr>
          <w:trHeight w:val="624"/>
        </w:trPr>
        <w:tc>
          <w:tcPr>
            <w:tcW w:w="0" w:type="auto"/>
            <w:hideMark/>
          </w:tcPr>
          <w:p w14:paraId="05C7A467"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EPS (€)</w:t>
            </w:r>
          </w:p>
        </w:tc>
        <w:tc>
          <w:tcPr>
            <w:tcW w:w="0" w:type="auto"/>
            <w:hideMark/>
          </w:tcPr>
          <w:p w14:paraId="56FAAD3A"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26.60</w:t>
            </w:r>
          </w:p>
        </w:tc>
        <w:tc>
          <w:tcPr>
            <w:tcW w:w="0" w:type="auto"/>
            <w:hideMark/>
          </w:tcPr>
          <w:p w14:paraId="69D4718B"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17.90</w:t>
            </w:r>
          </w:p>
        </w:tc>
        <w:tc>
          <w:tcPr>
            <w:tcW w:w="0" w:type="auto"/>
            <w:hideMark/>
          </w:tcPr>
          <w:p w14:paraId="1614DBC8"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29.60</w:t>
            </w:r>
          </w:p>
        </w:tc>
        <w:tc>
          <w:tcPr>
            <w:tcW w:w="0" w:type="auto"/>
            <w:hideMark/>
          </w:tcPr>
          <w:p w14:paraId="39404BEB"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30.10</w:t>
            </w:r>
          </w:p>
        </w:tc>
        <w:tc>
          <w:tcPr>
            <w:tcW w:w="0" w:type="auto"/>
            <w:hideMark/>
          </w:tcPr>
          <w:p w14:paraId="72AD3C0D"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31.20</w:t>
            </w:r>
          </w:p>
        </w:tc>
      </w:tr>
      <w:tr w:rsidR="00BA23FB" w:rsidRPr="00BA23FB" w14:paraId="5F5B51D4" w14:textId="77777777" w:rsidTr="00BA23FB">
        <w:trPr>
          <w:trHeight w:val="614"/>
        </w:trPr>
        <w:tc>
          <w:tcPr>
            <w:tcW w:w="0" w:type="auto"/>
            <w:hideMark/>
          </w:tcPr>
          <w:p w14:paraId="5A6D20C2"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Dividend per Share (€)</w:t>
            </w:r>
          </w:p>
        </w:tc>
        <w:tc>
          <w:tcPr>
            <w:tcW w:w="0" w:type="auto"/>
            <w:hideMark/>
          </w:tcPr>
          <w:p w14:paraId="278E960F"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6.50</w:t>
            </w:r>
          </w:p>
        </w:tc>
        <w:tc>
          <w:tcPr>
            <w:tcW w:w="0" w:type="auto"/>
            <w:hideMark/>
          </w:tcPr>
          <w:p w14:paraId="241F804A"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4.80</w:t>
            </w:r>
          </w:p>
        </w:tc>
        <w:tc>
          <w:tcPr>
            <w:tcW w:w="0" w:type="auto"/>
            <w:hideMark/>
          </w:tcPr>
          <w:p w14:paraId="67894B41"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7.50</w:t>
            </w:r>
          </w:p>
        </w:tc>
        <w:tc>
          <w:tcPr>
            <w:tcW w:w="0" w:type="auto"/>
            <w:hideMark/>
          </w:tcPr>
          <w:p w14:paraId="1918FB8B"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8.70</w:t>
            </w:r>
          </w:p>
        </w:tc>
        <w:tc>
          <w:tcPr>
            <w:tcW w:w="0" w:type="auto"/>
            <w:hideMark/>
          </w:tcPr>
          <w:p w14:paraId="6E76D1CB"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9.00</w:t>
            </w:r>
          </w:p>
        </w:tc>
      </w:tr>
      <w:tr w:rsidR="00BA23FB" w:rsidRPr="00BA23FB" w14:paraId="66904AA5" w14:textId="77777777" w:rsidTr="00BA23FB">
        <w:trPr>
          <w:trHeight w:val="624"/>
        </w:trPr>
        <w:tc>
          <w:tcPr>
            <w:tcW w:w="0" w:type="auto"/>
            <w:hideMark/>
          </w:tcPr>
          <w:p w14:paraId="4D5F203C"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P/E Ratio</w:t>
            </w:r>
          </w:p>
        </w:tc>
        <w:tc>
          <w:tcPr>
            <w:tcW w:w="0" w:type="auto"/>
            <w:hideMark/>
          </w:tcPr>
          <w:p w14:paraId="55647F0E"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6.5</w:t>
            </w:r>
          </w:p>
        </w:tc>
        <w:tc>
          <w:tcPr>
            <w:tcW w:w="0" w:type="auto"/>
            <w:hideMark/>
          </w:tcPr>
          <w:p w14:paraId="0B6B0D16"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7.2</w:t>
            </w:r>
          </w:p>
        </w:tc>
        <w:tc>
          <w:tcPr>
            <w:tcW w:w="0" w:type="auto"/>
            <w:hideMark/>
          </w:tcPr>
          <w:p w14:paraId="24E1C608"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5.8</w:t>
            </w:r>
          </w:p>
        </w:tc>
        <w:tc>
          <w:tcPr>
            <w:tcW w:w="0" w:type="auto"/>
            <w:hideMark/>
          </w:tcPr>
          <w:p w14:paraId="0476EDDD"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6.1</w:t>
            </w:r>
          </w:p>
        </w:tc>
        <w:tc>
          <w:tcPr>
            <w:tcW w:w="0" w:type="auto"/>
            <w:hideMark/>
          </w:tcPr>
          <w:p w14:paraId="618FD94D" w14:textId="77777777" w:rsidR="00BA23FB" w:rsidRPr="00BA23FB" w:rsidRDefault="00BA23FB" w:rsidP="00BA23FB">
            <w:pPr>
              <w:keepNext/>
              <w:spacing w:line="360" w:lineRule="auto"/>
              <w:jc w:val="both"/>
              <w:rPr>
                <w:rFonts w:ascii="Arial" w:hAnsi="Arial" w:cs="Arial"/>
                <w:sz w:val="24"/>
                <w:szCs w:val="24"/>
                <w:lang w:val="en-US"/>
              </w:rPr>
            </w:pPr>
            <w:r w:rsidRPr="00BA23FB">
              <w:rPr>
                <w:rFonts w:ascii="Arial" w:hAnsi="Arial" w:cs="Arial"/>
                <w:sz w:val="24"/>
                <w:szCs w:val="24"/>
                <w:lang w:val="en-US"/>
              </w:rPr>
              <w:t>6.3</w:t>
            </w:r>
          </w:p>
        </w:tc>
      </w:tr>
    </w:tbl>
    <w:p w14:paraId="6D017A5C" w14:textId="62159ED8" w:rsidR="00BA23FB" w:rsidRPr="00C823AA" w:rsidRDefault="00BA23FB" w:rsidP="00BA23FB">
      <w:pPr>
        <w:pStyle w:val="Caption"/>
        <w:rPr>
          <w:rFonts w:ascii="Arial" w:hAnsi="Arial" w:cs="Arial"/>
          <w:sz w:val="24"/>
          <w:szCs w:val="24"/>
          <w:lang w:val="en-US"/>
        </w:rPr>
      </w:pPr>
      <w:bookmarkStart w:id="14" w:name="_Toc226785407"/>
      <w:r>
        <w:t xml:space="preserve">Table </w:t>
      </w:r>
      <w:r w:rsidR="002430D6">
        <w:fldChar w:fldCharType="begin"/>
      </w:r>
      <w:r w:rsidR="002430D6">
        <w:instrText xml:space="preserve"> SEQ Table \* ARABIC </w:instrText>
      </w:r>
      <w:r w:rsidR="002430D6">
        <w:fldChar w:fldCharType="separate"/>
      </w:r>
      <w:r w:rsidR="004569A0">
        <w:rPr>
          <w:noProof/>
        </w:rPr>
        <w:t>6</w:t>
      </w:r>
      <w:r w:rsidR="002430D6">
        <w:fldChar w:fldCharType="end"/>
      </w:r>
      <w:r>
        <w:t xml:space="preserve">: </w:t>
      </w:r>
      <w:r w:rsidRPr="00C14133">
        <w:t>Investment Ratios</w:t>
      </w:r>
      <w:bookmarkEnd w:id="14"/>
    </w:p>
    <w:p w14:paraId="3E4904AC"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lastRenderedPageBreak/>
        <w:t>Explanation:</w:t>
      </w:r>
    </w:p>
    <w:p w14:paraId="124517D9" w14:textId="77777777" w:rsid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 xml:space="preserve">Shareholder value creation is seen in EPS and dividends that are on a steady increase. Nevertheless, the P/E ratios are relatively low, which indicates </w:t>
      </w:r>
      <w:proofErr w:type="spellStart"/>
      <w:r w:rsidRPr="00C823AA">
        <w:rPr>
          <w:rFonts w:ascii="Arial" w:hAnsi="Arial" w:cs="Arial"/>
          <w:sz w:val="24"/>
          <w:szCs w:val="24"/>
          <w:lang w:val="en-US"/>
        </w:rPr>
        <w:t>scepticism</w:t>
      </w:r>
      <w:proofErr w:type="spellEnd"/>
      <w:r w:rsidRPr="00C823AA">
        <w:rPr>
          <w:rFonts w:ascii="Arial" w:hAnsi="Arial" w:cs="Arial"/>
          <w:sz w:val="24"/>
          <w:szCs w:val="24"/>
          <w:lang w:val="en-US"/>
        </w:rPr>
        <w:t xml:space="preserve"> in the market about the long-term profitability of EVs when it comes to profitability (Forbes, 2024).</w:t>
      </w:r>
    </w:p>
    <w:p w14:paraId="6FD20616" w14:textId="3D6F86F1" w:rsidR="00BA23FB" w:rsidRDefault="00BA23FB" w:rsidP="00BA23FB">
      <w:pPr>
        <w:pStyle w:val="Heading3"/>
        <w:rPr>
          <w:lang w:val="en-US"/>
        </w:rPr>
      </w:pPr>
      <w:bookmarkStart w:id="15" w:name="_Toc226785366"/>
      <w:r w:rsidRPr="00BA23FB">
        <w:rPr>
          <w:lang w:val="en-US"/>
        </w:rPr>
        <w:t>1.2.6 Cash Flow Ratios</w:t>
      </w:r>
      <w:bookmarkEnd w:id="15"/>
    </w:p>
    <w:tbl>
      <w:tblPr>
        <w:tblStyle w:val="TableGrid"/>
        <w:tblW w:w="8905" w:type="dxa"/>
        <w:tblLook w:val="04A0" w:firstRow="1" w:lastRow="0" w:firstColumn="1" w:lastColumn="0" w:noHBand="0" w:noVBand="1"/>
      </w:tblPr>
      <w:tblGrid>
        <w:gridCol w:w="4030"/>
        <w:gridCol w:w="975"/>
        <w:gridCol w:w="975"/>
        <w:gridCol w:w="975"/>
        <w:gridCol w:w="975"/>
        <w:gridCol w:w="975"/>
      </w:tblGrid>
      <w:tr w:rsidR="00BA23FB" w:rsidRPr="00BA23FB" w14:paraId="6DF31F82" w14:textId="77777777" w:rsidTr="00BA23FB">
        <w:trPr>
          <w:trHeight w:val="658"/>
        </w:trPr>
        <w:tc>
          <w:tcPr>
            <w:tcW w:w="0" w:type="auto"/>
            <w:hideMark/>
          </w:tcPr>
          <w:p w14:paraId="6BA6627C"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Ratio</w:t>
            </w:r>
          </w:p>
        </w:tc>
        <w:tc>
          <w:tcPr>
            <w:tcW w:w="0" w:type="auto"/>
            <w:hideMark/>
          </w:tcPr>
          <w:p w14:paraId="691D1CD1"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2019</w:t>
            </w:r>
          </w:p>
        </w:tc>
        <w:tc>
          <w:tcPr>
            <w:tcW w:w="0" w:type="auto"/>
            <w:hideMark/>
          </w:tcPr>
          <w:p w14:paraId="1CE75BD0"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2020</w:t>
            </w:r>
          </w:p>
        </w:tc>
        <w:tc>
          <w:tcPr>
            <w:tcW w:w="0" w:type="auto"/>
            <w:hideMark/>
          </w:tcPr>
          <w:p w14:paraId="72BA04E3"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2021</w:t>
            </w:r>
          </w:p>
        </w:tc>
        <w:tc>
          <w:tcPr>
            <w:tcW w:w="0" w:type="auto"/>
            <w:hideMark/>
          </w:tcPr>
          <w:p w14:paraId="655A7FDC"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2022</w:t>
            </w:r>
          </w:p>
        </w:tc>
        <w:tc>
          <w:tcPr>
            <w:tcW w:w="0" w:type="auto"/>
            <w:hideMark/>
          </w:tcPr>
          <w:p w14:paraId="5BE7FD74" w14:textId="77777777" w:rsidR="00BA23FB" w:rsidRPr="00BA23FB" w:rsidRDefault="00BA23FB" w:rsidP="00BA23FB">
            <w:pPr>
              <w:spacing w:line="360" w:lineRule="auto"/>
              <w:jc w:val="both"/>
              <w:rPr>
                <w:rFonts w:ascii="Arial" w:hAnsi="Arial" w:cs="Arial"/>
                <w:b/>
                <w:bCs/>
                <w:sz w:val="24"/>
                <w:szCs w:val="24"/>
                <w:lang w:val="en-US"/>
              </w:rPr>
            </w:pPr>
            <w:r w:rsidRPr="00BA23FB">
              <w:rPr>
                <w:rFonts w:ascii="Arial" w:hAnsi="Arial" w:cs="Arial"/>
                <w:b/>
                <w:bCs/>
                <w:sz w:val="24"/>
                <w:szCs w:val="24"/>
                <w:lang w:val="en-US"/>
              </w:rPr>
              <w:t>2023</w:t>
            </w:r>
          </w:p>
        </w:tc>
      </w:tr>
      <w:tr w:rsidR="00BA23FB" w:rsidRPr="00BA23FB" w14:paraId="78B99E96" w14:textId="77777777" w:rsidTr="00BA23FB">
        <w:trPr>
          <w:trHeight w:val="669"/>
        </w:trPr>
        <w:tc>
          <w:tcPr>
            <w:tcW w:w="0" w:type="auto"/>
            <w:hideMark/>
          </w:tcPr>
          <w:p w14:paraId="230CAC4C"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Operating Cash Flow Ratio</w:t>
            </w:r>
          </w:p>
        </w:tc>
        <w:tc>
          <w:tcPr>
            <w:tcW w:w="0" w:type="auto"/>
            <w:hideMark/>
          </w:tcPr>
          <w:p w14:paraId="383AB301"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0.18</w:t>
            </w:r>
          </w:p>
        </w:tc>
        <w:tc>
          <w:tcPr>
            <w:tcW w:w="0" w:type="auto"/>
            <w:hideMark/>
          </w:tcPr>
          <w:p w14:paraId="3EF20D92"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0.12</w:t>
            </w:r>
          </w:p>
        </w:tc>
        <w:tc>
          <w:tcPr>
            <w:tcW w:w="0" w:type="auto"/>
            <w:hideMark/>
          </w:tcPr>
          <w:p w14:paraId="66FF7C91"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0.15</w:t>
            </w:r>
          </w:p>
        </w:tc>
        <w:tc>
          <w:tcPr>
            <w:tcW w:w="0" w:type="auto"/>
            <w:hideMark/>
          </w:tcPr>
          <w:p w14:paraId="725AC168"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0.16</w:t>
            </w:r>
          </w:p>
        </w:tc>
        <w:tc>
          <w:tcPr>
            <w:tcW w:w="0" w:type="auto"/>
            <w:hideMark/>
          </w:tcPr>
          <w:p w14:paraId="1EBAA0DA"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0.17</w:t>
            </w:r>
          </w:p>
        </w:tc>
      </w:tr>
      <w:tr w:rsidR="00BA23FB" w:rsidRPr="00BA23FB" w14:paraId="4FED072A" w14:textId="77777777" w:rsidTr="00BA23FB">
        <w:trPr>
          <w:trHeight w:val="658"/>
        </w:trPr>
        <w:tc>
          <w:tcPr>
            <w:tcW w:w="0" w:type="auto"/>
            <w:hideMark/>
          </w:tcPr>
          <w:p w14:paraId="0405E711"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Free Cash Flow (€bn)</w:t>
            </w:r>
          </w:p>
        </w:tc>
        <w:tc>
          <w:tcPr>
            <w:tcW w:w="0" w:type="auto"/>
            <w:hideMark/>
          </w:tcPr>
          <w:p w14:paraId="717E3357"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8.2</w:t>
            </w:r>
          </w:p>
        </w:tc>
        <w:tc>
          <w:tcPr>
            <w:tcW w:w="0" w:type="auto"/>
            <w:hideMark/>
          </w:tcPr>
          <w:p w14:paraId="11848B57"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3.5</w:t>
            </w:r>
          </w:p>
        </w:tc>
        <w:tc>
          <w:tcPr>
            <w:tcW w:w="0" w:type="auto"/>
            <w:hideMark/>
          </w:tcPr>
          <w:p w14:paraId="24E25077"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6.0</w:t>
            </w:r>
          </w:p>
        </w:tc>
        <w:tc>
          <w:tcPr>
            <w:tcW w:w="0" w:type="auto"/>
            <w:hideMark/>
          </w:tcPr>
          <w:p w14:paraId="1935A020" w14:textId="77777777" w:rsidR="00BA23FB" w:rsidRPr="00BA23FB" w:rsidRDefault="00BA23FB" w:rsidP="00BA23FB">
            <w:pPr>
              <w:spacing w:line="360" w:lineRule="auto"/>
              <w:jc w:val="both"/>
              <w:rPr>
                <w:rFonts w:ascii="Arial" w:hAnsi="Arial" w:cs="Arial"/>
                <w:sz w:val="24"/>
                <w:szCs w:val="24"/>
                <w:lang w:val="en-US"/>
              </w:rPr>
            </w:pPr>
            <w:r w:rsidRPr="00BA23FB">
              <w:rPr>
                <w:rFonts w:ascii="Arial" w:hAnsi="Arial" w:cs="Arial"/>
                <w:sz w:val="24"/>
                <w:szCs w:val="24"/>
                <w:lang w:val="en-US"/>
              </w:rPr>
              <w:t>7.2</w:t>
            </w:r>
          </w:p>
        </w:tc>
        <w:tc>
          <w:tcPr>
            <w:tcW w:w="0" w:type="auto"/>
            <w:hideMark/>
          </w:tcPr>
          <w:p w14:paraId="394CBCA0" w14:textId="77777777" w:rsidR="00BA23FB" w:rsidRPr="00BA23FB" w:rsidRDefault="00BA23FB" w:rsidP="00BA23FB">
            <w:pPr>
              <w:keepNext/>
              <w:spacing w:line="360" w:lineRule="auto"/>
              <w:jc w:val="both"/>
              <w:rPr>
                <w:rFonts w:ascii="Arial" w:hAnsi="Arial" w:cs="Arial"/>
                <w:sz w:val="24"/>
                <w:szCs w:val="24"/>
                <w:lang w:val="en-US"/>
              </w:rPr>
            </w:pPr>
            <w:r w:rsidRPr="00BA23FB">
              <w:rPr>
                <w:rFonts w:ascii="Arial" w:hAnsi="Arial" w:cs="Arial"/>
                <w:sz w:val="24"/>
                <w:szCs w:val="24"/>
                <w:lang w:val="en-US"/>
              </w:rPr>
              <w:t>8.0</w:t>
            </w:r>
          </w:p>
        </w:tc>
      </w:tr>
    </w:tbl>
    <w:p w14:paraId="4C10CA61" w14:textId="3A0BC028" w:rsidR="00BA23FB" w:rsidRPr="00C823AA" w:rsidRDefault="00BA23FB" w:rsidP="00BA23FB">
      <w:pPr>
        <w:pStyle w:val="Caption"/>
        <w:rPr>
          <w:rFonts w:ascii="Arial" w:hAnsi="Arial" w:cs="Arial"/>
          <w:sz w:val="24"/>
          <w:szCs w:val="24"/>
          <w:lang w:val="en-US"/>
        </w:rPr>
      </w:pPr>
      <w:bookmarkStart w:id="16" w:name="_Toc226785408"/>
      <w:r>
        <w:t xml:space="preserve">Table </w:t>
      </w:r>
      <w:r w:rsidR="002430D6">
        <w:fldChar w:fldCharType="begin"/>
      </w:r>
      <w:r w:rsidR="002430D6">
        <w:instrText xml:space="preserve"> SEQ Table \* ARABIC </w:instrText>
      </w:r>
      <w:r w:rsidR="002430D6">
        <w:fldChar w:fldCharType="separate"/>
      </w:r>
      <w:r w:rsidR="004569A0">
        <w:rPr>
          <w:noProof/>
        </w:rPr>
        <w:t>7</w:t>
      </w:r>
      <w:r w:rsidR="002430D6">
        <w:fldChar w:fldCharType="end"/>
      </w:r>
      <w:r>
        <w:t xml:space="preserve">: </w:t>
      </w:r>
      <w:r w:rsidRPr="00F60397">
        <w:t>Cash Flow Ratios</w:t>
      </w:r>
      <w:bookmarkEnd w:id="16"/>
    </w:p>
    <w:p w14:paraId="7FB09FBE"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Explanation:</w:t>
      </w:r>
    </w:p>
    <w:p w14:paraId="35ED39E7"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The flow of cash has been weak in 2020, but it has been steadily recovering. A high free cash flow in 2023 shows that there is increased efficiency in its operations, but capital expenditure is still high, which restricts its liquidity.</w:t>
      </w:r>
    </w:p>
    <w:p w14:paraId="68D332C0" w14:textId="77A0FEA1" w:rsidR="00C823AA" w:rsidRPr="00C823AA" w:rsidRDefault="00BA23FB" w:rsidP="00BA23FB">
      <w:pPr>
        <w:pStyle w:val="Heading2"/>
        <w:rPr>
          <w:lang w:val="en-US"/>
        </w:rPr>
      </w:pPr>
      <w:bookmarkStart w:id="17" w:name="_Toc226785367"/>
      <w:r>
        <w:rPr>
          <w:lang w:val="en-US"/>
        </w:rPr>
        <w:t>1.3</w:t>
      </w:r>
      <w:r w:rsidR="00C823AA" w:rsidRPr="00C823AA">
        <w:rPr>
          <w:lang w:val="en-US"/>
        </w:rPr>
        <w:t xml:space="preserve"> Trend Analysis</w:t>
      </w:r>
      <w:bookmarkEnd w:id="17"/>
    </w:p>
    <w:p w14:paraId="094ED5CE" w14:textId="2C7B50E6"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Positive Trends</w:t>
      </w:r>
    </w:p>
    <w:p w14:paraId="306D0273" w14:textId="77777777" w:rsidR="00C823AA" w:rsidRPr="00BA23FB" w:rsidRDefault="00C823AA" w:rsidP="00BA23FB">
      <w:pPr>
        <w:pStyle w:val="ListParagraph"/>
        <w:numPr>
          <w:ilvl w:val="0"/>
          <w:numId w:val="49"/>
        </w:numPr>
        <w:spacing w:line="360" w:lineRule="auto"/>
        <w:jc w:val="both"/>
        <w:rPr>
          <w:rFonts w:ascii="Arial" w:hAnsi="Arial" w:cs="Arial"/>
          <w:sz w:val="24"/>
          <w:szCs w:val="24"/>
          <w:lang w:val="en-US"/>
        </w:rPr>
      </w:pPr>
      <w:r w:rsidRPr="00BA23FB">
        <w:rPr>
          <w:rFonts w:ascii="Arial" w:hAnsi="Arial" w:cs="Arial"/>
          <w:b/>
          <w:bCs/>
          <w:sz w:val="24"/>
          <w:szCs w:val="24"/>
          <w:lang w:val="en-US"/>
        </w:rPr>
        <w:t>Revenue Growth:</w:t>
      </w:r>
      <w:r w:rsidRPr="00BA23FB">
        <w:rPr>
          <w:rFonts w:ascii="Arial" w:hAnsi="Arial" w:cs="Arial"/>
          <w:sz w:val="24"/>
          <w:szCs w:val="24"/>
          <w:lang w:val="en-US"/>
        </w:rPr>
        <w:t xml:space="preserve"> Due to EV adoption and luxury brands.</w:t>
      </w:r>
    </w:p>
    <w:p w14:paraId="6103BB9C" w14:textId="77777777" w:rsidR="00C823AA" w:rsidRPr="00BA23FB" w:rsidRDefault="00C823AA" w:rsidP="00BA23FB">
      <w:pPr>
        <w:pStyle w:val="ListParagraph"/>
        <w:numPr>
          <w:ilvl w:val="0"/>
          <w:numId w:val="49"/>
        </w:numPr>
        <w:spacing w:line="360" w:lineRule="auto"/>
        <w:jc w:val="both"/>
        <w:rPr>
          <w:rFonts w:ascii="Arial" w:hAnsi="Arial" w:cs="Arial"/>
          <w:sz w:val="24"/>
          <w:szCs w:val="24"/>
          <w:lang w:val="en-US"/>
        </w:rPr>
      </w:pPr>
      <w:r w:rsidRPr="00BA23FB">
        <w:rPr>
          <w:rFonts w:ascii="Arial" w:hAnsi="Arial" w:cs="Arial"/>
          <w:b/>
          <w:bCs/>
          <w:sz w:val="24"/>
          <w:szCs w:val="24"/>
          <w:lang w:val="en-US"/>
        </w:rPr>
        <w:t>Recovery of profits:</w:t>
      </w:r>
      <w:r w:rsidRPr="00BA23FB">
        <w:rPr>
          <w:rFonts w:ascii="Arial" w:hAnsi="Arial" w:cs="Arial"/>
          <w:sz w:val="24"/>
          <w:szCs w:val="24"/>
          <w:lang w:val="en-US"/>
        </w:rPr>
        <w:t xml:space="preserve"> recovery is robust after the pandemic.</w:t>
      </w:r>
    </w:p>
    <w:p w14:paraId="67413499" w14:textId="77777777" w:rsidR="00C823AA" w:rsidRPr="00BA23FB" w:rsidRDefault="00C823AA" w:rsidP="00BA23FB">
      <w:pPr>
        <w:pStyle w:val="ListParagraph"/>
        <w:numPr>
          <w:ilvl w:val="0"/>
          <w:numId w:val="49"/>
        </w:numPr>
        <w:spacing w:line="360" w:lineRule="auto"/>
        <w:jc w:val="both"/>
        <w:rPr>
          <w:rFonts w:ascii="Arial" w:hAnsi="Arial" w:cs="Arial"/>
          <w:sz w:val="24"/>
          <w:szCs w:val="24"/>
          <w:lang w:val="en-US"/>
        </w:rPr>
      </w:pPr>
      <w:r w:rsidRPr="00BA23FB">
        <w:rPr>
          <w:rFonts w:ascii="Arial" w:hAnsi="Arial" w:cs="Arial"/>
          <w:b/>
          <w:bCs/>
          <w:sz w:val="24"/>
          <w:szCs w:val="24"/>
          <w:lang w:val="en-US"/>
        </w:rPr>
        <w:t>Better Efficiency:</w:t>
      </w:r>
      <w:r w:rsidRPr="00BA23FB">
        <w:rPr>
          <w:rFonts w:ascii="Arial" w:hAnsi="Arial" w:cs="Arial"/>
          <w:sz w:val="24"/>
          <w:szCs w:val="24"/>
          <w:lang w:val="en-US"/>
        </w:rPr>
        <w:t xml:space="preserve"> </w:t>
      </w:r>
      <w:proofErr w:type="spellStart"/>
      <w:r w:rsidRPr="00BA23FB">
        <w:rPr>
          <w:rFonts w:ascii="Arial" w:hAnsi="Arial" w:cs="Arial"/>
          <w:sz w:val="24"/>
          <w:szCs w:val="24"/>
          <w:lang w:val="en-US"/>
        </w:rPr>
        <w:t>Stabilisation</w:t>
      </w:r>
      <w:proofErr w:type="spellEnd"/>
      <w:r w:rsidRPr="00BA23FB">
        <w:rPr>
          <w:rFonts w:ascii="Arial" w:hAnsi="Arial" w:cs="Arial"/>
          <w:sz w:val="24"/>
          <w:szCs w:val="24"/>
          <w:lang w:val="en-US"/>
        </w:rPr>
        <w:t xml:space="preserve"> of the supply chain.</w:t>
      </w:r>
    </w:p>
    <w:p w14:paraId="4B8BC51F" w14:textId="77777777" w:rsidR="00C823AA" w:rsidRPr="00BA23FB" w:rsidRDefault="00C823AA" w:rsidP="00BA23FB">
      <w:pPr>
        <w:pStyle w:val="ListParagraph"/>
        <w:numPr>
          <w:ilvl w:val="0"/>
          <w:numId w:val="49"/>
        </w:numPr>
        <w:spacing w:line="360" w:lineRule="auto"/>
        <w:jc w:val="both"/>
        <w:rPr>
          <w:rFonts w:ascii="Arial" w:hAnsi="Arial" w:cs="Arial"/>
          <w:sz w:val="24"/>
          <w:szCs w:val="24"/>
          <w:lang w:val="en-US"/>
        </w:rPr>
      </w:pPr>
      <w:r w:rsidRPr="00BA23FB">
        <w:rPr>
          <w:rFonts w:ascii="Arial" w:hAnsi="Arial" w:cs="Arial"/>
          <w:b/>
          <w:bCs/>
          <w:sz w:val="24"/>
          <w:szCs w:val="24"/>
          <w:lang w:val="en-US"/>
        </w:rPr>
        <w:t>Good Cash Generation:</w:t>
      </w:r>
      <w:r w:rsidRPr="00BA23FB">
        <w:rPr>
          <w:rFonts w:ascii="Arial" w:hAnsi="Arial" w:cs="Arial"/>
          <w:sz w:val="24"/>
          <w:szCs w:val="24"/>
          <w:lang w:val="en-US"/>
        </w:rPr>
        <w:t xml:space="preserve"> Provides investment in the future.</w:t>
      </w:r>
    </w:p>
    <w:p w14:paraId="4C16138C" w14:textId="593DDC31"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Negative Trends</w:t>
      </w:r>
    </w:p>
    <w:p w14:paraId="05F8C12C" w14:textId="77777777" w:rsidR="00C823AA" w:rsidRPr="00BA23FB" w:rsidRDefault="00C823AA" w:rsidP="00BA23FB">
      <w:pPr>
        <w:pStyle w:val="ListParagraph"/>
        <w:numPr>
          <w:ilvl w:val="0"/>
          <w:numId w:val="50"/>
        </w:numPr>
        <w:spacing w:line="360" w:lineRule="auto"/>
        <w:jc w:val="both"/>
        <w:rPr>
          <w:rFonts w:ascii="Arial" w:hAnsi="Arial" w:cs="Arial"/>
          <w:sz w:val="24"/>
          <w:szCs w:val="24"/>
          <w:lang w:val="en-US"/>
        </w:rPr>
      </w:pPr>
      <w:r w:rsidRPr="00BA23FB">
        <w:rPr>
          <w:rFonts w:ascii="Arial" w:hAnsi="Arial" w:cs="Arial"/>
          <w:b/>
          <w:bCs/>
          <w:sz w:val="24"/>
          <w:szCs w:val="24"/>
          <w:lang w:val="en-US"/>
        </w:rPr>
        <w:t>Margin Pressure:</w:t>
      </w:r>
      <w:r w:rsidRPr="00BA23FB">
        <w:rPr>
          <w:rFonts w:ascii="Arial" w:hAnsi="Arial" w:cs="Arial"/>
          <w:sz w:val="24"/>
          <w:szCs w:val="24"/>
          <w:lang w:val="en-US"/>
        </w:rPr>
        <w:t xml:space="preserve"> EVs are less profitable as compared to ICE vehicles.</w:t>
      </w:r>
    </w:p>
    <w:p w14:paraId="33176A42" w14:textId="77777777" w:rsidR="00C823AA" w:rsidRPr="00BA23FB" w:rsidRDefault="00C823AA" w:rsidP="00BA23FB">
      <w:pPr>
        <w:pStyle w:val="ListParagraph"/>
        <w:numPr>
          <w:ilvl w:val="0"/>
          <w:numId w:val="50"/>
        </w:numPr>
        <w:spacing w:line="360" w:lineRule="auto"/>
        <w:jc w:val="both"/>
        <w:rPr>
          <w:rFonts w:ascii="Arial" w:hAnsi="Arial" w:cs="Arial"/>
          <w:sz w:val="24"/>
          <w:szCs w:val="24"/>
          <w:lang w:val="en-US"/>
        </w:rPr>
      </w:pPr>
      <w:r w:rsidRPr="00BA23FB">
        <w:rPr>
          <w:rFonts w:ascii="Arial" w:hAnsi="Arial" w:cs="Arial"/>
          <w:b/>
          <w:bCs/>
          <w:sz w:val="24"/>
          <w:szCs w:val="24"/>
          <w:lang w:val="en-US"/>
        </w:rPr>
        <w:t>Large Capital Investment:</w:t>
      </w:r>
      <w:r w:rsidRPr="00BA23FB">
        <w:rPr>
          <w:rFonts w:ascii="Arial" w:hAnsi="Arial" w:cs="Arial"/>
          <w:sz w:val="24"/>
          <w:szCs w:val="24"/>
          <w:lang w:val="en-US"/>
        </w:rPr>
        <w:t xml:space="preserve"> Battery facilities and software.</w:t>
      </w:r>
    </w:p>
    <w:p w14:paraId="24544570" w14:textId="77777777" w:rsidR="00C823AA" w:rsidRPr="00BA23FB" w:rsidRDefault="00C823AA" w:rsidP="00BA23FB">
      <w:pPr>
        <w:pStyle w:val="ListParagraph"/>
        <w:numPr>
          <w:ilvl w:val="0"/>
          <w:numId w:val="50"/>
        </w:numPr>
        <w:spacing w:line="360" w:lineRule="auto"/>
        <w:jc w:val="both"/>
        <w:rPr>
          <w:rFonts w:ascii="Arial" w:hAnsi="Arial" w:cs="Arial"/>
          <w:sz w:val="24"/>
          <w:szCs w:val="24"/>
          <w:lang w:val="en-US"/>
        </w:rPr>
      </w:pPr>
      <w:r w:rsidRPr="00BA23FB">
        <w:rPr>
          <w:rFonts w:ascii="Arial" w:hAnsi="Arial" w:cs="Arial"/>
          <w:b/>
          <w:bCs/>
          <w:sz w:val="24"/>
          <w:szCs w:val="24"/>
          <w:lang w:val="en-US"/>
        </w:rPr>
        <w:t>Increased debt on the balance sheet:</w:t>
      </w:r>
      <w:r w:rsidRPr="00BA23FB">
        <w:rPr>
          <w:rFonts w:ascii="Arial" w:hAnsi="Arial" w:cs="Arial"/>
          <w:sz w:val="24"/>
          <w:szCs w:val="24"/>
          <w:lang w:val="en-US"/>
        </w:rPr>
        <w:t xml:space="preserve"> financial risk exposure.</w:t>
      </w:r>
    </w:p>
    <w:p w14:paraId="4FF89CE6" w14:textId="77777777" w:rsidR="00C823AA" w:rsidRPr="00BA23FB" w:rsidRDefault="00C823AA" w:rsidP="00BA23FB">
      <w:pPr>
        <w:pStyle w:val="ListParagraph"/>
        <w:numPr>
          <w:ilvl w:val="0"/>
          <w:numId w:val="50"/>
        </w:numPr>
        <w:spacing w:line="360" w:lineRule="auto"/>
        <w:jc w:val="both"/>
        <w:rPr>
          <w:rFonts w:ascii="Arial" w:hAnsi="Arial" w:cs="Arial"/>
          <w:sz w:val="24"/>
          <w:szCs w:val="24"/>
          <w:lang w:val="en-US"/>
        </w:rPr>
      </w:pPr>
      <w:r w:rsidRPr="00BA23FB">
        <w:rPr>
          <w:rFonts w:ascii="Arial" w:hAnsi="Arial" w:cs="Arial"/>
          <w:b/>
          <w:bCs/>
          <w:sz w:val="24"/>
          <w:szCs w:val="24"/>
          <w:lang w:val="en-US"/>
        </w:rPr>
        <w:t>Competition in the market:</w:t>
      </w:r>
      <w:r w:rsidRPr="00BA23FB">
        <w:rPr>
          <w:rFonts w:ascii="Arial" w:hAnsi="Arial" w:cs="Arial"/>
          <w:sz w:val="24"/>
          <w:szCs w:val="24"/>
          <w:lang w:val="en-US"/>
        </w:rPr>
        <w:t xml:space="preserve"> Growing pressure on the market by Tesla and Chinese EV companies.</w:t>
      </w:r>
    </w:p>
    <w:p w14:paraId="0FA7FAC6" w14:textId="6FAE4FA0" w:rsidR="00C823AA" w:rsidRPr="00C823AA" w:rsidRDefault="00BA23FB" w:rsidP="00BA23FB">
      <w:pPr>
        <w:pStyle w:val="Heading2"/>
        <w:rPr>
          <w:lang w:val="en-US"/>
        </w:rPr>
      </w:pPr>
      <w:bookmarkStart w:id="18" w:name="_Toc226785368"/>
      <w:r>
        <w:rPr>
          <w:lang w:val="en-US"/>
        </w:rPr>
        <w:lastRenderedPageBreak/>
        <w:t>1.4</w:t>
      </w:r>
      <w:r w:rsidR="00C823AA" w:rsidRPr="00C823AA">
        <w:rPr>
          <w:lang w:val="en-US"/>
        </w:rPr>
        <w:t xml:space="preserve"> Strengths Identified</w:t>
      </w:r>
      <w:bookmarkEnd w:id="18"/>
    </w:p>
    <w:p w14:paraId="3A4C41E4"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1. Strong Market Position</w:t>
      </w:r>
    </w:p>
    <w:p w14:paraId="1A889801"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VW continues to be one of the biggest automakers in the world with diversification (VW, Audi, and Porsche), which brings about revenue stability.</w:t>
      </w:r>
    </w:p>
    <w:p w14:paraId="053C1F7B"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 Robust Cash Flow</w:t>
      </w:r>
    </w:p>
    <w:p w14:paraId="6E905F3D"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Stable operating cash flow will aid in long-term investments and dividend payments.</w:t>
      </w:r>
    </w:p>
    <w:p w14:paraId="33A291C9"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3. Strategic EV Investment</w:t>
      </w:r>
    </w:p>
    <w:p w14:paraId="7EBF91C6"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The efforts of Volkswagen towards electrification make it well-placed to grow its demand in the future (The Economist, 2023).</w:t>
      </w:r>
    </w:p>
    <w:p w14:paraId="16485D42"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4. Operational Recovery</w:t>
      </w:r>
    </w:p>
    <w:p w14:paraId="712E580F"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Costs are managed, and there is resilience in recovery in the aftermath of COVID.</w:t>
      </w:r>
    </w:p>
    <w:p w14:paraId="19F5224D" w14:textId="57BBD4A2" w:rsidR="00C823AA" w:rsidRPr="00C823AA" w:rsidRDefault="00BA23FB" w:rsidP="00BA23FB">
      <w:pPr>
        <w:pStyle w:val="Heading2"/>
        <w:rPr>
          <w:lang w:val="en-US"/>
        </w:rPr>
      </w:pPr>
      <w:bookmarkStart w:id="19" w:name="_Toc226785369"/>
      <w:r>
        <w:rPr>
          <w:lang w:val="en-US"/>
        </w:rPr>
        <w:t>1.5</w:t>
      </w:r>
      <w:r w:rsidR="00C823AA" w:rsidRPr="00C823AA">
        <w:rPr>
          <w:lang w:val="en-US"/>
        </w:rPr>
        <w:t xml:space="preserve"> Key Financial Threats</w:t>
      </w:r>
      <w:bookmarkEnd w:id="19"/>
    </w:p>
    <w:p w14:paraId="6C319858"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1. EV Profitability Challenge</w:t>
      </w:r>
    </w:p>
    <w:p w14:paraId="45AE66E6"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Price competition and battery costs lower the margins, and EV transition is challenging to finance.</w:t>
      </w:r>
    </w:p>
    <w:p w14:paraId="4EAE5401"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2. High Leverage Risk</w:t>
      </w:r>
    </w:p>
    <w:p w14:paraId="10D98B06"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The growing debt may affect financial flexibility, particularly with an increase in the interest rates.</w:t>
      </w:r>
    </w:p>
    <w:p w14:paraId="04B724CC"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3. Technology Investment Risk</w:t>
      </w:r>
    </w:p>
    <w:p w14:paraId="010B61C2"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The large investment in software (Cariad) has not paid off (Financial Times, 2023).</w:t>
      </w:r>
    </w:p>
    <w:p w14:paraId="2CB1F312" w14:textId="77777777" w:rsidR="00C823AA" w:rsidRPr="00C823AA" w:rsidRDefault="00C823AA" w:rsidP="00C823AA">
      <w:pPr>
        <w:spacing w:line="360" w:lineRule="auto"/>
        <w:jc w:val="both"/>
        <w:rPr>
          <w:rFonts w:ascii="Arial" w:hAnsi="Arial" w:cs="Arial"/>
          <w:b/>
          <w:bCs/>
          <w:sz w:val="24"/>
          <w:szCs w:val="24"/>
          <w:lang w:val="en-US"/>
        </w:rPr>
      </w:pPr>
      <w:r w:rsidRPr="00C823AA">
        <w:rPr>
          <w:rFonts w:ascii="Arial" w:hAnsi="Arial" w:cs="Arial"/>
          <w:b/>
          <w:bCs/>
          <w:sz w:val="24"/>
          <w:szCs w:val="24"/>
          <w:lang w:val="en-US"/>
        </w:rPr>
        <w:t>4. Global Economic Uncertainty</w:t>
      </w:r>
    </w:p>
    <w:p w14:paraId="41C6B7BB"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Ongoing risks are inflation, geopolitical tensions and supply chain disruptions.</w:t>
      </w:r>
    </w:p>
    <w:p w14:paraId="7F835D21" w14:textId="18B4B3FD" w:rsidR="00C823AA" w:rsidRPr="00C823AA" w:rsidRDefault="00BA23FB" w:rsidP="00BA23FB">
      <w:pPr>
        <w:pStyle w:val="Heading2"/>
        <w:rPr>
          <w:lang w:val="en-US"/>
        </w:rPr>
      </w:pPr>
      <w:bookmarkStart w:id="20" w:name="_Toc226785370"/>
      <w:r>
        <w:rPr>
          <w:lang w:val="en-US"/>
        </w:rPr>
        <w:t>1.6</w:t>
      </w:r>
      <w:r w:rsidR="00C823AA" w:rsidRPr="00C823AA">
        <w:rPr>
          <w:lang w:val="en-US"/>
        </w:rPr>
        <w:t xml:space="preserve"> Critical Evaluation</w:t>
      </w:r>
      <w:bookmarkEnd w:id="20"/>
    </w:p>
    <w:p w14:paraId="6D98BB90"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Strategically finance-wise, the financial well-being of Volkswagen could be said to be stable with pressure to change. Although conventional business is still profitable, transition to EVs creates structural issues.</w:t>
      </w:r>
    </w:p>
    <w:p w14:paraId="176077D4"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lastRenderedPageBreak/>
        <w:t>Legacy automakers such as Volkswagen are burdened with a dual cost, according to Bloomberg (2023), as they are, on the one hand, struggling to keep the ICEs running, but on the other, spending lots of money to prepare EV infrastructure. This suffers from short-term financial pressure, although in the long run the growth potential exists.</w:t>
      </w:r>
    </w:p>
    <w:p w14:paraId="6AE1C4DF"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According to academic literature (Porter &amp; Heppelmann, 2022), the digital change in automotive sectors needs to be highly invested, but returns on the initial investments are delayed, which also corresponds to the current financial trend of Volkswagen.</w:t>
      </w:r>
    </w:p>
    <w:p w14:paraId="33607797"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 xml:space="preserve">Financial analysis of Volkswagen in the last five years indicates that the company is in the process of a great strategic change. Although the financial strength is </w:t>
      </w:r>
      <w:proofErr w:type="spellStart"/>
      <w:r w:rsidRPr="00C823AA">
        <w:rPr>
          <w:rFonts w:ascii="Arial" w:hAnsi="Arial" w:cs="Arial"/>
          <w:sz w:val="24"/>
          <w:szCs w:val="24"/>
          <w:lang w:val="en-US"/>
        </w:rPr>
        <w:t>emphasised</w:t>
      </w:r>
      <w:proofErr w:type="spellEnd"/>
      <w:r w:rsidRPr="00C823AA">
        <w:rPr>
          <w:rFonts w:ascii="Arial" w:hAnsi="Arial" w:cs="Arial"/>
          <w:sz w:val="24"/>
          <w:szCs w:val="24"/>
          <w:lang w:val="en-US"/>
        </w:rPr>
        <w:t xml:space="preserve"> by the growth of revenues, high cash flows, and operational resilience, the decrease in the margins, high leverage, and costs of EV transition are very critical risks.</w:t>
      </w:r>
    </w:p>
    <w:p w14:paraId="16D89BEC"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On the whole, Volkswagen is financially sound but has to concentrate on:</w:t>
      </w:r>
    </w:p>
    <w:p w14:paraId="0EE26BD4" w14:textId="77777777" w:rsidR="00C823AA" w:rsidRPr="00BA23FB" w:rsidRDefault="00C823AA" w:rsidP="00BA23FB">
      <w:pPr>
        <w:pStyle w:val="ListParagraph"/>
        <w:numPr>
          <w:ilvl w:val="0"/>
          <w:numId w:val="51"/>
        </w:numPr>
        <w:spacing w:line="360" w:lineRule="auto"/>
        <w:jc w:val="both"/>
        <w:rPr>
          <w:rFonts w:ascii="Arial" w:hAnsi="Arial" w:cs="Arial"/>
          <w:sz w:val="24"/>
          <w:szCs w:val="24"/>
          <w:lang w:val="en-US"/>
        </w:rPr>
      </w:pPr>
      <w:r w:rsidRPr="00BA23FB">
        <w:rPr>
          <w:rFonts w:ascii="Arial" w:hAnsi="Arial" w:cs="Arial"/>
          <w:sz w:val="24"/>
          <w:szCs w:val="24"/>
          <w:lang w:val="en-US"/>
        </w:rPr>
        <w:t>Improving EV profitability</w:t>
      </w:r>
    </w:p>
    <w:p w14:paraId="1F4F553F" w14:textId="77777777" w:rsidR="00C823AA" w:rsidRPr="00BA23FB" w:rsidRDefault="00C823AA" w:rsidP="00BA23FB">
      <w:pPr>
        <w:pStyle w:val="ListParagraph"/>
        <w:numPr>
          <w:ilvl w:val="0"/>
          <w:numId w:val="51"/>
        </w:numPr>
        <w:spacing w:line="360" w:lineRule="auto"/>
        <w:jc w:val="both"/>
        <w:rPr>
          <w:rFonts w:ascii="Arial" w:hAnsi="Arial" w:cs="Arial"/>
          <w:sz w:val="24"/>
          <w:szCs w:val="24"/>
          <w:lang w:val="en-US"/>
        </w:rPr>
      </w:pPr>
      <w:proofErr w:type="spellStart"/>
      <w:r w:rsidRPr="00BA23FB">
        <w:rPr>
          <w:rFonts w:ascii="Arial" w:hAnsi="Arial" w:cs="Arial"/>
          <w:sz w:val="24"/>
          <w:szCs w:val="24"/>
          <w:lang w:val="en-US"/>
        </w:rPr>
        <w:t>Optimising</w:t>
      </w:r>
      <w:proofErr w:type="spellEnd"/>
      <w:r w:rsidRPr="00BA23FB">
        <w:rPr>
          <w:rFonts w:ascii="Arial" w:hAnsi="Arial" w:cs="Arial"/>
          <w:sz w:val="24"/>
          <w:szCs w:val="24"/>
          <w:lang w:val="en-US"/>
        </w:rPr>
        <w:t xml:space="preserve"> capital allocation</w:t>
      </w:r>
    </w:p>
    <w:p w14:paraId="41861253" w14:textId="77777777" w:rsidR="00C823AA" w:rsidRPr="00BA23FB" w:rsidRDefault="00C823AA" w:rsidP="00BA23FB">
      <w:pPr>
        <w:pStyle w:val="ListParagraph"/>
        <w:numPr>
          <w:ilvl w:val="0"/>
          <w:numId w:val="51"/>
        </w:numPr>
        <w:spacing w:line="360" w:lineRule="auto"/>
        <w:jc w:val="both"/>
        <w:rPr>
          <w:rFonts w:ascii="Arial" w:hAnsi="Arial" w:cs="Arial"/>
          <w:sz w:val="24"/>
          <w:szCs w:val="24"/>
          <w:lang w:val="en-US"/>
        </w:rPr>
      </w:pPr>
      <w:r w:rsidRPr="00BA23FB">
        <w:rPr>
          <w:rFonts w:ascii="Arial" w:hAnsi="Arial" w:cs="Arial"/>
          <w:sz w:val="24"/>
          <w:szCs w:val="24"/>
          <w:lang w:val="en-US"/>
        </w:rPr>
        <w:t>Enhancing balance sheet resiliency.</w:t>
      </w:r>
    </w:p>
    <w:p w14:paraId="4F79DC15" w14:textId="77777777" w:rsidR="00C823AA" w:rsidRPr="00C823AA" w:rsidRDefault="00C823AA" w:rsidP="00C823AA">
      <w:pPr>
        <w:spacing w:line="360" w:lineRule="auto"/>
        <w:jc w:val="both"/>
        <w:rPr>
          <w:rFonts w:ascii="Arial" w:hAnsi="Arial" w:cs="Arial"/>
          <w:sz w:val="24"/>
          <w:szCs w:val="24"/>
          <w:lang w:val="en-US"/>
        </w:rPr>
      </w:pPr>
      <w:r w:rsidRPr="00C823AA">
        <w:rPr>
          <w:rFonts w:ascii="Arial" w:hAnsi="Arial" w:cs="Arial"/>
          <w:sz w:val="24"/>
          <w:szCs w:val="24"/>
          <w:lang w:val="en-US"/>
        </w:rPr>
        <w:t>This financial health check would be a good basis towards formulating a financial turnaround and investment strategy in the following phase.</w:t>
      </w:r>
    </w:p>
    <w:p w14:paraId="0CF8B3B7" w14:textId="2E80DA83" w:rsidR="00D115FA" w:rsidRPr="003227C7" w:rsidRDefault="00D115FA" w:rsidP="00E53CF8">
      <w:pPr>
        <w:pStyle w:val="Heading1"/>
      </w:pPr>
      <w:bookmarkStart w:id="21" w:name="_Toc226785371"/>
      <w:r w:rsidRPr="00840E24">
        <w:rPr>
          <w:rStyle w:val="Heading1Char"/>
          <w:b/>
        </w:rPr>
        <w:t>2.</w:t>
      </w:r>
      <w:r>
        <w:rPr>
          <w:rStyle w:val="Heading1Char"/>
          <w:b/>
        </w:rPr>
        <w:t xml:space="preserve"> </w:t>
      </w:r>
      <w:r w:rsidR="004453FF" w:rsidRPr="004453FF">
        <w:rPr>
          <w:rStyle w:val="Heading1Char"/>
          <w:b/>
        </w:rPr>
        <w:t>Working Capital Management Analysis of Volkswagen Group</w:t>
      </w:r>
      <w:bookmarkEnd w:id="21"/>
    </w:p>
    <w:p w14:paraId="6A504E94" w14:textId="0986D575" w:rsidR="00E53CF8" w:rsidRPr="00E53CF8" w:rsidRDefault="004453FF" w:rsidP="00E53CF8">
      <w:pPr>
        <w:pStyle w:val="Heading2"/>
        <w:rPr>
          <w:lang w:val="en-US"/>
        </w:rPr>
      </w:pPr>
      <w:bookmarkStart w:id="22" w:name="_Toc226785372"/>
      <w:r w:rsidRPr="004453FF">
        <w:rPr>
          <w:lang w:val="en-US"/>
        </w:rPr>
        <w:t>2.1 Cash Operating Cycle (CCC) Assessment</w:t>
      </w:r>
      <w:bookmarkEnd w:id="22"/>
    </w:p>
    <w:p w14:paraId="00D43951" w14:textId="10DE81F9" w:rsidR="00E53CF8" w:rsidRPr="00E53CF8" w:rsidRDefault="006B4FBD" w:rsidP="00E53CF8">
      <w:pPr>
        <w:spacing w:before="240" w:line="360" w:lineRule="auto"/>
        <w:jc w:val="both"/>
        <w:rPr>
          <w:rFonts w:ascii="Arial" w:hAnsi="Arial" w:cs="Arial"/>
          <w:bCs/>
          <w:sz w:val="24"/>
          <w:szCs w:val="24"/>
          <w:lang w:val="en-US"/>
        </w:rPr>
      </w:pPr>
      <w:r w:rsidRPr="006B4FBD">
        <w:rPr>
          <w:rFonts w:ascii="Arial" w:hAnsi="Arial" w:cs="Arial"/>
          <w:bCs/>
          <w:sz w:val="24"/>
          <w:szCs w:val="24"/>
          <w:lang w:val="en-US"/>
        </w:rPr>
        <w:t>The cash operating cycle (CCC) measures the time required for Volkswagen to convert its investment in inventory and receivables into cash inflow. It is calculated as:</w:t>
      </w:r>
    </w:p>
    <w:p w14:paraId="68A787C7" w14:textId="612F94D4" w:rsidR="00E53CF8" w:rsidRPr="00E53CF8" w:rsidRDefault="006B4FBD" w:rsidP="00E53CF8">
      <w:pPr>
        <w:spacing w:before="240" w:line="360" w:lineRule="auto"/>
        <w:jc w:val="center"/>
        <w:rPr>
          <w:rFonts w:ascii="Arial" w:hAnsi="Arial" w:cs="Arial"/>
          <w:bCs/>
          <w:sz w:val="24"/>
          <w:szCs w:val="24"/>
          <w:lang w:val="en-US"/>
        </w:rPr>
      </w:pPr>
      <w:r w:rsidRPr="006B4FBD">
        <w:rPr>
          <w:rFonts w:ascii="Arial" w:hAnsi="Arial" w:cs="Arial"/>
          <w:b/>
          <w:sz w:val="24"/>
          <w:szCs w:val="24"/>
          <w:lang w:val="en-US"/>
        </w:rPr>
        <w:t xml:space="preserve">CCC </w:t>
      </w:r>
      <w:r w:rsidR="00E53CF8" w:rsidRPr="00E53CF8">
        <w:rPr>
          <w:rFonts w:ascii="Arial" w:hAnsi="Arial" w:cs="Arial"/>
          <w:b/>
          <w:sz w:val="24"/>
          <w:szCs w:val="24"/>
          <w:lang w:val="en-US"/>
        </w:rPr>
        <w:t>=</w:t>
      </w:r>
      <w:r w:rsidR="00E53CF8" w:rsidRPr="00E53CF8">
        <w:rPr>
          <w:rFonts w:ascii="Arial" w:hAnsi="Arial" w:cs="Arial"/>
          <w:bCs/>
          <w:sz w:val="24"/>
          <w:szCs w:val="24"/>
          <w:lang w:val="en-US"/>
        </w:rPr>
        <w:t xml:space="preserve"> </w:t>
      </w:r>
      <w:r w:rsidRPr="006B4FBD">
        <w:rPr>
          <w:rFonts w:ascii="Arial" w:hAnsi="Arial" w:cs="Arial"/>
          <w:bCs/>
          <w:sz w:val="24"/>
          <w:szCs w:val="24"/>
          <w:lang w:val="en-US"/>
        </w:rPr>
        <w:t>Days Inventory Outstanding (DIO) + Days Sales Outstanding (DSO) - Days Payables Outstanding (DPO)</w:t>
      </w:r>
      <w:r w:rsidR="00E53CF8" w:rsidRPr="00E53CF8">
        <w:rPr>
          <w:rFonts w:ascii="Arial" w:hAnsi="Arial" w:cs="Arial"/>
          <w:bCs/>
          <w:sz w:val="24"/>
          <w:szCs w:val="24"/>
          <w:lang w:val="en-US"/>
        </w:rPr>
        <w:t>.</w:t>
      </w:r>
    </w:p>
    <w:tbl>
      <w:tblPr>
        <w:tblStyle w:val="TableGrid"/>
        <w:tblW w:w="0" w:type="auto"/>
        <w:tblLook w:val="04A0" w:firstRow="1" w:lastRow="0" w:firstColumn="1" w:lastColumn="0" w:noHBand="0" w:noVBand="1"/>
      </w:tblPr>
      <w:tblGrid>
        <w:gridCol w:w="2897"/>
        <w:gridCol w:w="2484"/>
      </w:tblGrid>
      <w:tr w:rsidR="006B4FBD" w:rsidRPr="006B4FBD" w14:paraId="77888F56" w14:textId="77777777" w:rsidTr="006B4FBD">
        <w:tc>
          <w:tcPr>
            <w:tcW w:w="0" w:type="auto"/>
            <w:hideMark/>
          </w:tcPr>
          <w:p w14:paraId="04294EFD" w14:textId="77777777" w:rsidR="006B4FBD" w:rsidRPr="006B4FBD" w:rsidRDefault="006B4FBD" w:rsidP="006B4FBD">
            <w:pPr>
              <w:spacing w:before="240" w:line="360" w:lineRule="auto"/>
              <w:jc w:val="both"/>
              <w:rPr>
                <w:rFonts w:ascii="Arial" w:hAnsi="Arial" w:cs="Arial"/>
                <w:b/>
                <w:bCs/>
                <w:sz w:val="24"/>
                <w:szCs w:val="24"/>
                <w:lang w:val="en-US"/>
              </w:rPr>
            </w:pPr>
            <w:r w:rsidRPr="006B4FBD">
              <w:rPr>
                <w:rFonts w:ascii="Arial" w:hAnsi="Arial" w:cs="Arial"/>
                <w:b/>
                <w:bCs/>
                <w:sz w:val="24"/>
                <w:szCs w:val="24"/>
                <w:lang w:val="en-US"/>
              </w:rPr>
              <w:t>Component</w:t>
            </w:r>
          </w:p>
        </w:tc>
        <w:tc>
          <w:tcPr>
            <w:tcW w:w="0" w:type="auto"/>
            <w:hideMark/>
          </w:tcPr>
          <w:p w14:paraId="3FC80585" w14:textId="77777777" w:rsidR="006B4FBD" w:rsidRPr="006B4FBD" w:rsidRDefault="006B4FBD" w:rsidP="006B4FBD">
            <w:pPr>
              <w:spacing w:before="240" w:line="360" w:lineRule="auto"/>
              <w:jc w:val="both"/>
              <w:rPr>
                <w:rFonts w:ascii="Arial" w:hAnsi="Arial" w:cs="Arial"/>
                <w:b/>
                <w:bCs/>
                <w:sz w:val="24"/>
                <w:szCs w:val="24"/>
                <w:lang w:val="en-US"/>
              </w:rPr>
            </w:pPr>
            <w:r w:rsidRPr="006B4FBD">
              <w:rPr>
                <w:rFonts w:ascii="Arial" w:hAnsi="Arial" w:cs="Arial"/>
                <w:b/>
                <w:bCs/>
                <w:sz w:val="24"/>
                <w:szCs w:val="24"/>
                <w:lang w:val="en-US"/>
              </w:rPr>
              <w:t>Days (2025 approx.)</w:t>
            </w:r>
          </w:p>
        </w:tc>
      </w:tr>
      <w:tr w:rsidR="006B4FBD" w:rsidRPr="006B4FBD" w14:paraId="4F6D4EB0" w14:textId="77777777" w:rsidTr="006B4FBD">
        <w:tc>
          <w:tcPr>
            <w:tcW w:w="0" w:type="auto"/>
            <w:hideMark/>
          </w:tcPr>
          <w:p w14:paraId="4CEFD625"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lastRenderedPageBreak/>
              <w:t>Days Inventory (DIO)</w:t>
            </w:r>
          </w:p>
        </w:tc>
        <w:tc>
          <w:tcPr>
            <w:tcW w:w="0" w:type="auto"/>
            <w:hideMark/>
          </w:tcPr>
          <w:p w14:paraId="27F725AE"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74.3 days</w:t>
            </w:r>
          </w:p>
        </w:tc>
      </w:tr>
      <w:tr w:rsidR="006B4FBD" w:rsidRPr="006B4FBD" w14:paraId="51650049" w14:textId="77777777" w:rsidTr="006B4FBD">
        <w:tc>
          <w:tcPr>
            <w:tcW w:w="0" w:type="auto"/>
            <w:hideMark/>
          </w:tcPr>
          <w:p w14:paraId="2F70A4E8"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Days Receivables (DSO)</w:t>
            </w:r>
          </w:p>
        </w:tc>
        <w:tc>
          <w:tcPr>
            <w:tcW w:w="0" w:type="auto"/>
            <w:hideMark/>
          </w:tcPr>
          <w:p w14:paraId="0F733280"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101.6 days</w:t>
            </w:r>
          </w:p>
        </w:tc>
      </w:tr>
      <w:tr w:rsidR="006B4FBD" w:rsidRPr="006B4FBD" w14:paraId="730EE7D9" w14:textId="77777777" w:rsidTr="006B4FBD">
        <w:tc>
          <w:tcPr>
            <w:tcW w:w="0" w:type="auto"/>
            <w:hideMark/>
          </w:tcPr>
          <w:p w14:paraId="2AC8DBAB"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Days Payables (DPO)</w:t>
            </w:r>
          </w:p>
        </w:tc>
        <w:tc>
          <w:tcPr>
            <w:tcW w:w="0" w:type="auto"/>
            <w:hideMark/>
          </w:tcPr>
          <w:p w14:paraId="769FFF37"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42.3 days</w:t>
            </w:r>
          </w:p>
        </w:tc>
      </w:tr>
      <w:tr w:rsidR="006B4FBD" w:rsidRPr="006B4FBD" w14:paraId="28AC1B70" w14:textId="77777777" w:rsidTr="006B4FBD">
        <w:tc>
          <w:tcPr>
            <w:tcW w:w="0" w:type="auto"/>
            <w:hideMark/>
          </w:tcPr>
          <w:p w14:paraId="1DE16E3D"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
                <w:bCs/>
                <w:sz w:val="24"/>
                <w:szCs w:val="24"/>
                <w:lang w:val="en-US"/>
              </w:rPr>
              <w:t>Cash Conversion Cycle</w:t>
            </w:r>
          </w:p>
        </w:tc>
        <w:tc>
          <w:tcPr>
            <w:tcW w:w="0" w:type="auto"/>
            <w:hideMark/>
          </w:tcPr>
          <w:p w14:paraId="6C4EDE1E" w14:textId="77777777" w:rsidR="006B4FBD" w:rsidRPr="006B4FBD" w:rsidRDefault="006B4FBD" w:rsidP="006B4FBD">
            <w:pPr>
              <w:keepNext/>
              <w:spacing w:before="240" w:line="360" w:lineRule="auto"/>
              <w:jc w:val="both"/>
              <w:rPr>
                <w:rFonts w:ascii="Arial" w:hAnsi="Arial" w:cs="Arial"/>
                <w:bCs/>
                <w:sz w:val="24"/>
                <w:szCs w:val="24"/>
                <w:lang w:val="en-US"/>
              </w:rPr>
            </w:pPr>
            <w:r w:rsidRPr="006B4FBD">
              <w:rPr>
                <w:rFonts w:ascii="Arial" w:hAnsi="Arial" w:cs="Arial"/>
                <w:b/>
                <w:bCs/>
                <w:sz w:val="24"/>
                <w:szCs w:val="24"/>
                <w:lang w:val="en-US"/>
              </w:rPr>
              <w:t>≈ 133.6 days</w:t>
            </w:r>
          </w:p>
        </w:tc>
      </w:tr>
    </w:tbl>
    <w:p w14:paraId="1865E7EB" w14:textId="76B62491" w:rsidR="006B4FBD" w:rsidRDefault="006B4FBD" w:rsidP="006B4FBD">
      <w:pPr>
        <w:pStyle w:val="Caption"/>
        <w:rPr>
          <w:rFonts w:ascii="Arial" w:hAnsi="Arial" w:cs="Arial"/>
          <w:bCs/>
          <w:sz w:val="24"/>
          <w:szCs w:val="24"/>
          <w:lang w:val="en-US"/>
        </w:rPr>
      </w:pPr>
      <w:bookmarkStart w:id="23" w:name="_Toc226785409"/>
      <w:r>
        <w:t xml:space="preserve">Table </w:t>
      </w:r>
      <w:r w:rsidR="002430D6">
        <w:fldChar w:fldCharType="begin"/>
      </w:r>
      <w:r w:rsidR="002430D6">
        <w:instrText xml:space="preserve"> SEQ Table \* ARABIC </w:instrText>
      </w:r>
      <w:r w:rsidR="002430D6">
        <w:fldChar w:fldCharType="separate"/>
      </w:r>
      <w:r w:rsidR="004569A0">
        <w:rPr>
          <w:noProof/>
        </w:rPr>
        <w:t>8</w:t>
      </w:r>
      <w:r w:rsidR="002430D6">
        <w:fldChar w:fldCharType="end"/>
      </w:r>
      <w:r>
        <w:t xml:space="preserve">: </w:t>
      </w:r>
      <w:r w:rsidRPr="00A81AAF">
        <w:t>Volkswagen CCC</w:t>
      </w:r>
      <w:bookmarkEnd w:id="23"/>
    </w:p>
    <w:p w14:paraId="7E10D5B3" w14:textId="0F54C709" w:rsidR="00E53CF8" w:rsidRDefault="006B4FBD" w:rsidP="00E53CF8">
      <w:pPr>
        <w:spacing w:before="240" w:line="360" w:lineRule="auto"/>
        <w:jc w:val="both"/>
        <w:rPr>
          <w:rFonts w:ascii="Arial" w:hAnsi="Arial" w:cs="Arial"/>
          <w:bCs/>
          <w:sz w:val="24"/>
          <w:szCs w:val="24"/>
          <w:lang w:val="en-US"/>
        </w:rPr>
      </w:pPr>
      <w:r w:rsidRPr="006B4FBD">
        <w:rPr>
          <w:rFonts w:ascii="Arial" w:hAnsi="Arial" w:cs="Arial"/>
          <w:bCs/>
          <w:sz w:val="24"/>
          <w:szCs w:val="24"/>
          <w:lang w:val="en-US"/>
        </w:rPr>
        <w:t>Volkswagen's CCC is approximately 134 days, indicating that cash is tied up in operations for over four months before being recovered (</w:t>
      </w:r>
      <w:proofErr w:type="spellStart"/>
      <w:r w:rsidRPr="006B4FBD">
        <w:rPr>
          <w:rFonts w:ascii="Arial" w:hAnsi="Arial" w:cs="Arial"/>
          <w:bCs/>
          <w:sz w:val="24"/>
          <w:szCs w:val="24"/>
          <w:lang w:val="en-US"/>
        </w:rPr>
        <w:t>GuruFocus</w:t>
      </w:r>
      <w:proofErr w:type="spellEnd"/>
      <w:r w:rsidRPr="006B4FBD">
        <w:rPr>
          <w:rFonts w:ascii="Arial" w:hAnsi="Arial" w:cs="Arial"/>
          <w:bCs/>
          <w:sz w:val="24"/>
          <w:szCs w:val="24"/>
          <w:lang w:val="en-US"/>
        </w:rPr>
        <w:t>, 2025).</w:t>
      </w:r>
    </w:p>
    <w:p w14:paraId="71AB596F" w14:textId="77777777" w:rsidR="004D3F33" w:rsidRPr="004D3F33" w:rsidRDefault="004D3F33" w:rsidP="004D3F33">
      <w:pPr>
        <w:spacing w:before="240" w:line="360" w:lineRule="auto"/>
        <w:jc w:val="both"/>
        <w:rPr>
          <w:rFonts w:ascii="Arial" w:hAnsi="Arial" w:cs="Arial"/>
          <w:b/>
          <w:sz w:val="24"/>
          <w:szCs w:val="24"/>
          <w:lang w:val="en-US"/>
        </w:rPr>
      </w:pPr>
      <w:r w:rsidRPr="004D3F33">
        <w:rPr>
          <w:rFonts w:ascii="Arial" w:hAnsi="Arial" w:cs="Arial"/>
          <w:b/>
          <w:sz w:val="24"/>
          <w:szCs w:val="24"/>
          <w:lang w:val="en-US"/>
        </w:rPr>
        <w:t>Interpretation</w:t>
      </w:r>
    </w:p>
    <w:p w14:paraId="6BFA55D6" w14:textId="64D21DB6"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1. Long Cash Conversion Cycle</w:t>
      </w:r>
    </w:p>
    <w:p w14:paraId="7DBBD1D3"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The 134 days of CCC are quite high in comparison with efficient companies like Tesla that tend to work with a negative CCC. This indicates a high inventory holding as a result of vehicle manufacturing cycles and long receivables as a result of dealer financing and leasing schemes (Bloomberg, 2023).</w:t>
      </w:r>
    </w:p>
    <w:p w14:paraId="296D78D3" w14:textId="77777777"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2. Inventory-Heavy Business Model</w:t>
      </w:r>
    </w:p>
    <w:p w14:paraId="67C10327"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The auto manufacturing industry demands a lot of investment in raw materials (steel, semiconductors, EV batteries), work-in-progress automobiles and finished products. The number of inventory days (~74 days) at Volkswagen is indicative of the intricacy of global production and logistic networks (MarketLine, 2023).</w:t>
      </w:r>
    </w:p>
    <w:p w14:paraId="72A2DA76" w14:textId="77777777"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3. Receivables Pressure</w:t>
      </w:r>
    </w:p>
    <w:p w14:paraId="6CA3E543"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The large DSO (~101 days) is also affected with significant impact by the financial services division of Volkswagen, which offers leasing and credit facilities. It brings more revenue and postpones cash inflows (Volkswagen AG, 2024).</w:t>
      </w:r>
    </w:p>
    <w:p w14:paraId="669F3A0B" w14:textId="6BCACCD8"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4. Minimal Supplier Financing Benefit</w:t>
      </w:r>
    </w:p>
    <w:p w14:paraId="058297D5"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lastRenderedPageBreak/>
        <w:t xml:space="preserve">The payables (~42 days) are also low compared to the other main automotive industry players, implying that Volkswagen is not </w:t>
      </w:r>
      <w:proofErr w:type="spellStart"/>
      <w:r w:rsidRPr="006B4FBD">
        <w:rPr>
          <w:rFonts w:ascii="Arial" w:hAnsi="Arial" w:cs="Arial"/>
          <w:bCs/>
          <w:sz w:val="24"/>
          <w:szCs w:val="24"/>
          <w:lang w:val="en-US"/>
        </w:rPr>
        <w:t>maximising</w:t>
      </w:r>
      <w:proofErr w:type="spellEnd"/>
      <w:r w:rsidRPr="006B4FBD">
        <w:rPr>
          <w:rFonts w:ascii="Arial" w:hAnsi="Arial" w:cs="Arial"/>
          <w:bCs/>
          <w:sz w:val="24"/>
          <w:szCs w:val="24"/>
          <w:lang w:val="en-US"/>
        </w:rPr>
        <w:t xml:space="preserve"> the use of supplier credit to </w:t>
      </w:r>
      <w:proofErr w:type="spellStart"/>
      <w:r w:rsidRPr="006B4FBD">
        <w:rPr>
          <w:rFonts w:ascii="Arial" w:hAnsi="Arial" w:cs="Arial"/>
          <w:bCs/>
          <w:sz w:val="24"/>
          <w:szCs w:val="24"/>
          <w:lang w:val="en-US"/>
        </w:rPr>
        <w:t>maximise</w:t>
      </w:r>
      <w:proofErr w:type="spellEnd"/>
      <w:r w:rsidRPr="006B4FBD">
        <w:rPr>
          <w:rFonts w:ascii="Arial" w:hAnsi="Arial" w:cs="Arial"/>
          <w:bCs/>
          <w:sz w:val="24"/>
          <w:szCs w:val="24"/>
          <w:lang w:val="en-US"/>
        </w:rPr>
        <w:t xml:space="preserve"> liquidity (Statista, 2024).</w:t>
      </w:r>
    </w:p>
    <w:p w14:paraId="7E078611" w14:textId="443B37F1"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Working capital trends based on annual reports</w:t>
      </w:r>
      <w:r w:rsidR="00A61DB5" w:rsidRPr="00A61DB5">
        <w:rPr>
          <w:rFonts w:ascii="Arial" w:hAnsi="Arial" w:cs="Arial"/>
          <w:b/>
          <w:sz w:val="24"/>
          <w:szCs w:val="24"/>
          <w:lang w:val="en-US"/>
        </w:rPr>
        <w:t>:</w:t>
      </w:r>
    </w:p>
    <w:p w14:paraId="01AF2328"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The volatility of Volkswagen working capital has been witnessed over the last few years. As its recent annual report indicates, growth in receivables and inventories has contributed greatly to the tying up of liquidity, partially compensating for good operating cash flows (Volkswagen AG, 2024).</w:t>
      </w:r>
    </w:p>
    <w:p w14:paraId="36E45514"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This proves that working capital inefficiency is one of the major liquidity constraints.</w:t>
      </w:r>
    </w:p>
    <w:p w14:paraId="70A0A5CC" w14:textId="38F2C3A9" w:rsidR="006B4FBD" w:rsidRPr="006B4FBD" w:rsidRDefault="006B4FBD" w:rsidP="000C78B0">
      <w:pPr>
        <w:pStyle w:val="Heading2"/>
        <w:rPr>
          <w:lang w:val="en-US"/>
        </w:rPr>
      </w:pPr>
      <w:bookmarkStart w:id="24" w:name="_Toc226785373"/>
      <w:r w:rsidRPr="006B4FBD">
        <w:rPr>
          <w:lang w:val="en-US"/>
        </w:rPr>
        <w:t>2.</w:t>
      </w:r>
      <w:r w:rsidR="000C78B0">
        <w:rPr>
          <w:lang w:val="en-US"/>
        </w:rPr>
        <w:t>2</w:t>
      </w:r>
      <w:r w:rsidRPr="006B4FBD">
        <w:rPr>
          <w:lang w:val="en-US"/>
        </w:rPr>
        <w:t xml:space="preserve"> </w:t>
      </w:r>
      <w:r w:rsidR="000C78B0">
        <w:rPr>
          <w:lang w:val="en-US"/>
        </w:rPr>
        <w:t xml:space="preserve">Evaluation of </w:t>
      </w:r>
      <w:r w:rsidRPr="006B4FBD">
        <w:rPr>
          <w:lang w:val="en-US"/>
        </w:rPr>
        <w:t>Working Capital Efficiency</w:t>
      </w:r>
      <w:bookmarkEnd w:id="24"/>
    </w:p>
    <w:p w14:paraId="5E058987" w14:textId="7CCA438A"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Strengths</w:t>
      </w:r>
    </w:p>
    <w:p w14:paraId="1579FB27" w14:textId="77777777" w:rsidR="006B4FBD" w:rsidRPr="000C78B0" w:rsidRDefault="006B4FBD" w:rsidP="000C78B0">
      <w:pPr>
        <w:pStyle w:val="ListParagraph"/>
        <w:numPr>
          <w:ilvl w:val="0"/>
          <w:numId w:val="52"/>
        </w:numPr>
        <w:spacing w:before="240" w:line="360" w:lineRule="auto"/>
        <w:jc w:val="both"/>
        <w:rPr>
          <w:rFonts w:ascii="Arial" w:hAnsi="Arial" w:cs="Arial"/>
          <w:bCs/>
          <w:sz w:val="24"/>
          <w:szCs w:val="24"/>
          <w:lang w:val="en-US"/>
        </w:rPr>
      </w:pPr>
      <w:r w:rsidRPr="000C78B0">
        <w:rPr>
          <w:rFonts w:ascii="Arial" w:hAnsi="Arial" w:cs="Arial"/>
          <w:bCs/>
          <w:sz w:val="24"/>
          <w:szCs w:val="24"/>
          <w:lang w:val="en-US"/>
        </w:rPr>
        <w:t>Good operating cash flows facilitate working capital needs.</w:t>
      </w:r>
    </w:p>
    <w:p w14:paraId="03A4CB5B" w14:textId="77777777" w:rsidR="006B4FBD" w:rsidRPr="000C78B0" w:rsidRDefault="006B4FBD" w:rsidP="000C78B0">
      <w:pPr>
        <w:pStyle w:val="ListParagraph"/>
        <w:numPr>
          <w:ilvl w:val="0"/>
          <w:numId w:val="52"/>
        </w:numPr>
        <w:spacing w:before="240" w:line="360" w:lineRule="auto"/>
        <w:jc w:val="both"/>
        <w:rPr>
          <w:rFonts w:ascii="Arial" w:hAnsi="Arial" w:cs="Arial"/>
          <w:bCs/>
          <w:sz w:val="24"/>
          <w:szCs w:val="24"/>
          <w:lang w:val="en-US"/>
        </w:rPr>
      </w:pPr>
      <w:r w:rsidRPr="000C78B0">
        <w:rPr>
          <w:rFonts w:ascii="Arial" w:hAnsi="Arial" w:cs="Arial"/>
          <w:bCs/>
          <w:sz w:val="24"/>
          <w:szCs w:val="24"/>
          <w:lang w:val="en-US"/>
        </w:rPr>
        <w:t>Differentiation of revenues (automotive manufacturing + financial services)</w:t>
      </w:r>
    </w:p>
    <w:p w14:paraId="641A20C6" w14:textId="77777777" w:rsidR="006B4FBD" w:rsidRPr="000C78B0" w:rsidRDefault="006B4FBD" w:rsidP="000C78B0">
      <w:pPr>
        <w:pStyle w:val="ListParagraph"/>
        <w:numPr>
          <w:ilvl w:val="0"/>
          <w:numId w:val="52"/>
        </w:numPr>
        <w:spacing w:before="240" w:line="360" w:lineRule="auto"/>
        <w:jc w:val="both"/>
        <w:rPr>
          <w:rFonts w:ascii="Arial" w:hAnsi="Arial" w:cs="Arial"/>
          <w:bCs/>
          <w:sz w:val="24"/>
          <w:szCs w:val="24"/>
          <w:lang w:val="en-US"/>
        </w:rPr>
      </w:pPr>
      <w:r w:rsidRPr="000C78B0">
        <w:rPr>
          <w:rFonts w:ascii="Arial" w:hAnsi="Arial" w:cs="Arial"/>
          <w:bCs/>
          <w:sz w:val="24"/>
          <w:szCs w:val="24"/>
          <w:lang w:val="en-US"/>
        </w:rPr>
        <w:t>The stability of the supply chain is improved by having established relations with suppliers.</w:t>
      </w:r>
    </w:p>
    <w:p w14:paraId="5968270B" w14:textId="57D9F68E"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Weaknesses</w:t>
      </w:r>
    </w:p>
    <w:p w14:paraId="0BAEA60B" w14:textId="77777777" w:rsidR="006B4FBD" w:rsidRPr="000C78B0" w:rsidRDefault="006B4FBD" w:rsidP="000C78B0">
      <w:pPr>
        <w:pStyle w:val="ListParagraph"/>
        <w:numPr>
          <w:ilvl w:val="0"/>
          <w:numId w:val="53"/>
        </w:numPr>
        <w:spacing w:before="240" w:line="360" w:lineRule="auto"/>
        <w:jc w:val="both"/>
        <w:rPr>
          <w:rFonts w:ascii="Arial" w:hAnsi="Arial" w:cs="Arial"/>
          <w:bCs/>
          <w:sz w:val="24"/>
          <w:szCs w:val="24"/>
          <w:lang w:val="en-US"/>
        </w:rPr>
      </w:pPr>
      <w:r w:rsidRPr="000C78B0">
        <w:rPr>
          <w:rFonts w:ascii="Arial" w:hAnsi="Arial" w:cs="Arial"/>
          <w:bCs/>
          <w:sz w:val="24"/>
          <w:szCs w:val="24"/>
          <w:lang w:val="en-US"/>
        </w:rPr>
        <w:t>Large CCC resulting in slow cash recovery.</w:t>
      </w:r>
    </w:p>
    <w:p w14:paraId="4624ADB1" w14:textId="77777777" w:rsidR="006B4FBD" w:rsidRPr="000C78B0" w:rsidRDefault="006B4FBD" w:rsidP="000C78B0">
      <w:pPr>
        <w:pStyle w:val="ListParagraph"/>
        <w:numPr>
          <w:ilvl w:val="0"/>
          <w:numId w:val="53"/>
        </w:numPr>
        <w:spacing w:before="240" w:line="360" w:lineRule="auto"/>
        <w:jc w:val="both"/>
        <w:rPr>
          <w:rFonts w:ascii="Arial" w:hAnsi="Arial" w:cs="Arial"/>
          <w:bCs/>
          <w:sz w:val="24"/>
          <w:szCs w:val="24"/>
          <w:lang w:val="en-US"/>
        </w:rPr>
      </w:pPr>
      <w:proofErr w:type="spellStart"/>
      <w:r w:rsidRPr="000C78B0">
        <w:rPr>
          <w:rFonts w:ascii="Arial" w:hAnsi="Arial" w:cs="Arial"/>
          <w:bCs/>
          <w:sz w:val="24"/>
          <w:szCs w:val="24"/>
          <w:lang w:val="en-US"/>
        </w:rPr>
        <w:t>Unutilised</w:t>
      </w:r>
      <w:proofErr w:type="spellEnd"/>
      <w:r w:rsidRPr="000C78B0">
        <w:rPr>
          <w:rFonts w:ascii="Arial" w:hAnsi="Arial" w:cs="Arial"/>
          <w:bCs/>
          <w:sz w:val="24"/>
          <w:szCs w:val="24"/>
          <w:lang w:val="en-US"/>
        </w:rPr>
        <w:t xml:space="preserve"> capital in stocks and debts.</w:t>
      </w:r>
    </w:p>
    <w:p w14:paraId="082833E6" w14:textId="77777777" w:rsidR="006B4FBD" w:rsidRPr="000C78B0" w:rsidRDefault="006B4FBD" w:rsidP="000C78B0">
      <w:pPr>
        <w:pStyle w:val="ListParagraph"/>
        <w:numPr>
          <w:ilvl w:val="0"/>
          <w:numId w:val="53"/>
        </w:numPr>
        <w:spacing w:before="240" w:line="360" w:lineRule="auto"/>
        <w:jc w:val="both"/>
        <w:rPr>
          <w:rFonts w:ascii="Arial" w:hAnsi="Arial" w:cs="Arial"/>
          <w:bCs/>
          <w:sz w:val="24"/>
          <w:szCs w:val="24"/>
          <w:lang w:val="en-US"/>
        </w:rPr>
      </w:pPr>
      <w:r w:rsidRPr="000C78B0">
        <w:rPr>
          <w:rFonts w:ascii="Arial" w:hAnsi="Arial" w:cs="Arial"/>
          <w:bCs/>
          <w:sz w:val="24"/>
          <w:szCs w:val="24"/>
          <w:lang w:val="en-US"/>
        </w:rPr>
        <w:t>Growing complexity with EV battery supply chains.</w:t>
      </w:r>
    </w:p>
    <w:p w14:paraId="095BB4CE" w14:textId="0E3E6E06"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Industry Comparison Insight</w:t>
      </w:r>
    </w:p>
    <w:p w14:paraId="1E3409CC"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According to the reports in the industry, the working capital intensity associated with battery production and the limitation of supply chains are higher in EV manufacturers (Bloomberg, 2023; Statista, 2024). The Chinese rivals, like BYD, have a quicker cycle and reduced cost of production, which puts Volkswagen at a disadvantage.</w:t>
      </w:r>
    </w:p>
    <w:p w14:paraId="4D688B1C"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Thus, the working capital efficiency of Volkswagen can be said to be moderate and suboptimal in a highly competitive EV environment.</w:t>
      </w:r>
    </w:p>
    <w:p w14:paraId="3EAD8D42" w14:textId="32F2DC08" w:rsidR="006B4FBD" w:rsidRPr="006B4FBD" w:rsidRDefault="000C78B0" w:rsidP="000C78B0">
      <w:pPr>
        <w:pStyle w:val="Heading2"/>
        <w:rPr>
          <w:lang w:val="en-US"/>
        </w:rPr>
      </w:pPr>
      <w:bookmarkStart w:id="25" w:name="_Toc226785374"/>
      <w:r>
        <w:rPr>
          <w:lang w:val="en-US"/>
        </w:rPr>
        <w:lastRenderedPageBreak/>
        <w:t>2.</w:t>
      </w:r>
      <w:r w:rsidR="006B4FBD" w:rsidRPr="006B4FBD">
        <w:rPr>
          <w:lang w:val="en-US"/>
        </w:rPr>
        <w:t xml:space="preserve">3 </w:t>
      </w:r>
      <w:r w:rsidRPr="000C78B0">
        <w:rPr>
          <w:lang w:val="en-US"/>
        </w:rPr>
        <w:t>Strategies to Improve Liquidity through Working Capital Reforms</w:t>
      </w:r>
      <w:bookmarkEnd w:id="25"/>
    </w:p>
    <w:p w14:paraId="2310FFE2" w14:textId="6DAAAC3A"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 xml:space="preserve">A. Inventory </w:t>
      </w:r>
      <w:proofErr w:type="spellStart"/>
      <w:r w:rsidRPr="006B4FBD">
        <w:rPr>
          <w:rFonts w:ascii="Arial" w:hAnsi="Arial" w:cs="Arial"/>
          <w:b/>
          <w:sz w:val="24"/>
          <w:szCs w:val="24"/>
          <w:lang w:val="en-US"/>
        </w:rPr>
        <w:t>Optimisation</w:t>
      </w:r>
      <w:proofErr w:type="spellEnd"/>
    </w:p>
    <w:p w14:paraId="5E3551F3"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 xml:space="preserve">To </w:t>
      </w:r>
      <w:proofErr w:type="spellStart"/>
      <w:r w:rsidRPr="006B4FBD">
        <w:rPr>
          <w:rFonts w:ascii="Arial" w:hAnsi="Arial" w:cs="Arial"/>
          <w:bCs/>
          <w:sz w:val="24"/>
          <w:szCs w:val="24"/>
          <w:lang w:val="en-US"/>
        </w:rPr>
        <w:t>minimise</w:t>
      </w:r>
      <w:proofErr w:type="spellEnd"/>
      <w:r w:rsidRPr="006B4FBD">
        <w:rPr>
          <w:rFonts w:ascii="Arial" w:hAnsi="Arial" w:cs="Arial"/>
          <w:bCs/>
          <w:sz w:val="24"/>
          <w:szCs w:val="24"/>
          <w:lang w:val="en-US"/>
        </w:rPr>
        <w:t xml:space="preserve"> the unnecessary inventory, Volkswagen ought to implement Just-in-Time (JIT) production and AI-powered demand forecasting. Also, the dealership stock levels will be </w:t>
      </w:r>
      <w:proofErr w:type="spellStart"/>
      <w:r w:rsidRPr="006B4FBD">
        <w:rPr>
          <w:rFonts w:ascii="Arial" w:hAnsi="Arial" w:cs="Arial"/>
          <w:bCs/>
          <w:sz w:val="24"/>
          <w:szCs w:val="24"/>
          <w:lang w:val="en-US"/>
        </w:rPr>
        <w:t>optimised</w:t>
      </w:r>
      <w:proofErr w:type="spellEnd"/>
      <w:r w:rsidRPr="006B4FBD">
        <w:rPr>
          <w:rFonts w:ascii="Arial" w:hAnsi="Arial" w:cs="Arial"/>
          <w:bCs/>
          <w:sz w:val="24"/>
          <w:szCs w:val="24"/>
          <w:lang w:val="en-US"/>
        </w:rPr>
        <w:t xml:space="preserve"> to avoid overproduction.</w:t>
      </w:r>
    </w:p>
    <w:p w14:paraId="3E95B0BE"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 xml:space="preserve">Financially, a decrease of inventory days of 1520% can free up a lot of cash tied up in the operations. The use of digital supply chain tools is becoming more important in </w:t>
      </w:r>
      <w:proofErr w:type="spellStart"/>
      <w:r w:rsidRPr="006B4FBD">
        <w:rPr>
          <w:rFonts w:ascii="Arial" w:hAnsi="Arial" w:cs="Arial"/>
          <w:bCs/>
          <w:sz w:val="24"/>
          <w:szCs w:val="24"/>
          <w:lang w:val="en-US"/>
        </w:rPr>
        <w:t>realising</w:t>
      </w:r>
      <w:proofErr w:type="spellEnd"/>
      <w:r w:rsidRPr="006B4FBD">
        <w:rPr>
          <w:rFonts w:ascii="Arial" w:hAnsi="Arial" w:cs="Arial"/>
          <w:bCs/>
          <w:sz w:val="24"/>
          <w:szCs w:val="24"/>
          <w:lang w:val="en-US"/>
        </w:rPr>
        <w:t xml:space="preserve"> this efficiency (The Economist, 2023).</w:t>
      </w:r>
    </w:p>
    <w:p w14:paraId="0FAA3E38" w14:textId="479E0D6E"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B. Receivables Management</w:t>
      </w:r>
    </w:p>
    <w:p w14:paraId="1121B1FA"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There is a need to improve the receivables collection. Volkswagen needs to increase dealer credit restrictions; early payment discounts and digital payment systems should be increased.</w:t>
      </w:r>
    </w:p>
    <w:p w14:paraId="54B5902C"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Such measures would cut down the DSO by 10-15 days, which will greatly enhance liquidity. According to a study conducted by Harvard Business Review (2022), effective management of receivables boosts stability in cash flows.</w:t>
      </w:r>
    </w:p>
    <w:p w14:paraId="5468C558" w14:textId="1575FF38"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C. Payables Strategy</w:t>
      </w:r>
    </w:p>
    <w:p w14:paraId="5267A73F"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Volkswagen can enhance liquidity by negotiating long payment terms with suppliers and using supply chain financing techniques like reverse factoring.</w:t>
      </w:r>
    </w:p>
    <w:p w14:paraId="6D87F367"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This would boost DPO and enhance the CCC and enable Volkswagen to hold cash longer (MarketLine, 2023).</w:t>
      </w:r>
    </w:p>
    <w:p w14:paraId="13919641" w14:textId="3F523A57" w:rsidR="006B4FBD" w:rsidRPr="006B4FBD" w:rsidRDefault="000C78B0" w:rsidP="006B4FBD">
      <w:pPr>
        <w:spacing w:before="240" w:line="360" w:lineRule="auto"/>
        <w:jc w:val="both"/>
        <w:rPr>
          <w:rFonts w:ascii="Arial" w:hAnsi="Arial" w:cs="Arial"/>
          <w:bCs/>
          <w:sz w:val="24"/>
          <w:szCs w:val="24"/>
          <w:lang w:val="en-US"/>
        </w:rPr>
      </w:pPr>
      <w:r w:rsidRPr="000C78B0">
        <w:rPr>
          <w:rFonts w:ascii="Arial" w:hAnsi="Arial" w:cs="Arial"/>
          <w:b/>
          <w:sz w:val="24"/>
          <w:szCs w:val="24"/>
          <w:lang w:val="en-US"/>
        </w:rPr>
        <w:t xml:space="preserve">D. </w:t>
      </w:r>
      <w:r w:rsidR="006B4FBD" w:rsidRPr="006B4FBD">
        <w:rPr>
          <w:rFonts w:ascii="Arial" w:hAnsi="Arial" w:cs="Arial"/>
          <w:b/>
          <w:sz w:val="24"/>
          <w:szCs w:val="24"/>
          <w:lang w:val="en-US"/>
        </w:rPr>
        <w:t>Digital Working Capital Transformation</w:t>
      </w:r>
    </w:p>
    <w:p w14:paraId="533DFB60"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With AI, blockchain, and real-time analytics, working capital management can be transformed by making it possible to:</w:t>
      </w:r>
    </w:p>
    <w:p w14:paraId="0BE181D2" w14:textId="77777777" w:rsidR="006B4FBD" w:rsidRPr="000C78B0" w:rsidRDefault="006B4FBD" w:rsidP="000C78B0">
      <w:pPr>
        <w:pStyle w:val="ListParagraph"/>
        <w:numPr>
          <w:ilvl w:val="0"/>
          <w:numId w:val="54"/>
        </w:numPr>
        <w:spacing w:before="240" w:line="360" w:lineRule="auto"/>
        <w:jc w:val="both"/>
        <w:rPr>
          <w:rFonts w:ascii="Arial" w:hAnsi="Arial" w:cs="Arial"/>
          <w:bCs/>
          <w:sz w:val="24"/>
          <w:szCs w:val="24"/>
          <w:lang w:val="en-US"/>
        </w:rPr>
      </w:pPr>
      <w:r w:rsidRPr="000C78B0">
        <w:rPr>
          <w:rFonts w:ascii="Arial" w:hAnsi="Arial" w:cs="Arial"/>
          <w:bCs/>
          <w:sz w:val="24"/>
          <w:szCs w:val="24"/>
          <w:lang w:val="en-US"/>
        </w:rPr>
        <w:t>Real-time inventory monitoring</w:t>
      </w:r>
    </w:p>
    <w:p w14:paraId="653E1700" w14:textId="77777777" w:rsidR="006B4FBD" w:rsidRPr="000C78B0" w:rsidRDefault="006B4FBD" w:rsidP="000C78B0">
      <w:pPr>
        <w:pStyle w:val="ListParagraph"/>
        <w:numPr>
          <w:ilvl w:val="0"/>
          <w:numId w:val="54"/>
        </w:numPr>
        <w:spacing w:before="240" w:line="360" w:lineRule="auto"/>
        <w:jc w:val="both"/>
        <w:rPr>
          <w:rFonts w:ascii="Arial" w:hAnsi="Arial" w:cs="Arial"/>
          <w:bCs/>
          <w:sz w:val="24"/>
          <w:szCs w:val="24"/>
          <w:lang w:val="en-US"/>
        </w:rPr>
      </w:pPr>
      <w:r w:rsidRPr="000C78B0">
        <w:rPr>
          <w:rFonts w:ascii="Arial" w:hAnsi="Arial" w:cs="Arial"/>
          <w:bCs/>
          <w:sz w:val="24"/>
          <w:szCs w:val="24"/>
          <w:lang w:val="en-US"/>
        </w:rPr>
        <w:t>Predictive demand planning</w:t>
      </w:r>
    </w:p>
    <w:p w14:paraId="1A05404E" w14:textId="77777777" w:rsidR="006B4FBD" w:rsidRPr="000C78B0" w:rsidRDefault="006B4FBD" w:rsidP="000C78B0">
      <w:pPr>
        <w:pStyle w:val="ListParagraph"/>
        <w:numPr>
          <w:ilvl w:val="0"/>
          <w:numId w:val="54"/>
        </w:numPr>
        <w:spacing w:before="240" w:line="360" w:lineRule="auto"/>
        <w:jc w:val="both"/>
        <w:rPr>
          <w:rFonts w:ascii="Arial" w:hAnsi="Arial" w:cs="Arial"/>
          <w:bCs/>
          <w:sz w:val="24"/>
          <w:szCs w:val="24"/>
          <w:lang w:val="en-US"/>
        </w:rPr>
      </w:pPr>
      <w:r w:rsidRPr="000C78B0">
        <w:rPr>
          <w:rFonts w:ascii="Arial" w:hAnsi="Arial" w:cs="Arial"/>
          <w:bCs/>
          <w:sz w:val="24"/>
          <w:szCs w:val="24"/>
          <w:lang w:val="en-US"/>
        </w:rPr>
        <w:t>Cash flow forecasting automation.</w:t>
      </w:r>
    </w:p>
    <w:p w14:paraId="5680B9FD"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lastRenderedPageBreak/>
        <w:t>This type of digital transformation is necessary to enhance the efficiency of operations in the EV industry (The Economist, 2023).</w:t>
      </w:r>
    </w:p>
    <w:p w14:paraId="236C0DF5" w14:textId="5A85156D"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E. Financial Services Division Reform</w:t>
      </w:r>
    </w:p>
    <w:p w14:paraId="03602AD4"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 xml:space="preserve">Volkswagen needs to </w:t>
      </w:r>
      <w:proofErr w:type="spellStart"/>
      <w:r w:rsidRPr="006B4FBD">
        <w:rPr>
          <w:rFonts w:ascii="Arial" w:hAnsi="Arial" w:cs="Arial"/>
          <w:bCs/>
          <w:sz w:val="24"/>
          <w:szCs w:val="24"/>
          <w:lang w:val="en-US"/>
        </w:rPr>
        <w:t>minimise</w:t>
      </w:r>
      <w:proofErr w:type="spellEnd"/>
      <w:r w:rsidRPr="006B4FBD">
        <w:rPr>
          <w:rFonts w:ascii="Arial" w:hAnsi="Arial" w:cs="Arial"/>
          <w:bCs/>
          <w:sz w:val="24"/>
          <w:szCs w:val="24"/>
          <w:lang w:val="en-US"/>
        </w:rPr>
        <w:t xml:space="preserve"> the use of long-term leasing receivables and look at </w:t>
      </w:r>
      <w:proofErr w:type="spellStart"/>
      <w:r w:rsidRPr="006B4FBD">
        <w:rPr>
          <w:rFonts w:ascii="Arial" w:hAnsi="Arial" w:cs="Arial"/>
          <w:bCs/>
          <w:sz w:val="24"/>
          <w:szCs w:val="24"/>
          <w:lang w:val="en-US"/>
        </w:rPr>
        <w:t>securitisation</w:t>
      </w:r>
      <w:proofErr w:type="spellEnd"/>
      <w:r w:rsidRPr="006B4FBD">
        <w:rPr>
          <w:rFonts w:ascii="Arial" w:hAnsi="Arial" w:cs="Arial"/>
          <w:bCs/>
          <w:sz w:val="24"/>
          <w:szCs w:val="24"/>
          <w:lang w:val="en-US"/>
        </w:rPr>
        <w:t xml:space="preserve"> to turn the receivables into cash.</w:t>
      </w:r>
    </w:p>
    <w:p w14:paraId="1B57AAAF"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It would lower the amount of capital in the form of financial assets and would enhance liquidity ratios (Volkswagen AG, 2024).</w:t>
      </w:r>
    </w:p>
    <w:p w14:paraId="0D3BC0BD" w14:textId="72C03DB5" w:rsidR="006B4FBD" w:rsidRPr="006B4FBD" w:rsidRDefault="00BD0C6B" w:rsidP="00BD0C6B">
      <w:pPr>
        <w:pStyle w:val="Heading2"/>
        <w:rPr>
          <w:lang w:val="en-US"/>
        </w:rPr>
      </w:pPr>
      <w:bookmarkStart w:id="26" w:name="_Toc226785375"/>
      <w:r>
        <w:rPr>
          <w:lang w:val="en-US"/>
        </w:rPr>
        <w:t>2.</w:t>
      </w:r>
      <w:r w:rsidR="006B4FBD" w:rsidRPr="006B4FBD">
        <w:rPr>
          <w:lang w:val="en-US"/>
        </w:rPr>
        <w:t>4 Long-term vs short-term financing</w:t>
      </w:r>
      <w:bookmarkEnd w:id="26"/>
    </w:p>
    <w:p w14:paraId="485DB8E0" w14:textId="24E130C7"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Short-Term Financing</w:t>
      </w:r>
      <w:r w:rsidR="00BD0C6B" w:rsidRPr="00BD0C6B">
        <w:rPr>
          <w:rFonts w:ascii="Arial" w:hAnsi="Arial" w:cs="Arial"/>
          <w:b/>
          <w:sz w:val="24"/>
          <w:szCs w:val="24"/>
          <w:lang w:val="en-US"/>
        </w:rPr>
        <w:t>:</w:t>
      </w:r>
    </w:p>
    <w:p w14:paraId="4E8A3547"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Bank overdrafts, commercial paper and trade credit as well as short-term loans are all included in short-term financing. These are flexible, comparatively cheap and applicable in the day-to-day working capital requirements. They, however, have refinancing risk and are susceptible to interest rate variations (Financial Times, 2023).</w:t>
      </w:r>
    </w:p>
    <w:p w14:paraId="272ABEB5"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In its financial services operations, Volkswagen uses short-term financing, especially to finance the receivables and inventory cycles.</w:t>
      </w:r>
    </w:p>
    <w:p w14:paraId="2DE2FE65" w14:textId="27CBCD67" w:rsidR="006B4FBD" w:rsidRPr="006B4FBD" w:rsidRDefault="006B4FBD" w:rsidP="006B4FBD">
      <w:pPr>
        <w:spacing w:before="240" w:line="360" w:lineRule="auto"/>
        <w:jc w:val="both"/>
        <w:rPr>
          <w:rFonts w:ascii="Arial" w:hAnsi="Arial" w:cs="Arial"/>
          <w:b/>
          <w:sz w:val="24"/>
          <w:szCs w:val="24"/>
          <w:lang w:val="en-US"/>
        </w:rPr>
      </w:pPr>
      <w:r w:rsidRPr="006B4FBD">
        <w:rPr>
          <w:rFonts w:ascii="Arial" w:hAnsi="Arial" w:cs="Arial"/>
          <w:b/>
          <w:sz w:val="24"/>
          <w:szCs w:val="24"/>
          <w:lang w:val="en-US"/>
        </w:rPr>
        <w:t>Long-Term Financing</w:t>
      </w:r>
      <w:r w:rsidR="00BD0C6B" w:rsidRPr="00BD0C6B">
        <w:rPr>
          <w:rFonts w:ascii="Arial" w:hAnsi="Arial" w:cs="Arial"/>
          <w:b/>
          <w:sz w:val="24"/>
          <w:szCs w:val="24"/>
          <w:lang w:val="en-US"/>
        </w:rPr>
        <w:t>:</w:t>
      </w:r>
    </w:p>
    <w:p w14:paraId="78463DF5" w14:textId="77777777" w:rsidR="006B4FBD" w:rsidRPr="006B4FBD" w:rsidRDefault="006B4FBD" w:rsidP="006B4FBD">
      <w:pPr>
        <w:spacing w:before="240" w:line="360" w:lineRule="auto"/>
        <w:jc w:val="both"/>
        <w:rPr>
          <w:rFonts w:ascii="Arial" w:hAnsi="Arial" w:cs="Arial"/>
          <w:bCs/>
          <w:sz w:val="24"/>
          <w:szCs w:val="24"/>
          <w:lang w:val="en-US"/>
        </w:rPr>
      </w:pPr>
      <w:r w:rsidRPr="006B4FBD">
        <w:rPr>
          <w:rFonts w:ascii="Arial" w:hAnsi="Arial" w:cs="Arial"/>
          <w:bCs/>
          <w:sz w:val="24"/>
          <w:szCs w:val="24"/>
          <w:lang w:val="en-US"/>
        </w:rPr>
        <w:t>Such long-term financing methods are corporate bonds, equity financing and long-term loans. They offer predictable financing of investments that are capital-intensive, like EV infrastructure, battery manufacturing and research and development.</w:t>
      </w:r>
    </w:p>
    <w:p w14:paraId="259EC12E" w14:textId="32E99ABB" w:rsidR="004D3F33" w:rsidRDefault="006B4FBD" w:rsidP="004D3F33">
      <w:pPr>
        <w:spacing w:before="240" w:line="360" w:lineRule="auto"/>
        <w:jc w:val="both"/>
        <w:rPr>
          <w:rFonts w:ascii="Arial" w:hAnsi="Arial" w:cs="Arial"/>
          <w:bCs/>
          <w:sz w:val="24"/>
          <w:szCs w:val="24"/>
          <w:lang w:val="en-US"/>
        </w:rPr>
      </w:pPr>
      <w:r w:rsidRPr="006B4FBD">
        <w:rPr>
          <w:rFonts w:ascii="Arial" w:hAnsi="Arial" w:cs="Arial"/>
          <w:bCs/>
          <w:sz w:val="24"/>
          <w:szCs w:val="24"/>
          <w:lang w:val="en-US"/>
        </w:rPr>
        <w:t xml:space="preserve">Long-term financing is more costly, but with elevated refinancing risk, it will decrease financial stability and </w:t>
      </w:r>
      <w:proofErr w:type="spellStart"/>
      <w:r w:rsidRPr="006B4FBD">
        <w:rPr>
          <w:rFonts w:ascii="Arial" w:hAnsi="Arial" w:cs="Arial"/>
          <w:bCs/>
          <w:sz w:val="24"/>
          <w:szCs w:val="24"/>
          <w:lang w:val="en-US"/>
        </w:rPr>
        <w:t>minimise</w:t>
      </w:r>
      <w:proofErr w:type="spellEnd"/>
      <w:r w:rsidRPr="006B4FBD">
        <w:rPr>
          <w:rFonts w:ascii="Arial" w:hAnsi="Arial" w:cs="Arial"/>
          <w:bCs/>
          <w:sz w:val="24"/>
          <w:szCs w:val="24"/>
          <w:lang w:val="en-US"/>
        </w:rPr>
        <w:t xml:space="preserve"> the effects of financial instability. In particular, sustainable investments are increasingly financed with the help of green bonds (Financial Times, 2023).</w:t>
      </w:r>
    </w:p>
    <w:tbl>
      <w:tblPr>
        <w:tblStyle w:val="TableGrid"/>
        <w:tblW w:w="8753" w:type="dxa"/>
        <w:tblLook w:val="04A0" w:firstRow="1" w:lastRow="0" w:firstColumn="1" w:lastColumn="0" w:noHBand="0" w:noVBand="1"/>
      </w:tblPr>
      <w:tblGrid>
        <w:gridCol w:w="2270"/>
        <w:gridCol w:w="3266"/>
        <w:gridCol w:w="3217"/>
      </w:tblGrid>
      <w:tr w:rsidR="00BD0C6B" w:rsidRPr="00BD0C6B" w14:paraId="38F1B265" w14:textId="77777777" w:rsidTr="00BD0C6B">
        <w:trPr>
          <w:trHeight w:val="868"/>
        </w:trPr>
        <w:tc>
          <w:tcPr>
            <w:tcW w:w="0" w:type="auto"/>
            <w:hideMark/>
          </w:tcPr>
          <w:p w14:paraId="3133F6A9" w14:textId="77777777" w:rsidR="00BD0C6B" w:rsidRPr="00BD0C6B" w:rsidRDefault="00BD0C6B" w:rsidP="00BD0C6B">
            <w:pPr>
              <w:spacing w:before="240" w:line="360" w:lineRule="auto"/>
              <w:jc w:val="both"/>
              <w:rPr>
                <w:rFonts w:ascii="Arial" w:hAnsi="Arial" w:cs="Arial"/>
                <w:b/>
                <w:bCs/>
                <w:sz w:val="24"/>
                <w:szCs w:val="24"/>
                <w:lang w:val="en-US"/>
              </w:rPr>
            </w:pPr>
            <w:r w:rsidRPr="00BD0C6B">
              <w:rPr>
                <w:rFonts w:ascii="Arial" w:hAnsi="Arial" w:cs="Arial"/>
                <w:b/>
                <w:bCs/>
                <w:sz w:val="24"/>
                <w:szCs w:val="24"/>
                <w:lang w:val="en-US"/>
              </w:rPr>
              <w:t>Criteria</w:t>
            </w:r>
          </w:p>
        </w:tc>
        <w:tc>
          <w:tcPr>
            <w:tcW w:w="0" w:type="auto"/>
            <w:hideMark/>
          </w:tcPr>
          <w:p w14:paraId="318A8FF5" w14:textId="77777777" w:rsidR="00BD0C6B" w:rsidRPr="00BD0C6B" w:rsidRDefault="00BD0C6B" w:rsidP="00BD0C6B">
            <w:pPr>
              <w:spacing w:before="240" w:line="360" w:lineRule="auto"/>
              <w:jc w:val="both"/>
              <w:rPr>
                <w:rFonts w:ascii="Arial" w:hAnsi="Arial" w:cs="Arial"/>
                <w:b/>
                <w:bCs/>
                <w:sz w:val="24"/>
                <w:szCs w:val="24"/>
                <w:lang w:val="en-US"/>
              </w:rPr>
            </w:pPr>
            <w:r w:rsidRPr="00BD0C6B">
              <w:rPr>
                <w:rFonts w:ascii="Arial" w:hAnsi="Arial" w:cs="Arial"/>
                <w:b/>
                <w:bCs/>
                <w:sz w:val="24"/>
                <w:szCs w:val="24"/>
                <w:lang w:val="en-US"/>
              </w:rPr>
              <w:t>Short-Term Financing</w:t>
            </w:r>
          </w:p>
        </w:tc>
        <w:tc>
          <w:tcPr>
            <w:tcW w:w="0" w:type="auto"/>
            <w:hideMark/>
          </w:tcPr>
          <w:p w14:paraId="2BC17D53" w14:textId="77777777" w:rsidR="00BD0C6B" w:rsidRPr="00BD0C6B" w:rsidRDefault="00BD0C6B" w:rsidP="00BD0C6B">
            <w:pPr>
              <w:spacing w:before="240" w:line="360" w:lineRule="auto"/>
              <w:jc w:val="both"/>
              <w:rPr>
                <w:rFonts w:ascii="Arial" w:hAnsi="Arial" w:cs="Arial"/>
                <w:b/>
                <w:bCs/>
                <w:sz w:val="24"/>
                <w:szCs w:val="24"/>
                <w:lang w:val="en-US"/>
              </w:rPr>
            </w:pPr>
            <w:r w:rsidRPr="00BD0C6B">
              <w:rPr>
                <w:rFonts w:ascii="Arial" w:hAnsi="Arial" w:cs="Arial"/>
                <w:b/>
                <w:bCs/>
                <w:sz w:val="24"/>
                <w:szCs w:val="24"/>
                <w:lang w:val="en-US"/>
              </w:rPr>
              <w:t>Long-Term Financing</w:t>
            </w:r>
          </w:p>
        </w:tc>
      </w:tr>
      <w:tr w:rsidR="00BD0C6B" w:rsidRPr="00BD0C6B" w14:paraId="5664E71D" w14:textId="77777777" w:rsidTr="00BD0C6B">
        <w:trPr>
          <w:trHeight w:val="878"/>
        </w:trPr>
        <w:tc>
          <w:tcPr>
            <w:tcW w:w="0" w:type="auto"/>
            <w:hideMark/>
          </w:tcPr>
          <w:p w14:paraId="2B558CFB"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Cost</w:t>
            </w:r>
          </w:p>
        </w:tc>
        <w:tc>
          <w:tcPr>
            <w:tcW w:w="0" w:type="auto"/>
            <w:hideMark/>
          </w:tcPr>
          <w:p w14:paraId="0C0E4D2F"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Lower initially</w:t>
            </w:r>
          </w:p>
        </w:tc>
        <w:tc>
          <w:tcPr>
            <w:tcW w:w="0" w:type="auto"/>
            <w:hideMark/>
          </w:tcPr>
          <w:p w14:paraId="1BB3A8F1"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Higher overall</w:t>
            </w:r>
          </w:p>
        </w:tc>
      </w:tr>
      <w:tr w:rsidR="00BD0C6B" w:rsidRPr="00BD0C6B" w14:paraId="667C57A7" w14:textId="77777777" w:rsidTr="00BD0C6B">
        <w:trPr>
          <w:trHeight w:val="868"/>
        </w:trPr>
        <w:tc>
          <w:tcPr>
            <w:tcW w:w="0" w:type="auto"/>
            <w:hideMark/>
          </w:tcPr>
          <w:p w14:paraId="78031AE6"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lastRenderedPageBreak/>
              <w:t>Risk</w:t>
            </w:r>
          </w:p>
        </w:tc>
        <w:tc>
          <w:tcPr>
            <w:tcW w:w="0" w:type="auto"/>
            <w:hideMark/>
          </w:tcPr>
          <w:p w14:paraId="2A2BE1D1"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High (refinancing risk)</w:t>
            </w:r>
          </w:p>
        </w:tc>
        <w:tc>
          <w:tcPr>
            <w:tcW w:w="0" w:type="auto"/>
            <w:hideMark/>
          </w:tcPr>
          <w:p w14:paraId="7082D6EE"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Lower</w:t>
            </w:r>
          </w:p>
        </w:tc>
      </w:tr>
      <w:tr w:rsidR="00BD0C6B" w:rsidRPr="00BD0C6B" w14:paraId="53A32EB9" w14:textId="77777777" w:rsidTr="00BD0C6B">
        <w:trPr>
          <w:trHeight w:val="878"/>
        </w:trPr>
        <w:tc>
          <w:tcPr>
            <w:tcW w:w="0" w:type="auto"/>
            <w:hideMark/>
          </w:tcPr>
          <w:p w14:paraId="4B3B90C9"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Flexibility</w:t>
            </w:r>
          </w:p>
        </w:tc>
        <w:tc>
          <w:tcPr>
            <w:tcW w:w="0" w:type="auto"/>
            <w:hideMark/>
          </w:tcPr>
          <w:p w14:paraId="472E572B"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High</w:t>
            </w:r>
          </w:p>
        </w:tc>
        <w:tc>
          <w:tcPr>
            <w:tcW w:w="0" w:type="auto"/>
            <w:hideMark/>
          </w:tcPr>
          <w:p w14:paraId="57D2F8E4"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Moderate</w:t>
            </w:r>
          </w:p>
        </w:tc>
      </w:tr>
      <w:tr w:rsidR="00BD0C6B" w:rsidRPr="00BD0C6B" w14:paraId="3952434F" w14:textId="77777777" w:rsidTr="00BD0C6B">
        <w:trPr>
          <w:trHeight w:val="868"/>
        </w:trPr>
        <w:tc>
          <w:tcPr>
            <w:tcW w:w="0" w:type="auto"/>
            <w:hideMark/>
          </w:tcPr>
          <w:p w14:paraId="36445EA0"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Suitability</w:t>
            </w:r>
          </w:p>
        </w:tc>
        <w:tc>
          <w:tcPr>
            <w:tcW w:w="0" w:type="auto"/>
            <w:hideMark/>
          </w:tcPr>
          <w:p w14:paraId="77EEFDC8"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Working capital</w:t>
            </w:r>
          </w:p>
        </w:tc>
        <w:tc>
          <w:tcPr>
            <w:tcW w:w="0" w:type="auto"/>
            <w:hideMark/>
          </w:tcPr>
          <w:p w14:paraId="268AE3CF"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Strategic investments</w:t>
            </w:r>
          </w:p>
        </w:tc>
      </w:tr>
      <w:tr w:rsidR="00BD0C6B" w:rsidRPr="00BD0C6B" w14:paraId="4A58409D" w14:textId="77777777" w:rsidTr="00BD0C6B">
        <w:trPr>
          <w:trHeight w:val="868"/>
        </w:trPr>
        <w:tc>
          <w:tcPr>
            <w:tcW w:w="0" w:type="auto"/>
            <w:hideMark/>
          </w:tcPr>
          <w:p w14:paraId="23ECEFA3"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Liquidity Impact</w:t>
            </w:r>
          </w:p>
        </w:tc>
        <w:tc>
          <w:tcPr>
            <w:tcW w:w="0" w:type="auto"/>
            <w:hideMark/>
          </w:tcPr>
          <w:p w14:paraId="53B2140F"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Immediate</w:t>
            </w:r>
          </w:p>
        </w:tc>
        <w:tc>
          <w:tcPr>
            <w:tcW w:w="0" w:type="auto"/>
            <w:hideMark/>
          </w:tcPr>
          <w:p w14:paraId="71B8671A" w14:textId="77777777" w:rsidR="00BD0C6B" w:rsidRPr="00BD0C6B" w:rsidRDefault="00BD0C6B" w:rsidP="00BD0C6B">
            <w:pPr>
              <w:keepNext/>
              <w:spacing w:before="240" w:line="360" w:lineRule="auto"/>
              <w:jc w:val="both"/>
              <w:rPr>
                <w:rFonts w:ascii="Arial" w:hAnsi="Arial" w:cs="Arial"/>
                <w:bCs/>
                <w:sz w:val="24"/>
                <w:szCs w:val="24"/>
                <w:lang w:val="en-US"/>
              </w:rPr>
            </w:pPr>
            <w:r w:rsidRPr="00BD0C6B">
              <w:rPr>
                <w:rFonts w:ascii="Arial" w:hAnsi="Arial" w:cs="Arial"/>
                <w:bCs/>
                <w:sz w:val="24"/>
                <w:szCs w:val="24"/>
                <w:lang w:val="en-US"/>
              </w:rPr>
              <w:t>Long-term stability</w:t>
            </w:r>
          </w:p>
        </w:tc>
      </w:tr>
    </w:tbl>
    <w:p w14:paraId="5F47F577" w14:textId="56FF09BA" w:rsidR="00BD0C6B" w:rsidRPr="004D3F33" w:rsidRDefault="00BD0C6B" w:rsidP="00BD0C6B">
      <w:pPr>
        <w:pStyle w:val="Caption"/>
        <w:rPr>
          <w:rFonts w:ascii="Arial" w:hAnsi="Arial" w:cs="Arial"/>
          <w:bCs/>
          <w:sz w:val="24"/>
          <w:szCs w:val="24"/>
          <w:lang w:val="en-US"/>
        </w:rPr>
      </w:pPr>
      <w:bookmarkStart w:id="27" w:name="_Toc226785410"/>
      <w:r>
        <w:t xml:space="preserve">Table </w:t>
      </w:r>
      <w:r w:rsidR="002430D6">
        <w:fldChar w:fldCharType="begin"/>
      </w:r>
      <w:r w:rsidR="002430D6">
        <w:instrText xml:space="preserve"> SEQ Table \* ARABIC </w:instrText>
      </w:r>
      <w:r w:rsidR="002430D6">
        <w:fldChar w:fldCharType="separate"/>
      </w:r>
      <w:r w:rsidR="004569A0">
        <w:rPr>
          <w:noProof/>
        </w:rPr>
        <w:t>9</w:t>
      </w:r>
      <w:r w:rsidR="002430D6">
        <w:fldChar w:fldCharType="end"/>
      </w:r>
      <w:r>
        <w:t xml:space="preserve">: </w:t>
      </w:r>
      <w:r w:rsidRPr="00A50C39">
        <w:t>Comparative Evaluation</w:t>
      </w:r>
      <w:bookmarkEnd w:id="27"/>
    </w:p>
    <w:p w14:paraId="7DCA3881" w14:textId="4E2B5A8F" w:rsidR="00BD0C6B" w:rsidRPr="00BD0C6B" w:rsidRDefault="00BD0C6B" w:rsidP="00BD0C6B">
      <w:pPr>
        <w:spacing w:before="240" w:line="360" w:lineRule="auto"/>
        <w:jc w:val="both"/>
        <w:rPr>
          <w:rFonts w:ascii="Arial" w:hAnsi="Arial" w:cs="Arial"/>
          <w:b/>
          <w:sz w:val="24"/>
          <w:szCs w:val="24"/>
          <w:lang w:val="en-US"/>
        </w:rPr>
      </w:pPr>
      <w:r w:rsidRPr="00BD0C6B">
        <w:rPr>
          <w:rFonts w:ascii="Arial" w:hAnsi="Arial" w:cs="Arial"/>
          <w:b/>
          <w:sz w:val="24"/>
          <w:szCs w:val="24"/>
          <w:lang w:val="en-US"/>
        </w:rPr>
        <w:t>Strategic Recommendation:</w:t>
      </w:r>
    </w:p>
    <w:p w14:paraId="51E6A7BF"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Volkswagen ought to have a hybrid kind of financing:</w:t>
      </w:r>
    </w:p>
    <w:p w14:paraId="18BE2008" w14:textId="77777777" w:rsidR="00BD0C6B" w:rsidRPr="00BD0C6B" w:rsidRDefault="00BD0C6B" w:rsidP="00BD0C6B">
      <w:pPr>
        <w:pStyle w:val="ListParagraph"/>
        <w:numPr>
          <w:ilvl w:val="0"/>
          <w:numId w:val="55"/>
        </w:numPr>
        <w:spacing w:before="240" w:line="360" w:lineRule="auto"/>
        <w:jc w:val="both"/>
        <w:rPr>
          <w:rFonts w:ascii="Arial" w:hAnsi="Arial" w:cs="Arial"/>
          <w:bCs/>
          <w:sz w:val="24"/>
          <w:szCs w:val="24"/>
          <w:lang w:val="en-US"/>
        </w:rPr>
      </w:pPr>
      <w:r w:rsidRPr="00BD0C6B">
        <w:rPr>
          <w:rFonts w:ascii="Arial" w:hAnsi="Arial" w:cs="Arial"/>
          <w:bCs/>
          <w:sz w:val="24"/>
          <w:szCs w:val="24"/>
          <w:lang w:val="en-US"/>
        </w:rPr>
        <w:t>Temporary funds to maintain inventory and receivables.</w:t>
      </w:r>
    </w:p>
    <w:p w14:paraId="50DF9DFC" w14:textId="77777777" w:rsidR="00BD0C6B" w:rsidRPr="00BD0C6B" w:rsidRDefault="00BD0C6B" w:rsidP="00BD0C6B">
      <w:pPr>
        <w:pStyle w:val="ListParagraph"/>
        <w:numPr>
          <w:ilvl w:val="0"/>
          <w:numId w:val="55"/>
        </w:numPr>
        <w:spacing w:before="240" w:line="360" w:lineRule="auto"/>
        <w:jc w:val="both"/>
        <w:rPr>
          <w:rFonts w:ascii="Arial" w:hAnsi="Arial" w:cs="Arial"/>
          <w:bCs/>
          <w:sz w:val="24"/>
          <w:szCs w:val="24"/>
          <w:lang w:val="en-US"/>
        </w:rPr>
      </w:pPr>
      <w:r w:rsidRPr="00BD0C6B">
        <w:rPr>
          <w:rFonts w:ascii="Arial" w:hAnsi="Arial" w:cs="Arial"/>
          <w:bCs/>
          <w:sz w:val="24"/>
          <w:szCs w:val="24"/>
          <w:lang w:val="en-US"/>
        </w:rPr>
        <w:t>Infrastructure and innovation EV financing (long-term, including green bonds).</w:t>
      </w:r>
    </w:p>
    <w:p w14:paraId="2DBCA68A"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This strategy helps to balance the liquidity requirements and long-term financial sustainability and align with ESG objectives (Financial Times, 2023).</w:t>
      </w:r>
    </w:p>
    <w:p w14:paraId="394DB561" w14:textId="5C45FA5D" w:rsidR="00BD0C6B" w:rsidRPr="00BD0C6B" w:rsidRDefault="00BD0C6B" w:rsidP="00BD0C6B">
      <w:pPr>
        <w:pStyle w:val="Heading2"/>
        <w:rPr>
          <w:lang w:val="en-US"/>
        </w:rPr>
      </w:pPr>
      <w:bookmarkStart w:id="28" w:name="_Toc226785376"/>
      <w:r>
        <w:rPr>
          <w:lang w:val="en-US"/>
        </w:rPr>
        <w:t>2.</w:t>
      </w:r>
      <w:r w:rsidRPr="00BD0C6B">
        <w:rPr>
          <w:lang w:val="en-US"/>
        </w:rPr>
        <w:t>5 Critical Evaluation</w:t>
      </w:r>
      <w:bookmarkEnd w:id="28"/>
    </w:p>
    <w:p w14:paraId="75341B62"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The structural issues in Volkswagen's working capital are associated with its capital-intensive manufacturing model, transition to EVs, and high financial services operations.</w:t>
      </w:r>
    </w:p>
    <w:p w14:paraId="6B0B73F0"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Although the company has high liquidity provisions, the long CCC and growing receivables adjustment pose financial risk, especially in a high-interest rate environment.</w:t>
      </w:r>
    </w:p>
    <w:p w14:paraId="316BA969"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Strategically, a relatively small CCC decrease of 1,015 days might open billions in liquidity and decrease dependence on outside funding. The management of the working capital is thus very important to remain competitive in the EV market (Bloomberg, 2023).</w:t>
      </w:r>
    </w:p>
    <w:p w14:paraId="1297EBE1"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lastRenderedPageBreak/>
        <w:t>Volkswagen's working capital status indicates a complicated yet controllable financial setup. The high cash conversion period indicates inefficiency in inventory, receivable and supplier financing.</w:t>
      </w:r>
    </w:p>
    <w:p w14:paraId="6940C4AB"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 xml:space="preserve">Nevertheless, with inventory </w:t>
      </w:r>
      <w:proofErr w:type="spellStart"/>
      <w:r w:rsidRPr="00BD0C6B">
        <w:rPr>
          <w:rFonts w:ascii="Arial" w:hAnsi="Arial" w:cs="Arial"/>
          <w:bCs/>
          <w:sz w:val="24"/>
          <w:szCs w:val="24"/>
          <w:lang w:val="en-US"/>
        </w:rPr>
        <w:t>optimisation</w:t>
      </w:r>
      <w:proofErr w:type="spellEnd"/>
      <w:r w:rsidRPr="00BD0C6B">
        <w:rPr>
          <w:rFonts w:ascii="Arial" w:hAnsi="Arial" w:cs="Arial"/>
          <w:bCs/>
          <w:sz w:val="24"/>
          <w:szCs w:val="24"/>
          <w:lang w:val="en-US"/>
        </w:rPr>
        <w:t>, better receivables management, and a balanced financing strategy, Volkswagen can increase its liquidity considerably and help it to switch to electric mobility.</w:t>
      </w:r>
    </w:p>
    <w:p w14:paraId="74C5BB38" w14:textId="77777777" w:rsidR="00BD0C6B" w:rsidRPr="00BD0C6B" w:rsidRDefault="00BD0C6B" w:rsidP="00BD0C6B">
      <w:pPr>
        <w:spacing w:before="240" w:line="360" w:lineRule="auto"/>
        <w:jc w:val="both"/>
        <w:rPr>
          <w:rFonts w:ascii="Arial" w:hAnsi="Arial" w:cs="Arial"/>
          <w:bCs/>
          <w:sz w:val="24"/>
          <w:szCs w:val="24"/>
          <w:lang w:val="en-US"/>
        </w:rPr>
      </w:pPr>
      <w:r w:rsidRPr="00BD0C6B">
        <w:rPr>
          <w:rFonts w:ascii="Arial" w:hAnsi="Arial" w:cs="Arial"/>
          <w:bCs/>
          <w:sz w:val="24"/>
          <w:szCs w:val="24"/>
          <w:lang w:val="en-US"/>
        </w:rPr>
        <w:t>Finally, proper working capital management will be crucial to guarantee financial flexibility and success in the developing EV market in the long run.</w:t>
      </w:r>
    </w:p>
    <w:p w14:paraId="4B76520A" w14:textId="15E6990D" w:rsidR="00D115FA" w:rsidRPr="003227C7" w:rsidRDefault="00D115FA" w:rsidP="00D115FA">
      <w:pPr>
        <w:pStyle w:val="Heading1"/>
      </w:pPr>
      <w:bookmarkStart w:id="29" w:name="_Toc226785377"/>
      <w:r w:rsidRPr="009C4F12">
        <w:t>3</w:t>
      </w:r>
      <w:r>
        <w:t xml:space="preserve">. </w:t>
      </w:r>
      <w:r w:rsidR="00BD0C6B" w:rsidRPr="00BD0C6B">
        <w:t>Strategic Financial Restructuring Plan of Volkswagen Group</w:t>
      </w:r>
      <w:bookmarkEnd w:id="29"/>
    </w:p>
    <w:p w14:paraId="44B6FF4C"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The Volkswagen Group is in the process of a radical change to become no longer a manufacturer of traditional internal combustion engines (ICE) but a leader in the field of electric vehicles (EVs). Nevertheless, this shift has highlighted inefficiencies in the structures, such as high fixed costs, software breakdowns, falling margins, and increasing capital spending (Volkswagen Group, 2024).</w:t>
      </w:r>
    </w:p>
    <w:p w14:paraId="3B6CF0A2"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The latest financial releases show the decreasing operating margins because of the restructuring expenses and increased investments, especially in EV platforms and software development (Financial Times, 2023). Thus, it is important to have a detailed strategic financial restructuring plan in order to regain profitability and boost capital efficiency and shareholder value.</w:t>
      </w:r>
    </w:p>
    <w:p w14:paraId="5D585183" w14:textId="5CE05FD9" w:rsidR="002917FE" w:rsidRPr="002917FE" w:rsidRDefault="002917FE" w:rsidP="002917FE">
      <w:pPr>
        <w:pStyle w:val="Heading2"/>
        <w:rPr>
          <w:lang w:val="en-US"/>
        </w:rPr>
      </w:pPr>
      <w:bookmarkStart w:id="30" w:name="_Toc226785378"/>
      <w:r>
        <w:rPr>
          <w:lang w:val="en-US"/>
        </w:rPr>
        <w:t>3</w:t>
      </w:r>
      <w:r w:rsidRPr="002917FE">
        <w:rPr>
          <w:lang w:val="en-US"/>
        </w:rPr>
        <w:t>.</w:t>
      </w:r>
      <w:r>
        <w:rPr>
          <w:lang w:val="en-US"/>
        </w:rPr>
        <w:t>1</w:t>
      </w:r>
      <w:r w:rsidRPr="002917FE">
        <w:rPr>
          <w:lang w:val="en-US"/>
        </w:rPr>
        <w:t xml:space="preserve"> Reason Behind Financial Restructuring</w:t>
      </w:r>
      <w:bookmarkEnd w:id="30"/>
    </w:p>
    <w:p w14:paraId="203C068D"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The necessity of Volkswagen to be restructured is caused by a number of challenges:</w:t>
      </w:r>
    </w:p>
    <w:p w14:paraId="39D421A5" w14:textId="77777777" w:rsidR="002917FE" w:rsidRPr="002917FE" w:rsidRDefault="002917FE" w:rsidP="002917FE">
      <w:pPr>
        <w:pStyle w:val="ListParagraph"/>
        <w:numPr>
          <w:ilvl w:val="0"/>
          <w:numId w:val="56"/>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Large capital investment (13-14% of revenues) in EV and research and development (Financial Times, 2023).</w:t>
      </w:r>
    </w:p>
    <w:p w14:paraId="1A1B894A" w14:textId="77777777" w:rsidR="002917FE" w:rsidRPr="002917FE" w:rsidRDefault="002917FE" w:rsidP="002917FE">
      <w:pPr>
        <w:pStyle w:val="ListParagraph"/>
        <w:numPr>
          <w:ilvl w:val="0"/>
          <w:numId w:val="56"/>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Continued ineffectiveness of the software department (Cariad) (Bloomberg, 2023)</w:t>
      </w:r>
    </w:p>
    <w:p w14:paraId="2D6EA743" w14:textId="77777777" w:rsidR="002917FE" w:rsidRPr="002917FE" w:rsidRDefault="002917FE" w:rsidP="002917FE">
      <w:pPr>
        <w:pStyle w:val="ListParagraph"/>
        <w:numPr>
          <w:ilvl w:val="0"/>
          <w:numId w:val="56"/>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Growing threat of Tesla and Chinese EV companies (Bloomberg, 2023).</w:t>
      </w:r>
    </w:p>
    <w:p w14:paraId="091384D8" w14:textId="77777777" w:rsidR="002917FE" w:rsidRPr="002917FE" w:rsidRDefault="002917FE" w:rsidP="002917FE">
      <w:pPr>
        <w:pStyle w:val="ListParagraph"/>
        <w:numPr>
          <w:ilvl w:val="0"/>
          <w:numId w:val="56"/>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Cost pressures and restructuring provisions (Volkswagen Group, 2024) are causing a decline in profitability.</w:t>
      </w:r>
    </w:p>
    <w:p w14:paraId="4CDBFB3B"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lastRenderedPageBreak/>
        <w:t>Furthermore, Cariad has incurred huge losses and is behind schedule in the launch of vehicles, which underscores inefficiency in the way the company allocates its resources (Forbes, 2023).</w:t>
      </w:r>
    </w:p>
    <w:p w14:paraId="2E41D915"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These issues make a multi-dimensional restructuring approach necessary.</w:t>
      </w:r>
    </w:p>
    <w:p w14:paraId="2F31BB85" w14:textId="23B02355" w:rsidR="002917FE" w:rsidRPr="002917FE" w:rsidRDefault="002917FE" w:rsidP="002917FE">
      <w:pPr>
        <w:pStyle w:val="Heading2"/>
        <w:rPr>
          <w:lang w:val="en-US"/>
        </w:rPr>
      </w:pPr>
      <w:bookmarkStart w:id="31" w:name="_Toc226785379"/>
      <w:r w:rsidRPr="002917FE">
        <w:rPr>
          <w:lang w:val="en-US"/>
        </w:rPr>
        <w:t>3.</w:t>
      </w:r>
      <w:r>
        <w:rPr>
          <w:lang w:val="en-US"/>
        </w:rPr>
        <w:t>2</w:t>
      </w:r>
      <w:r w:rsidRPr="002917FE">
        <w:rPr>
          <w:lang w:val="en-US"/>
        </w:rPr>
        <w:t xml:space="preserve"> Recommended financial restructuring alternatives</w:t>
      </w:r>
      <w:bookmarkEnd w:id="31"/>
    </w:p>
    <w:p w14:paraId="21F39C55" w14:textId="308CD5C9"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 xml:space="preserve">A. Portfolio </w:t>
      </w:r>
      <w:proofErr w:type="spellStart"/>
      <w:r w:rsidRPr="002917FE">
        <w:rPr>
          <w:rFonts w:ascii="Arial" w:hAnsi="Arial" w:cs="Arial"/>
          <w:b/>
          <w:sz w:val="24"/>
          <w:szCs w:val="24"/>
          <w:lang w:val="en-US"/>
        </w:rPr>
        <w:t>Optimisation</w:t>
      </w:r>
      <w:proofErr w:type="spellEnd"/>
      <w:r w:rsidRPr="002917FE">
        <w:rPr>
          <w:rFonts w:ascii="Arial" w:hAnsi="Arial" w:cs="Arial"/>
          <w:b/>
          <w:sz w:val="24"/>
          <w:szCs w:val="24"/>
          <w:lang w:val="en-US"/>
        </w:rPr>
        <w:t xml:space="preserve"> and Divestiture</w:t>
      </w:r>
    </w:p>
    <w:p w14:paraId="19C13981"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 xml:space="preserve">The Volkswagen company needs to sell non-core or underperforming assets, mainly low-margin ICE and non-profitable subsidiaries. Asset </w:t>
      </w:r>
      <w:proofErr w:type="spellStart"/>
      <w:r w:rsidRPr="002917FE">
        <w:rPr>
          <w:rFonts w:ascii="Arial" w:hAnsi="Arial" w:cs="Arial"/>
          <w:bCs/>
          <w:sz w:val="24"/>
          <w:szCs w:val="24"/>
          <w:lang w:val="en-US"/>
        </w:rPr>
        <w:t>rationalisation</w:t>
      </w:r>
      <w:proofErr w:type="spellEnd"/>
      <w:r w:rsidRPr="002917FE">
        <w:rPr>
          <w:rFonts w:ascii="Arial" w:hAnsi="Arial" w:cs="Arial"/>
          <w:bCs/>
          <w:sz w:val="24"/>
          <w:szCs w:val="24"/>
          <w:lang w:val="en-US"/>
        </w:rPr>
        <w:t xml:space="preserve"> has become more popular among investors, rather than spending a lot of capital, particularly following big bets like EV alliances (Financial Times, 2023).</w:t>
      </w:r>
    </w:p>
    <w:p w14:paraId="24C7CE6D"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This plan enhances the returns on capital invested (ROCE), makes operations simpler and liberates capital to invest in EV and digital. It is in line with a strategic transformation of high-growth EV segments (MarketLine, 2023).</w:t>
      </w:r>
    </w:p>
    <w:p w14:paraId="2046E6CB" w14:textId="5DB31B7D"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B. Strategic Partnerships and Joint Ventures</w:t>
      </w:r>
    </w:p>
    <w:p w14:paraId="5B10C041"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VW ought to increase its software, battery, and autonomous driving collaborations. The partnership with Rivian is the strategic step which the company can take to address internal software inefficiencies (Bloomberg, 2023). Moreover, collaborations in China will enhance its competitiveness in the largest EV market across the world (Statista, 2024).</w:t>
      </w:r>
    </w:p>
    <w:p w14:paraId="2CAC5488"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These deals lower the cost of R&amp;D, speed up the innovation process and spread the financial risk. This is an indication of a wider industry trend to collaborative models of innovation (The Economist, 2023).</w:t>
      </w:r>
    </w:p>
    <w:p w14:paraId="6A33B3DB" w14:textId="3B3273FC"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C. Inside Cost Restructuring</w:t>
      </w:r>
    </w:p>
    <w:p w14:paraId="5C87B937"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 xml:space="preserve">To lower their fixed costs should be 15-20 percent, </w:t>
      </w:r>
      <w:proofErr w:type="spellStart"/>
      <w:r w:rsidRPr="002917FE">
        <w:rPr>
          <w:rFonts w:ascii="Arial" w:hAnsi="Arial" w:cs="Arial"/>
          <w:bCs/>
          <w:sz w:val="24"/>
          <w:szCs w:val="24"/>
          <w:lang w:val="en-US"/>
        </w:rPr>
        <w:t>rationalise</w:t>
      </w:r>
      <w:proofErr w:type="spellEnd"/>
      <w:r w:rsidRPr="002917FE">
        <w:rPr>
          <w:rFonts w:ascii="Arial" w:hAnsi="Arial" w:cs="Arial"/>
          <w:bCs/>
          <w:sz w:val="24"/>
          <w:szCs w:val="24"/>
          <w:lang w:val="en-US"/>
        </w:rPr>
        <w:t xml:space="preserve"> their production capacity and simplify their workforce by voluntary </w:t>
      </w:r>
      <w:proofErr w:type="spellStart"/>
      <w:r w:rsidRPr="002917FE">
        <w:rPr>
          <w:rFonts w:ascii="Arial" w:hAnsi="Arial" w:cs="Arial"/>
          <w:bCs/>
          <w:sz w:val="24"/>
          <w:szCs w:val="24"/>
          <w:lang w:val="en-US"/>
        </w:rPr>
        <w:t>programmes</w:t>
      </w:r>
      <w:proofErr w:type="spellEnd"/>
      <w:r w:rsidRPr="002917FE">
        <w:rPr>
          <w:rFonts w:ascii="Arial" w:hAnsi="Arial" w:cs="Arial"/>
          <w:bCs/>
          <w:sz w:val="24"/>
          <w:szCs w:val="24"/>
          <w:lang w:val="en-US"/>
        </w:rPr>
        <w:t>, Volkswagen. The company has already embarked on cost-saving, especially in its software department (Bloomberg, 2023).</w:t>
      </w:r>
    </w:p>
    <w:p w14:paraId="5DD958F5"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lastRenderedPageBreak/>
        <w:t>This will boost the operating margins and competitiveness and structure the costs to the realities of EV markets (MarketLine, 2023).</w:t>
      </w:r>
    </w:p>
    <w:p w14:paraId="76369102" w14:textId="199861C4"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D. Equity injection and capital structure rebalancing</w:t>
      </w:r>
    </w:p>
    <w:p w14:paraId="2665EA0C"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The Volkswagen needs to invest more in equity by issuing shares or strategic investors and decrease the use of debt. Using high leverage also subjects the company to risks of interest rates and financial volatility (Financial Times, 2023).</w:t>
      </w:r>
    </w:p>
    <w:p w14:paraId="2ED08CA0"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 xml:space="preserve">Equity injection boosts the balance sheet, </w:t>
      </w:r>
      <w:proofErr w:type="spellStart"/>
      <w:r w:rsidRPr="002917FE">
        <w:rPr>
          <w:rFonts w:ascii="Arial" w:hAnsi="Arial" w:cs="Arial"/>
          <w:bCs/>
          <w:sz w:val="24"/>
          <w:szCs w:val="24"/>
          <w:lang w:val="en-US"/>
        </w:rPr>
        <w:t>minimises</w:t>
      </w:r>
      <w:proofErr w:type="spellEnd"/>
      <w:r w:rsidRPr="002917FE">
        <w:rPr>
          <w:rFonts w:ascii="Arial" w:hAnsi="Arial" w:cs="Arial"/>
          <w:bCs/>
          <w:sz w:val="24"/>
          <w:szCs w:val="24"/>
          <w:lang w:val="en-US"/>
        </w:rPr>
        <w:t xml:space="preserve"> financial risk and investor confidence. It also helps in long-term, capital-intensive investment in EV infrastructure (Statista, 2024).</w:t>
      </w:r>
    </w:p>
    <w:p w14:paraId="11AFADCB" w14:textId="31D4FB6F"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E. Spin-offs and IPO Strategy</w:t>
      </w:r>
    </w:p>
    <w:p w14:paraId="1BAB0C28"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Spin-offs and IPOs can help Volkswagen to unlock the value that is hidden, as the Porsche listing shows. This plan increases market value, increases transparency and creates funds to reinvest (Forbes, 2023).</w:t>
      </w:r>
    </w:p>
    <w:p w14:paraId="0BFE11FB" w14:textId="18964D87" w:rsidR="002917FE" w:rsidRPr="002917FE" w:rsidRDefault="002917FE" w:rsidP="002917FE">
      <w:pPr>
        <w:pStyle w:val="Heading2"/>
        <w:rPr>
          <w:lang w:val="en-US"/>
        </w:rPr>
      </w:pPr>
      <w:bookmarkStart w:id="32" w:name="_Toc226785380"/>
      <w:r>
        <w:rPr>
          <w:lang w:val="en-US"/>
        </w:rPr>
        <w:t>3.3</w:t>
      </w:r>
      <w:r w:rsidRPr="002917FE">
        <w:rPr>
          <w:lang w:val="en-US"/>
        </w:rPr>
        <w:t xml:space="preserve"> Implication to Shareholder Value</w:t>
      </w:r>
      <w:bookmarkEnd w:id="32"/>
    </w:p>
    <w:p w14:paraId="2D048D8C" w14:textId="657F0022"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Positive Impacts</w:t>
      </w:r>
    </w:p>
    <w:p w14:paraId="22B6F2A7" w14:textId="77777777" w:rsidR="002917FE" w:rsidRPr="002917FE" w:rsidRDefault="002917FE" w:rsidP="002917FE">
      <w:pPr>
        <w:pStyle w:val="ListParagraph"/>
        <w:numPr>
          <w:ilvl w:val="0"/>
          <w:numId w:val="57"/>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Better cost reduction and efficiency gains in order to increase profitability (MarketLine, 2023).</w:t>
      </w:r>
    </w:p>
    <w:p w14:paraId="5F87AC62" w14:textId="77777777" w:rsidR="002917FE" w:rsidRPr="002917FE" w:rsidRDefault="002917FE" w:rsidP="002917FE">
      <w:pPr>
        <w:pStyle w:val="ListParagraph"/>
        <w:numPr>
          <w:ilvl w:val="0"/>
          <w:numId w:val="57"/>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Corresponding strategic unions and spin-offs that have boosted their market valuation (Forbes, 2023).</w:t>
      </w:r>
    </w:p>
    <w:p w14:paraId="72ED22E2" w14:textId="77777777" w:rsidR="002917FE" w:rsidRPr="002917FE" w:rsidRDefault="002917FE" w:rsidP="002917FE">
      <w:pPr>
        <w:pStyle w:val="ListParagraph"/>
        <w:numPr>
          <w:ilvl w:val="0"/>
          <w:numId w:val="57"/>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Greater and sustainable dividend payouts with enhanced cash flow (Volkswagen Group, 2024)</w:t>
      </w:r>
    </w:p>
    <w:p w14:paraId="0E603EE7" w14:textId="67B480AB"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Potential Risks</w:t>
      </w:r>
    </w:p>
    <w:p w14:paraId="1D59CEB4" w14:textId="77777777" w:rsidR="002917FE" w:rsidRPr="002917FE" w:rsidRDefault="002917FE" w:rsidP="002917FE">
      <w:pPr>
        <w:pStyle w:val="ListParagraph"/>
        <w:numPr>
          <w:ilvl w:val="0"/>
          <w:numId w:val="58"/>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Temporary fall in profit as a result of restructuring expenses (Financial Times, 2023)</w:t>
      </w:r>
    </w:p>
    <w:p w14:paraId="195B9E5E" w14:textId="77777777" w:rsidR="002917FE" w:rsidRPr="002917FE" w:rsidRDefault="002917FE" w:rsidP="002917FE">
      <w:pPr>
        <w:pStyle w:val="ListParagraph"/>
        <w:numPr>
          <w:ilvl w:val="0"/>
          <w:numId w:val="58"/>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Equity issuance (Share dilution) (Bloomberg, 2023).</w:t>
      </w:r>
    </w:p>
    <w:p w14:paraId="6AD740DB" w14:textId="77777777" w:rsidR="002917FE" w:rsidRPr="002917FE" w:rsidRDefault="002917FE" w:rsidP="002917FE">
      <w:pPr>
        <w:pStyle w:val="ListParagraph"/>
        <w:numPr>
          <w:ilvl w:val="0"/>
          <w:numId w:val="58"/>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Risks through execution that would impact investor confidence (The Economist, 2023).</w:t>
      </w:r>
    </w:p>
    <w:p w14:paraId="5EE0010D" w14:textId="486C1C19"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lastRenderedPageBreak/>
        <w:t>These risks notwithstanding, there is an important long-term value creation for shareholders.</w:t>
      </w:r>
    </w:p>
    <w:p w14:paraId="5295345A" w14:textId="02ED2A5F" w:rsidR="002917FE" w:rsidRPr="002917FE" w:rsidRDefault="002917FE" w:rsidP="002917FE">
      <w:pPr>
        <w:pStyle w:val="Heading2"/>
        <w:rPr>
          <w:lang w:val="en-US"/>
        </w:rPr>
      </w:pPr>
      <w:bookmarkStart w:id="33" w:name="_Toc226785381"/>
      <w:r>
        <w:rPr>
          <w:lang w:val="en-US"/>
        </w:rPr>
        <w:t>3</w:t>
      </w:r>
      <w:r w:rsidRPr="002917FE">
        <w:rPr>
          <w:lang w:val="en-US"/>
        </w:rPr>
        <w:t>.</w:t>
      </w:r>
      <w:r>
        <w:rPr>
          <w:lang w:val="en-US"/>
        </w:rPr>
        <w:t>4</w:t>
      </w:r>
      <w:r w:rsidRPr="002917FE">
        <w:rPr>
          <w:lang w:val="en-US"/>
        </w:rPr>
        <w:t xml:space="preserve"> Effect on Debt Structure</w:t>
      </w:r>
      <w:bookmarkEnd w:id="33"/>
    </w:p>
    <w:p w14:paraId="4106385D"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EV investments, as well as financial services, make Volkswagen have a rather high debt ratio at the moment (Volkswagen Group, 2024).</w:t>
      </w:r>
    </w:p>
    <w:p w14:paraId="26AD0F32" w14:textId="528A321D"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Positive Outcomes of Restructuring:</w:t>
      </w:r>
    </w:p>
    <w:p w14:paraId="582CA89C" w14:textId="77777777" w:rsidR="002917FE" w:rsidRPr="002917FE" w:rsidRDefault="002917FE" w:rsidP="002917FE">
      <w:pPr>
        <w:pStyle w:val="ListParagraph"/>
        <w:numPr>
          <w:ilvl w:val="0"/>
          <w:numId w:val="59"/>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Less leverage by means of greater equity financing (Financial Times, 2023).</w:t>
      </w:r>
    </w:p>
    <w:p w14:paraId="444D5265" w14:textId="77777777" w:rsidR="002917FE" w:rsidRPr="002917FE" w:rsidRDefault="002917FE" w:rsidP="002917FE">
      <w:pPr>
        <w:pStyle w:val="ListParagraph"/>
        <w:numPr>
          <w:ilvl w:val="0"/>
          <w:numId w:val="59"/>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Reduction in interest payment and better credit rating (Bloomberg, 2023).</w:t>
      </w:r>
    </w:p>
    <w:p w14:paraId="655ED1D8" w14:textId="77777777" w:rsidR="002917FE" w:rsidRPr="002917FE" w:rsidRDefault="002917FE" w:rsidP="002917FE">
      <w:pPr>
        <w:pStyle w:val="ListParagraph"/>
        <w:numPr>
          <w:ilvl w:val="0"/>
          <w:numId w:val="59"/>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Enhanced financial stability</w:t>
      </w:r>
    </w:p>
    <w:p w14:paraId="01A52D8E" w14:textId="77777777"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Strategic Recommendation:</w:t>
      </w:r>
    </w:p>
    <w:p w14:paraId="38D14B25"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To align its financing strategy with its ESG goals, Volkswagen ought to use green bonds to fund sustainable projects (The Economist, 2023).</w:t>
      </w:r>
    </w:p>
    <w:p w14:paraId="503CAAE0" w14:textId="064B204C" w:rsidR="002917FE" w:rsidRPr="002917FE" w:rsidRDefault="002917FE" w:rsidP="002917FE">
      <w:pPr>
        <w:pStyle w:val="Heading2"/>
        <w:rPr>
          <w:lang w:val="en-US"/>
        </w:rPr>
      </w:pPr>
      <w:bookmarkStart w:id="34" w:name="_Toc226785382"/>
      <w:r>
        <w:rPr>
          <w:lang w:val="en-US"/>
        </w:rPr>
        <w:t>3.5</w:t>
      </w:r>
      <w:r w:rsidRPr="002917FE">
        <w:rPr>
          <w:lang w:val="en-US"/>
        </w:rPr>
        <w:t xml:space="preserve"> Effect on Operational Mobility</w:t>
      </w:r>
      <w:bookmarkEnd w:id="34"/>
    </w:p>
    <w:p w14:paraId="42742FE9"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Restructuring greatly increases flexibility of operations.</w:t>
      </w:r>
    </w:p>
    <w:p w14:paraId="7E5EE3FE" w14:textId="77777777" w:rsidR="002917FE" w:rsidRPr="002917FE" w:rsidRDefault="002917FE" w:rsidP="002917FE">
      <w:pPr>
        <w:pStyle w:val="ListParagraph"/>
        <w:numPr>
          <w:ilvl w:val="0"/>
          <w:numId w:val="60"/>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Alliances decrease the dependence on internal competencies (Bloomberg, 2023).</w:t>
      </w:r>
    </w:p>
    <w:p w14:paraId="195D8C20" w14:textId="77777777" w:rsidR="002917FE" w:rsidRPr="002917FE" w:rsidRDefault="002917FE" w:rsidP="002917FE">
      <w:pPr>
        <w:pStyle w:val="ListParagraph"/>
        <w:numPr>
          <w:ilvl w:val="0"/>
          <w:numId w:val="60"/>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Divestitures simplify the running of business (MarketLine, 2023).</w:t>
      </w:r>
    </w:p>
    <w:p w14:paraId="34D55D0D" w14:textId="77777777" w:rsidR="002917FE" w:rsidRPr="002917FE" w:rsidRDefault="002917FE" w:rsidP="002917FE">
      <w:pPr>
        <w:pStyle w:val="ListParagraph"/>
        <w:numPr>
          <w:ilvl w:val="0"/>
          <w:numId w:val="60"/>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Digital transformation enhances the responsiveness to changes in the market (The Economist, 2023).</w:t>
      </w:r>
    </w:p>
    <w:p w14:paraId="785F82C0"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This will allow Volkswagen to be more responsive in terms of technological changes, changing customer preferences and regulatory forces.</w:t>
      </w:r>
    </w:p>
    <w:p w14:paraId="03280773" w14:textId="723850D0" w:rsidR="002917FE" w:rsidRPr="002917FE" w:rsidRDefault="002917FE" w:rsidP="002917FE">
      <w:pPr>
        <w:pStyle w:val="Heading2"/>
        <w:rPr>
          <w:lang w:val="en-US"/>
        </w:rPr>
      </w:pPr>
      <w:bookmarkStart w:id="35" w:name="_Toc226785383"/>
      <w:r>
        <w:rPr>
          <w:lang w:val="en-US"/>
        </w:rPr>
        <w:t xml:space="preserve">3.6 </w:t>
      </w:r>
      <w:r w:rsidRPr="002917FE">
        <w:rPr>
          <w:lang w:val="en-US"/>
        </w:rPr>
        <w:t>International Considerations</w:t>
      </w:r>
      <w:bookmarkEnd w:id="35"/>
    </w:p>
    <w:p w14:paraId="31B27875" w14:textId="385EBD73"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A. Taxation</w:t>
      </w:r>
    </w:p>
    <w:p w14:paraId="26C3E465"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VW is spread in different jurisdictions, which subject it to different tax regimes. The ethical standards need to be upheld by adhering to international regulations, including OECD guidelines (OECD, 2022).</w:t>
      </w:r>
    </w:p>
    <w:p w14:paraId="441DB089" w14:textId="2596A3A5"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lastRenderedPageBreak/>
        <w:t>B. Currency Risk</w:t>
      </w:r>
    </w:p>
    <w:p w14:paraId="420A5A4D"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The company has a high exposure to the exchange rate (EUR, USD, CNY), especially in the Chinese and US markets. Forward contracts and options are some of the hedging strategies needed to address this risk (Financial Times, 2023).</w:t>
      </w:r>
    </w:p>
    <w:p w14:paraId="22371058" w14:textId="1F10B3A1"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C. Inflation Risk</w:t>
      </w:r>
    </w:p>
    <w:p w14:paraId="357AC7AD"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 xml:space="preserve">Raw materials and </w:t>
      </w:r>
      <w:proofErr w:type="spellStart"/>
      <w:r w:rsidRPr="002917FE">
        <w:rPr>
          <w:rFonts w:ascii="Arial" w:hAnsi="Arial" w:cs="Arial"/>
          <w:bCs/>
          <w:sz w:val="24"/>
          <w:szCs w:val="24"/>
          <w:lang w:val="en-US"/>
        </w:rPr>
        <w:t>labour</w:t>
      </w:r>
      <w:proofErr w:type="spellEnd"/>
      <w:r w:rsidRPr="002917FE">
        <w:rPr>
          <w:rFonts w:ascii="Arial" w:hAnsi="Arial" w:cs="Arial"/>
          <w:bCs/>
          <w:sz w:val="24"/>
          <w:szCs w:val="24"/>
          <w:lang w:val="en-US"/>
        </w:rPr>
        <w:t xml:space="preserve"> costs have also been rising, which has also increased the cost of production, impacting profitability (Statista, 2024).</w:t>
      </w:r>
    </w:p>
    <w:p w14:paraId="424B0B2B" w14:textId="37F39BB1"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D. Global Market Dynamics</w:t>
      </w:r>
    </w:p>
    <w:p w14:paraId="53F849DC" w14:textId="77777777" w:rsidR="002917FE" w:rsidRPr="002917FE" w:rsidRDefault="002917FE" w:rsidP="002917FE">
      <w:pPr>
        <w:pStyle w:val="ListParagraph"/>
        <w:numPr>
          <w:ilvl w:val="0"/>
          <w:numId w:val="61"/>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China: stiff competition and decelerating growth.</w:t>
      </w:r>
    </w:p>
    <w:p w14:paraId="77366392" w14:textId="77777777" w:rsidR="002917FE" w:rsidRPr="002917FE" w:rsidRDefault="002917FE" w:rsidP="002917FE">
      <w:pPr>
        <w:pStyle w:val="ListParagraph"/>
        <w:numPr>
          <w:ilvl w:val="0"/>
          <w:numId w:val="61"/>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Europe: stringent environmental policies.</w:t>
      </w:r>
    </w:p>
    <w:p w14:paraId="7C96D265" w14:textId="0315660E" w:rsidR="002917FE" w:rsidRPr="002917FE" w:rsidRDefault="002917FE" w:rsidP="002917FE">
      <w:pPr>
        <w:pStyle w:val="ListParagraph"/>
        <w:numPr>
          <w:ilvl w:val="0"/>
          <w:numId w:val="61"/>
        </w:numPr>
        <w:spacing w:before="240" w:line="360" w:lineRule="auto"/>
        <w:jc w:val="both"/>
        <w:rPr>
          <w:rFonts w:ascii="Arial" w:hAnsi="Arial" w:cs="Arial"/>
          <w:bCs/>
          <w:sz w:val="24"/>
          <w:szCs w:val="24"/>
          <w:lang w:val="en-US"/>
        </w:rPr>
      </w:pPr>
      <w:r w:rsidRPr="002917FE">
        <w:rPr>
          <w:rFonts w:ascii="Arial" w:hAnsi="Arial" w:cs="Arial"/>
          <w:bCs/>
          <w:sz w:val="24"/>
          <w:szCs w:val="24"/>
          <w:lang w:val="en-US"/>
        </w:rPr>
        <w:t>US: The US has expansion potential and is competitive.</w:t>
      </w:r>
    </w:p>
    <w:p w14:paraId="41125E5C"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To be competitive, Volkswagen will have to implement region-based financial strategies (Bloomberg, 2023).</w:t>
      </w:r>
    </w:p>
    <w:p w14:paraId="78BAB806" w14:textId="5C4BBBA0" w:rsidR="002917FE" w:rsidRPr="002917FE" w:rsidRDefault="002917FE" w:rsidP="002917FE">
      <w:pPr>
        <w:pStyle w:val="Heading2"/>
        <w:rPr>
          <w:lang w:val="en-US"/>
        </w:rPr>
      </w:pPr>
      <w:bookmarkStart w:id="36" w:name="_Toc226785384"/>
      <w:r>
        <w:rPr>
          <w:lang w:val="en-US"/>
        </w:rPr>
        <w:t xml:space="preserve">3.7 </w:t>
      </w:r>
      <w:r w:rsidRPr="002917FE">
        <w:rPr>
          <w:lang w:val="en-US"/>
        </w:rPr>
        <w:t>CSR and ethical implications</w:t>
      </w:r>
      <w:bookmarkEnd w:id="36"/>
    </w:p>
    <w:p w14:paraId="2E32BEC2" w14:textId="78AD6F2E"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Workforce Restructuring</w:t>
      </w:r>
    </w:p>
    <w:p w14:paraId="6BCCE6A0"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 xml:space="preserve">Voluntary buyouts and reskilling of the employees should be </w:t>
      </w:r>
      <w:proofErr w:type="spellStart"/>
      <w:r w:rsidRPr="002917FE">
        <w:rPr>
          <w:rFonts w:ascii="Arial" w:hAnsi="Arial" w:cs="Arial"/>
          <w:bCs/>
          <w:sz w:val="24"/>
          <w:szCs w:val="24"/>
          <w:lang w:val="en-US"/>
        </w:rPr>
        <w:t>prioritised</w:t>
      </w:r>
      <w:proofErr w:type="spellEnd"/>
      <w:r w:rsidRPr="002917FE">
        <w:rPr>
          <w:rFonts w:ascii="Arial" w:hAnsi="Arial" w:cs="Arial"/>
          <w:bCs/>
          <w:sz w:val="24"/>
          <w:szCs w:val="24"/>
          <w:lang w:val="en-US"/>
        </w:rPr>
        <w:t xml:space="preserve"> by Volkswagen, which is in line with ethical restructuring practices (Harvard Business Review, 2022).</w:t>
      </w:r>
    </w:p>
    <w:p w14:paraId="2EB87346" w14:textId="308F25DB"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Sustainable Financing</w:t>
      </w:r>
    </w:p>
    <w:p w14:paraId="752B14AD"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Green bonds and carbon-neutral manufacturing are investments that can be used for sustainability in the long term (The Economist, 2023).</w:t>
      </w:r>
    </w:p>
    <w:p w14:paraId="10C51F4C" w14:textId="7EAC1CFE"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Responsible Supply Chain</w:t>
      </w:r>
    </w:p>
    <w:p w14:paraId="754E5031"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The sourcing of such critical materials like lithium and cobalt should be ethical to prevent environmental and human rights issues (Statista, 2024).</w:t>
      </w:r>
    </w:p>
    <w:p w14:paraId="586760BC" w14:textId="2BE145B2" w:rsidR="002917FE" w:rsidRPr="002917FE" w:rsidRDefault="002917FE" w:rsidP="002917FE">
      <w:pPr>
        <w:spacing w:before="240" w:line="360" w:lineRule="auto"/>
        <w:jc w:val="both"/>
        <w:rPr>
          <w:rFonts w:ascii="Arial" w:hAnsi="Arial" w:cs="Arial"/>
          <w:b/>
          <w:sz w:val="24"/>
          <w:szCs w:val="24"/>
          <w:lang w:val="en-US"/>
        </w:rPr>
      </w:pPr>
      <w:r w:rsidRPr="002917FE">
        <w:rPr>
          <w:rFonts w:ascii="Arial" w:hAnsi="Arial" w:cs="Arial"/>
          <w:b/>
          <w:sz w:val="24"/>
          <w:szCs w:val="24"/>
          <w:lang w:val="en-US"/>
        </w:rPr>
        <w:t>Transparency and Governance</w:t>
      </w:r>
    </w:p>
    <w:p w14:paraId="10F6ECBC"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lastRenderedPageBreak/>
        <w:t>Improved corporate governance and trust are achieved through better ESG reporting and communication to the stakeholders (MarketLine, 2023).</w:t>
      </w:r>
    </w:p>
    <w:p w14:paraId="6BE49301" w14:textId="04B19ED6" w:rsidR="002917FE" w:rsidRPr="002917FE" w:rsidRDefault="002917FE" w:rsidP="002917FE">
      <w:pPr>
        <w:pStyle w:val="Heading2"/>
        <w:rPr>
          <w:lang w:val="en-US"/>
        </w:rPr>
      </w:pPr>
      <w:bookmarkStart w:id="37" w:name="_Toc226785385"/>
      <w:r>
        <w:rPr>
          <w:lang w:val="en-US"/>
        </w:rPr>
        <w:t>3.8</w:t>
      </w:r>
      <w:r w:rsidRPr="002917FE">
        <w:rPr>
          <w:lang w:val="en-US"/>
        </w:rPr>
        <w:t xml:space="preserve"> Critical Evaluation</w:t>
      </w:r>
      <w:bookmarkEnd w:id="37"/>
    </w:p>
    <w:p w14:paraId="3AE87BBC"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 xml:space="preserve">The restructuring strategy of Volkswagen is indicative of being transformed into a technology-orientated mobility company. Nevertheless, there are still difficulties, such as the restructuring costs being high and the partnerships involving risks in their execution and </w:t>
      </w:r>
      <w:proofErr w:type="spellStart"/>
      <w:r w:rsidRPr="002917FE">
        <w:rPr>
          <w:rFonts w:ascii="Arial" w:hAnsi="Arial" w:cs="Arial"/>
          <w:bCs/>
          <w:sz w:val="24"/>
          <w:szCs w:val="24"/>
          <w:lang w:val="en-US"/>
        </w:rPr>
        <w:t>organisational</w:t>
      </w:r>
      <w:proofErr w:type="spellEnd"/>
      <w:r w:rsidRPr="002917FE">
        <w:rPr>
          <w:rFonts w:ascii="Arial" w:hAnsi="Arial" w:cs="Arial"/>
          <w:bCs/>
          <w:sz w:val="24"/>
          <w:szCs w:val="24"/>
          <w:lang w:val="en-US"/>
        </w:rPr>
        <w:t xml:space="preserve"> obstacles (Financial Times, 2023).</w:t>
      </w:r>
    </w:p>
    <w:p w14:paraId="03DFA435" w14:textId="77777777" w:rsidR="002917FE" w:rsidRPr="002917FE" w:rsidRDefault="002917FE" w:rsidP="002917FE">
      <w:pPr>
        <w:spacing w:before="240" w:line="360" w:lineRule="auto"/>
        <w:jc w:val="both"/>
        <w:rPr>
          <w:rFonts w:ascii="Arial" w:hAnsi="Arial" w:cs="Arial"/>
          <w:bCs/>
          <w:sz w:val="24"/>
          <w:szCs w:val="24"/>
          <w:lang w:val="en-US"/>
        </w:rPr>
      </w:pPr>
      <w:r w:rsidRPr="002917FE">
        <w:rPr>
          <w:rFonts w:ascii="Arial" w:hAnsi="Arial" w:cs="Arial"/>
          <w:bCs/>
          <w:sz w:val="24"/>
          <w:szCs w:val="24"/>
          <w:lang w:val="en-US"/>
        </w:rPr>
        <w:t>The change towards partnerships shows that internal capabilities cannot be adequate in such fields as software development (Bloomberg, 2023). Simultaneously, cost reduction reveals a great dedication to enhancing financial performance (MarketLine, 2023).</w:t>
      </w:r>
    </w:p>
    <w:p w14:paraId="5FDC8575" w14:textId="096815A3" w:rsidR="00D115FA" w:rsidRPr="00F9619B" w:rsidRDefault="002917FE" w:rsidP="00D115FA">
      <w:pPr>
        <w:spacing w:before="240" w:line="360" w:lineRule="auto"/>
        <w:jc w:val="both"/>
        <w:rPr>
          <w:rFonts w:ascii="Arial" w:hAnsi="Arial" w:cs="Arial"/>
          <w:bCs/>
          <w:sz w:val="24"/>
          <w:szCs w:val="24"/>
          <w:lang w:val="en-US"/>
        </w:rPr>
      </w:pPr>
      <w:r w:rsidRPr="002917FE">
        <w:rPr>
          <w:rFonts w:ascii="Arial" w:hAnsi="Arial" w:cs="Arial"/>
          <w:bCs/>
          <w:sz w:val="24"/>
          <w:szCs w:val="24"/>
          <w:lang w:val="en-US"/>
        </w:rPr>
        <w:t>Generally, it is a financially viable strategy that is very reliant on its execution.</w:t>
      </w:r>
    </w:p>
    <w:p w14:paraId="29F8BFA2" w14:textId="20ED06CA" w:rsidR="00D115FA" w:rsidRPr="003227C7" w:rsidRDefault="00D115FA" w:rsidP="00D115FA">
      <w:pPr>
        <w:pStyle w:val="Heading1"/>
      </w:pPr>
      <w:bookmarkStart w:id="38" w:name="_Toc226785386"/>
      <w:r>
        <w:t xml:space="preserve">4. </w:t>
      </w:r>
      <w:r w:rsidR="009909CC" w:rsidRPr="009909CC">
        <w:t>Investment Appraisal and Capital Budgeting for Volkswagen Group</w:t>
      </w:r>
      <w:bookmarkEnd w:id="38"/>
    </w:p>
    <w:p w14:paraId="1D658FD1"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Investment appraisal is highly vital to Volkswagen because as it moves towards electrification, massive capital investment is needed, and this has to be financed. According to recent financial reports, despite the high revenues produced by Volkswagen, the profit margins are limited by the high expenditures on EV investments and research and development (Volkswagen Group, 2024; Financial Times, 2023).</w:t>
      </w:r>
    </w:p>
    <w:p w14:paraId="5C4AF46E"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As such, it is vital to choose the most economically feasible projects to do the following:</w:t>
      </w:r>
    </w:p>
    <w:p w14:paraId="428FFFF2" w14:textId="1483FB87" w:rsidR="002430D6" w:rsidRPr="002430D6" w:rsidRDefault="002430D6" w:rsidP="002430D6">
      <w:pPr>
        <w:pStyle w:val="ListParagraph"/>
        <w:numPr>
          <w:ilvl w:val="0"/>
          <w:numId w:val="62"/>
        </w:numPr>
        <w:spacing w:before="240" w:line="360" w:lineRule="auto"/>
        <w:jc w:val="both"/>
        <w:rPr>
          <w:rFonts w:ascii="Arial" w:hAnsi="Arial" w:cs="Arial"/>
          <w:bCs/>
          <w:sz w:val="24"/>
          <w:szCs w:val="24"/>
          <w:lang w:val="en-US"/>
        </w:rPr>
      </w:pPr>
      <w:r w:rsidRPr="002430D6">
        <w:rPr>
          <w:rFonts w:ascii="Arial" w:hAnsi="Arial" w:cs="Arial"/>
          <w:bCs/>
          <w:sz w:val="24"/>
          <w:szCs w:val="24"/>
          <w:lang w:val="en-US"/>
        </w:rPr>
        <w:t>Improve profitability</w:t>
      </w:r>
      <w:r>
        <w:rPr>
          <w:rFonts w:ascii="Arial" w:hAnsi="Arial" w:cs="Arial"/>
          <w:bCs/>
          <w:sz w:val="24"/>
          <w:szCs w:val="24"/>
          <w:lang w:val="en-US"/>
        </w:rPr>
        <w:t>.</w:t>
      </w:r>
    </w:p>
    <w:p w14:paraId="295AB48B" w14:textId="77777777" w:rsidR="002430D6" w:rsidRPr="002430D6" w:rsidRDefault="002430D6" w:rsidP="002430D6">
      <w:pPr>
        <w:pStyle w:val="ListParagraph"/>
        <w:numPr>
          <w:ilvl w:val="0"/>
          <w:numId w:val="62"/>
        </w:numPr>
        <w:spacing w:before="240" w:line="360" w:lineRule="auto"/>
        <w:jc w:val="both"/>
        <w:rPr>
          <w:rFonts w:ascii="Arial" w:hAnsi="Arial" w:cs="Arial"/>
          <w:bCs/>
          <w:sz w:val="24"/>
          <w:szCs w:val="24"/>
          <w:lang w:val="en-US"/>
        </w:rPr>
      </w:pPr>
      <w:r w:rsidRPr="002430D6">
        <w:rPr>
          <w:rFonts w:ascii="Arial" w:hAnsi="Arial" w:cs="Arial"/>
          <w:bCs/>
          <w:sz w:val="24"/>
          <w:szCs w:val="24"/>
          <w:lang w:val="en-US"/>
        </w:rPr>
        <w:t>Preserve liquidity.</w:t>
      </w:r>
    </w:p>
    <w:p w14:paraId="17CCF2DE" w14:textId="77777777" w:rsidR="002430D6" w:rsidRPr="002430D6" w:rsidRDefault="002430D6" w:rsidP="002430D6">
      <w:pPr>
        <w:pStyle w:val="ListParagraph"/>
        <w:numPr>
          <w:ilvl w:val="0"/>
          <w:numId w:val="62"/>
        </w:numPr>
        <w:spacing w:before="240" w:line="360" w:lineRule="auto"/>
        <w:jc w:val="both"/>
        <w:rPr>
          <w:rFonts w:ascii="Arial" w:hAnsi="Arial" w:cs="Arial"/>
          <w:bCs/>
          <w:sz w:val="24"/>
          <w:szCs w:val="24"/>
          <w:lang w:val="en-US"/>
        </w:rPr>
      </w:pPr>
      <w:proofErr w:type="spellStart"/>
      <w:r w:rsidRPr="002430D6">
        <w:rPr>
          <w:rFonts w:ascii="Arial" w:hAnsi="Arial" w:cs="Arial"/>
          <w:bCs/>
          <w:sz w:val="24"/>
          <w:szCs w:val="24"/>
          <w:lang w:val="en-US"/>
        </w:rPr>
        <w:t>Maximise</w:t>
      </w:r>
      <w:proofErr w:type="spellEnd"/>
      <w:r w:rsidRPr="002430D6">
        <w:rPr>
          <w:rFonts w:ascii="Arial" w:hAnsi="Arial" w:cs="Arial"/>
          <w:bCs/>
          <w:sz w:val="24"/>
          <w:szCs w:val="24"/>
          <w:lang w:val="en-US"/>
        </w:rPr>
        <w:t xml:space="preserve"> shareholder value</w:t>
      </w:r>
    </w:p>
    <w:p w14:paraId="2C8DF53B"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This part compares three investment projects in terms of payback period (PBP), accounting rate of return (ARR), net present value (NPV), profitability index (PI) and internal rate of return (IRR).</w:t>
      </w:r>
    </w:p>
    <w:p w14:paraId="35A06600" w14:textId="5E585679" w:rsidR="00BE2BF7" w:rsidRDefault="002430D6" w:rsidP="002430D6">
      <w:pPr>
        <w:pStyle w:val="Heading2"/>
        <w:rPr>
          <w:lang w:val="en-US"/>
        </w:rPr>
      </w:pPr>
      <w:bookmarkStart w:id="39" w:name="_Toc226785387"/>
      <w:r w:rsidRPr="002430D6">
        <w:rPr>
          <w:lang w:val="en-US"/>
        </w:rPr>
        <w:lastRenderedPageBreak/>
        <w:t>4.1 Project Data Overview</w:t>
      </w:r>
      <w:bookmarkEnd w:id="39"/>
    </w:p>
    <w:tbl>
      <w:tblPr>
        <w:tblStyle w:val="TableGrid"/>
        <w:tblW w:w="0" w:type="auto"/>
        <w:tblLook w:val="04A0" w:firstRow="1" w:lastRow="0" w:firstColumn="1" w:lastColumn="0" w:noHBand="0" w:noVBand="1"/>
      </w:tblPr>
      <w:tblGrid>
        <w:gridCol w:w="1030"/>
        <w:gridCol w:w="2750"/>
        <w:gridCol w:w="3391"/>
      </w:tblGrid>
      <w:tr w:rsidR="002430D6" w:rsidRPr="002430D6" w14:paraId="131F0A48" w14:textId="77777777" w:rsidTr="002430D6">
        <w:tc>
          <w:tcPr>
            <w:tcW w:w="0" w:type="auto"/>
            <w:hideMark/>
          </w:tcPr>
          <w:p w14:paraId="4EDDE85E" w14:textId="77777777" w:rsidR="002430D6" w:rsidRPr="002430D6" w:rsidRDefault="002430D6" w:rsidP="002430D6">
            <w:pPr>
              <w:spacing w:before="240" w:line="360" w:lineRule="auto"/>
              <w:jc w:val="both"/>
              <w:rPr>
                <w:rFonts w:ascii="Arial" w:hAnsi="Arial" w:cs="Arial"/>
                <w:b/>
                <w:bCs/>
                <w:sz w:val="24"/>
                <w:szCs w:val="24"/>
                <w:lang w:val="en-US"/>
              </w:rPr>
            </w:pPr>
            <w:r w:rsidRPr="002430D6">
              <w:rPr>
                <w:rFonts w:ascii="Arial" w:hAnsi="Arial" w:cs="Arial"/>
                <w:b/>
                <w:bCs/>
                <w:sz w:val="24"/>
                <w:szCs w:val="24"/>
                <w:lang w:val="en-US"/>
              </w:rPr>
              <w:t>Project</w:t>
            </w:r>
          </w:p>
        </w:tc>
        <w:tc>
          <w:tcPr>
            <w:tcW w:w="0" w:type="auto"/>
            <w:hideMark/>
          </w:tcPr>
          <w:p w14:paraId="32284EC4" w14:textId="77777777" w:rsidR="002430D6" w:rsidRPr="002430D6" w:rsidRDefault="002430D6" w:rsidP="002430D6">
            <w:pPr>
              <w:spacing w:before="240" w:line="360" w:lineRule="auto"/>
              <w:jc w:val="both"/>
              <w:rPr>
                <w:rFonts w:ascii="Arial" w:hAnsi="Arial" w:cs="Arial"/>
                <w:b/>
                <w:bCs/>
                <w:sz w:val="24"/>
                <w:szCs w:val="24"/>
                <w:lang w:val="en-US"/>
              </w:rPr>
            </w:pPr>
            <w:r w:rsidRPr="002430D6">
              <w:rPr>
                <w:rFonts w:ascii="Arial" w:hAnsi="Arial" w:cs="Arial"/>
                <w:b/>
                <w:bCs/>
                <w:sz w:val="24"/>
                <w:szCs w:val="24"/>
                <w:lang w:val="en-US"/>
              </w:rPr>
              <w:t>Initial Investment (£m)</w:t>
            </w:r>
          </w:p>
        </w:tc>
        <w:tc>
          <w:tcPr>
            <w:tcW w:w="0" w:type="auto"/>
            <w:hideMark/>
          </w:tcPr>
          <w:p w14:paraId="4F628F44" w14:textId="77777777" w:rsidR="002430D6" w:rsidRPr="002430D6" w:rsidRDefault="002430D6" w:rsidP="002430D6">
            <w:pPr>
              <w:spacing w:before="240" w:line="360" w:lineRule="auto"/>
              <w:jc w:val="both"/>
              <w:rPr>
                <w:rFonts w:ascii="Arial" w:hAnsi="Arial" w:cs="Arial"/>
                <w:b/>
                <w:bCs/>
                <w:sz w:val="24"/>
                <w:szCs w:val="24"/>
                <w:lang w:val="en-US"/>
              </w:rPr>
            </w:pPr>
            <w:r w:rsidRPr="002430D6">
              <w:rPr>
                <w:rFonts w:ascii="Arial" w:hAnsi="Arial" w:cs="Arial"/>
                <w:b/>
                <w:bCs/>
                <w:sz w:val="24"/>
                <w:szCs w:val="24"/>
                <w:lang w:val="en-US"/>
              </w:rPr>
              <w:t>Cash Inflows (£m, Year 1–5)</w:t>
            </w:r>
          </w:p>
        </w:tc>
      </w:tr>
      <w:tr w:rsidR="002430D6" w:rsidRPr="002430D6" w14:paraId="1A533EE9" w14:textId="77777777" w:rsidTr="002430D6">
        <w:tc>
          <w:tcPr>
            <w:tcW w:w="0" w:type="auto"/>
            <w:hideMark/>
          </w:tcPr>
          <w:p w14:paraId="28DA392F"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A</w:t>
            </w:r>
          </w:p>
        </w:tc>
        <w:tc>
          <w:tcPr>
            <w:tcW w:w="0" w:type="auto"/>
            <w:hideMark/>
          </w:tcPr>
          <w:p w14:paraId="56D08F6C"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50</w:t>
            </w:r>
          </w:p>
        </w:tc>
        <w:tc>
          <w:tcPr>
            <w:tcW w:w="0" w:type="auto"/>
            <w:hideMark/>
          </w:tcPr>
          <w:p w14:paraId="1A1B09CA"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10, 12, 14, 10, 8</w:t>
            </w:r>
          </w:p>
        </w:tc>
      </w:tr>
      <w:tr w:rsidR="002430D6" w:rsidRPr="002430D6" w14:paraId="42791AA0" w14:textId="77777777" w:rsidTr="002430D6">
        <w:tc>
          <w:tcPr>
            <w:tcW w:w="0" w:type="auto"/>
            <w:hideMark/>
          </w:tcPr>
          <w:p w14:paraId="06A130C9"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B</w:t>
            </w:r>
          </w:p>
        </w:tc>
        <w:tc>
          <w:tcPr>
            <w:tcW w:w="0" w:type="auto"/>
            <w:hideMark/>
          </w:tcPr>
          <w:p w14:paraId="70D95513"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50</w:t>
            </w:r>
          </w:p>
        </w:tc>
        <w:tc>
          <w:tcPr>
            <w:tcW w:w="0" w:type="auto"/>
            <w:hideMark/>
          </w:tcPr>
          <w:p w14:paraId="5CA1B3BC"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11, 11, 11, 11, 11</w:t>
            </w:r>
          </w:p>
        </w:tc>
      </w:tr>
      <w:tr w:rsidR="002430D6" w:rsidRPr="002430D6" w14:paraId="40688BB1" w14:textId="77777777" w:rsidTr="002430D6">
        <w:tc>
          <w:tcPr>
            <w:tcW w:w="0" w:type="auto"/>
            <w:hideMark/>
          </w:tcPr>
          <w:p w14:paraId="3AFF321C"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C</w:t>
            </w:r>
          </w:p>
        </w:tc>
        <w:tc>
          <w:tcPr>
            <w:tcW w:w="0" w:type="auto"/>
            <w:hideMark/>
          </w:tcPr>
          <w:p w14:paraId="6B3228AC"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50</w:t>
            </w:r>
          </w:p>
        </w:tc>
        <w:tc>
          <w:tcPr>
            <w:tcW w:w="0" w:type="auto"/>
            <w:hideMark/>
          </w:tcPr>
          <w:p w14:paraId="7E4F39C7" w14:textId="77777777" w:rsidR="002430D6" w:rsidRPr="002430D6" w:rsidRDefault="002430D6" w:rsidP="002430D6">
            <w:pPr>
              <w:keepNext/>
              <w:spacing w:before="240" w:line="360" w:lineRule="auto"/>
              <w:jc w:val="both"/>
              <w:rPr>
                <w:rFonts w:ascii="Arial" w:hAnsi="Arial" w:cs="Arial"/>
                <w:bCs/>
                <w:sz w:val="24"/>
                <w:szCs w:val="24"/>
                <w:lang w:val="en-US"/>
              </w:rPr>
            </w:pPr>
            <w:r w:rsidRPr="002430D6">
              <w:rPr>
                <w:rFonts w:ascii="Arial" w:hAnsi="Arial" w:cs="Arial"/>
                <w:bCs/>
                <w:sz w:val="24"/>
                <w:szCs w:val="24"/>
                <w:lang w:val="en-US"/>
              </w:rPr>
              <w:t>5, 10, 20, 25, 5</w:t>
            </w:r>
          </w:p>
        </w:tc>
      </w:tr>
    </w:tbl>
    <w:p w14:paraId="4729A630" w14:textId="6859C640" w:rsidR="002430D6" w:rsidRDefault="002430D6">
      <w:pPr>
        <w:pStyle w:val="Caption"/>
      </w:pPr>
      <w:bookmarkStart w:id="40" w:name="_Toc226785411"/>
      <w:r>
        <w:t xml:space="preserve">Table </w:t>
      </w:r>
      <w:r>
        <w:fldChar w:fldCharType="begin"/>
      </w:r>
      <w:r>
        <w:instrText xml:space="preserve"> SEQ Table \* ARABIC </w:instrText>
      </w:r>
      <w:r>
        <w:fldChar w:fldCharType="separate"/>
      </w:r>
      <w:r w:rsidR="004569A0">
        <w:rPr>
          <w:noProof/>
        </w:rPr>
        <w:t>10</w:t>
      </w:r>
      <w:r>
        <w:fldChar w:fldCharType="end"/>
      </w:r>
      <w:r>
        <w:t xml:space="preserve">: </w:t>
      </w:r>
      <w:r w:rsidRPr="0015157E">
        <w:t>Project Data</w:t>
      </w:r>
      <w:bookmarkEnd w:id="40"/>
    </w:p>
    <w:p w14:paraId="0CEE13AE" w14:textId="77777777" w:rsidR="002430D6" w:rsidRPr="002430D6" w:rsidRDefault="002430D6" w:rsidP="002430D6">
      <w:pPr>
        <w:spacing w:before="240" w:line="360" w:lineRule="auto"/>
        <w:jc w:val="both"/>
        <w:rPr>
          <w:rFonts w:ascii="Arial" w:hAnsi="Arial" w:cs="Arial"/>
          <w:b/>
          <w:sz w:val="24"/>
          <w:szCs w:val="24"/>
          <w:lang w:val="en-US"/>
        </w:rPr>
      </w:pPr>
      <w:r w:rsidRPr="002430D6">
        <w:rPr>
          <w:rFonts w:ascii="Arial" w:hAnsi="Arial" w:cs="Arial"/>
          <w:b/>
          <w:sz w:val="24"/>
          <w:szCs w:val="24"/>
          <w:lang w:val="en-US"/>
        </w:rPr>
        <w:t xml:space="preserve">Assumptions: </w:t>
      </w:r>
    </w:p>
    <w:p w14:paraId="54FC036C" w14:textId="77777777" w:rsidR="002430D6" w:rsidRPr="002430D6" w:rsidRDefault="002430D6" w:rsidP="002430D6">
      <w:pPr>
        <w:pStyle w:val="ListParagraph"/>
        <w:numPr>
          <w:ilvl w:val="0"/>
          <w:numId w:val="63"/>
        </w:numPr>
        <w:spacing w:before="240" w:line="360" w:lineRule="auto"/>
        <w:jc w:val="both"/>
        <w:rPr>
          <w:rFonts w:ascii="Arial" w:hAnsi="Arial" w:cs="Arial"/>
          <w:bCs/>
          <w:sz w:val="24"/>
          <w:szCs w:val="24"/>
          <w:lang w:val="en-US"/>
        </w:rPr>
      </w:pPr>
      <w:r w:rsidRPr="002430D6">
        <w:rPr>
          <w:rFonts w:ascii="Arial" w:hAnsi="Arial" w:cs="Arial"/>
          <w:bCs/>
          <w:sz w:val="24"/>
          <w:szCs w:val="24"/>
          <w:lang w:val="en-US"/>
        </w:rPr>
        <w:t xml:space="preserve">Discount rate = 10% </w:t>
      </w:r>
    </w:p>
    <w:p w14:paraId="126A2B4D" w14:textId="2475C464" w:rsidR="002430D6" w:rsidRPr="002430D6" w:rsidRDefault="002430D6" w:rsidP="002430D6">
      <w:pPr>
        <w:pStyle w:val="ListParagraph"/>
        <w:numPr>
          <w:ilvl w:val="0"/>
          <w:numId w:val="63"/>
        </w:numPr>
        <w:spacing w:before="240" w:line="360" w:lineRule="auto"/>
        <w:jc w:val="both"/>
        <w:rPr>
          <w:rFonts w:ascii="Arial" w:hAnsi="Arial" w:cs="Arial"/>
          <w:bCs/>
          <w:sz w:val="24"/>
          <w:szCs w:val="24"/>
          <w:lang w:val="en-US"/>
        </w:rPr>
      </w:pPr>
      <w:r w:rsidRPr="002430D6">
        <w:rPr>
          <w:rFonts w:ascii="Arial" w:hAnsi="Arial" w:cs="Arial"/>
          <w:bCs/>
          <w:sz w:val="24"/>
          <w:szCs w:val="24"/>
          <w:lang w:val="en-US"/>
        </w:rPr>
        <w:t>Straight-line depreciation to zero</w:t>
      </w:r>
    </w:p>
    <w:p w14:paraId="4B8E0D7A" w14:textId="4790D6A2" w:rsidR="002430D6" w:rsidRDefault="002430D6" w:rsidP="002430D6">
      <w:pPr>
        <w:pStyle w:val="Heading2"/>
        <w:rPr>
          <w:lang w:val="en-US"/>
        </w:rPr>
      </w:pPr>
      <w:bookmarkStart w:id="41" w:name="_Toc226785388"/>
      <w:r w:rsidRPr="002430D6">
        <w:rPr>
          <w:lang w:val="en-US"/>
        </w:rPr>
        <w:t>4.2 Payback Period (PBP)</w:t>
      </w:r>
      <w:bookmarkEnd w:id="41"/>
    </w:p>
    <w:p w14:paraId="41A72EA8" w14:textId="07BAD486" w:rsidR="002430D6" w:rsidRPr="002430D6" w:rsidRDefault="002430D6" w:rsidP="002430D6">
      <w:pPr>
        <w:spacing w:before="240" w:line="360" w:lineRule="auto"/>
        <w:jc w:val="both"/>
        <w:rPr>
          <w:rFonts w:ascii="Arial" w:hAnsi="Arial" w:cs="Arial"/>
          <w:b/>
          <w:sz w:val="24"/>
          <w:szCs w:val="24"/>
          <w:lang w:val="en-US"/>
        </w:rPr>
      </w:pPr>
      <w:r w:rsidRPr="002430D6">
        <w:rPr>
          <w:rFonts w:ascii="Arial" w:hAnsi="Arial" w:cs="Arial"/>
          <w:b/>
          <w:sz w:val="24"/>
          <w:szCs w:val="24"/>
          <w:lang w:val="en-US"/>
        </w:rPr>
        <w:t>Calculations</w:t>
      </w:r>
    </w:p>
    <w:p w14:paraId="7AD0589D" w14:textId="77777777" w:rsidR="002430D6" w:rsidRPr="002430D6" w:rsidRDefault="002430D6" w:rsidP="002430D6">
      <w:pPr>
        <w:spacing w:before="240" w:line="360" w:lineRule="auto"/>
        <w:jc w:val="both"/>
        <w:rPr>
          <w:rFonts w:ascii="Arial" w:hAnsi="Arial" w:cs="Arial"/>
          <w:b/>
          <w:sz w:val="24"/>
          <w:szCs w:val="24"/>
          <w:lang w:val="en-US"/>
        </w:rPr>
      </w:pPr>
      <w:r w:rsidRPr="002430D6">
        <w:rPr>
          <w:rFonts w:ascii="Segoe UI Emoji" w:hAnsi="Segoe UI Emoji" w:cs="Segoe UI Emoji"/>
          <w:b/>
          <w:sz w:val="24"/>
          <w:szCs w:val="24"/>
          <w:lang w:val="en-US"/>
        </w:rPr>
        <w:t>🔹</w:t>
      </w:r>
      <w:r w:rsidRPr="002430D6">
        <w:rPr>
          <w:rFonts w:ascii="Arial" w:hAnsi="Arial" w:cs="Arial"/>
          <w:b/>
          <w:sz w:val="24"/>
          <w:szCs w:val="24"/>
          <w:lang w:val="en-US"/>
        </w:rPr>
        <w:t xml:space="preserve"> Project A</w:t>
      </w:r>
    </w:p>
    <w:p w14:paraId="25E47174"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Cumulative cash flow:</w:t>
      </w:r>
    </w:p>
    <w:p w14:paraId="47E130B4"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10 → 22 → 36 → 46 → 54</w:t>
      </w:r>
    </w:p>
    <w:p w14:paraId="251640C2"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Payback = 4 + (4/8) = 4.5 years</w:t>
      </w:r>
    </w:p>
    <w:p w14:paraId="61BF245F" w14:textId="77777777" w:rsidR="002430D6" w:rsidRPr="002430D6" w:rsidRDefault="002430D6" w:rsidP="002430D6">
      <w:pPr>
        <w:spacing w:before="240" w:line="360" w:lineRule="auto"/>
        <w:jc w:val="both"/>
        <w:rPr>
          <w:rFonts w:ascii="Arial" w:hAnsi="Arial" w:cs="Arial"/>
          <w:b/>
          <w:sz w:val="24"/>
          <w:szCs w:val="24"/>
          <w:lang w:val="en-US"/>
        </w:rPr>
      </w:pPr>
      <w:r w:rsidRPr="002430D6">
        <w:rPr>
          <w:rFonts w:ascii="Segoe UI Emoji" w:hAnsi="Segoe UI Emoji" w:cs="Segoe UI Emoji"/>
          <w:b/>
          <w:sz w:val="24"/>
          <w:szCs w:val="24"/>
          <w:lang w:val="en-US"/>
        </w:rPr>
        <w:t>🔹</w:t>
      </w:r>
      <w:r w:rsidRPr="002430D6">
        <w:rPr>
          <w:rFonts w:ascii="Arial" w:hAnsi="Arial" w:cs="Arial"/>
          <w:b/>
          <w:sz w:val="24"/>
          <w:szCs w:val="24"/>
          <w:lang w:val="en-US"/>
        </w:rPr>
        <w:t xml:space="preserve"> Project B</w:t>
      </w:r>
    </w:p>
    <w:p w14:paraId="7CE33ECE"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11 → 22 → 33 → 44 → 55</w:t>
      </w:r>
    </w:p>
    <w:p w14:paraId="34ED4D10"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Payback = 4 + (6/11) ≈ 4.55 years</w:t>
      </w:r>
    </w:p>
    <w:p w14:paraId="0EB22BC4" w14:textId="77777777" w:rsidR="002430D6" w:rsidRPr="002430D6" w:rsidRDefault="002430D6" w:rsidP="002430D6">
      <w:pPr>
        <w:spacing w:before="240" w:line="360" w:lineRule="auto"/>
        <w:jc w:val="both"/>
        <w:rPr>
          <w:rFonts w:ascii="Arial" w:hAnsi="Arial" w:cs="Arial"/>
          <w:b/>
          <w:sz w:val="24"/>
          <w:szCs w:val="24"/>
          <w:lang w:val="en-US"/>
        </w:rPr>
      </w:pPr>
      <w:r w:rsidRPr="002430D6">
        <w:rPr>
          <w:rFonts w:ascii="Segoe UI Emoji" w:hAnsi="Segoe UI Emoji" w:cs="Segoe UI Emoji"/>
          <w:b/>
          <w:sz w:val="24"/>
          <w:szCs w:val="24"/>
          <w:lang w:val="en-US"/>
        </w:rPr>
        <w:t>🔹</w:t>
      </w:r>
      <w:r w:rsidRPr="002430D6">
        <w:rPr>
          <w:rFonts w:ascii="Arial" w:hAnsi="Arial" w:cs="Arial"/>
          <w:b/>
          <w:sz w:val="24"/>
          <w:szCs w:val="24"/>
          <w:lang w:val="en-US"/>
        </w:rPr>
        <w:t xml:space="preserve"> Project C</w:t>
      </w:r>
    </w:p>
    <w:p w14:paraId="6445C695"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5 → 15 → 35 → 60</w:t>
      </w:r>
    </w:p>
    <w:p w14:paraId="63E02DCD" w14:textId="77777777" w:rsid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Payback = 3 + (15/25) = 3.6 years</w:t>
      </w:r>
    </w:p>
    <w:tbl>
      <w:tblPr>
        <w:tblStyle w:val="TableGrid"/>
        <w:tblW w:w="6127" w:type="dxa"/>
        <w:tblLook w:val="04A0" w:firstRow="1" w:lastRow="0" w:firstColumn="1" w:lastColumn="0" w:noHBand="0" w:noVBand="1"/>
      </w:tblPr>
      <w:tblGrid>
        <w:gridCol w:w="2080"/>
        <w:gridCol w:w="4047"/>
      </w:tblGrid>
      <w:tr w:rsidR="002430D6" w:rsidRPr="002430D6" w14:paraId="1DD54110" w14:textId="77777777" w:rsidTr="002430D6">
        <w:trPr>
          <w:trHeight w:val="867"/>
        </w:trPr>
        <w:tc>
          <w:tcPr>
            <w:tcW w:w="0" w:type="auto"/>
            <w:hideMark/>
          </w:tcPr>
          <w:p w14:paraId="3C3610B9" w14:textId="77777777" w:rsidR="002430D6" w:rsidRPr="002430D6" w:rsidRDefault="002430D6" w:rsidP="002430D6">
            <w:pPr>
              <w:spacing w:before="240" w:line="360" w:lineRule="auto"/>
              <w:jc w:val="both"/>
              <w:rPr>
                <w:rFonts w:ascii="Arial" w:hAnsi="Arial" w:cs="Arial"/>
                <w:b/>
                <w:bCs/>
                <w:sz w:val="24"/>
                <w:szCs w:val="24"/>
                <w:lang w:val="en-US"/>
              </w:rPr>
            </w:pPr>
            <w:r w:rsidRPr="002430D6">
              <w:rPr>
                <w:rFonts w:ascii="Arial" w:hAnsi="Arial" w:cs="Arial"/>
                <w:b/>
                <w:bCs/>
                <w:sz w:val="24"/>
                <w:szCs w:val="24"/>
                <w:lang w:val="en-US"/>
              </w:rPr>
              <w:lastRenderedPageBreak/>
              <w:t>Project</w:t>
            </w:r>
          </w:p>
        </w:tc>
        <w:tc>
          <w:tcPr>
            <w:tcW w:w="0" w:type="auto"/>
            <w:hideMark/>
          </w:tcPr>
          <w:p w14:paraId="012C5C15" w14:textId="77777777" w:rsidR="002430D6" w:rsidRPr="002430D6" w:rsidRDefault="002430D6" w:rsidP="002430D6">
            <w:pPr>
              <w:spacing w:before="240" w:line="360" w:lineRule="auto"/>
              <w:jc w:val="both"/>
              <w:rPr>
                <w:rFonts w:ascii="Arial" w:hAnsi="Arial" w:cs="Arial"/>
                <w:b/>
                <w:bCs/>
                <w:sz w:val="24"/>
                <w:szCs w:val="24"/>
                <w:lang w:val="en-US"/>
              </w:rPr>
            </w:pPr>
            <w:r w:rsidRPr="002430D6">
              <w:rPr>
                <w:rFonts w:ascii="Arial" w:hAnsi="Arial" w:cs="Arial"/>
                <w:b/>
                <w:bCs/>
                <w:sz w:val="24"/>
                <w:szCs w:val="24"/>
                <w:lang w:val="en-US"/>
              </w:rPr>
              <w:t>Payback Period</w:t>
            </w:r>
          </w:p>
        </w:tc>
      </w:tr>
      <w:tr w:rsidR="002430D6" w:rsidRPr="002430D6" w14:paraId="1235FE54" w14:textId="77777777" w:rsidTr="002430D6">
        <w:trPr>
          <w:trHeight w:val="877"/>
        </w:trPr>
        <w:tc>
          <w:tcPr>
            <w:tcW w:w="0" w:type="auto"/>
            <w:hideMark/>
          </w:tcPr>
          <w:p w14:paraId="192DB578"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A</w:t>
            </w:r>
          </w:p>
        </w:tc>
        <w:tc>
          <w:tcPr>
            <w:tcW w:w="0" w:type="auto"/>
            <w:hideMark/>
          </w:tcPr>
          <w:p w14:paraId="0997737B"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4.5 years</w:t>
            </w:r>
          </w:p>
        </w:tc>
      </w:tr>
      <w:tr w:rsidR="002430D6" w:rsidRPr="002430D6" w14:paraId="4BE452A5" w14:textId="77777777" w:rsidTr="002430D6">
        <w:trPr>
          <w:trHeight w:val="867"/>
        </w:trPr>
        <w:tc>
          <w:tcPr>
            <w:tcW w:w="0" w:type="auto"/>
            <w:hideMark/>
          </w:tcPr>
          <w:p w14:paraId="3C6AA708"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B</w:t>
            </w:r>
          </w:p>
        </w:tc>
        <w:tc>
          <w:tcPr>
            <w:tcW w:w="0" w:type="auto"/>
            <w:hideMark/>
          </w:tcPr>
          <w:p w14:paraId="6296BD2D"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4.55 years</w:t>
            </w:r>
          </w:p>
        </w:tc>
      </w:tr>
      <w:tr w:rsidR="002430D6" w:rsidRPr="002430D6" w14:paraId="1F9500C9" w14:textId="77777777" w:rsidTr="002430D6">
        <w:trPr>
          <w:trHeight w:val="877"/>
        </w:trPr>
        <w:tc>
          <w:tcPr>
            <w:tcW w:w="0" w:type="auto"/>
            <w:hideMark/>
          </w:tcPr>
          <w:p w14:paraId="114361FB"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C</w:t>
            </w:r>
          </w:p>
        </w:tc>
        <w:tc>
          <w:tcPr>
            <w:tcW w:w="0" w:type="auto"/>
            <w:hideMark/>
          </w:tcPr>
          <w:p w14:paraId="61128C16" w14:textId="77777777" w:rsidR="002430D6" w:rsidRPr="002430D6" w:rsidRDefault="002430D6" w:rsidP="00160077">
            <w:pPr>
              <w:keepNext/>
              <w:spacing w:before="240" w:line="360" w:lineRule="auto"/>
              <w:jc w:val="both"/>
              <w:rPr>
                <w:rFonts w:ascii="Arial" w:hAnsi="Arial" w:cs="Arial"/>
                <w:bCs/>
                <w:sz w:val="24"/>
                <w:szCs w:val="24"/>
                <w:lang w:val="en-US"/>
              </w:rPr>
            </w:pPr>
            <w:r w:rsidRPr="002430D6">
              <w:rPr>
                <w:rFonts w:ascii="Arial" w:hAnsi="Arial" w:cs="Arial"/>
                <w:b/>
                <w:bCs/>
                <w:sz w:val="24"/>
                <w:szCs w:val="24"/>
                <w:lang w:val="en-US"/>
              </w:rPr>
              <w:t>3.6 years</w:t>
            </w:r>
          </w:p>
        </w:tc>
      </w:tr>
    </w:tbl>
    <w:p w14:paraId="49DABF3B" w14:textId="71F9F9FF" w:rsidR="00160077" w:rsidRDefault="00160077">
      <w:pPr>
        <w:pStyle w:val="Caption"/>
      </w:pPr>
      <w:bookmarkStart w:id="42" w:name="_Toc226785412"/>
      <w:r>
        <w:t xml:space="preserve">Table </w:t>
      </w:r>
      <w:r>
        <w:fldChar w:fldCharType="begin"/>
      </w:r>
      <w:r>
        <w:instrText xml:space="preserve"> SEQ Table \* ARABIC </w:instrText>
      </w:r>
      <w:r>
        <w:fldChar w:fldCharType="separate"/>
      </w:r>
      <w:r w:rsidR="004569A0">
        <w:rPr>
          <w:noProof/>
        </w:rPr>
        <w:t>11</w:t>
      </w:r>
      <w:r>
        <w:fldChar w:fldCharType="end"/>
      </w:r>
      <w:r>
        <w:t xml:space="preserve">: </w:t>
      </w:r>
      <w:r w:rsidRPr="00CC1D3B">
        <w:t>Payback Period</w:t>
      </w:r>
      <w:bookmarkEnd w:id="42"/>
    </w:p>
    <w:p w14:paraId="2A49EBFD" w14:textId="77777777" w:rsidR="002430D6" w:rsidRPr="002430D6" w:rsidRDefault="002430D6" w:rsidP="002430D6">
      <w:pPr>
        <w:spacing w:before="240" w:line="360" w:lineRule="auto"/>
        <w:jc w:val="both"/>
        <w:rPr>
          <w:rFonts w:ascii="Arial" w:hAnsi="Arial" w:cs="Arial"/>
          <w:bCs/>
          <w:sz w:val="24"/>
          <w:szCs w:val="24"/>
          <w:lang w:val="en-US"/>
        </w:rPr>
      </w:pPr>
      <w:r w:rsidRPr="002430D6">
        <w:rPr>
          <w:rFonts w:ascii="Arial" w:hAnsi="Arial" w:cs="Arial"/>
          <w:bCs/>
          <w:sz w:val="24"/>
          <w:szCs w:val="24"/>
          <w:lang w:val="en-US"/>
        </w:rPr>
        <w:t>Project C is better, as it is the quickest to recoup investment, which is essential due to Volkswagen liquidity strains (Statista, 2024).</w:t>
      </w:r>
    </w:p>
    <w:p w14:paraId="0080E4F7" w14:textId="1C929B6C" w:rsidR="002430D6" w:rsidRDefault="002430D6" w:rsidP="002430D6">
      <w:pPr>
        <w:pStyle w:val="Heading2"/>
        <w:rPr>
          <w:lang w:val="en-US"/>
        </w:rPr>
      </w:pPr>
      <w:bookmarkStart w:id="43" w:name="_Toc226785389"/>
      <w:r w:rsidRPr="002430D6">
        <w:rPr>
          <w:lang w:val="en-US"/>
        </w:rPr>
        <w:t>4.3 Accounting Rate of Return (ARR)</w:t>
      </w:r>
      <w:bookmarkEnd w:id="43"/>
    </w:p>
    <w:p w14:paraId="1199E3D0" w14:textId="0829A220" w:rsidR="002430D6" w:rsidRDefault="002430D6" w:rsidP="002430D6">
      <w:pPr>
        <w:spacing w:before="240" w:line="360" w:lineRule="auto"/>
        <w:jc w:val="both"/>
        <w:rPr>
          <w:rFonts w:ascii="Arial" w:hAnsi="Arial" w:cs="Arial"/>
          <w:bCs/>
          <w:sz w:val="24"/>
          <w:szCs w:val="24"/>
          <w:lang w:val="en-US"/>
        </w:rPr>
      </w:pPr>
      <w:r w:rsidRPr="002430D6">
        <w:rPr>
          <w:rFonts w:ascii="Arial" w:hAnsi="Arial" w:cs="Arial"/>
          <w:b/>
          <w:sz w:val="24"/>
          <w:szCs w:val="24"/>
          <w:lang w:val="en-US"/>
        </w:rPr>
        <w:t>Formula:</w:t>
      </w:r>
      <w:r w:rsidRPr="002430D6">
        <w:rPr>
          <w:rFonts w:ascii="Arial" w:hAnsi="Arial" w:cs="Arial"/>
          <w:bCs/>
          <w:sz w:val="24"/>
          <w:szCs w:val="24"/>
          <w:lang w:val="en-US"/>
        </w:rPr>
        <w:t xml:space="preserve"> ARR</w:t>
      </w:r>
      <w:r>
        <w:rPr>
          <w:rFonts w:ascii="Arial" w:hAnsi="Arial" w:cs="Arial"/>
          <w:bCs/>
          <w:sz w:val="24"/>
          <w:szCs w:val="24"/>
          <w:lang w:val="en-US"/>
        </w:rPr>
        <w:t xml:space="preserve"> </w:t>
      </w:r>
      <w:r w:rsidRPr="002430D6">
        <w:rPr>
          <w:rFonts w:ascii="Arial" w:hAnsi="Arial" w:cs="Arial"/>
          <w:bCs/>
          <w:sz w:val="24"/>
          <w:szCs w:val="24"/>
          <w:lang w:val="en-US"/>
        </w:rPr>
        <w:t>= Average Profit</w:t>
      </w:r>
      <w:r>
        <w:rPr>
          <w:rFonts w:ascii="Arial" w:hAnsi="Arial" w:cs="Arial"/>
          <w:bCs/>
          <w:sz w:val="24"/>
          <w:szCs w:val="24"/>
          <w:lang w:val="en-US"/>
        </w:rPr>
        <w:t xml:space="preserve"> </w:t>
      </w:r>
      <w:r w:rsidRPr="002430D6">
        <w:rPr>
          <w:rFonts w:ascii="Arial" w:hAnsi="Arial" w:cs="Arial"/>
          <w:bCs/>
          <w:sz w:val="24"/>
          <w:szCs w:val="24"/>
          <w:lang w:val="en-US"/>
        </w:rPr>
        <w:t>/</w:t>
      </w:r>
      <w:r>
        <w:rPr>
          <w:rFonts w:ascii="Arial" w:hAnsi="Arial" w:cs="Arial"/>
          <w:bCs/>
          <w:sz w:val="24"/>
          <w:szCs w:val="24"/>
          <w:lang w:val="en-US"/>
        </w:rPr>
        <w:t xml:space="preserve"> </w:t>
      </w:r>
      <w:r w:rsidRPr="002430D6">
        <w:rPr>
          <w:rFonts w:ascii="Arial" w:hAnsi="Arial" w:cs="Arial"/>
          <w:bCs/>
          <w:sz w:val="24"/>
          <w:szCs w:val="24"/>
          <w:lang w:val="en-US"/>
        </w:rPr>
        <w:t>Initial Investment</w:t>
      </w:r>
    </w:p>
    <w:p w14:paraId="0B007E19" w14:textId="048EC061" w:rsidR="002430D6" w:rsidRPr="00160077" w:rsidRDefault="00160077" w:rsidP="002430D6">
      <w:pPr>
        <w:spacing w:before="240" w:line="360" w:lineRule="auto"/>
        <w:jc w:val="both"/>
        <w:rPr>
          <w:rFonts w:ascii="Arial" w:hAnsi="Arial" w:cs="Arial"/>
          <w:b/>
          <w:sz w:val="24"/>
          <w:szCs w:val="24"/>
          <w:lang w:val="en-US"/>
        </w:rPr>
      </w:pPr>
      <w:r w:rsidRPr="00160077">
        <w:rPr>
          <w:rFonts w:ascii="Arial" w:hAnsi="Arial" w:cs="Arial"/>
          <w:b/>
          <w:sz w:val="24"/>
          <w:szCs w:val="24"/>
          <w:lang w:val="en-US"/>
        </w:rPr>
        <w:t>Calculations</w:t>
      </w:r>
    </w:p>
    <w:tbl>
      <w:tblPr>
        <w:tblStyle w:val="TableGrid"/>
        <w:tblW w:w="0" w:type="auto"/>
        <w:tblLook w:val="04A0" w:firstRow="1" w:lastRow="0" w:firstColumn="1" w:lastColumn="0" w:noHBand="0" w:noVBand="1"/>
      </w:tblPr>
      <w:tblGrid>
        <w:gridCol w:w="1030"/>
        <w:gridCol w:w="1683"/>
        <w:gridCol w:w="843"/>
        <w:gridCol w:w="1363"/>
        <w:gridCol w:w="764"/>
      </w:tblGrid>
      <w:tr w:rsidR="00160077" w:rsidRPr="00160077" w14:paraId="1660D802" w14:textId="77777777" w:rsidTr="00160077">
        <w:tc>
          <w:tcPr>
            <w:tcW w:w="0" w:type="auto"/>
            <w:hideMark/>
          </w:tcPr>
          <w:p w14:paraId="2CB929AC" w14:textId="77777777" w:rsidR="00160077" w:rsidRPr="00160077" w:rsidRDefault="00160077" w:rsidP="00160077">
            <w:pPr>
              <w:spacing w:before="240" w:line="360" w:lineRule="auto"/>
              <w:jc w:val="both"/>
              <w:rPr>
                <w:rFonts w:ascii="Arial" w:hAnsi="Arial" w:cs="Arial"/>
                <w:b/>
                <w:bCs/>
                <w:sz w:val="24"/>
                <w:szCs w:val="24"/>
                <w:lang w:val="en-US"/>
              </w:rPr>
            </w:pPr>
            <w:r w:rsidRPr="00160077">
              <w:rPr>
                <w:rFonts w:ascii="Arial" w:hAnsi="Arial" w:cs="Arial"/>
                <w:b/>
                <w:bCs/>
                <w:sz w:val="24"/>
                <w:szCs w:val="24"/>
                <w:lang w:val="en-US"/>
              </w:rPr>
              <w:t>Project</w:t>
            </w:r>
          </w:p>
        </w:tc>
        <w:tc>
          <w:tcPr>
            <w:tcW w:w="0" w:type="auto"/>
            <w:hideMark/>
          </w:tcPr>
          <w:p w14:paraId="5680658E" w14:textId="77777777" w:rsidR="00160077" w:rsidRPr="00160077" w:rsidRDefault="00160077" w:rsidP="00160077">
            <w:pPr>
              <w:spacing w:before="240" w:line="360" w:lineRule="auto"/>
              <w:jc w:val="both"/>
              <w:rPr>
                <w:rFonts w:ascii="Arial" w:hAnsi="Arial" w:cs="Arial"/>
                <w:b/>
                <w:bCs/>
                <w:sz w:val="24"/>
                <w:szCs w:val="24"/>
                <w:lang w:val="en-US"/>
              </w:rPr>
            </w:pPr>
            <w:r w:rsidRPr="00160077">
              <w:rPr>
                <w:rFonts w:ascii="Arial" w:hAnsi="Arial" w:cs="Arial"/>
                <w:b/>
                <w:bCs/>
                <w:sz w:val="24"/>
                <w:szCs w:val="24"/>
                <w:lang w:val="en-US"/>
              </w:rPr>
              <w:t>Total Inflows</w:t>
            </w:r>
          </w:p>
        </w:tc>
        <w:tc>
          <w:tcPr>
            <w:tcW w:w="0" w:type="auto"/>
            <w:hideMark/>
          </w:tcPr>
          <w:p w14:paraId="16C4C9A9" w14:textId="77777777" w:rsidR="00160077" w:rsidRPr="00160077" w:rsidRDefault="00160077" w:rsidP="00160077">
            <w:pPr>
              <w:spacing w:before="240" w:line="360" w:lineRule="auto"/>
              <w:jc w:val="both"/>
              <w:rPr>
                <w:rFonts w:ascii="Arial" w:hAnsi="Arial" w:cs="Arial"/>
                <w:b/>
                <w:bCs/>
                <w:sz w:val="24"/>
                <w:szCs w:val="24"/>
                <w:lang w:val="en-US"/>
              </w:rPr>
            </w:pPr>
            <w:r w:rsidRPr="00160077">
              <w:rPr>
                <w:rFonts w:ascii="Arial" w:hAnsi="Arial" w:cs="Arial"/>
                <w:b/>
                <w:bCs/>
                <w:sz w:val="24"/>
                <w:szCs w:val="24"/>
                <w:lang w:val="en-US"/>
              </w:rPr>
              <w:t>Profit</w:t>
            </w:r>
          </w:p>
        </w:tc>
        <w:tc>
          <w:tcPr>
            <w:tcW w:w="0" w:type="auto"/>
            <w:hideMark/>
          </w:tcPr>
          <w:p w14:paraId="16792067" w14:textId="77777777" w:rsidR="00160077" w:rsidRPr="00160077" w:rsidRDefault="00160077" w:rsidP="00160077">
            <w:pPr>
              <w:spacing w:before="240" w:line="360" w:lineRule="auto"/>
              <w:jc w:val="both"/>
              <w:rPr>
                <w:rFonts w:ascii="Arial" w:hAnsi="Arial" w:cs="Arial"/>
                <w:b/>
                <w:bCs/>
                <w:sz w:val="24"/>
                <w:szCs w:val="24"/>
                <w:lang w:val="en-US"/>
              </w:rPr>
            </w:pPr>
            <w:r w:rsidRPr="00160077">
              <w:rPr>
                <w:rFonts w:ascii="Arial" w:hAnsi="Arial" w:cs="Arial"/>
                <w:b/>
                <w:bCs/>
                <w:sz w:val="24"/>
                <w:szCs w:val="24"/>
                <w:lang w:val="en-US"/>
              </w:rPr>
              <w:t>Avg Profit</w:t>
            </w:r>
          </w:p>
        </w:tc>
        <w:tc>
          <w:tcPr>
            <w:tcW w:w="0" w:type="auto"/>
            <w:hideMark/>
          </w:tcPr>
          <w:p w14:paraId="3FDCD840" w14:textId="77777777" w:rsidR="00160077" w:rsidRPr="00160077" w:rsidRDefault="00160077" w:rsidP="00160077">
            <w:pPr>
              <w:spacing w:before="240" w:line="360" w:lineRule="auto"/>
              <w:jc w:val="both"/>
              <w:rPr>
                <w:rFonts w:ascii="Arial" w:hAnsi="Arial" w:cs="Arial"/>
                <w:b/>
                <w:bCs/>
                <w:sz w:val="24"/>
                <w:szCs w:val="24"/>
                <w:lang w:val="en-US"/>
              </w:rPr>
            </w:pPr>
            <w:r w:rsidRPr="00160077">
              <w:rPr>
                <w:rFonts w:ascii="Arial" w:hAnsi="Arial" w:cs="Arial"/>
                <w:b/>
                <w:bCs/>
                <w:sz w:val="24"/>
                <w:szCs w:val="24"/>
                <w:lang w:val="en-US"/>
              </w:rPr>
              <w:t>ARR</w:t>
            </w:r>
          </w:p>
        </w:tc>
      </w:tr>
      <w:tr w:rsidR="00160077" w:rsidRPr="00160077" w14:paraId="67245846" w14:textId="77777777" w:rsidTr="00160077">
        <w:tc>
          <w:tcPr>
            <w:tcW w:w="0" w:type="auto"/>
            <w:hideMark/>
          </w:tcPr>
          <w:p w14:paraId="1C4B8684"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A</w:t>
            </w:r>
          </w:p>
        </w:tc>
        <w:tc>
          <w:tcPr>
            <w:tcW w:w="0" w:type="auto"/>
            <w:hideMark/>
          </w:tcPr>
          <w:p w14:paraId="18743BDD"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54</w:t>
            </w:r>
          </w:p>
        </w:tc>
        <w:tc>
          <w:tcPr>
            <w:tcW w:w="0" w:type="auto"/>
            <w:hideMark/>
          </w:tcPr>
          <w:p w14:paraId="3E2952D2"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4</w:t>
            </w:r>
          </w:p>
        </w:tc>
        <w:tc>
          <w:tcPr>
            <w:tcW w:w="0" w:type="auto"/>
            <w:hideMark/>
          </w:tcPr>
          <w:p w14:paraId="525B0B58"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0.8</w:t>
            </w:r>
          </w:p>
        </w:tc>
        <w:tc>
          <w:tcPr>
            <w:tcW w:w="0" w:type="auto"/>
            <w:hideMark/>
          </w:tcPr>
          <w:p w14:paraId="09CF0CA2"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1.6%</w:t>
            </w:r>
          </w:p>
        </w:tc>
      </w:tr>
      <w:tr w:rsidR="00160077" w:rsidRPr="00160077" w14:paraId="118F8ABF" w14:textId="77777777" w:rsidTr="00160077">
        <w:tc>
          <w:tcPr>
            <w:tcW w:w="0" w:type="auto"/>
            <w:hideMark/>
          </w:tcPr>
          <w:p w14:paraId="785B62D2"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B</w:t>
            </w:r>
          </w:p>
        </w:tc>
        <w:tc>
          <w:tcPr>
            <w:tcW w:w="0" w:type="auto"/>
            <w:hideMark/>
          </w:tcPr>
          <w:p w14:paraId="64EB19FB"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55</w:t>
            </w:r>
          </w:p>
        </w:tc>
        <w:tc>
          <w:tcPr>
            <w:tcW w:w="0" w:type="auto"/>
            <w:hideMark/>
          </w:tcPr>
          <w:p w14:paraId="2A50B097"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5</w:t>
            </w:r>
          </w:p>
        </w:tc>
        <w:tc>
          <w:tcPr>
            <w:tcW w:w="0" w:type="auto"/>
            <w:hideMark/>
          </w:tcPr>
          <w:p w14:paraId="749354BD"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1.0</w:t>
            </w:r>
          </w:p>
        </w:tc>
        <w:tc>
          <w:tcPr>
            <w:tcW w:w="0" w:type="auto"/>
            <w:hideMark/>
          </w:tcPr>
          <w:p w14:paraId="5326C63A"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2.0%</w:t>
            </w:r>
          </w:p>
        </w:tc>
      </w:tr>
      <w:tr w:rsidR="00160077" w:rsidRPr="00160077" w14:paraId="5F6ACBC2" w14:textId="77777777" w:rsidTr="00160077">
        <w:tc>
          <w:tcPr>
            <w:tcW w:w="0" w:type="auto"/>
            <w:hideMark/>
          </w:tcPr>
          <w:p w14:paraId="4ACA7589"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C</w:t>
            </w:r>
          </w:p>
        </w:tc>
        <w:tc>
          <w:tcPr>
            <w:tcW w:w="0" w:type="auto"/>
            <w:hideMark/>
          </w:tcPr>
          <w:p w14:paraId="540BF2CB"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65</w:t>
            </w:r>
          </w:p>
        </w:tc>
        <w:tc>
          <w:tcPr>
            <w:tcW w:w="0" w:type="auto"/>
            <w:hideMark/>
          </w:tcPr>
          <w:p w14:paraId="696E3068"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15</w:t>
            </w:r>
          </w:p>
        </w:tc>
        <w:tc>
          <w:tcPr>
            <w:tcW w:w="0" w:type="auto"/>
            <w:hideMark/>
          </w:tcPr>
          <w:p w14:paraId="4343FDBE"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3.0</w:t>
            </w:r>
          </w:p>
        </w:tc>
        <w:tc>
          <w:tcPr>
            <w:tcW w:w="0" w:type="auto"/>
            <w:hideMark/>
          </w:tcPr>
          <w:p w14:paraId="226A3472" w14:textId="77777777" w:rsidR="00160077" w:rsidRPr="00160077" w:rsidRDefault="00160077" w:rsidP="00160077">
            <w:pPr>
              <w:keepNext/>
              <w:spacing w:before="240" w:line="360" w:lineRule="auto"/>
              <w:jc w:val="both"/>
              <w:rPr>
                <w:rFonts w:ascii="Arial" w:hAnsi="Arial" w:cs="Arial"/>
                <w:bCs/>
                <w:sz w:val="24"/>
                <w:szCs w:val="24"/>
                <w:lang w:val="en-US"/>
              </w:rPr>
            </w:pPr>
            <w:r w:rsidRPr="00160077">
              <w:rPr>
                <w:rFonts w:ascii="Arial" w:hAnsi="Arial" w:cs="Arial"/>
                <w:b/>
                <w:bCs/>
                <w:sz w:val="24"/>
                <w:szCs w:val="24"/>
                <w:lang w:val="en-US"/>
              </w:rPr>
              <w:t>6.0%</w:t>
            </w:r>
          </w:p>
        </w:tc>
      </w:tr>
    </w:tbl>
    <w:p w14:paraId="366DCE4B" w14:textId="3347F708" w:rsidR="00160077" w:rsidRPr="002430D6" w:rsidRDefault="00160077" w:rsidP="00160077">
      <w:pPr>
        <w:pStyle w:val="Caption"/>
        <w:rPr>
          <w:rFonts w:ascii="Arial" w:hAnsi="Arial" w:cs="Arial"/>
          <w:bCs/>
          <w:sz w:val="24"/>
          <w:szCs w:val="24"/>
          <w:lang w:val="en-US"/>
        </w:rPr>
      </w:pPr>
      <w:bookmarkStart w:id="44" w:name="_Toc226785413"/>
      <w:r>
        <w:t xml:space="preserve">Table </w:t>
      </w:r>
      <w:r>
        <w:fldChar w:fldCharType="begin"/>
      </w:r>
      <w:r>
        <w:instrText xml:space="preserve"> SEQ Table \* ARABIC </w:instrText>
      </w:r>
      <w:r>
        <w:fldChar w:fldCharType="separate"/>
      </w:r>
      <w:r w:rsidR="004569A0">
        <w:rPr>
          <w:noProof/>
        </w:rPr>
        <w:t>12</w:t>
      </w:r>
      <w:r>
        <w:fldChar w:fldCharType="end"/>
      </w:r>
      <w:r>
        <w:t xml:space="preserve">: </w:t>
      </w:r>
      <w:r w:rsidRPr="001A4598">
        <w:t>ARR</w:t>
      </w:r>
      <w:bookmarkEnd w:id="44"/>
    </w:p>
    <w:p w14:paraId="073F8DFA" w14:textId="05E79747" w:rsidR="002430D6" w:rsidRDefault="00160077" w:rsidP="00E070B1">
      <w:pPr>
        <w:spacing w:before="240" w:line="360" w:lineRule="auto"/>
        <w:jc w:val="both"/>
        <w:rPr>
          <w:rFonts w:ascii="Arial" w:hAnsi="Arial" w:cs="Arial"/>
          <w:bCs/>
          <w:sz w:val="24"/>
          <w:szCs w:val="24"/>
          <w:lang w:val="en-US"/>
        </w:rPr>
      </w:pPr>
      <w:r w:rsidRPr="00160077">
        <w:rPr>
          <w:rFonts w:ascii="Arial" w:hAnsi="Arial" w:cs="Arial"/>
          <w:bCs/>
          <w:sz w:val="24"/>
          <w:szCs w:val="24"/>
          <w:lang w:val="en-US"/>
        </w:rPr>
        <w:t>Project C again performs best, generating significantly higher returns.</w:t>
      </w:r>
    </w:p>
    <w:p w14:paraId="2F989511" w14:textId="389D9EFE" w:rsidR="00160077" w:rsidRDefault="00160077" w:rsidP="00160077">
      <w:pPr>
        <w:pStyle w:val="Heading2"/>
        <w:rPr>
          <w:lang w:val="en-US"/>
        </w:rPr>
      </w:pPr>
      <w:bookmarkStart w:id="45" w:name="_Toc226785390"/>
      <w:r>
        <w:rPr>
          <w:lang w:val="en-US"/>
        </w:rPr>
        <w:t>4</w:t>
      </w:r>
      <w:r w:rsidRPr="00160077">
        <w:rPr>
          <w:lang w:val="en-US"/>
        </w:rPr>
        <w:t>.4 Net Present Value (NPV)</w:t>
      </w:r>
      <w:bookmarkEnd w:id="45"/>
    </w:p>
    <w:p w14:paraId="2A06BB63"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Discount Factors (10%)</w:t>
      </w:r>
    </w:p>
    <w:p w14:paraId="5F4F7D3C"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Year 1–5: 0.909, 0.826, 0.751, 0.683, 0.621</w:t>
      </w:r>
    </w:p>
    <w:p w14:paraId="07845073"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Calculations</w:t>
      </w:r>
    </w:p>
    <w:p w14:paraId="7A0F0399"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Segoe UI Emoji" w:hAnsi="Segoe UI Emoji" w:cs="Segoe UI Emoji"/>
          <w:b/>
          <w:sz w:val="24"/>
          <w:szCs w:val="24"/>
          <w:lang w:val="en-US"/>
        </w:rPr>
        <w:lastRenderedPageBreak/>
        <w:t>🔹</w:t>
      </w:r>
      <w:r w:rsidRPr="00160077">
        <w:rPr>
          <w:rFonts w:ascii="Arial" w:hAnsi="Arial" w:cs="Arial"/>
          <w:b/>
          <w:sz w:val="24"/>
          <w:szCs w:val="24"/>
          <w:lang w:val="en-US"/>
        </w:rPr>
        <w:t xml:space="preserve"> Project A</w:t>
      </w:r>
    </w:p>
    <w:p w14:paraId="2D09EAC9"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NPV = (9.09 + 9.91 + 10.51 + 6.83 + 4.97) – 50</w:t>
      </w:r>
    </w:p>
    <w:p w14:paraId="7080F191"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 41.31 – 50 = –£8.69m</w:t>
      </w:r>
    </w:p>
    <w:p w14:paraId="1DC02BA2"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Segoe UI Emoji" w:hAnsi="Segoe UI Emoji" w:cs="Segoe UI Emoji"/>
          <w:b/>
          <w:sz w:val="24"/>
          <w:szCs w:val="24"/>
          <w:lang w:val="en-US"/>
        </w:rPr>
        <w:t>🔹</w:t>
      </w:r>
      <w:r w:rsidRPr="00160077">
        <w:rPr>
          <w:rFonts w:ascii="Arial" w:hAnsi="Arial" w:cs="Arial"/>
          <w:b/>
          <w:sz w:val="24"/>
          <w:szCs w:val="24"/>
          <w:lang w:val="en-US"/>
        </w:rPr>
        <w:t xml:space="preserve"> Project B</w:t>
      </w:r>
    </w:p>
    <w:p w14:paraId="7056A550"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NPV = 11 × 3.79 = 41.69</w:t>
      </w:r>
    </w:p>
    <w:p w14:paraId="4710E87F"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NPV = –£8.31m</w:t>
      </w:r>
    </w:p>
    <w:p w14:paraId="6EB4227B"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Segoe UI Emoji" w:hAnsi="Segoe UI Emoji" w:cs="Segoe UI Emoji"/>
          <w:b/>
          <w:sz w:val="24"/>
          <w:szCs w:val="24"/>
          <w:lang w:val="en-US"/>
        </w:rPr>
        <w:t>🔹</w:t>
      </w:r>
      <w:r w:rsidRPr="00160077">
        <w:rPr>
          <w:rFonts w:ascii="Arial" w:hAnsi="Arial" w:cs="Arial"/>
          <w:b/>
          <w:sz w:val="24"/>
          <w:szCs w:val="24"/>
          <w:lang w:val="en-US"/>
        </w:rPr>
        <w:t xml:space="preserve"> Project C</w:t>
      </w:r>
    </w:p>
    <w:p w14:paraId="0F9BBA6E"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NPV = (4.55 + 8.26 + 15.02 + 17.08 + 3.11) – 50</w:t>
      </w:r>
    </w:p>
    <w:p w14:paraId="644BB73F" w14:textId="77777777" w:rsid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 47.99 – 50 = –£2.01m</w:t>
      </w:r>
    </w:p>
    <w:tbl>
      <w:tblPr>
        <w:tblStyle w:val="TableGrid"/>
        <w:tblW w:w="5715" w:type="dxa"/>
        <w:tblLook w:val="04A0" w:firstRow="1" w:lastRow="0" w:firstColumn="1" w:lastColumn="0" w:noHBand="0" w:noVBand="1"/>
      </w:tblPr>
      <w:tblGrid>
        <w:gridCol w:w="2545"/>
        <w:gridCol w:w="3170"/>
      </w:tblGrid>
      <w:tr w:rsidR="00160077" w:rsidRPr="00160077" w14:paraId="1238C96C" w14:textId="77777777" w:rsidTr="00160077">
        <w:trPr>
          <w:trHeight w:val="869"/>
        </w:trPr>
        <w:tc>
          <w:tcPr>
            <w:tcW w:w="0" w:type="auto"/>
            <w:hideMark/>
          </w:tcPr>
          <w:p w14:paraId="11E9B504" w14:textId="77777777" w:rsidR="00160077" w:rsidRPr="00160077" w:rsidRDefault="00160077" w:rsidP="00160077">
            <w:pPr>
              <w:spacing w:before="240" w:line="360" w:lineRule="auto"/>
              <w:jc w:val="both"/>
              <w:rPr>
                <w:rFonts w:ascii="Arial" w:hAnsi="Arial" w:cs="Arial"/>
                <w:b/>
                <w:bCs/>
                <w:sz w:val="24"/>
                <w:szCs w:val="24"/>
                <w:lang w:val="en-US"/>
              </w:rPr>
            </w:pPr>
            <w:r w:rsidRPr="00160077">
              <w:rPr>
                <w:rFonts w:ascii="Arial" w:hAnsi="Arial" w:cs="Arial"/>
                <w:b/>
                <w:bCs/>
                <w:sz w:val="24"/>
                <w:szCs w:val="24"/>
                <w:lang w:val="en-US"/>
              </w:rPr>
              <w:t>Project</w:t>
            </w:r>
          </w:p>
        </w:tc>
        <w:tc>
          <w:tcPr>
            <w:tcW w:w="0" w:type="auto"/>
            <w:hideMark/>
          </w:tcPr>
          <w:p w14:paraId="4DD22741" w14:textId="77777777" w:rsidR="00160077" w:rsidRPr="00160077" w:rsidRDefault="00160077" w:rsidP="00160077">
            <w:pPr>
              <w:spacing w:before="240" w:line="360" w:lineRule="auto"/>
              <w:jc w:val="both"/>
              <w:rPr>
                <w:rFonts w:ascii="Arial" w:hAnsi="Arial" w:cs="Arial"/>
                <w:b/>
                <w:bCs/>
                <w:sz w:val="24"/>
                <w:szCs w:val="24"/>
                <w:lang w:val="en-US"/>
              </w:rPr>
            </w:pPr>
            <w:r w:rsidRPr="00160077">
              <w:rPr>
                <w:rFonts w:ascii="Arial" w:hAnsi="Arial" w:cs="Arial"/>
                <w:b/>
                <w:bCs/>
                <w:sz w:val="24"/>
                <w:szCs w:val="24"/>
                <w:lang w:val="en-US"/>
              </w:rPr>
              <w:t>NPV (£m)</w:t>
            </w:r>
          </w:p>
        </w:tc>
      </w:tr>
      <w:tr w:rsidR="00160077" w:rsidRPr="00160077" w14:paraId="7188CAB8" w14:textId="77777777" w:rsidTr="00160077">
        <w:trPr>
          <w:trHeight w:val="879"/>
        </w:trPr>
        <w:tc>
          <w:tcPr>
            <w:tcW w:w="0" w:type="auto"/>
            <w:hideMark/>
          </w:tcPr>
          <w:p w14:paraId="279401C9"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A</w:t>
            </w:r>
          </w:p>
        </w:tc>
        <w:tc>
          <w:tcPr>
            <w:tcW w:w="0" w:type="auto"/>
            <w:hideMark/>
          </w:tcPr>
          <w:p w14:paraId="741555C8"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–8.69</w:t>
            </w:r>
          </w:p>
        </w:tc>
      </w:tr>
      <w:tr w:rsidR="00160077" w:rsidRPr="00160077" w14:paraId="2C735DB3" w14:textId="77777777" w:rsidTr="00160077">
        <w:trPr>
          <w:trHeight w:val="869"/>
        </w:trPr>
        <w:tc>
          <w:tcPr>
            <w:tcW w:w="0" w:type="auto"/>
            <w:hideMark/>
          </w:tcPr>
          <w:p w14:paraId="27D5F8CB"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B</w:t>
            </w:r>
          </w:p>
        </w:tc>
        <w:tc>
          <w:tcPr>
            <w:tcW w:w="0" w:type="auto"/>
            <w:hideMark/>
          </w:tcPr>
          <w:p w14:paraId="56B658A4"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–8.31</w:t>
            </w:r>
          </w:p>
        </w:tc>
      </w:tr>
      <w:tr w:rsidR="00160077" w:rsidRPr="00160077" w14:paraId="232689CF" w14:textId="77777777" w:rsidTr="00160077">
        <w:trPr>
          <w:trHeight w:val="879"/>
        </w:trPr>
        <w:tc>
          <w:tcPr>
            <w:tcW w:w="0" w:type="auto"/>
            <w:hideMark/>
          </w:tcPr>
          <w:p w14:paraId="60DE78DD"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C</w:t>
            </w:r>
          </w:p>
        </w:tc>
        <w:tc>
          <w:tcPr>
            <w:tcW w:w="0" w:type="auto"/>
            <w:hideMark/>
          </w:tcPr>
          <w:p w14:paraId="51CF9225" w14:textId="77777777" w:rsidR="00160077" w:rsidRPr="00160077" w:rsidRDefault="00160077" w:rsidP="00160077">
            <w:pPr>
              <w:keepNext/>
              <w:spacing w:before="240" w:line="360" w:lineRule="auto"/>
              <w:jc w:val="both"/>
              <w:rPr>
                <w:rFonts w:ascii="Arial" w:hAnsi="Arial" w:cs="Arial"/>
                <w:bCs/>
                <w:sz w:val="24"/>
                <w:szCs w:val="24"/>
                <w:lang w:val="en-US"/>
              </w:rPr>
            </w:pPr>
            <w:r w:rsidRPr="00160077">
              <w:rPr>
                <w:rFonts w:ascii="Arial" w:hAnsi="Arial" w:cs="Arial"/>
                <w:b/>
                <w:bCs/>
                <w:sz w:val="24"/>
                <w:szCs w:val="24"/>
                <w:lang w:val="en-US"/>
              </w:rPr>
              <w:t>–2.01</w:t>
            </w:r>
          </w:p>
        </w:tc>
      </w:tr>
    </w:tbl>
    <w:p w14:paraId="4255DF5E" w14:textId="35CB1DD5" w:rsidR="00160077" w:rsidRPr="00160077" w:rsidRDefault="00160077" w:rsidP="00160077">
      <w:pPr>
        <w:pStyle w:val="Caption"/>
        <w:rPr>
          <w:rFonts w:ascii="Arial" w:hAnsi="Arial" w:cs="Arial"/>
          <w:bCs/>
          <w:sz w:val="24"/>
          <w:szCs w:val="24"/>
          <w:lang w:val="en-US"/>
        </w:rPr>
      </w:pPr>
      <w:bookmarkStart w:id="46" w:name="_Toc226785414"/>
      <w:r>
        <w:t xml:space="preserve">Table </w:t>
      </w:r>
      <w:r>
        <w:fldChar w:fldCharType="begin"/>
      </w:r>
      <w:r>
        <w:instrText xml:space="preserve"> SEQ Table \* ARABIC </w:instrText>
      </w:r>
      <w:r>
        <w:fldChar w:fldCharType="separate"/>
      </w:r>
      <w:r w:rsidR="004569A0">
        <w:rPr>
          <w:noProof/>
        </w:rPr>
        <w:t>13</w:t>
      </w:r>
      <w:r>
        <w:fldChar w:fldCharType="end"/>
      </w:r>
      <w:r>
        <w:t>: NPV</w:t>
      </w:r>
      <w:bookmarkEnd w:id="46"/>
    </w:p>
    <w:p w14:paraId="47C1C8F3"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The NPVs of all the projects are negative; however, Project C is the least value-destructive and hence the best choice in the constrained conditions.</w:t>
      </w:r>
    </w:p>
    <w:p w14:paraId="40AE861C" w14:textId="7F1A5F50" w:rsidR="00160077" w:rsidRPr="00160077" w:rsidRDefault="00160077" w:rsidP="00160077">
      <w:pPr>
        <w:pStyle w:val="Heading2"/>
        <w:rPr>
          <w:lang w:val="en-US"/>
        </w:rPr>
      </w:pPr>
      <w:bookmarkStart w:id="47" w:name="_Toc226785391"/>
      <w:r>
        <w:rPr>
          <w:lang w:val="en-US"/>
        </w:rPr>
        <w:t>4.5</w:t>
      </w:r>
      <w:r w:rsidRPr="00160077">
        <w:rPr>
          <w:lang w:val="en-US"/>
        </w:rPr>
        <w:t xml:space="preserve"> Profitability Index (PI)</w:t>
      </w:r>
      <w:bookmarkEnd w:id="47"/>
    </w:p>
    <w:p w14:paraId="025BB18C"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Formula:</w:t>
      </w:r>
    </w:p>
    <w:p w14:paraId="12B70561" w14:textId="77777777" w:rsid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PI = PV of inflows / initial investment.</w:t>
      </w:r>
    </w:p>
    <w:tbl>
      <w:tblPr>
        <w:tblStyle w:val="TableGrid"/>
        <w:tblW w:w="4769" w:type="dxa"/>
        <w:tblLook w:val="04A0" w:firstRow="1" w:lastRow="0" w:firstColumn="1" w:lastColumn="0" w:noHBand="0" w:noVBand="1"/>
      </w:tblPr>
      <w:tblGrid>
        <w:gridCol w:w="2866"/>
        <w:gridCol w:w="1903"/>
      </w:tblGrid>
      <w:tr w:rsidR="00160077" w:rsidRPr="00160077" w14:paraId="7DC3EE84" w14:textId="77777777" w:rsidTr="00160077">
        <w:trPr>
          <w:trHeight w:val="834"/>
        </w:trPr>
        <w:tc>
          <w:tcPr>
            <w:tcW w:w="0" w:type="auto"/>
            <w:hideMark/>
          </w:tcPr>
          <w:p w14:paraId="0241A57E" w14:textId="77777777" w:rsidR="00160077" w:rsidRPr="00160077" w:rsidRDefault="00160077" w:rsidP="00160077">
            <w:pPr>
              <w:spacing w:before="240" w:line="360" w:lineRule="auto"/>
              <w:jc w:val="both"/>
              <w:rPr>
                <w:rFonts w:ascii="Arial" w:hAnsi="Arial" w:cs="Arial"/>
                <w:b/>
                <w:bCs/>
                <w:sz w:val="24"/>
                <w:szCs w:val="24"/>
                <w:lang w:val="en-US"/>
              </w:rPr>
            </w:pPr>
            <w:r w:rsidRPr="00160077">
              <w:rPr>
                <w:rFonts w:ascii="Arial" w:hAnsi="Arial" w:cs="Arial"/>
                <w:b/>
                <w:bCs/>
                <w:sz w:val="24"/>
                <w:szCs w:val="24"/>
                <w:lang w:val="en-US"/>
              </w:rPr>
              <w:t>Project</w:t>
            </w:r>
          </w:p>
        </w:tc>
        <w:tc>
          <w:tcPr>
            <w:tcW w:w="0" w:type="auto"/>
            <w:hideMark/>
          </w:tcPr>
          <w:p w14:paraId="2B768B1F" w14:textId="77777777" w:rsidR="00160077" w:rsidRPr="00160077" w:rsidRDefault="00160077" w:rsidP="00160077">
            <w:pPr>
              <w:spacing w:before="240" w:line="360" w:lineRule="auto"/>
              <w:jc w:val="both"/>
              <w:rPr>
                <w:rFonts w:ascii="Arial" w:hAnsi="Arial" w:cs="Arial"/>
                <w:b/>
                <w:bCs/>
                <w:sz w:val="24"/>
                <w:szCs w:val="24"/>
                <w:lang w:val="en-US"/>
              </w:rPr>
            </w:pPr>
            <w:r w:rsidRPr="00160077">
              <w:rPr>
                <w:rFonts w:ascii="Arial" w:hAnsi="Arial" w:cs="Arial"/>
                <w:b/>
                <w:bCs/>
                <w:sz w:val="24"/>
                <w:szCs w:val="24"/>
                <w:lang w:val="en-US"/>
              </w:rPr>
              <w:t>PI</w:t>
            </w:r>
          </w:p>
        </w:tc>
      </w:tr>
      <w:tr w:rsidR="00160077" w:rsidRPr="00160077" w14:paraId="2166343D" w14:textId="77777777" w:rsidTr="00160077">
        <w:trPr>
          <w:trHeight w:val="834"/>
        </w:trPr>
        <w:tc>
          <w:tcPr>
            <w:tcW w:w="0" w:type="auto"/>
            <w:hideMark/>
          </w:tcPr>
          <w:p w14:paraId="60A22F05"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lastRenderedPageBreak/>
              <w:t>A</w:t>
            </w:r>
          </w:p>
        </w:tc>
        <w:tc>
          <w:tcPr>
            <w:tcW w:w="0" w:type="auto"/>
            <w:hideMark/>
          </w:tcPr>
          <w:p w14:paraId="48F2B067"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0.83</w:t>
            </w:r>
          </w:p>
        </w:tc>
      </w:tr>
      <w:tr w:rsidR="00160077" w:rsidRPr="00160077" w14:paraId="4654EC4E" w14:textId="77777777" w:rsidTr="00160077">
        <w:trPr>
          <w:trHeight w:val="844"/>
        </w:trPr>
        <w:tc>
          <w:tcPr>
            <w:tcW w:w="0" w:type="auto"/>
            <w:hideMark/>
          </w:tcPr>
          <w:p w14:paraId="68EED350"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B</w:t>
            </w:r>
          </w:p>
        </w:tc>
        <w:tc>
          <w:tcPr>
            <w:tcW w:w="0" w:type="auto"/>
            <w:hideMark/>
          </w:tcPr>
          <w:p w14:paraId="2D2D8505"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0.83</w:t>
            </w:r>
          </w:p>
        </w:tc>
      </w:tr>
      <w:tr w:rsidR="00160077" w:rsidRPr="00160077" w14:paraId="1E2FF558" w14:textId="77777777" w:rsidTr="00160077">
        <w:trPr>
          <w:trHeight w:val="834"/>
        </w:trPr>
        <w:tc>
          <w:tcPr>
            <w:tcW w:w="0" w:type="auto"/>
            <w:hideMark/>
          </w:tcPr>
          <w:p w14:paraId="42FA3DDC"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C</w:t>
            </w:r>
          </w:p>
        </w:tc>
        <w:tc>
          <w:tcPr>
            <w:tcW w:w="0" w:type="auto"/>
            <w:hideMark/>
          </w:tcPr>
          <w:p w14:paraId="1523EC61" w14:textId="77777777" w:rsidR="00160077" w:rsidRPr="00160077" w:rsidRDefault="00160077" w:rsidP="00160077">
            <w:pPr>
              <w:keepNext/>
              <w:spacing w:before="240" w:line="360" w:lineRule="auto"/>
              <w:jc w:val="both"/>
              <w:rPr>
                <w:rFonts w:ascii="Arial" w:hAnsi="Arial" w:cs="Arial"/>
                <w:bCs/>
                <w:sz w:val="24"/>
                <w:szCs w:val="24"/>
                <w:lang w:val="en-US"/>
              </w:rPr>
            </w:pPr>
            <w:r w:rsidRPr="00160077">
              <w:rPr>
                <w:rFonts w:ascii="Arial" w:hAnsi="Arial" w:cs="Arial"/>
                <w:b/>
                <w:bCs/>
                <w:sz w:val="24"/>
                <w:szCs w:val="24"/>
                <w:lang w:val="en-US"/>
              </w:rPr>
              <w:t>0.96</w:t>
            </w:r>
          </w:p>
        </w:tc>
      </w:tr>
    </w:tbl>
    <w:p w14:paraId="4B65BB7C" w14:textId="1BDA8FC0" w:rsidR="00160077" w:rsidRPr="00160077" w:rsidRDefault="00160077" w:rsidP="00160077">
      <w:pPr>
        <w:pStyle w:val="Caption"/>
        <w:rPr>
          <w:rFonts w:ascii="Arial" w:hAnsi="Arial" w:cs="Arial"/>
          <w:bCs/>
          <w:sz w:val="24"/>
          <w:szCs w:val="24"/>
          <w:lang w:val="en-US"/>
        </w:rPr>
      </w:pPr>
      <w:bookmarkStart w:id="48" w:name="_Toc226785415"/>
      <w:r>
        <w:t xml:space="preserve">Table </w:t>
      </w:r>
      <w:r>
        <w:fldChar w:fldCharType="begin"/>
      </w:r>
      <w:r>
        <w:instrText xml:space="preserve"> SEQ Table \* ARABIC </w:instrText>
      </w:r>
      <w:r>
        <w:fldChar w:fldCharType="separate"/>
      </w:r>
      <w:r w:rsidR="004569A0">
        <w:rPr>
          <w:noProof/>
        </w:rPr>
        <w:t>14</w:t>
      </w:r>
      <w:r>
        <w:fldChar w:fldCharType="end"/>
      </w:r>
      <w:r>
        <w:t xml:space="preserve">: </w:t>
      </w:r>
      <w:r w:rsidRPr="00C1411F">
        <w:t>PI</w:t>
      </w:r>
      <w:bookmarkEnd w:id="48"/>
    </w:p>
    <w:p w14:paraId="12561297" w14:textId="2819E635"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Project C again ranks highest.</w:t>
      </w:r>
    </w:p>
    <w:p w14:paraId="0B13E5C1" w14:textId="1D36D3B5" w:rsidR="00160077" w:rsidRDefault="00160077" w:rsidP="00160077">
      <w:pPr>
        <w:pStyle w:val="Heading2"/>
        <w:rPr>
          <w:lang w:val="en-US"/>
        </w:rPr>
      </w:pPr>
      <w:bookmarkStart w:id="49" w:name="_Toc226785392"/>
      <w:r>
        <w:rPr>
          <w:lang w:val="en-US"/>
        </w:rPr>
        <w:t>4.6</w:t>
      </w:r>
      <w:r w:rsidRPr="00160077">
        <w:rPr>
          <w:lang w:val="en-US"/>
        </w:rPr>
        <w:t xml:space="preserve"> Internal Rate of Return (IRR) (Approx.)</w:t>
      </w:r>
      <w:bookmarkEnd w:id="49"/>
    </w:p>
    <w:tbl>
      <w:tblPr>
        <w:tblStyle w:val="TableGrid"/>
        <w:tblW w:w="6327" w:type="dxa"/>
        <w:tblLook w:val="04A0" w:firstRow="1" w:lastRow="0" w:firstColumn="1" w:lastColumn="0" w:noHBand="0" w:noVBand="1"/>
      </w:tblPr>
      <w:tblGrid>
        <w:gridCol w:w="2303"/>
        <w:gridCol w:w="4024"/>
      </w:tblGrid>
      <w:tr w:rsidR="004569A0" w:rsidRPr="004569A0" w14:paraId="0471BD44" w14:textId="77777777" w:rsidTr="004569A0">
        <w:trPr>
          <w:trHeight w:val="573"/>
        </w:trPr>
        <w:tc>
          <w:tcPr>
            <w:tcW w:w="0" w:type="auto"/>
            <w:hideMark/>
          </w:tcPr>
          <w:p w14:paraId="7C0416EE" w14:textId="77777777" w:rsidR="004569A0" w:rsidRPr="004569A0" w:rsidRDefault="004569A0" w:rsidP="004569A0">
            <w:pPr>
              <w:rPr>
                <w:rFonts w:ascii="Arial" w:hAnsi="Arial" w:cs="Arial"/>
                <w:sz w:val="24"/>
                <w:szCs w:val="24"/>
                <w:lang w:val="en-US"/>
              </w:rPr>
            </w:pPr>
            <w:r w:rsidRPr="004569A0">
              <w:rPr>
                <w:rFonts w:ascii="Arial" w:hAnsi="Arial" w:cs="Arial"/>
                <w:sz w:val="24"/>
                <w:szCs w:val="24"/>
                <w:lang w:val="en-US"/>
              </w:rPr>
              <w:t>Project</w:t>
            </w:r>
          </w:p>
        </w:tc>
        <w:tc>
          <w:tcPr>
            <w:tcW w:w="0" w:type="auto"/>
            <w:hideMark/>
          </w:tcPr>
          <w:p w14:paraId="43F0B58D" w14:textId="77777777" w:rsidR="004569A0" w:rsidRPr="004569A0" w:rsidRDefault="004569A0" w:rsidP="004569A0">
            <w:pPr>
              <w:rPr>
                <w:rFonts w:ascii="Arial" w:hAnsi="Arial" w:cs="Arial"/>
                <w:sz w:val="24"/>
                <w:szCs w:val="24"/>
                <w:lang w:val="en-US"/>
              </w:rPr>
            </w:pPr>
            <w:r w:rsidRPr="004569A0">
              <w:rPr>
                <w:rFonts w:ascii="Arial" w:hAnsi="Arial" w:cs="Arial"/>
                <w:sz w:val="24"/>
                <w:szCs w:val="24"/>
                <w:lang w:val="en-US"/>
              </w:rPr>
              <w:t>IRR (Approx.)</w:t>
            </w:r>
          </w:p>
        </w:tc>
      </w:tr>
      <w:tr w:rsidR="004569A0" w:rsidRPr="004569A0" w14:paraId="3D476B28" w14:textId="77777777" w:rsidTr="004569A0">
        <w:trPr>
          <w:trHeight w:val="573"/>
        </w:trPr>
        <w:tc>
          <w:tcPr>
            <w:tcW w:w="0" w:type="auto"/>
            <w:hideMark/>
          </w:tcPr>
          <w:p w14:paraId="1A76816B" w14:textId="77777777" w:rsidR="004569A0" w:rsidRPr="004569A0" w:rsidRDefault="004569A0" w:rsidP="004569A0">
            <w:pPr>
              <w:rPr>
                <w:rFonts w:ascii="Arial" w:hAnsi="Arial" w:cs="Arial"/>
                <w:sz w:val="24"/>
                <w:szCs w:val="24"/>
                <w:lang w:val="en-US"/>
              </w:rPr>
            </w:pPr>
            <w:r w:rsidRPr="004569A0">
              <w:rPr>
                <w:rFonts w:ascii="Arial" w:hAnsi="Arial" w:cs="Arial"/>
                <w:sz w:val="24"/>
                <w:szCs w:val="24"/>
                <w:lang w:val="en-US"/>
              </w:rPr>
              <w:t>A</w:t>
            </w:r>
          </w:p>
        </w:tc>
        <w:tc>
          <w:tcPr>
            <w:tcW w:w="0" w:type="auto"/>
            <w:hideMark/>
          </w:tcPr>
          <w:p w14:paraId="4F4FA3B0" w14:textId="77777777" w:rsidR="004569A0" w:rsidRPr="004569A0" w:rsidRDefault="004569A0" w:rsidP="004569A0">
            <w:pPr>
              <w:rPr>
                <w:rFonts w:ascii="Arial" w:hAnsi="Arial" w:cs="Arial"/>
                <w:sz w:val="24"/>
                <w:szCs w:val="24"/>
                <w:lang w:val="en-US"/>
              </w:rPr>
            </w:pPr>
            <w:r w:rsidRPr="004569A0">
              <w:rPr>
                <w:rFonts w:ascii="Arial" w:hAnsi="Arial" w:cs="Arial"/>
                <w:sz w:val="24"/>
                <w:szCs w:val="24"/>
                <w:lang w:val="en-US"/>
              </w:rPr>
              <w:t>5–6%</w:t>
            </w:r>
          </w:p>
        </w:tc>
      </w:tr>
      <w:tr w:rsidR="004569A0" w:rsidRPr="004569A0" w14:paraId="2957686E" w14:textId="77777777" w:rsidTr="004569A0">
        <w:trPr>
          <w:trHeight w:val="573"/>
        </w:trPr>
        <w:tc>
          <w:tcPr>
            <w:tcW w:w="0" w:type="auto"/>
            <w:hideMark/>
          </w:tcPr>
          <w:p w14:paraId="77E6BDA9" w14:textId="77777777" w:rsidR="004569A0" w:rsidRPr="004569A0" w:rsidRDefault="004569A0" w:rsidP="004569A0">
            <w:pPr>
              <w:rPr>
                <w:rFonts w:ascii="Arial" w:hAnsi="Arial" w:cs="Arial"/>
                <w:sz w:val="24"/>
                <w:szCs w:val="24"/>
                <w:lang w:val="en-US"/>
              </w:rPr>
            </w:pPr>
            <w:r w:rsidRPr="004569A0">
              <w:rPr>
                <w:rFonts w:ascii="Arial" w:hAnsi="Arial" w:cs="Arial"/>
                <w:sz w:val="24"/>
                <w:szCs w:val="24"/>
                <w:lang w:val="en-US"/>
              </w:rPr>
              <w:t>B</w:t>
            </w:r>
          </w:p>
        </w:tc>
        <w:tc>
          <w:tcPr>
            <w:tcW w:w="0" w:type="auto"/>
            <w:hideMark/>
          </w:tcPr>
          <w:p w14:paraId="6A06FE51" w14:textId="77777777" w:rsidR="004569A0" w:rsidRPr="004569A0" w:rsidRDefault="004569A0" w:rsidP="004569A0">
            <w:pPr>
              <w:rPr>
                <w:rFonts w:ascii="Arial" w:hAnsi="Arial" w:cs="Arial"/>
                <w:sz w:val="24"/>
                <w:szCs w:val="24"/>
                <w:lang w:val="en-US"/>
              </w:rPr>
            </w:pPr>
            <w:r w:rsidRPr="004569A0">
              <w:rPr>
                <w:rFonts w:ascii="Arial" w:hAnsi="Arial" w:cs="Arial"/>
                <w:sz w:val="24"/>
                <w:szCs w:val="24"/>
                <w:lang w:val="en-US"/>
              </w:rPr>
              <w:t>~5%</w:t>
            </w:r>
          </w:p>
        </w:tc>
      </w:tr>
      <w:tr w:rsidR="004569A0" w:rsidRPr="004569A0" w14:paraId="56561080" w14:textId="77777777" w:rsidTr="004569A0">
        <w:trPr>
          <w:trHeight w:val="573"/>
        </w:trPr>
        <w:tc>
          <w:tcPr>
            <w:tcW w:w="0" w:type="auto"/>
            <w:hideMark/>
          </w:tcPr>
          <w:p w14:paraId="194E193B" w14:textId="77777777" w:rsidR="004569A0" w:rsidRPr="004569A0" w:rsidRDefault="004569A0" w:rsidP="004569A0">
            <w:pPr>
              <w:rPr>
                <w:rFonts w:ascii="Arial" w:hAnsi="Arial" w:cs="Arial"/>
                <w:sz w:val="24"/>
                <w:szCs w:val="24"/>
                <w:lang w:val="en-US"/>
              </w:rPr>
            </w:pPr>
            <w:r w:rsidRPr="004569A0">
              <w:rPr>
                <w:rFonts w:ascii="Arial" w:hAnsi="Arial" w:cs="Arial"/>
                <w:sz w:val="24"/>
                <w:szCs w:val="24"/>
                <w:lang w:val="en-US"/>
              </w:rPr>
              <w:t>C</w:t>
            </w:r>
          </w:p>
        </w:tc>
        <w:tc>
          <w:tcPr>
            <w:tcW w:w="0" w:type="auto"/>
            <w:hideMark/>
          </w:tcPr>
          <w:p w14:paraId="642ABB08" w14:textId="77777777" w:rsidR="004569A0" w:rsidRPr="004569A0" w:rsidRDefault="004569A0" w:rsidP="004569A0">
            <w:pPr>
              <w:keepNext/>
              <w:rPr>
                <w:rFonts w:ascii="Arial" w:hAnsi="Arial" w:cs="Arial"/>
                <w:sz w:val="24"/>
                <w:szCs w:val="24"/>
                <w:lang w:val="en-US"/>
              </w:rPr>
            </w:pPr>
            <w:r w:rsidRPr="004569A0">
              <w:rPr>
                <w:rFonts w:ascii="Arial" w:hAnsi="Arial" w:cs="Arial"/>
                <w:sz w:val="24"/>
                <w:szCs w:val="24"/>
                <w:lang w:val="en-US"/>
              </w:rPr>
              <w:t>~9%</w:t>
            </w:r>
          </w:p>
        </w:tc>
      </w:tr>
    </w:tbl>
    <w:p w14:paraId="4997DEF3" w14:textId="0E39F273" w:rsidR="004569A0" w:rsidRPr="004569A0" w:rsidRDefault="004569A0" w:rsidP="004569A0">
      <w:pPr>
        <w:pStyle w:val="Caption"/>
        <w:rPr>
          <w:lang w:val="en-US"/>
        </w:rPr>
      </w:pPr>
      <w:bookmarkStart w:id="50" w:name="_Toc226785416"/>
      <w:r>
        <w:t xml:space="preserve">Table </w:t>
      </w:r>
      <w:r>
        <w:fldChar w:fldCharType="begin"/>
      </w:r>
      <w:r>
        <w:instrText xml:space="preserve"> SEQ Table \* ARABIC </w:instrText>
      </w:r>
      <w:r>
        <w:fldChar w:fldCharType="separate"/>
      </w:r>
      <w:r>
        <w:rPr>
          <w:noProof/>
        </w:rPr>
        <w:t>15</w:t>
      </w:r>
      <w:r>
        <w:fldChar w:fldCharType="end"/>
      </w:r>
      <w:r>
        <w:t>: IRR</w:t>
      </w:r>
      <w:bookmarkEnd w:id="50"/>
    </w:p>
    <w:p w14:paraId="1561C7C0"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The IRR of Project C is the biggest and nearest to the required rate of return (10%).</w:t>
      </w:r>
    </w:p>
    <w:p w14:paraId="6338D1C9" w14:textId="73A886F6" w:rsidR="00160077" w:rsidRPr="00160077" w:rsidRDefault="004569A0" w:rsidP="004569A0">
      <w:pPr>
        <w:pStyle w:val="Heading2"/>
        <w:rPr>
          <w:lang w:val="en-US"/>
        </w:rPr>
      </w:pPr>
      <w:bookmarkStart w:id="51" w:name="_Toc226785393"/>
      <w:r>
        <w:rPr>
          <w:lang w:val="en-US"/>
        </w:rPr>
        <w:t>4.7</w:t>
      </w:r>
      <w:r w:rsidR="00160077" w:rsidRPr="00160077">
        <w:rPr>
          <w:lang w:val="en-US"/>
        </w:rPr>
        <w:t xml:space="preserve"> Total Ranking of Projects</w:t>
      </w:r>
      <w:bookmarkEnd w:id="51"/>
    </w:p>
    <w:tbl>
      <w:tblPr>
        <w:tblStyle w:val="TableGrid"/>
        <w:tblW w:w="6998" w:type="dxa"/>
        <w:tblLook w:val="04A0" w:firstRow="1" w:lastRow="0" w:firstColumn="1" w:lastColumn="0" w:noHBand="0" w:noVBand="1"/>
      </w:tblPr>
      <w:tblGrid>
        <w:gridCol w:w="2889"/>
        <w:gridCol w:w="4109"/>
      </w:tblGrid>
      <w:tr w:rsidR="004569A0" w:rsidRPr="004569A0" w14:paraId="1DBAC651" w14:textId="77777777" w:rsidTr="004569A0">
        <w:trPr>
          <w:trHeight w:val="822"/>
        </w:trPr>
        <w:tc>
          <w:tcPr>
            <w:tcW w:w="0" w:type="auto"/>
            <w:hideMark/>
          </w:tcPr>
          <w:p w14:paraId="2E3F6019" w14:textId="77777777" w:rsidR="004569A0" w:rsidRPr="004569A0" w:rsidRDefault="004569A0" w:rsidP="004569A0">
            <w:pPr>
              <w:spacing w:before="240" w:line="360" w:lineRule="auto"/>
              <w:jc w:val="both"/>
              <w:rPr>
                <w:rFonts w:ascii="Arial" w:hAnsi="Arial" w:cs="Arial"/>
                <w:b/>
                <w:bCs/>
                <w:sz w:val="24"/>
                <w:szCs w:val="24"/>
                <w:lang w:val="en-US"/>
              </w:rPr>
            </w:pPr>
            <w:r w:rsidRPr="004569A0">
              <w:rPr>
                <w:rFonts w:ascii="Arial" w:hAnsi="Arial" w:cs="Arial"/>
                <w:b/>
                <w:bCs/>
                <w:sz w:val="24"/>
                <w:szCs w:val="24"/>
                <w:lang w:val="en-US"/>
              </w:rPr>
              <w:t>Method</w:t>
            </w:r>
          </w:p>
        </w:tc>
        <w:tc>
          <w:tcPr>
            <w:tcW w:w="0" w:type="auto"/>
            <w:hideMark/>
          </w:tcPr>
          <w:p w14:paraId="50566703" w14:textId="77777777" w:rsidR="004569A0" w:rsidRPr="004569A0" w:rsidRDefault="004569A0" w:rsidP="004569A0">
            <w:pPr>
              <w:spacing w:before="240" w:line="360" w:lineRule="auto"/>
              <w:jc w:val="both"/>
              <w:rPr>
                <w:rFonts w:ascii="Arial" w:hAnsi="Arial" w:cs="Arial"/>
                <w:b/>
                <w:bCs/>
                <w:sz w:val="24"/>
                <w:szCs w:val="24"/>
                <w:lang w:val="en-US"/>
              </w:rPr>
            </w:pPr>
            <w:r w:rsidRPr="004569A0">
              <w:rPr>
                <w:rFonts w:ascii="Arial" w:hAnsi="Arial" w:cs="Arial"/>
                <w:b/>
                <w:bCs/>
                <w:sz w:val="24"/>
                <w:szCs w:val="24"/>
                <w:lang w:val="en-US"/>
              </w:rPr>
              <w:t>Best Project</w:t>
            </w:r>
          </w:p>
        </w:tc>
      </w:tr>
      <w:tr w:rsidR="004569A0" w:rsidRPr="004569A0" w14:paraId="04EAEA2F" w14:textId="77777777" w:rsidTr="004569A0">
        <w:trPr>
          <w:trHeight w:val="831"/>
        </w:trPr>
        <w:tc>
          <w:tcPr>
            <w:tcW w:w="0" w:type="auto"/>
            <w:hideMark/>
          </w:tcPr>
          <w:p w14:paraId="2156DE4E"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Payback</w:t>
            </w:r>
          </w:p>
        </w:tc>
        <w:tc>
          <w:tcPr>
            <w:tcW w:w="0" w:type="auto"/>
            <w:hideMark/>
          </w:tcPr>
          <w:p w14:paraId="1C9B17C0"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C</w:t>
            </w:r>
          </w:p>
        </w:tc>
      </w:tr>
      <w:tr w:rsidR="004569A0" w:rsidRPr="004569A0" w14:paraId="4EB67C25" w14:textId="77777777" w:rsidTr="004569A0">
        <w:trPr>
          <w:trHeight w:val="822"/>
        </w:trPr>
        <w:tc>
          <w:tcPr>
            <w:tcW w:w="0" w:type="auto"/>
            <w:hideMark/>
          </w:tcPr>
          <w:p w14:paraId="4326C0DA"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ARR</w:t>
            </w:r>
          </w:p>
        </w:tc>
        <w:tc>
          <w:tcPr>
            <w:tcW w:w="0" w:type="auto"/>
            <w:hideMark/>
          </w:tcPr>
          <w:p w14:paraId="40C13261"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C</w:t>
            </w:r>
          </w:p>
        </w:tc>
      </w:tr>
      <w:tr w:rsidR="004569A0" w:rsidRPr="004569A0" w14:paraId="4C12CF2A" w14:textId="77777777" w:rsidTr="004569A0">
        <w:trPr>
          <w:trHeight w:val="831"/>
        </w:trPr>
        <w:tc>
          <w:tcPr>
            <w:tcW w:w="0" w:type="auto"/>
            <w:hideMark/>
          </w:tcPr>
          <w:p w14:paraId="49C5672A"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NPV</w:t>
            </w:r>
          </w:p>
        </w:tc>
        <w:tc>
          <w:tcPr>
            <w:tcW w:w="0" w:type="auto"/>
            <w:hideMark/>
          </w:tcPr>
          <w:p w14:paraId="35139A4A"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C</w:t>
            </w:r>
          </w:p>
        </w:tc>
      </w:tr>
      <w:tr w:rsidR="004569A0" w:rsidRPr="004569A0" w14:paraId="41596C4B" w14:textId="77777777" w:rsidTr="004569A0">
        <w:trPr>
          <w:trHeight w:val="822"/>
        </w:trPr>
        <w:tc>
          <w:tcPr>
            <w:tcW w:w="0" w:type="auto"/>
            <w:hideMark/>
          </w:tcPr>
          <w:p w14:paraId="08A266A3"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PI</w:t>
            </w:r>
          </w:p>
        </w:tc>
        <w:tc>
          <w:tcPr>
            <w:tcW w:w="0" w:type="auto"/>
            <w:hideMark/>
          </w:tcPr>
          <w:p w14:paraId="59482FAA"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C</w:t>
            </w:r>
          </w:p>
        </w:tc>
      </w:tr>
      <w:tr w:rsidR="004569A0" w:rsidRPr="004569A0" w14:paraId="2BD69400" w14:textId="77777777" w:rsidTr="004569A0">
        <w:trPr>
          <w:trHeight w:val="822"/>
        </w:trPr>
        <w:tc>
          <w:tcPr>
            <w:tcW w:w="0" w:type="auto"/>
            <w:hideMark/>
          </w:tcPr>
          <w:p w14:paraId="1E9C436D"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IRR</w:t>
            </w:r>
          </w:p>
        </w:tc>
        <w:tc>
          <w:tcPr>
            <w:tcW w:w="0" w:type="auto"/>
            <w:hideMark/>
          </w:tcPr>
          <w:p w14:paraId="6BD37FB1" w14:textId="77777777" w:rsidR="004569A0" w:rsidRPr="004569A0" w:rsidRDefault="004569A0" w:rsidP="004569A0">
            <w:pPr>
              <w:keepNext/>
              <w:spacing w:before="240" w:line="360" w:lineRule="auto"/>
              <w:jc w:val="both"/>
              <w:rPr>
                <w:rFonts w:ascii="Arial" w:hAnsi="Arial" w:cs="Arial"/>
                <w:bCs/>
                <w:sz w:val="24"/>
                <w:szCs w:val="24"/>
                <w:lang w:val="en-US"/>
              </w:rPr>
            </w:pPr>
            <w:r w:rsidRPr="004569A0">
              <w:rPr>
                <w:rFonts w:ascii="Arial" w:hAnsi="Arial" w:cs="Arial"/>
                <w:bCs/>
                <w:sz w:val="24"/>
                <w:szCs w:val="24"/>
                <w:lang w:val="en-US"/>
              </w:rPr>
              <w:t>C</w:t>
            </w:r>
          </w:p>
        </w:tc>
      </w:tr>
    </w:tbl>
    <w:p w14:paraId="36CE9224" w14:textId="54F6038C" w:rsidR="004569A0" w:rsidRDefault="004569A0" w:rsidP="004569A0">
      <w:pPr>
        <w:pStyle w:val="Caption"/>
        <w:rPr>
          <w:rFonts w:ascii="Arial" w:hAnsi="Arial" w:cs="Arial"/>
          <w:bCs/>
          <w:sz w:val="24"/>
          <w:szCs w:val="24"/>
          <w:lang w:val="en-US"/>
        </w:rPr>
      </w:pPr>
      <w:bookmarkStart w:id="52" w:name="_Toc226785417"/>
      <w:r>
        <w:t xml:space="preserve">Table </w:t>
      </w:r>
      <w:r>
        <w:fldChar w:fldCharType="begin"/>
      </w:r>
      <w:r>
        <w:instrText xml:space="preserve"> SEQ Table \* ARABIC </w:instrText>
      </w:r>
      <w:r>
        <w:fldChar w:fldCharType="separate"/>
      </w:r>
      <w:r>
        <w:rPr>
          <w:noProof/>
        </w:rPr>
        <w:t>16</w:t>
      </w:r>
      <w:r>
        <w:fldChar w:fldCharType="end"/>
      </w:r>
      <w:r>
        <w:t xml:space="preserve">: </w:t>
      </w:r>
      <w:r w:rsidRPr="006D553B">
        <w:t>Ranking of Projects</w:t>
      </w:r>
      <w:bookmarkEnd w:id="52"/>
    </w:p>
    <w:p w14:paraId="15D4FF56" w14:textId="097A605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Project C has a better performance in all financial measures.</w:t>
      </w:r>
    </w:p>
    <w:p w14:paraId="27544EA0" w14:textId="729941EE" w:rsidR="00160077" w:rsidRPr="00160077" w:rsidRDefault="004569A0" w:rsidP="004569A0">
      <w:pPr>
        <w:pStyle w:val="Heading2"/>
        <w:rPr>
          <w:lang w:val="en-US"/>
        </w:rPr>
      </w:pPr>
      <w:bookmarkStart w:id="53" w:name="_Toc226785394"/>
      <w:r>
        <w:rPr>
          <w:lang w:val="en-US"/>
        </w:rPr>
        <w:lastRenderedPageBreak/>
        <w:t>4.8</w:t>
      </w:r>
      <w:r w:rsidR="00160077" w:rsidRPr="00160077">
        <w:rPr>
          <w:lang w:val="en-US"/>
        </w:rPr>
        <w:t xml:space="preserve"> Best project recommendation</w:t>
      </w:r>
      <w:bookmarkEnd w:id="53"/>
    </w:p>
    <w:p w14:paraId="6859156E" w14:textId="7C833860"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
          <w:sz w:val="24"/>
          <w:szCs w:val="24"/>
          <w:lang w:val="en-US"/>
        </w:rPr>
        <w:t>Recommended:</w:t>
      </w:r>
      <w:r w:rsidRPr="00160077">
        <w:rPr>
          <w:rFonts w:ascii="Arial" w:hAnsi="Arial" w:cs="Arial"/>
          <w:bCs/>
          <w:sz w:val="24"/>
          <w:szCs w:val="24"/>
          <w:lang w:val="en-US"/>
        </w:rPr>
        <w:t xml:space="preserve"> Project C</w:t>
      </w:r>
    </w:p>
    <w:p w14:paraId="3C981DD7"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Justification</w:t>
      </w:r>
    </w:p>
    <w:p w14:paraId="32BD84C4"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Segoe UI Emoji" w:hAnsi="Segoe UI Emoji" w:cs="Segoe UI Emoji"/>
          <w:b/>
          <w:sz w:val="24"/>
          <w:szCs w:val="24"/>
          <w:lang w:val="en-US"/>
        </w:rPr>
        <w:t>🔹</w:t>
      </w:r>
      <w:r w:rsidRPr="00160077">
        <w:rPr>
          <w:rFonts w:ascii="Arial" w:hAnsi="Arial" w:cs="Arial"/>
          <w:bCs/>
          <w:sz w:val="24"/>
          <w:szCs w:val="24"/>
          <w:lang w:val="en-US"/>
        </w:rPr>
        <w:t xml:space="preserve"> </w:t>
      </w:r>
      <w:r w:rsidRPr="00160077">
        <w:rPr>
          <w:rFonts w:ascii="Arial" w:hAnsi="Arial" w:cs="Arial"/>
          <w:b/>
          <w:sz w:val="24"/>
          <w:szCs w:val="24"/>
          <w:lang w:val="en-US"/>
        </w:rPr>
        <w:t>Financial Perspective</w:t>
      </w:r>
    </w:p>
    <w:p w14:paraId="2B9B2DDE" w14:textId="77777777" w:rsidR="00160077" w:rsidRPr="004569A0" w:rsidRDefault="00160077" w:rsidP="004569A0">
      <w:pPr>
        <w:pStyle w:val="ListParagraph"/>
        <w:numPr>
          <w:ilvl w:val="0"/>
          <w:numId w:val="64"/>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Highest ARR (6%)</w:t>
      </w:r>
    </w:p>
    <w:p w14:paraId="7B3B6F3E" w14:textId="77777777" w:rsidR="00160077" w:rsidRPr="004569A0" w:rsidRDefault="00160077" w:rsidP="004569A0">
      <w:pPr>
        <w:pStyle w:val="ListParagraph"/>
        <w:numPr>
          <w:ilvl w:val="0"/>
          <w:numId w:val="64"/>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Highest IRR (~9%)</w:t>
      </w:r>
    </w:p>
    <w:p w14:paraId="3227964F" w14:textId="77777777" w:rsidR="00160077" w:rsidRPr="004569A0" w:rsidRDefault="00160077" w:rsidP="004569A0">
      <w:pPr>
        <w:pStyle w:val="ListParagraph"/>
        <w:numPr>
          <w:ilvl w:val="0"/>
          <w:numId w:val="64"/>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Fastest payback (3.6 years)</w:t>
      </w:r>
    </w:p>
    <w:p w14:paraId="33BE270C" w14:textId="77777777" w:rsidR="00160077" w:rsidRPr="004569A0" w:rsidRDefault="00160077" w:rsidP="004569A0">
      <w:pPr>
        <w:pStyle w:val="ListParagraph"/>
        <w:numPr>
          <w:ilvl w:val="0"/>
          <w:numId w:val="64"/>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Least negative NPV</w:t>
      </w:r>
    </w:p>
    <w:p w14:paraId="20ECC2BD"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Since the liquidity pressures faced by Volkswagen are moderate, and the capital expenditure is high, it is necessary to recover cash faster (Volkswagen AG, 2024; Bloomberg, 2023).</w:t>
      </w:r>
    </w:p>
    <w:p w14:paraId="35F79C29" w14:textId="248A9C7D" w:rsidR="00160077" w:rsidRPr="00160077" w:rsidRDefault="00160077" w:rsidP="00160077">
      <w:pPr>
        <w:spacing w:before="240" w:line="360" w:lineRule="auto"/>
        <w:jc w:val="both"/>
        <w:rPr>
          <w:rFonts w:ascii="Arial" w:hAnsi="Arial" w:cs="Arial"/>
          <w:b/>
          <w:sz w:val="24"/>
          <w:szCs w:val="24"/>
          <w:lang w:val="en-US"/>
        </w:rPr>
      </w:pPr>
      <w:r w:rsidRPr="00160077">
        <w:rPr>
          <w:rFonts w:ascii="Segoe UI Emoji" w:hAnsi="Segoe UI Emoji" w:cs="Segoe UI Emoji"/>
          <w:b/>
          <w:sz w:val="24"/>
          <w:szCs w:val="24"/>
          <w:lang w:val="en-US"/>
        </w:rPr>
        <w:t>🔹</w:t>
      </w:r>
      <w:r w:rsidRPr="00160077">
        <w:rPr>
          <w:rFonts w:ascii="Arial" w:hAnsi="Arial" w:cs="Arial"/>
          <w:b/>
          <w:sz w:val="24"/>
          <w:szCs w:val="24"/>
          <w:lang w:val="en-US"/>
        </w:rPr>
        <w:t xml:space="preserve"> </w:t>
      </w:r>
      <w:r w:rsidR="004569A0" w:rsidRPr="004569A0">
        <w:rPr>
          <w:rFonts w:ascii="Arial" w:hAnsi="Arial" w:cs="Arial"/>
          <w:b/>
          <w:sz w:val="24"/>
          <w:szCs w:val="24"/>
          <w:lang w:val="en-US"/>
        </w:rPr>
        <w:t>Link to Volkswagen's Financial Performance</w:t>
      </w:r>
    </w:p>
    <w:p w14:paraId="772EA004"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1. Profitability Constraints</w:t>
      </w:r>
    </w:p>
    <w:p w14:paraId="52BDB276"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EV investments put Volkswagen under pressure in terms of its operating margins (Financial Times, 2023).</w:t>
      </w:r>
    </w:p>
    <w:p w14:paraId="52744031" w14:textId="74A23AA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Project C offers to be more profitable, contributing to the increase in profits.</w:t>
      </w:r>
    </w:p>
    <w:p w14:paraId="50CF8425"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2. Liquidity Considerations</w:t>
      </w:r>
    </w:p>
    <w:p w14:paraId="440D724E"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The working capital analysis revealed a long CCC (~134 days).</w:t>
      </w:r>
    </w:p>
    <w:p w14:paraId="52E705A2" w14:textId="0EB1114E"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Project C enhances the timing of cash flows, lowering the liquidity pressure.</w:t>
      </w:r>
    </w:p>
    <w:p w14:paraId="03CFF5E4"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Segoe UI Emoji" w:hAnsi="Segoe UI Emoji" w:cs="Segoe UI Emoji"/>
          <w:b/>
          <w:sz w:val="24"/>
          <w:szCs w:val="24"/>
          <w:lang w:val="en-US"/>
        </w:rPr>
        <w:t>🔹</w:t>
      </w:r>
      <w:r w:rsidRPr="00160077">
        <w:rPr>
          <w:rFonts w:ascii="Arial" w:hAnsi="Arial" w:cs="Arial"/>
          <w:b/>
          <w:sz w:val="24"/>
          <w:szCs w:val="24"/>
          <w:lang w:val="en-US"/>
        </w:rPr>
        <w:t xml:space="preserve"> Non-Financial Risk Considerations</w:t>
      </w:r>
    </w:p>
    <w:p w14:paraId="5C18DDBB"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1. Political Risk</w:t>
      </w:r>
    </w:p>
    <w:p w14:paraId="40FF27B9"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The investment in EVs is based on the government subsidies and regulations.</w:t>
      </w:r>
    </w:p>
    <w:p w14:paraId="17A3C76A"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The quicker returns of project C limit risk to policy changes.</w:t>
      </w:r>
    </w:p>
    <w:p w14:paraId="0125F3DF"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lastRenderedPageBreak/>
        <w:t>2. Customer Loyalty</w:t>
      </w:r>
    </w:p>
    <w:p w14:paraId="280954A1"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Tesla and Chinese EV brands are the competitors of Volkswagen.</w:t>
      </w:r>
    </w:p>
    <w:p w14:paraId="09007B2F"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The increased mid-term returns of Project C could be associated with new innovative products that will build brand loyalty (The Economist, 2023).</w:t>
      </w:r>
    </w:p>
    <w:p w14:paraId="72827F1E"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3. Technological Risk</w:t>
      </w:r>
    </w:p>
    <w:p w14:paraId="13539D92"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Sluggishness in software (Cariad) has affected performance.</w:t>
      </w:r>
    </w:p>
    <w:p w14:paraId="09D0A90F"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 xml:space="preserve">Project C has a cash flow trend that </w:t>
      </w:r>
      <w:proofErr w:type="spellStart"/>
      <w:r w:rsidRPr="00160077">
        <w:rPr>
          <w:rFonts w:ascii="Arial" w:hAnsi="Arial" w:cs="Arial"/>
          <w:bCs/>
          <w:sz w:val="24"/>
          <w:szCs w:val="24"/>
          <w:lang w:val="en-US"/>
        </w:rPr>
        <w:t>minimises</w:t>
      </w:r>
      <w:proofErr w:type="spellEnd"/>
      <w:r w:rsidRPr="00160077">
        <w:rPr>
          <w:rFonts w:ascii="Arial" w:hAnsi="Arial" w:cs="Arial"/>
          <w:bCs/>
          <w:sz w:val="24"/>
          <w:szCs w:val="24"/>
          <w:lang w:val="en-US"/>
        </w:rPr>
        <w:t xml:space="preserve"> the exposure of the project to long-term uncertainty.</w:t>
      </w:r>
    </w:p>
    <w:p w14:paraId="24F24EB6" w14:textId="3C6EFDE5" w:rsidR="00160077" w:rsidRPr="00160077" w:rsidRDefault="004569A0" w:rsidP="004569A0">
      <w:pPr>
        <w:pStyle w:val="Heading2"/>
        <w:rPr>
          <w:lang w:val="en-US"/>
        </w:rPr>
      </w:pPr>
      <w:bookmarkStart w:id="54" w:name="_Toc226785395"/>
      <w:r>
        <w:rPr>
          <w:lang w:val="en-US"/>
        </w:rPr>
        <w:t>4.9</w:t>
      </w:r>
      <w:r w:rsidR="00160077" w:rsidRPr="00160077">
        <w:rPr>
          <w:lang w:val="en-US"/>
        </w:rPr>
        <w:t xml:space="preserve"> Capital Rationing Decision (£100m Budget)</w:t>
      </w:r>
      <w:bookmarkEnd w:id="54"/>
    </w:p>
    <w:p w14:paraId="7EC260AC" w14:textId="77777777" w:rsid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Due to capital constraints, Volkswagen can only invest in two projects.</w:t>
      </w:r>
    </w:p>
    <w:tbl>
      <w:tblPr>
        <w:tblStyle w:val="TableGrid"/>
        <w:tblW w:w="8558" w:type="dxa"/>
        <w:tblLook w:val="04A0" w:firstRow="1" w:lastRow="0" w:firstColumn="1" w:lastColumn="0" w:noHBand="0" w:noVBand="1"/>
      </w:tblPr>
      <w:tblGrid>
        <w:gridCol w:w="2793"/>
        <w:gridCol w:w="3524"/>
        <w:gridCol w:w="2241"/>
      </w:tblGrid>
      <w:tr w:rsidR="004569A0" w:rsidRPr="004569A0" w14:paraId="4DC9AA55" w14:textId="77777777" w:rsidTr="004569A0">
        <w:trPr>
          <w:trHeight w:val="869"/>
        </w:trPr>
        <w:tc>
          <w:tcPr>
            <w:tcW w:w="0" w:type="auto"/>
            <w:hideMark/>
          </w:tcPr>
          <w:p w14:paraId="4E659018" w14:textId="77777777" w:rsidR="004569A0" w:rsidRPr="004569A0" w:rsidRDefault="004569A0" w:rsidP="004569A0">
            <w:pPr>
              <w:spacing w:before="240" w:line="360" w:lineRule="auto"/>
              <w:jc w:val="both"/>
              <w:rPr>
                <w:rFonts w:ascii="Arial" w:hAnsi="Arial" w:cs="Arial"/>
                <w:b/>
                <w:bCs/>
                <w:sz w:val="24"/>
                <w:szCs w:val="24"/>
                <w:lang w:val="en-US"/>
              </w:rPr>
            </w:pPr>
            <w:r w:rsidRPr="004569A0">
              <w:rPr>
                <w:rFonts w:ascii="Arial" w:hAnsi="Arial" w:cs="Arial"/>
                <w:b/>
                <w:bCs/>
                <w:sz w:val="24"/>
                <w:szCs w:val="24"/>
                <w:lang w:val="en-US"/>
              </w:rPr>
              <w:t>Combination</w:t>
            </w:r>
          </w:p>
        </w:tc>
        <w:tc>
          <w:tcPr>
            <w:tcW w:w="0" w:type="auto"/>
            <w:hideMark/>
          </w:tcPr>
          <w:p w14:paraId="2955B778" w14:textId="77777777" w:rsidR="004569A0" w:rsidRPr="004569A0" w:rsidRDefault="004569A0" w:rsidP="004569A0">
            <w:pPr>
              <w:spacing w:before="240" w:line="360" w:lineRule="auto"/>
              <w:jc w:val="both"/>
              <w:rPr>
                <w:rFonts w:ascii="Arial" w:hAnsi="Arial" w:cs="Arial"/>
                <w:b/>
                <w:bCs/>
                <w:sz w:val="24"/>
                <w:szCs w:val="24"/>
                <w:lang w:val="en-US"/>
              </w:rPr>
            </w:pPr>
            <w:r w:rsidRPr="004569A0">
              <w:rPr>
                <w:rFonts w:ascii="Arial" w:hAnsi="Arial" w:cs="Arial"/>
                <w:b/>
                <w:bCs/>
                <w:sz w:val="24"/>
                <w:szCs w:val="24"/>
                <w:lang w:val="en-US"/>
              </w:rPr>
              <w:t>Total Investment</w:t>
            </w:r>
          </w:p>
        </w:tc>
        <w:tc>
          <w:tcPr>
            <w:tcW w:w="0" w:type="auto"/>
            <w:hideMark/>
          </w:tcPr>
          <w:p w14:paraId="586C4CC3" w14:textId="77777777" w:rsidR="004569A0" w:rsidRPr="004569A0" w:rsidRDefault="004569A0" w:rsidP="004569A0">
            <w:pPr>
              <w:spacing w:before="240" w:line="360" w:lineRule="auto"/>
              <w:jc w:val="both"/>
              <w:rPr>
                <w:rFonts w:ascii="Arial" w:hAnsi="Arial" w:cs="Arial"/>
                <w:b/>
                <w:bCs/>
                <w:sz w:val="24"/>
                <w:szCs w:val="24"/>
                <w:lang w:val="en-US"/>
              </w:rPr>
            </w:pPr>
            <w:r w:rsidRPr="004569A0">
              <w:rPr>
                <w:rFonts w:ascii="Arial" w:hAnsi="Arial" w:cs="Arial"/>
                <w:b/>
                <w:bCs/>
                <w:sz w:val="24"/>
                <w:szCs w:val="24"/>
                <w:lang w:val="en-US"/>
              </w:rPr>
              <w:t>Total NPV</w:t>
            </w:r>
          </w:p>
        </w:tc>
      </w:tr>
      <w:tr w:rsidR="004569A0" w:rsidRPr="004569A0" w14:paraId="4393215A" w14:textId="77777777" w:rsidTr="004569A0">
        <w:trPr>
          <w:trHeight w:val="879"/>
        </w:trPr>
        <w:tc>
          <w:tcPr>
            <w:tcW w:w="0" w:type="auto"/>
            <w:hideMark/>
          </w:tcPr>
          <w:p w14:paraId="4C986262"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A + B</w:t>
            </w:r>
          </w:p>
        </w:tc>
        <w:tc>
          <w:tcPr>
            <w:tcW w:w="0" w:type="auto"/>
            <w:hideMark/>
          </w:tcPr>
          <w:p w14:paraId="0D032BD6"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100</w:t>
            </w:r>
          </w:p>
        </w:tc>
        <w:tc>
          <w:tcPr>
            <w:tcW w:w="0" w:type="auto"/>
            <w:hideMark/>
          </w:tcPr>
          <w:p w14:paraId="4DB5693D"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–16.99</w:t>
            </w:r>
          </w:p>
        </w:tc>
      </w:tr>
      <w:tr w:rsidR="004569A0" w:rsidRPr="004569A0" w14:paraId="4CB93F73" w14:textId="77777777" w:rsidTr="004569A0">
        <w:trPr>
          <w:trHeight w:val="869"/>
        </w:trPr>
        <w:tc>
          <w:tcPr>
            <w:tcW w:w="0" w:type="auto"/>
            <w:hideMark/>
          </w:tcPr>
          <w:p w14:paraId="7E734B83"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A + C</w:t>
            </w:r>
          </w:p>
        </w:tc>
        <w:tc>
          <w:tcPr>
            <w:tcW w:w="0" w:type="auto"/>
            <w:hideMark/>
          </w:tcPr>
          <w:p w14:paraId="2824EE48"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100</w:t>
            </w:r>
          </w:p>
        </w:tc>
        <w:tc>
          <w:tcPr>
            <w:tcW w:w="0" w:type="auto"/>
            <w:hideMark/>
          </w:tcPr>
          <w:p w14:paraId="2BD60637"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–10.70</w:t>
            </w:r>
          </w:p>
        </w:tc>
      </w:tr>
      <w:tr w:rsidR="004569A0" w:rsidRPr="004569A0" w14:paraId="6E864ADA" w14:textId="77777777" w:rsidTr="004569A0">
        <w:trPr>
          <w:trHeight w:val="879"/>
        </w:trPr>
        <w:tc>
          <w:tcPr>
            <w:tcW w:w="0" w:type="auto"/>
            <w:hideMark/>
          </w:tcPr>
          <w:p w14:paraId="79C405F3"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B + C</w:t>
            </w:r>
          </w:p>
        </w:tc>
        <w:tc>
          <w:tcPr>
            <w:tcW w:w="0" w:type="auto"/>
            <w:hideMark/>
          </w:tcPr>
          <w:p w14:paraId="7025400C" w14:textId="77777777" w:rsidR="004569A0" w:rsidRPr="004569A0" w:rsidRDefault="004569A0"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100</w:t>
            </w:r>
          </w:p>
        </w:tc>
        <w:tc>
          <w:tcPr>
            <w:tcW w:w="0" w:type="auto"/>
            <w:hideMark/>
          </w:tcPr>
          <w:p w14:paraId="60170777" w14:textId="77777777" w:rsidR="004569A0" w:rsidRPr="004569A0" w:rsidRDefault="004569A0" w:rsidP="004569A0">
            <w:pPr>
              <w:keepNext/>
              <w:spacing w:before="240" w:line="360" w:lineRule="auto"/>
              <w:jc w:val="both"/>
              <w:rPr>
                <w:rFonts w:ascii="Arial" w:hAnsi="Arial" w:cs="Arial"/>
                <w:bCs/>
                <w:sz w:val="24"/>
                <w:szCs w:val="24"/>
                <w:lang w:val="en-US"/>
              </w:rPr>
            </w:pPr>
            <w:r w:rsidRPr="004569A0">
              <w:rPr>
                <w:rFonts w:ascii="Arial" w:hAnsi="Arial" w:cs="Arial"/>
                <w:b/>
                <w:bCs/>
                <w:sz w:val="24"/>
                <w:szCs w:val="24"/>
                <w:lang w:val="en-US"/>
              </w:rPr>
              <w:t>–10.32</w:t>
            </w:r>
          </w:p>
        </w:tc>
      </w:tr>
    </w:tbl>
    <w:p w14:paraId="7474E4F2" w14:textId="285E6CC5" w:rsidR="004569A0" w:rsidRPr="00160077" w:rsidRDefault="004569A0" w:rsidP="004569A0">
      <w:pPr>
        <w:pStyle w:val="Caption"/>
        <w:rPr>
          <w:rFonts w:ascii="Arial" w:hAnsi="Arial" w:cs="Arial"/>
          <w:bCs/>
          <w:sz w:val="24"/>
          <w:szCs w:val="24"/>
          <w:lang w:val="en-US"/>
        </w:rPr>
      </w:pPr>
      <w:bookmarkStart w:id="55" w:name="_Toc226785418"/>
      <w:r>
        <w:t xml:space="preserve">Table </w:t>
      </w:r>
      <w:r>
        <w:fldChar w:fldCharType="begin"/>
      </w:r>
      <w:r>
        <w:instrText xml:space="preserve"> SEQ Table \* ARABIC </w:instrText>
      </w:r>
      <w:r>
        <w:fldChar w:fldCharType="separate"/>
      </w:r>
      <w:r>
        <w:rPr>
          <w:noProof/>
        </w:rPr>
        <w:t>17</w:t>
      </w:r>
      <w:r>
        <w:fldChar w:fldCharType="end"/>
      </w:r>
      <w:r>
        <w:t xml:space="preserve">: </w:t>
      </w:r>
      <w:r w:rsidRPr="00F742BD">
        <w:t>Possible Combinations</w:t>
      </w:r>
      <w:bookmarkEnd w:id="55"/>
    </w:p>
    <w:p w14:paraId="0203AE69"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Best Combination B + C Projects.</w:t>
      </w:r>
    </w:p>
    <w:p w14:paraId="62469270" w14:textId="64A195B8"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Justification</w:t>
      </w:r>
    </w:p>
    <w:p w14:paraId="486CB78B"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1. Highest Combined Value</w:t>
      </w:r>
    </w:p>
    <w:p w14:paraId="0DCA2CB6" w14:textId="77777777" w:rsidR="00160077" w:rsidRPr="004569A0" w:rsidRDefault="00160077" w:rsidP="004569A0">
      <w:pPr>
        <w:pStyle w:val="ListParagraph"/>
        <w:numPr>
          <w:ilvl w:val="0"/>
          <w:numId w:val="65"/>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B + C will yield the least negative NPV.</w:t>
      </w:r>
    </w:p>
    <w:p w14:paraId="2021F419" w14:textId="77777777" w:rsidR="00160077" w:rsidRPr="004569A0" w:rsidRDefault="00160077" w:rsidP="004569A0">
      <w:pPr>
        <w:pStyle w:val="ListParagraph"/>
        <w:numPr>
          <w:ilvl w:val="0"/>
          <w:numId w:val="65"/>
        </w:numPr>
        <w:spacing w:before="240" w:line="360" w:lineRule="auto"/>
        <w:jc w:val="both"/>
        <w:rPr>
          <w:rFonts w:ascii="Arial" w:hAnsi="Arial" w:cs="Arial"/>
          <w:bCs/>
          <w:sz w:val="24"/>
          <w:szCs w:val="24"/>
          <w:lang w:val="en-US"/>
        </w:rPr>
      </w:pPr>
      <w:proofErr w:type="spellStart"/>
      <w:r w:rsidRPr="004569A0">
        <w:rPr>
          <w:rFonts w:ascii="Arial" w:hAnsi="Arial" w:cs="Arial"/>
          <w:bCs/>
          <w:sz w:val="24"/>
          <w:szCs w:val="24"/>
          <w:lang w:val="en-US"/>
        </w:rPr>
        <w:t>Optimises</w:t>
      </w:r>
      <w:proofErr w:type="spellEnd"/>
      <w:r w:rsidRPr="004569A0">
        <w:rPr>
          <w:rFonts w:ascii="Arial" w:hAnsi="Arial" w:cs="Arial"/>
          <w:bCs/>
          <w:sz w:val="24"/>
          <w:szCs w:val="24"/>
          <w:lang w:val="en-US"/>
        </w:rPr>
        <w:t xml:space="preserve"> overall returns subject to budget.</w:t>
      </w:r>
    </w:p>
    <w:p w14:paraId="519E1C7A" w14:textId="77777777"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2. Risk Diversification</w:t>
      </w:r>
    </w:p>
    <w:p w14:paraId="39B75368" w14:textId="77777777" w:rsidR="00160077" w:rsidRPr="004569A0" w:rsidRDefault="00160077" w:rsidP="004569A0">
      <w:pPr>
        <w:pStyle w:val="ListParagraph"/>
        <w:numPr>
          <w:ilvl w:val="0"/>
          <w:numId w:val="66"/>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Project B has predictable and steady cash flows.</w:t>
      </w:r>
    </w:p>
    <w:p w14:paraId="49078383" w14:textId="77777777" w:rsidR="00160077" w:rsidRPr="004569A0" w:rsidRDefault="00160077" w:rsidP="004569A0">
      <w:pPr>
        <w:pStyle w:val="ListParagraph"/>
        <w:numPr>
          <w:ilvl w:val="0"/>
          <w:numId w:val="66"/>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lastRenderedPageBreak/>
        <w:t>The growth potential in project C is greater.</w:t>
      </w:r>
    </w:p>
    <w:p w14:paraId="404D2469"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This balance plays an important role in the risk management strategy of Volkswagen (MarketLine, 2023).</w:t>
      </w:r>
    </w:p>
    <w:p w14:paraId="6A7AB898" w14:textId="21F68FF9" w:rsidR="00160077" w:rsidRPr="00160077" w:rsidRDefault="00160077" w:rsidP="00160077">
      <w:pPr>
        <w:spacing w:before="240" w:line="360" w:lineRule="auto"/>
        <w:jc w:val="both"/>
        <w:rPr>
          <w:rFonts w:ascii="Arial" w:hAnsi="Arial" w:cs="Arial"/>
          <w:b/>
          <w:sz w:val="24"/>
          <w:szCs w:val="24"/>
          <w:lang w:val="en-US"/>
        </w:rPr>
      </w:pPr>
      <w:r w:rsidRPr="00160077">
        <w:rPr>
          <w:rFonts w:ascii="Arial" w:hAnsi="Arial" w:cs="Arial"/>
          <w:b/>
          <w:sz w:val="24"/>
          <w:szCs w:val="24"/>
          <w:lang w:val="en-US"/>
        </w:rPr>
        <w:t>3. Strategic fit with needs</w:t>
      </w:r>
    </w:p>
    <w:p w14:paraId="01088101" w14:textId="77777777" w:rsidR="00160077" w:rsidRPr="004569A0" w:rsidRDefault="00160077" w:rsidP="004569A0">
      <w:pPr>
        <w:spacing w:before="240" w:line="360" w:lineRule="auto"/>
        <w:jc w:val="both"/>
        <w:rPr>
          <w:rFonts w:ascii="Arial" w:hAnsi="Arial" w:cs="Arial"/>
          <w:bCs/>
          <w:sz w:val="24"/>
          <w:szCs w:val="24"/>
          <w:lang w:val="en-US"/>
        </w:rPr>
      </w:pPr>
      <w:r w:rsidRPr="004569A0">
        <w:rPr>
          <w:rFonts w:ascii="Arial" w:hAnsi="Arial" w:cs="Arial"/>
          <w:bCs/>
          <w:sz w:val="24"/>
          <w:szCs w:val="24"/>
          <w:lang w:val="en-US"/>
        </w:rPr>
        <w:t>Volkswagen requires:</w:t>
      </w:r>
    </w:p>
    <w:p w14:paraId="3E49B86A" w14:textId="77777777" w:rsidR="00160077" w:rsidRPr="004569A0" w:rsidRDefault="00160077" w:rsidP="004569A0">
      <w:pPr>
        <w:pStyle w:val="ListParagraph"/>
        <w:numPr>
          <w:ilvl w:val="0"/>
          <w:numId w:val="67"/>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Stability (to deal with debt and liquidity)</w:t>
      </w:r>
    </w:p>
    <w:p w14:paraId="2D348510" w14:textId="77777777" w:rsidR="00160077" w:rsidRPr="004569A0" w:rsidRDefault="00160077" w:rsidP="004569A0">
      <w:pPr>
        <w:pStyle w:val="ListParagraph"/>
        <w:numPr>
          <w:ilvl w:val="0"/>
          <w:numId w:val="67"/>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Growth (to enter EV market)</w:t>
      </w:r>
    </w:p>
    <w:p w14:paraId="52E191D9"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Segoe UI Emoji" w:hAnsi="Segoe UI Emoji" w:cs="Segoe UI Emoji"/>
          <w:bCs/>
          <w:sz w:val="24"/>
          <w:szCs w:val="24"/>
          <w:lang w:val="en-US"/>
        </w:rPr>
        <w:t>👉</w:t>
      </w:r>
      <w:r w:rsidRPr="00160077">
        <w:rPr>
          <w:rFonts w:ascii="Arial" w:hAnsi="Arial" w:cs="Arial"/>
          <w:bCs/>
          <w:sz w:val="24"/>
          <w:szCs w:val="24"/>
          <w:lang w:val="en-US"/>
        </w:rPr>
        <w:t xml:space="preserve"> Both are provided in combination B + C.</w:t>
      </w:r>
    </w:p>
    <w:p w14:paraId="32A52646" w14:textId="3BE3DE98" w:rsidR="00160077" w:rsidRPr="00160077" w:rsidRDefault="004569A0" w:rsidP="004569A0">
      <w:pPr>
        <w:pStyle w:val="Heading2"/>
        <w:rPr>
          <w:lang w:val="en-US"/>
        </w:rPr>
      </w:pPr>
      <w:bookmarkStart w:id="56" w:name="_Toc226785396"/>
      <w:r>
        <w:rPr>
          <w:lang w:val="en-US"/>
        </w:rPr>
        <w:t>4.10</w:t>
      </w:r>
      <w:r w:rsidR="00160077" w:rsidRPr="00160077">
        <w:rPr>
          <w:lang w:val="en-US"/>
        </w:rPr>
        <w:t xml:space="preserve"> Critical Evaluation</w:t>
      </w:r>
      <w:bookmarkEnd w:id="56"/>
    </w:p>
    <w:p w14:paraId="04BA0940"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Whereas Project C is the most appropriate standalone alternative, there are negative NPVs on all the projects, which is concerning.</w:t>
      </w:r>
    </w:p>
    <w:p w14:paraId="70018A1A"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Key Issues:</w:t>
      </w:r>
    </w:p>
    <w:p w14:paraId="061C0DF2" w14:textId="77777777" w:rsidR="00160077" w:rsidRPr="004569A0" w:rsidRDefault="00160077" w:rsidP="004569A0">
      <w:pPr>
        <w:pStyle w:val="ListParagraph"/>
        <w:numPr>
          <w:ilvl w:val="0"/>
          <w:numId w:val="68"/>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High discount rate (10%)</w:t>
      </w:r>
    </w:p>
    <w:p w14:paraId="7D4FB22F" w14:textId="77777777" w:rsidR="00160077" w:rsidRPr="004569A0" w:rsidRDefault="00160077" w:rsidP="004569A0">
      <w:pPr>
        <w:pStyle w:val="ListParagraph"/>
        <w:numPr>
          <w:ilvl w:val="0"/>
          <w:numId w:val="68"/>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Long-term EV uncertainty</w:t>
      </w:r>
    </w:p>
    <w:p w14:paraId="7573BAE5" w14:textId="77777777" w:rsidR="00160077" w:rsidRPr="004569A0" w:rsidRDefault="00160077" w:rsidP="004569A0">
      <w:pPr>
        <w:pStyle w:val="ListParagraph"/>
        <w:numPr>
          <w:ilvl w:val="0"/>
          <w:numId w:val="68"/>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High capital costs</w:t>
      </w:r>
    </w:p>
    <w:p w14:paraId="73D5CCEA"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Harvard Business Review (2022) describes the short-term negative NPVs as being readily accepted by firms going through transformation for the long-term strategic benefits.</w:t>
      </w:r>
    </w:p>
    <w:p w14:paraId="6C23123C"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Thus, the decision-making in terms of investment should take into account:</w:t>
      </w:r>
    </w:p>
    <w:p w14:paraId="187F70ED" w14:textId="77777777" w:rsidR="00160077" w:rsidRPr="004569A0" w:rsidRDefault="00160077" w:rsidP="004569A0">
      <w:pPr>
        <w:pStyle w:val="ListParagraph"/>
        <w:numPr>
          <w:ilvl w:val="0"/>
          <w:numId w:val="69"/>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Strategic alignment</w:t>
      </w:r>
    </w:p>
    <w:p w14:paraId="6C1BE194" w14:textId="77777777" w:rsidR="00160077" w:rsidRPr="004569A0" w:rsidRDefault="00160077" w:rsidP="004569A0">
      <w:pPr>
        <w:pStyle w:val="ListParagraph"/>
        <w:numPr>
          <w:ilvl w:val="0"/>
          <w:numId w:val="69"/>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Competitive positioning</w:t>
      </w:r>
    </w:p>
    <w:p w14:paraId="04A9CE6D" w14:textId="77777777" w:rsidR="00160077" w:rsidRPr="004569A0" w:rsidRDefault="00160077" w:rsidP="004569A0">
      <w:pPr>
        <w:pStyle w:val="ListParagraph"/>
        <w:numPr>
          <w:ilvl w:val="0"/>
          <w:numId w:val="69"/>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Future growth potential</w:t>
      </w:r>
    </w:p>
    <w:p w14:paraId="79F948FD"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The investment appraisal shows that Project C is the most appealing investment, and it has been doing better compared to Projects A and B in all the assessment procedures.</w:t>
      </w:r>
    </w:p>
    <w:p w14:paraId="6B7208F8"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lastRenderedPageBreak/>
        <w:t xml:space="preserve">The best approach to use under capital rationing is to invest in Projects B and C, with a balance between risk and returns, and </w:t>
      </w:r>
      <w:proofErr w:type="spellStart"/>
      <w:r w:rsidRPr="00160077">
        <w:rPr>
          <w:rFonts w:ascii="Arial" w:hAnsi="Arial" w:cs="Arial"/>
          <w:bCs/>
          <w:sz w:val="24"/>
          <w:szCs w:val="24"/>
          <w:lang w:val="en-US"/>
        </w:rPr>
        <w:t>maximise</w:t>
      </w:r>
      <w:proofErr w:type="spellEnd"/>
      <w:r w:rsidRPr="00160077">
        <w:rPr>
          <w:rFonts w:ascii="Arial" w:hAnsi="Arial" w:cs="Arial"/>
          <w:bCs/>
          <w:sz w:val="24"/>
          <w:szCs w:val="24"/>
          <w:lang w:val="en-US"/>
        </w:rPr>
        <w:t xml:space="preserve"> value within the budget limits.</w:t>
      </w:r>
    </w:p>
    <w:p w14:paraId="10CF0F9A" w14:textId="77777777" w:rsidR="00160077" w:rsidRPr="00160077" w:rsidRDefault="00160077" w:rsidP="00160077">
      <w:pPr>
        <w:spacing w:before="240" w:line="360" w:lineRule="auto"/>
        <w:jc w:val="both"/>
        <w:rPr>
          <w:rFonts w:ascii="Arial" w:hAnsi="Arial" w:cs="Arial"/>
          <w:bCs/>
          <w:sz w:val="24"/>
          <w:szCs w:val="24"/>
          <w:lang w:val="en-US"/>
        </w:rPr>
      </w:pPr>
      <w:r w:rsidRPr="00160077">
        <w:rPr>
          <w:rFonts w:ascii="Arial" w:hAnsi="Arial" w:cs="Arial"/>
          <w:bCs/>
          <w:sz w:val="24"/>
          <w:szCs w:val="24"/>
          <w:lang w:val="en-US"/>
        </w:rPr>
        <w:t>In the case of Volkswagen these decisions should be in line with the larger strategic objectives, such as the following:</w:t>
      </w:r>
    </w:p>
    <w:p w14:paraId="72964402" w14:textId="77777777" w:rsidR="00160077" w:rsidRPr="004569A0" w:rsidRDefault="00160077" w:rsidP="004569A0">
      <w:pPr>
        <w:pStyle w:val="ListParagraph"/>
        <w:numPr>
          <w:ilvl w:val="0"/>
          <w:numId w:val="70"/>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Improving profitability</w:t>
      </w:r>
    </w:p>
    <w:p w14:paraId="09BC025B" w14:textId="77777777" w:rsidR="00160077" w:rsidRPr="004569A0" w:rsidRDefault="00160077" w:rsidP="004569A0">
      <w:pPr>
        <w:pStyle w:val="ListParagraph"/>
        <w:numPr>
          <w:ilvl w:val="0"/>
          <w:numId w:val="70"/>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Managing liquidity</w:t>
      </w:r>
    </w:p>
    <w:p w14:paraId="0CB319D4" w14:textId="77777777" w:rsidR="00160077" w:rsidRPr="004569A0" w:rsidRDefault="00160077" w:rsidP="004569A0">
      <w:pPr>
        <w:pStyle w:val="ListParagraph"/>
        <w:numPr>
          <w:ilvl w:val="0"/>
          <w:numId w:val="70"/>
        </w:numPr>
        <w:spacing w:before="240" w:line="360" w:lineRule="auto"/>
        <w:jc w:val="both"/>
        <w:rPr>
          <w:rFonts w:ascii="Arial" w:hAnsi="Arial" w:cs="Arial"/>
          <w:bCs/>
          <w:sz w:val="24"/>
          <w:szCs w:val="24"/>
          <w:lang w:val="en-US"/>
        </w:rPr>
      </w:pPr>
      <w:r w:rsidRPr="004569A0">
        <w:rPr>
          <w:rFonts w:ascii="Arial" w:hAnsi="Arial" w:cs="Arial"/>
          <w:bCs/>
          <w:sz w:val="24"/>
          <w:szCs w:val="24"/>
          <w:lang w:val="en-US"/>
        </w:rPr>
        <w:t>Supporting EV transition</w:t>
      </w:r>
    </w:p>
    <w:p w14:paraId="694849D5" w14:textId="0024142B" w:rsidR="007B1251" w:rsidRPr="00C47B61" w:rsidRDefault="00160077" w:rsidP="00C47B61">
      <w:pPr>
        <w:spacing w:before="240" w:line="360" w:lineRule="auto"/>
        <w:jc w:val="both"/>
        <w:rPr>
          <w:rFonts w:ascii="Arial" w:hAnsi="Arial" w:cs="Arial"/>
          <w:bCs/>
          <w:sz w:val="24"/>
          <w:szCs w:val="24"/>
          <w:lang w:val="en-US"/>
        </w:rPr>
      </w:pPr>
      <w:r w:rsidRPr="00160077">
        <w:rPr>
          <w:rFonts w:ascii="Arial" w:hAnsi="Arial" w:cs="Arial"/>
          <w:bCs/>
          <w:sz w:val="24"/>
          <w:szCs w:val="24"/>
          <w:lang w:val="en-US"/>
        </w:rPr>
        <w:t>Ultimately, capital budgeting will be a disciplined process that will help Volkswagen to be competitive in the fast-changing global EV sector.</w:t>
      </w:r>
    </w:p>
    <w:p w14:paraId="012C2275" w14:textId="77777777" w:rsidR="00C71140" w:rsidRDefault="00C71140">
      <w:pPr>
        <w:spacing w:after="160" w:line="278" w:lineRule="auto"/>
        <w:rPr>
          <w:rFonts w:ascii="Arial" w:eastAsiaTheme="majorEastAsia" w:hAnsi="Arial" w:cstheme="majorBidi"/>
          <w:b/>
          <w:color w:val="000000" w:themeColor="text1"/>
          <w:sz w:val="32"/>
          <w:szCs w:val="40"/>
        </w:rPr>
      </w:pPr>
      <w:r>
        <w:br w:type="page"/>
      </w:r>
    </w:p>
    <w:p w14:paraId="1A5C346B" w14:textId="7E28E027" w:rsidR="00D115FA" w:rsidRPr="003227C7" w:rsidRDefault="00D115FA" w:rsidP="00D115FA">
      <w:pPr>
        <w:pStyle w:val="Heading1"/>
      </w:pPr>
      <w:bookmarkStart w:id="57" w:name="_Toc226785397"/>
      <w:r w:rsidRPr="003227C7">
        <w:lastRenderedPageBreak/>
        <w:t>Conclusion</w:t>
      </w:r>
      <w:bookmarkEnd w:id="57"/>
    </w:p>
    <w:p w14:paraId="5E53AB49" w14:textId="0EC1AB23" w:rsidR="00D115FA" w:rsidRPr="0047706E" w:rsidRDefault="00F94AE3" w:rsidP="00D115FA">
      <w:pPr>
        <w:spacing w:before="240" w:line="360" w:lineRule="auto"/>
        <w:jc w:val="both"/>
        <w:rPr>
          <w:rFonts w:ascii="Arial" w:hAnsi="Arial" w:cs="Arial"/>
          <w:sz w:val="24"/>
          <w:szCs w:val="24"/>
          <w:lang w:val="en-US"/>
        </w:rPr>
      </w:pPr>
      <w:r w:rsidRPr="00F94AE3">
        <w:rPr>
          <w:rFonts w:ascii="Arial" w:hAnsi="Arial" w:cs="Arial"/>
          <w:sz w:val="24"/>
          <w:szCs w:val="24"/>
          <w:lang w:val="en-US"/>
        </w:rPr>
        <w:t xml:space="preserve">Volkswagen Group is still financially sound, yet it experiences considerable difficulties because of the switch to electric vehicles. The analysis indicates moderate profitability, increased capital investment, and working capital inefficiencies in the liquidity. Financial restructuring, such as cost </w:t>
      </w:r>
      <w:proofErr w:type="spellStart"/>
      <w:r w:rsidRPr="00F94AE3">
        <w:rPr>
          <w:rFonts w:ascii="Arial" w:hAnsi="Arial" w:cs="Arial"/>
          <w:sz w:val="24"/>
          <w:szCs w:val="24"/>
          <w:lang w:val="en-US"/>
        </w:rPr>
        <w:t>optimisation</w:t>
      </w:r>
      <w:proofErr w:type="spellEnd"/>
      <w:r w:rsidRPr="00F94AE3">
        <w:rPr>
          <w:rFonts w:ascii="Arial" w:hAnsi="Arial" w:cs="Arial"/>
          <w:sz w:val="24"/>
          <w:szCs w:val="24"/>
          <w:lang w:val="en-US"/>
        </w:rPr>
        <w:t>, partnerships and rebalancing of capital, is critical in enhancing performance. The investment appraisal shows that the financial results of Project C and a mix of Projects B and C are the most promising. All in all, financial management and strategic investment choices will be paramount in improving the shareholder value and guarantee financial competitiveness in the changing global EV market.</w:t>
      </w:r>
      <w:r w:rsidR="00D115FA" w:rsidRPr="003227C7">
        <w:rPr>
          <w:rFonts w:ascii="Arial" w:hAnsi="Arial" w:cs="Arial"/>
          <w:sz w:val="24"/>
          <w:szCs w:val="24"/>
        </w:rPr>
        <w:br w:type="page"/>
      </w:r>
    </w:p>
    <w:p w14:paraId="4ADEF51F" w14:textId="77777777" w:rsidR="00D115FA" w:rsidRPr="003227C7" w:rsidRDefault="00D115FA" w:rsidP="00D115FA">
      <w:pPr>
        <w:pStyle w:val="Heading1"/>
      </w:pPr>
      <w:bookmarkStart w:id="58" w:name="_Toc226785398"/>
      <w:r w:rsidRPr="003227C7">
        <w:lastRenderedPageBreak/>
        <w:t>Reference</w:t>
      </w:r>
      <w:bookmarkEnd w:id="58"/>
    </w:p>
    <w:p w14:paraId="540BAF87" w14:textId="0E7BFD04"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Bloomberg (2023) </w:t>
      </w:r>
      <w:r w:rsidRPr="00F94AE3">
        <w:rPr>
          <w:rFonts w:ascii="Arial" w:hAnsi="Arial" w:cs="Arial"/>
          <w:i/>
          <w:iCs/>
          <w:lang w:val="en-US"/>
        </w:rPr>
        <w:t>Automotive industry EV transition analysis</w:t>
      </w:r>
      <w:r w:rsidRPr="00F94AE3">
        <w:rPr>
          <w:rFonts w:ascii="Arial" w:hAnsi="Arial" w:cs="Arial"/>
          <w:lang w:val="en-US"/>
        </w:rPr>
        <w:t xml:space="preserve">. Available at: </w:t>
      </w:r>
      <w:hyperlink r:id="rId9" w:tgtFrame="_new" w:history="1">
        <w:r w:rsidRPr="00F94AE3">
          <w:rPr>
            <w:rStyle w:val="Hyperlink"/>
            <w:rFonts w:ascii="Arial" w:hAnsi="Arial" w:cs="Arial"/>
            <w:lang w:val="en-US"/>
          </w:rPr>
          <w:t>https://www.bloomberg.com</w:t>
        </w:r>
      </w:hyperlink>
      <w:r w:rsidRPr="00F94AE3">
        <w:rPr>
          <w:rFonts w:ascii="Arial" w:hAnsi="Arial" w:cs="Arial"/>
          <w:lang w:val="en-US"/>
        </w:rPr>
        <w:t xml:space="preserve"> </w:t>
      </w:r>
    </w:p>
    <w:p w14:paraId="5F59AD80" w14:textId="45A628AB"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Financial Times (2023) </w:t>
      </w:r>
      <w:r w:rsidRPr="00F94AE3">
        <w:rPr>
          <w:rFonts w:ascii="Arial" w:hAnsi="Arial" w:cs="Arial"/>
          <w:i/>
          <w:iCs/>
          <w:lang w:val="en-US"/>
        </w:rPr>
        <w:t>Volkswagen’s software and EV challenges</w:t>
      </w:r>
      <w:r w:rsidRPr="00F94AE3">
        <w:rPr>
          <w:rFonts w:ascii="Arial" w:hAnsi="Arial" w:cs="Arial"/>
          <w:lang w:val="en-US"/>
        </w:rPr>
        <w:t xml:space="preserve">. Available at: </w:t>
      </w:r>
      <w:hyperlink r:id="rId10" w:tgtFrame="_new" w:history="1">
        <w:r w:rsidRPr="00F94AE3">
          <w:rPr>
            <w:rStyle w:val="Hyperlink"/>
            <w:rFonts w:ascii="Arial" w:hAnsi="Arial" w:cs="Arial"/>
            <w:lang w:val="en-US"/>
          </w:rPr>
          <w:t>https://www.ft.com</w:t>
        </w:r>
      </w:hyperlink>
      <w:r w:rsidRPr="00F94AE3">
        <w:rPr>
          <w:rFonts w:ascii="Arial" w:hAnsi="Arial" w:cs="Arial"/>
          <w:lang w:val="en-US"/>
        </w:rPr>
        <w:t xml:space="preserve"> </w:t>
      </w:r>
    </w:p>
    <w:p w14:paraId="0E61F114" w14:textId="1272F407"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Forbes (2024) </w:t>
      </w:r>
      <w:r w:rsidRPr="00F94AE3">
        <w:rPr>
          <w:rFonts w:ascii="Arial" w:hAnsi="Arial" w:cs="Arial"/>
          <w:i/>
          <w:iCs/>
          <w:lang w:val="en-US"/>
        </w:rPr>
        <w:t>Volkswagen financial performance and valuation</w:t>
      </w:r>
      <w:r w:rsidRPr="00F94AE3">
        <w:rPr>
          <w:rFonts w:ascii="Arial" w:hAnsi="Arial" w:cs="Arial"/>
          <w:lang w:val="en-US"/>
        </w:rPr>
        <w:t xml:space="preserve">. Available at: </w:t>
      </w:r>
      <w:hyperlink r:id="rId11" w:tgtFrame="_new" w:history="1">
        <w:r w:rsidRPr="00F94AE3">
          <w:rPr>
            <w:rStyle w:val="Hyperlink"/>
            <w:rFonts w:ascii="Arial" w:hAnsi="Arial" w:cs="Arial"/>
            <w:lang w:val="en-US"/>
          </w:rPr>
          <w:t>https://www.forbes.com</w:t>
        </w:r>
      </w:hyperlink>
      <w:r w:rsidRPr="00F94AE3">
        <w:rPr>
          <w:rFonts w:ascii="Arial" w:hAnsi="Arial" w:cs="Arial"/>
          <w:lang w:val="en-US"/>
        </w:rPr>
        <w:t xml:space="preserve"> </w:t>
      </w:r>
    </w:p>
    <w:p w14:paraId="5E6A3D1E" w14:textId="5F086418"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MarketLine (2023) </w:t>
      </w:r>
      <w:r w:rsidRPr="00F94AE3">
        <w:rPr>
          <w:rFonts w:ascii="Arial" w:hAnsi="Arial" w:cs="Arial"/>
          <w:i/>
          <w:iCs/>
          <w:lang w:val="en-US"/>
        </w:rPr>
        <w:t>Volkswagen Group profile and financial analysis</w:t>
      </w:r>
      <w:r w:rsidRPr="00F94AE3">
        <w:rPr>
          <w:rFonts w:ascii="Arial" w:hAnsi="Arial" w:cs="Arial"/>
          <w:lang w:val="en-US"/>
        </w:rPr>
        <w:t xml:space="preserve">. Available at: </w:t>
      </w:r>
      <w:hyperlink r:id="rId12" w:tgtFrame="_new" w:history="1">
        <w:r w:rsidRPr="00F94AE3">
          <w:rPr>
            <w:rStyle w:val="Hyperlink"/>
            <w:rFonts w:ascii="Arial" w:hAnsi="Arial" w:cs="Arial"/>
            <w:lang w:val="en-US"/>
          </w:rPr>
          <w:t>https://advantage.marketline.com</w:t>
        </w:r>
      </w:hyperlink>
      <w:r w:rsidRPr="00F94AE3">
        <w:rPr>
          <w:rFonts w:ascii="Arial" w:hAnsi="Arial" w:cs="Arial"/>
          <w:lang w:val="en-US"/>
        </w:rPr>
        <w:t xml:space="preserve"> </w:t>
      </w:r>
    </w:p>
    <w:p w14:paraId="2CB79239" w14:textId="5FF4C55B"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Statista (2024) </w:t>
      </w:r>
      <w:r w:rsidRPr="00F94AE3">
        <w:rPr>
          <w:rFonts w:ascii="Arial" w:hAnsi="Arial" w:cs="Arial"/>
          <w:i/>
          <w:iCs/>
          <w:lang w:val="en-US"/>
        </w:rPr>
        <w:t>Volkswagen revenue and profit statistics</w:t>
      </w:r>
      <w:r w:rsidRPr="00F94AE3">
        <w:rPr>
          <w:rFonts w:ascii="Arial" w:hAnsi="Arial" w:cs="Arial"/>
          <w:lang w:val="en-US"/>
        </w:rPr>
        <w:t xml:space="preserve">. Available at: </w:t>
      </w:r>
      <w:hyperlink r:id="rId13" w:tgtFrame="_new" w:history="1">
        <w:r w:rsidRPr="00F94AE3">
          <w:rPr>
            <w:rStyle w:val="Hyperlink"/>
            <w:rFonts w:ascii="Arial" w:hAnsi="Arial" w:cs="Arial"/>
            <w:lang w:val="en-US"/>
          </w:rPr>
          <w:t>https://www.statista.com</w:t>
        </w:r>
      </w:hyperlink>
      <w:r w:rsidRPr="00F94AE3">
        <w:rPr>
          <w:rFonts w:ascii="Arial" w:hAnsi="Arial" w:cs="Arial"/>
          <w:lang w:val="en-US"/>
        </w:rPr>
        <w:t xml:space="preserve"> </w:t>
      </w:r>
    </w:p>
    <w:p w14:paraId="197164E2" w14:textId="4C442FB1"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The Economist (2023) </w:t>
      </w:r>
      <w:r w:rsidRPr="00F94AE3">
        <w:rPr>
          <w:rFonts w:ascii="Arial" w:hAnsi="Arial" w:cs="Arial"/>
          <w:i/>
          <w:iCs/>
          <w:lang w:val="en-US"/>
        </w:rPr>
        <w:t>The future of electric vehicles and legacy automakers</w:t>
      </w:r>
      <w:r w:rsidRPr="00F94AE3">
        <w:rPr>
          <w:rFonts w:ascii="Arial" w:hAnsi="Arial" w:cs="Arial"/>
          <w:lang w:val="en-US"/>
        </w:rPr>
        <w:t xml:space="preserve">. Available at: </w:t>
      </w:r>
      <w:hyperlink r:id="rId14" w:tgtFrame="_new" w:history="1">
        <w:r w:rsidRPr="00F94AE3">
          <w:rPr>
            <w:rStyle w:val="Hyperlink"/>
            <w:rFonts w:ascii="Arial" w:hAnsi="Arial" w:cs="Arial"/>
            <w:lang w:val="en-US"/>
          </w:rPr>
          <w:t>https://www.economist.com</w:t>
        </w:r>
      </w:hyperlink>
      <w:r w:rsidRPr="00F94AE3">
        <w:rPr>
          <w:rFonts w:ascii="Arial" w:hAnsi="Arial" w:cs="Arial"/>
          <w:lang w:val="en-US"/>
        </w:rPr>
        <w:t xml:space="preserve"> </w:t>
      </w:r>
    </w:p>
    <w:p w14:paraId="0834B686" w14:textId="6EE667E6" w:rsidR="003D0D2B" w:rsidRDefault="00F94AE3" w:rsidP="00F94AE3">
      <w:pPr>
        <w:pStyle w:val="NormalWeb"/>
        <w:spacing w:line="360" w:lineRule="auto"/>
        <w:rPr>
          <w:rFonts w:ascii="Arial" w:hAnsi="Arial" w:cs="Arial"/>
          <w:lang w:val="en-US"/>
        </w:rPr>
      </w:pPr>
      <w:r w:rsidRPr="00F94AE3">
        <w:rPr>
          <w:rFonts w:ascii="Arial" w:hAnsi="Arial" w:cs="Arial"/>
          <w:lang w:val="en-US"/>
        </w:rPr>
        <w:t xml:space="preserve">Volkswagen AG (2021–2024) </w:t>
      </w:r>
      <w:r w:rsidRPr="00F94AE3">
        <w:rPr>
          <w:rFonts w:ascii="Arial" w:hAnsi="Arial" w:cs="Arial"/>
          <w:i/>
          <w:iCs/>
          <w:lang w:val="en-US"/>
        </w:rPr>
        <w:t>Annual Reports</w:t>
      </w:r>
      <w:r w:rsidRPr="00F94AE3">
        <w:rPr>
          <w:rFonts w:ascii="Arial" w:hAnsi="Arial" w:cs="Arial"/>
          <w:lang w:val="en-US"/>
        </w:rPr>
        <w:t xml:space="preserve">. Available at: </w:t>
      </w:r>
      <w:hyperlink r:id="rId15" w:history="1">
        <w:r w:rsidRPr="00825FDF">
          <w:rPr>
            <w:rStyle w:val="Hyperlink"/>
            <w:rFonts w:ascii="Arial" w:hAnsi="Arial" w:cs="Arial"/>
            <w:lang w:val="en-US"/>
          </w:rPr>
          <w:t>https://www.volkswagenag.com/en/InvestorRelations.html</w:t>
        </w:r>
      </w:hyperlink>
    </w:p>
    <w:p w14:paraId="2C767E6A" w14:textId="182CD127"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Bloomberg (2023) </w:t>
      </w:r>
      <w:r w:rsidRPr="00F94AE3">
        <w:rPr>
          <w:rFonts w:ascii="Arial" w:hAnsi="Arial" w:cs="Arial"/>
          <w:i/>
          <w:iCs/>
          <w:lang w:val="en-US"/>
        </w:rPr>
        <w:t>EV industry financial pressures</w:t>
      </w:r>
      <w:r w:rsidRPr="00F94AE3">
        <w:rPr>
          <w:rFonts w:ascii="Arial" w:hAnsi="Arial" w:cs="Arial"/>
          <w:lang w:val="en-US"/>
        </w:rPr>
        <w:t xml:space="preserve">. Available at: </w:t>
      </w:r>
      <w:hyperlink r:id="rId16" w:tgtFrame="_new" w:history="1">
        <w:r w:rsidRPr="00F94AE3">
          <w:rPr>
            <w:rStyle w:val="Hyperlink"/>
            <w:rFonts w:ascii="Arial" w:hAnsi="Arial" w:cs="Arial"/>
            <w:lang w:val="en-US"/>
          </w:rPr>
          <w:t>https://www.bloomberg.com</w:t>
        </w:r>
      </w:hyperlink>
      <w:r w:rsidRPr="00F94AE3">
        <w:rPr>
          <w:rFonts w:ascii="Arial" w:hAnsi="Arial" w:cs="Arial"/>
          <w:lang w:val="en-US"/>
        </w:rPr>
        <w:t xml:space="preserve"> </w:t>
      </w:r>
    </w:p>
    <w:p w14:paraId="58DC8378" w14:textId="0A607C8B"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Financial Times (2023) </w:t>
      </w:r>
      <w:r w:rsidRPr="00F94AE3">
        <w:rPr>
          <w:rFonts w:ascii="Arial" w:hAnsi="Arial" w:cs="Arial"/>
          <w:i/>
          <w:iCs/>
          <w:lang w:val="en-US"/>
        </w:rPr>
        <w:t>Volkswagen EV investment and financing strategy</w:t>
      </w:r>
      <w:r w:rsidRPr="00F94AE3">
        <w:rPr>
          <w:rFonts w:ascii="Arial" w:hAnsi="Arial" w:cs="Arial"/>
          <w:lang w:val="en-US"/>
        </w:rPr>
        <w:t xml:space="preserve">. Available at: </w:t>
      </w:r>
      <w:hyperlink r:id="rId17" w:tgtFrame="_new" w:history="1">
        <w:r w:rsidRPr="00F94AE3">
          <w:rPr>
            <w:rStyle w:val="Hyperlink"/>
            <w:rFonts w:ascii="Arial" w:hAnsi="Arial" w:cs="Arial"/>
            <w:lang w:val="en-US"/>
          </w:rPr>
          <w:t>https://www.ft.com</w:t>
        </w:r>
      </w:hyperlink>
      <w:r w:rsidRPr="00F94AE3">
        <w:rPr>
          <w:rFonts w:ascii="Arial" w:hAnsi="Arial" w:cs="Arial"/>
          <w:lang w:val="en-US"/>
        </w:rPr>
        <w:t xml:space="preserve"> </w:t>
      </w:r>
    </w:p>
    <w:p w14:paraId="1EAC8011" w14:textId="32969CE4"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Harvard Business Review (2022) </w:t>
      </w:r>
      <w:r w:rsidRPr="00F94AE3">
        <w:rPr>
          <w:rFonts w:ascii="Arial" w:hAnsi="Arial" w:cs="Arial"/>
          <w:i/>
          <w:iCs/>
          <w:lang w:val="en-US"/>
        </w:rPr>
        <w:t>Working capital efficiency strategies</w:t>
      </w:r>
      <w:r w:rsidRPr="00F94AE3">
        <w:rPr>
          <w:rFonts w:ascii="Arial" w:hAnsi="Arial" w:cs="Arial"/>
          <w:lang w:val="en-US"/>
        </w:rPr>
        <w:t xml:space="preserve">. Available at: </w:t>
      </w:r>
      <w:hyperlink r:id="rId18" w:tgtFrame="_new" w:history="1">
        <w:r w:rsidRPr="00F94AE3">
          <w:rPr>
            <w:rStyle w:val="Hyperlink"/>
            <w:rFonts w:ascii="Arial" w:hAnsi="Arial" w:cs="Arial"/>
            <w:lang w:val="en-US"/>
          </w:rPr>
          <w:t>https://hbr.org</w:t>
        </w:r>
      </w:hyperlink>
      <w:r w:rsidRPr="00F94AE3">
        <w:rPr>
          <w:rFonts w:ascii="Arial" w:hAnsi="Arial" w:cs="Arial"/>
          <w:lang w:val="en-US"/>
        </w:rPr>
        <w:t xml:space="preserve"> </w:t>
      </w:r>
    </w:p>
    <w:p w14:paraId="5AB9CE1D" w14:textId="570D99BD"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MarketLine (2023) </w:t>
      </w:r>
      <w:r w:rsidRPr="00F94AE3">
        <w:rPr>
          <w:rFonts w:ascii="Arial" w:hAnsi="Arial" w:cs="Arial"/>
          <w:i/>
          <w:iCs/>
          <w:lang w:val="en-US"/>
        </w:rPr>
        <w:t>Volkswagen financial analysis report</w:t>
      </w:r>
      <w:r w:rsidRPr="00F94AE3">
        <w:rPr>
          <w:rFonts w:ascii="Arial" w:hAnsi="Arial" w:cs="Arial"/>
          <w:lang w:val="en-US"/>
        </w:rPr>
        <w:t xml:space="preserve">. Available at: </w:t>
      </w:r>
      <w:hyperlink r:id="rId19" w:tgtFrame="_new" w:history="1">
        <w:r w:rsidRPr="00F94AE3">
          <w:rPr>
            <w:rStyle w:val="Hyperlink"/>
            <w:rFonts w:ascii="Arial" w:hAnsi="Arial" w:cs="Arial"/>
            <w:lang w:val="en-US"/>
          </w:rPr>
          <w:t>https://advantage.marketline.com</w:t>
        </w:r>
      </w:hyperlink>
      <w:r w:rsidRPr="00F94AE3">
        <w:rPr>
          <w:rFonts w:ascii="Arial" w:hAnsi="Arial" w:cs="Arial"/>
          <w:lang w:val="en-US"/>
        </w:rPr>
        <w:t xml:space="preserve"> </w:t>
      </w:r>
    </w:p>
    <w:p w14:paraId="25250262" w14:textId="3FCFC95E"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Statista (2024) </w:t>
      </w:r>
      <w:r w:rsidRPr="00F94AE3">
        <w:rPr>
          <w:rFonts w:ascii="Arial" w:hAnsi="Arial" w:cs="Arial"/>
          <w:i/>
          <w:iCs/>
          <w:lang w:val="en-US"/>
        </w:rPr>
        <w:t>Automotive industry financial metrics</w:t>
      </w:r>
      <w:r w:rsidRPr="00F94AE3">
        <w:rPr>
          <w:rFonts w:ascii="Arial" w:hAnsi="Arial" w:cs="Arial"/>
          <w:lang w:val="en-US"/>
        </w:rPr>
        <w:t xml:space="preserve">. Available at: </w:t>
      </w:r>
      <w:hyperlink r:id="rId20" w:tgtFrame="_new" w:history="1">
        <w:r w:rsidRPr="00F94AE3">
          <w:rPr>
            <w:rStyle w:val="Hyperlink"/>
            <w:rFonts w:ascii="Arial" w:hAnsi="Arial" w:cs="Arial"/>
            <w:lang w:val="en-US"/>
          </w:rPr>
          <w:t>https://www.statista.com</w:t>
        </w:r>
      </w:hyperlink>
      <w:r w:rsidRPr="00F94AE3">
        <w:rPr>
          <w:rFonts w:ascii="Arial" w:hAnsi="Arial" w:cs="Arial"/>
          <w:lang w:val="en-US"/>
        </w:rPr>
        <w:t xml:space="preserve"> </w:t>
      </w:r>
    </w:p>
    <w:p w14:paraId="17D926E5" w14:textId="216CEF98"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lastRenderedPageBreak/>
        <w:t xml:space="preserve">The Economist (2023) </w:t>
      </w:r>
      <w:r w:rsidRPr="00F94AE3">
        <w:rPr>
          <w:rFonts w:ascii="Arial" w:hAnsi="Arial" w:cs="Arial"/>
          <w:i/>
          <w:iCs/>
          <w:lang w:val="en-US"/>
        </w:rPr>
        <w:t>Digital transformation in automotive supply chains</w:t>
      </w:r>
      <w:r w:rsidRPr="00F94AE3">
        <w:rPr>
          <w:rFonts w:ascii="Arial" w:hAnsi="Arial" w:cs="Arial"/>
          <w:lang w:val="en-US"/>
        </w:rPr>
        <w:t xml:space="preserve">. Available at: </w:t>
      </w:r>
      <w:hyperlink r:id="rId21" w:tgtFrame="_new" w:history="1">
        <w:r w:rsidRPr="00F94AE3">
          <w:rPr>
            <w:rStyle w:val="Hyperlink"/>
            <w:rFonts w:ascii="Arial" w:hAnsi="Arial" w:cs="Arial"/>
            <w:lang w:val="en-US"/>
          </w:rPr>
          <w:t>https://www.economist.com</w:t>
        </w:r>
      </w:hyperlink>
      <w:r w:rsidRPr="00F94AE3">
        <w:rPr>
          <w:rFonts w:ascii="Arial" w:hAnsi="Arial" w:cs="Arial"/>
          <w:lang w:val="en-US"/>
        </w:rPr>
        <w:t xml:space="preserve"> </w:t>
      </w:r>
    </w:p>
    <w:p w14:paraId="00B5E900" w14:textId="6B3068E4"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Volkswagen AG (2024) </w:t>
      </w:r>
      <w:r w:rsidRPr="00F94AE3">
        <w:rPr>
          <w:rFonts w:ascii="Arial" w:hAnsi="Arial" w:cs="Arial"/>
          <w:i/>
          <w:iCs/>
          <w:lang w:val="en-US"/>
        </w:rPr>
        <w:t>Annual Report</w:t>
      </w:r>
      <w:r w:rsidRPr="00F94AE3">
        <w:rPr>
          <w:rFonts w:ascii="Arial" w:hAnsi="Arial" w:cs="Arial"/>
          <w:lang w:val="en-US"/>
        </w:rPr>
        <w:t xml:space="preserve">. Available at: </w:t>
      </w:r>
      <w:hyperlink r:id="rId22" w:tgtFrame="_new" w:history="1">
        <w:r w:rsidRPr="00F94AE3">
          <w:rPr>
            <w:rStyle w:val="Hyperlink"/>
            <w:rFonts w:ascii="Arial" w:hAnsi="Arial" w:cs="Arial"/>
            <w:lang w:val="en-US"/>
          </w:rPr>
          <w:t>https://annualreport2024.volkswagen-group.com</w:t>
        </w:r>
      </w:hyperlink>
      <w:r w:rsidRPr="00F94AE3">
        <w:rPr>
          <w:rFonts w:ascii="Arial" w:hAnsi="Arial" w:cs="Arial"/>
          <w:lang w:val="en-US"/>
        </w:rPr>
        <w:t xml:space="preserve"> </w:t>
      </w:r>
    </w:p>
    <w:p w14:paraId="32E04979" w14:textId="3B34E864" w:rsidR="00F94AE3" w:rsidRDefault="00F94AE3" w:rsidP="00F94AE3">
      <w:pPr>
        <w:pStyle w:val="NormalWeb"/>
        <w:spacing w:line="360" w:lineRule="auto"/>
        <w:rPr>
          <w:rFonts w:ascii="Arial" w:hAnsi="Arial" w:cs="Arial"/>
          <w:lang w:val="en-US"/>
        </w:rPr>
      </w:pPr>
      <w:proofErr w:type="spellStart"/>
      <w:r w:rsidRPr="00F94AE3">
        <w:rPr>
          <w:rFonts w:ascii="Arial" w:hAnsi="Arial" w:cs="Arial"/>
          <w:lang w:val="en-US"/>
        </w:rPr>
        <w:t>GuruFocus</w:t>
      </w:r>
      <w:proofErr w:type="spellEnd"/>
      <w:r w:rsidRPr="00F94AE3">
        <w:rPr>
          <w:rFonts w:ascii="Arial" w:hAnsi="Arial" w:cs="Arial"/>
          <w:lang w:val="en-US"/>
        </w:rPr>
        <w:t xml:space="preserve"> (2025) </w:t>
      </w:r>
      <w:r w:rsidRPr="00F94AE3">
        <w:rPr>
          <w:rFonts w:ascii="Arial" w:hAnsi="Arial" w:cs="Arial"/>
          <w:i/>
          <w:iCs/>
          <w:lang w:val="en-US"/>
        </w:rPr>
        <w:t>Volkswagen Cash Conversion Cycle</w:t>
      </w:r>
      <w:r w:rsidRPr="00F94AE3">
        <w:rPr>
          <w:rFonts w:ascii="Arial" w:hAnsi="Arial" w:cs="Arial"/>
          <w:lang w:val="en-US"/>
        </w:rPr>
        <w:t xml:space="preserve">. Available at: </w:t>
      </w:r>
      <w:hyperlink r:id="rId23" w:tgtFrame="_new" w:history="1">
        <w:r w:rsidRPr="00F94AE3">
          <w:rPr>
            <w:rStyle w:val="Hyperlink"/>
            <w:rFonts w:ascii="Arial" w:hAnsi="Arial" w:cs="Arial"/>
            <w:lang w:val="en-US"/>
          </w:rPr>
          <w:t>https://www.gurufocus.com</w:t>
        </w:r>
      </w:hyperlink>
    </w:p>
    <w:p w14:paraId="046A0DE9" w14:textId="77C41E04"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Bloomberg (2023) </w:t>
      </w:r>
      <w:r w:rsidRPr="00F94AE3">
        <w:rPr>
          <w:rFonts w:ascii="Arial" w:hAnsi="Arial" w:cs="Arial"/>
          <w:i/>
          <w:iCs/>
          <w:lang w:val="en-US"/>
        </w:rPr>
        <w:t>EV competition and cost pressures</w:t>
      </w:r>
      <w:r w:rsidRPr="00F94AE3">
        <w:rPr>
          <w:rFonts w:ascii="Arial" w:hAnsi="Arial" w:cs="Arial"/>
          <w:lang w:val="en-US"/>
        </w:rPr>
        <w:t xml:space="preserve">. Available at: </w:t>
      </w:r>
      <w:hyperlink r:id="rId24" w:tgtFrame="_new" w:history="1">
        <w:r w:rsidRPr="00F94AE3">
          <w:rPr>
            <w:rStyle w:val="Hyperlink"/>
            <w:rFonts w:ascii="Arial" w:hAnsi="Arial" w:cs="Arial"/>
            <w:lang w:val="en-US"/>
          </w:rPr>
          <w:t>https://www.bloomberg.com</w:t>
        </w:r>
      </w:hyperlink>
      <w:r w:rsidRPr="00F94AE3">
        <w:rPr>
          <w:rFonts w:ascii="Arial" w:hAnsi="Arial" w:cs="Arial"/>
          <w:lang w:val="en-US"/>
        </w:rPr>
        <w:t xml:space="preserve"> </w:t>
      </w:r>
    </w:p>
    <w:p w14:paraId="73A45CE3" w14:textId="39C0698D"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Financial Times (2023) </w:t>
      </w:r>
      <w:r w:rsidRPr="00F94AE3">
        <w:rPr>
          <w:rFonts w:ascii="Arial" w:hAnsi="Arial" w:cs="Arial"/>
          <w:i/>
          <w:iCs/>
          <w:lang w:val="en-US"/>
        </w:rPr>
        <w:t>Volkswagen restructuring and EV strategy</w:t>
      </w:r>
      <w:r w:rsidRPr="00F94AE3">
        <w:rPr>
          <w:rFonts w:ascii="Arial" w:hAnsi="Arial" w:cs="Arial"/>
          <w:lang w:val="en-US"/>
        </w:rPr>
        <w:t xml:space="preserve">. Available at: </w:t>
      </w:r>
      <w:hyperlink r:id="rId25" w:tgtFrame="_new" w:history="1">
        <w:r w:rsidRPr="00F94AE3">
          <w:rPr>
            <w:rStyle w:val="Hyperlink"/>
            <w:rFonts w:ascii="Arial" w:hAnsi="Arial" w:cs="Arial"/>
            <w:lang w:val="en-US"/>
          </w:rPr>
          <w:t>https://www.ft.com</w:t>
        </w:r>
      </w:hyperlink>
      <w:r w:rsidRPr="00F94AE3">
        <w:rPr>
          <w:rFonts w:ascii="Arial" w:hAnsi="Arial" w:cs="Arial"/>
          <w:lang w:val="en-US"/>
        </w:rPr>
        <w:t xml:space="preserve"> </w:t>
      </w:r>
    </w:p>
    <w:p w14:paraId="038C67FB" w14:textId="259E27DB"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Forbes (2023) </w:t>
      </w:r>
      <w:r w:rsidRPr="00F94AE3">
        <w:rPr>
          <w:rFonts w:ascii="Arial" w:hAnsi="Arial" w:cs="Arial"/>
          <w:i/>
          <w:iCs/>
          <w:lang w:val="en-US"/>
        </w:rPr>
        <w:t>Volkswagen IPO strategy and valuation</w:t>
      </w:r>
      <w:r w:rsidRPr="00F94AE3">
        <w:rPr>
          <w:rFonts w:ascii="Arial" w:hAnsi="Arial" w:cs="Arial"/>
          <w:lang w:val="en-US"/>
        </w:rPr>
        <w:t xml:space="preserve">. Available at: </w:t>
      </w:r>
      <w:hyperlink r:id="rId26" w:tgtFrame="_new" w:history="1">
        <w:r w:rsidRPr="00F94AE3">
          <w:rPr>
            <w:rStyle w:val="Hyperlink"/>
            <w:rFonts w:ascii="Arial" w:hAnsi="Arial" w:cs="Arial"/>
            <w:lang w:val="en-US"/>
          </w:rPr>
          <w:t>https://www.forbes.com</w:t>
        </w:r>
      </w:hyperlink>
      <w:r w:rsidRPr="00F94AE3">
        <w:rPr>
          <w:rFonts w:ascii="Arial" w:hAnsi="Arial" w:cs="Arial"/>
          <w:lang w:val="en-US"/>
        </w:rPr>
        <w:t xml:space="preserve"> </w:t>
      </w:r>
    </w:p>
    <w:p w14:paraId="3C7DB0DF" w14:textId="3F6BCA09"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Harvard Business Review (2022) </w:t>
      </w:r>
      <w:r w:rsidRPr="00F94AE3">
        <w:rPr>
          <w:rFonts w:ascii="Arial" w:hAnsi="Arial" w:cs="Arial"/>
          <w:i/>
          <w:iCs/>
          <w:lang w:val="en-US"/>
        </w:rPr>
        <w:t>Ethical restructuring and workforce management</w:t>
      </w:r>
      <w:r w:rsidRPr="00F94AE3">
        <w:rPr>
          <w:rFonts w:ascii="Arial" w:hAnsi="Arial" w:cs="Arial"/>
          <w:lang w:val="en-US"/>
        </w:rPr>
        <w:t xml:space="preserve">. Available at: </w:t>
      </w:r>
      <w:hyperlink r:id="rId27" w:tgtFrame="_new" w:history="1">
        <w:r w:rsidRPr="00F94AE3">
          <w:rPr>
            <w:rStyle w:val="Hyperlink"/>
            <w:rFonts w:ascii="Arial" w:hAnsi="Arial" w:cs="Arial"/>
            <w:lang w:val="en-US"/>
          </w:rPr>
          <w:t>https://hbr.org</w:t>
        </w:r>
      </w:hyperlink>
      <w:r w:rsidRPr="00F94AE3">
        <w:rPr>
          <w:rFonts w:ascii="Arial" w:hAnsi="Arial" w:cs="Arial"/>
          <w:lang w:val="en-US"/>
        </w:rPr>
        <w:t xml:space="preserve"> </w:t>
      </w:r>
    </w:p>
    <w:p w14:paraId="3CF726B1" w14:textId="25328E11"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MarketLine (2023) </w:t>
      </w:r>
      <w:r w:rsidRPr="00F94AE3">
        <w:rPr>
          <w:rFonts w:ascii="Arial" w:hAnsi="Arial" w:cs="Arial"/>
          <w:i/>
          <w:iCs/>
          <w:lang w:val="en-US"/>
        </w:rPr>
        <w:t>Volkswagen Group profile</w:t>
      </w:r>
      <w:r w:rsidRPr="00F94AE3">
        <w:rPr>
          <w:rFonts w:ascii="Arial" w:hAnsi="Arial" w:cs="Arial"/>
          <w:lang w:val="en-US"/>
        </w:rPr>
        <w:t xml:space="preserve">. Available at: </w:t>
      </w:r>
      <w:hyperlink r:id="rId28" w:tgtFrame="_new" w:history="1">
        <w:r w:rsidRPr="00F94AE3">
          <w:rPr>
            <w:rStyle w:val="Hyperlink"/>
            <w:rFonts w:ascii="Arial" w:hAnsi="Arial" w:cs="Arial"/>
            <w:lang w:val="en-US"/>
          </w:rPr>
          <w:t>https://advantage.marketline.com</w:t>
        </w:r>
      </w:hyperlink>
      <w:r w:rsidRPr="00F94AE3">
        <w:rPr>
          <w:rFonts w:ascii="Arial" w:hAnsi="Arial" w:cs="Arial"/>
          <w:lang w:val="en-US"/>
        </w:rPr>
        <w:t xml:space="preserve"> </w:t>
      </w:r>
    </w:p>
    <w:p w14:paraId="7094194F" w14:textId="1F80F101"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OECD (2022) </w:t>
      </w:r>
      <w:r w:rsidRPr="00F94AE3">
        <w:rPr>
          <w:rFonts w:ascii="Arial" w:hAnsi="Arial" w:cs="Arial"/>
          <w:i/>
          <w:iCs/>
          <w:lang w:val="en-US"/>
        </w:rPr>
        <w:t>Global tax framework</w:t>
      </w:r>
      <w:r w:rsidRPr="00F94AE3">
        <w:rPr>
          <w:rFonts w:ascii="Arial" w:hAnsi="Arial" w:cs="Arial"/>
          <w:lang w:val="en-US"/>
        </w:rPr>
        <w:t xml:space="preserve">. Available at: </w:t>
      </w:r>
      <w:hyperlink r:id="rId29" w:tgtFrame="_new" w:history="1">
        <w:r w:rsidRPr="00F94AE3">
          <w:rPr>
            <w:rStyle w:val="Hyperlink"/>
            <w:rFonts w:ascii="Arial" w:hAnsi="Arial" w:cs="Arial"/>
            <w:lang w:val="en-US"/>
          </w:rPr>
          <w:t>https://www.oecd.org</w:t>
        </w:r>
      </w:hyperlink>
      <w:r w:rsidRPr="00F94AE3">
        <w:rPr>
          <w:rFonts w:ascii="Arial" w:hAnsi="Arial" w:cs="Arial"/>
          <w:lang w:val="en-US"/>
        </w:rPr>
        <w:t xml:space="preserve"> </w:t>
      </w:r>
    </w:p>
    <w:p w14:paraId="7C9BD0B3" w14:textId="30AA6A23"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Statista (2024) </w:t>
      </w:r>
      <w:r w:rsidRPr="00F94AE3">
        <w:rPr>
          <w:rFonts w:ascii="Arial" w:hAnsi="Arial" w:cs="Arial"/>
          <w:i/>
          <w:iCs/>
          <w:lang w:val="en-US"/>
        </w:rPr>
        <w:t>Automotive industry inflation and costs</w:t>
      </w:r>
      <w:r w:rsidRPr="00F94AE3">
        <w:rPr>
          <w:rFonts w:ascii="Arial" w:hAnsi="Arial" w:cs="Arial"/>
          <w:lang w:val="en-US"/>
        </w:rPr>
        <w:t xml:space="preserve">. Available at: </w:t>
      </w:r>
      <w:hyperlink r:id="rId30" w:tgtFrame="_new" w:history="1">
        <w:r w:rsidRPr="00F94AE3">
          <w:rPr>
            <w:rStyle w:val="Hyperlink"/>
            <w:rFonts w:ascii="Arial" w:hAnsi="Arial" w:cs="Arial"/>
            <w:lang w:val="en-US"/>
          </w:rPr>
          <w:t>https://www.statista.com</w:t>
        </w:r>
      </w:hyperlink>
      <w:r w:rsidRPr="00F94AE3">
        <w:rPr>
          <w:rFonts w:ascii="Arial" w:hAnsi="Arial" w:cs="Arial"/>
          <w:lang w:val="en-US"/>
        </w:rPr>
        <w:t xml:space="preserve"> </w:t>
      </w:r>
    </w:p>
    <w:p w14:paraId="00A25D8A" w14:textId="14B69217"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The Economist (2023) </w:t>
      </w:r>
      <w:r w:rsidRPr="00F94AE3">
        <w:rPr>
          <w:rFonts w:ascii="Arial" w:hAnsi="Arial" w:cs="Arial"/>
          <w:i/>
          <w:iCs/>
          <w:lang w:val="en-US"/>
        </w:rPr>
        <w:t>Green financing in automotive industry</w:t>
      </w:r>
      <w:r w:rsidRPr="00F94AE3">
        <w:rPr>
          <w:rFonts w:ascii="Arial" w:hAnsi="Arial" w:cs="Arial"/>
          <w:lang w:val="en-US"/>
        </w:rPr>
        <w:t xml:space="preserve">. Available at: </w:t>
      </w:r>
      <w:hyperlink r:id="rId31" w:tgtFrame="_new" w:history="1">
        <w:r w:rsidRPr="00F94AE3">
          <w:rPr>
            <w:rStyle w:val="Hyperlink"/>
            <w:rFonts w:ascii="Arial" w:hAnsi="Arial" w:cs="Arial"/>
            <w:lang w:val="en-US"/>
          </w:rPr>
          <w:t>https://www.economist.com</w:t>
        </w:r>
      </w:hyperlink>
      <w:r w:rsidRPr="00F94AE3">
        <w:rPr>
          <w:rFonts w:ascii="Arial" w:hAnsi="Arial" w:cs="Arial"/>
          <w:lang w:val="en-US"/>
        </w:rPr>
        <w:t xml:space="preserve"> </w:t>
      </w:r>
    </w:p>
    <w:p w14:paraId="7EB0CA6F" w14:textId="3B0F39DF" w:rsid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Volkswagen Group (2024) </w:t>
      </w:r>
      <w:r w:rsidRPr="00F94AE3">
        <w:rPr>
          <w:rFonts w:ascii="Arial" w:hAnsi="Arial" w:cs="Arial"/>
          <w:i/>
          <w:iCs/>
          <w:lang w:val="en-US"/>
        </w:rPr>
        <w:t>Annual Report</w:t>
      </w:r>
      <w:r w:rsidRPr="00F94AE3">
        <w:rPr>
          <w:rFonts w:ascii="Arial" w:hAnsi="Arial" w:cs="Arial"/>
          <w:lang w:val="en-US"/>
        </w:rPr>
        <w:t xml:space="preserve">. Available at: </w:t>
      </w:r>
      <w:hyperlink r:id="rId32" w:tgtFrame="_new" w:history="1">
        <w:r w:rsidRPr="00F94AE3">
          <w:rPr>
            <w:rStyle w:val="Hyperlink"/>
            <w:rFonts w:ascii="Arial" w:hAnsi="Arial" w:cs="Arial"/>
            <w:lang w:val="en-US"/>
          </w:rPr>
          <w:t>https://annualreport2024.volkswagen-group.com</w:t>
        </w:r>
      </w:hyperlink>
    </w:p>
    <w:p w14:paraId="7FAEFEA1" w14:textId="522BFEB8"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Bloomberg (2023) </w:t>
      </w:r>
      <w:r w:rsidRPr="00F94AE3">
        <w:rPr>
          <w:rFonts w:ascii="Arial" w:hAnsi="Arial" w:cs="Arial"/>
          <w:i/>
          <w:iCs/>
          <w:lang w:val="en-US"/>
        </w:rPr>
        <w:t>EV investment pressures and competition</w:t>
      </w:r>
      <w:r w:rsidRPr="00F94AE3">
        <w:rPr>
          <w:rFonts w:ascii="Arial" w:hAnsi="Arial" w:cs="Arial"/>
          <w:lang w:val="en-US"/>
        </w:rPr>
        <w:t xml:space="preserve">. Available at: </w:t>
      </w:r>
      <w:hyperlink r:id="rId33" w:tgtFrame="_new" w:history="1">
        <w:r w:rsidRPr="00F94AE3">
          <w:rPr>
            <w:rStyle w:val="Hyperlink"/>
            <w:rFonts w:ascii="Arial" w:hAnsi="Arial" w:cs="Arial"/>
            <w:lang w:val="en-US"/>
          </w:rPr>
          <w:t>https://www.bloomberg.com</w:t>
        </w:r>
      </w:hyperlink>
      <w:r w:rsidRPr="00F94AE3">
        <w:rPr>
          <w:rFonts w:ascii="Arial" w:hAnsi="Arial" w:cs="Arial"/>
          <w:lang w:val="en-US"/>
        </w:rPr>
        <w:t xml:space="preserve"> </w:t>
      </w:r>
    </w:p>
    <w:p w14:paraId="776B553B" w14:textId="7CD7C975"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lastRenderedPageBreak/>
        <w:t xml:space="preserve">Financial Times (2023) </w:t>
      </w:r>
      <w:r w:rsidRPr="00F94AE3">
        <w:rPr>
          <w:rFonts w:ascii="Arial" w:hAnsi="Arial" w:cs="Arial"/>
          <w:i/>
          <w:iCs/>
          <w:lang w:val="en-US"/>
        </w:rPr>
        <w:t>Volkswagen EV investment strategy</w:t>
      </w:r>
      <w:r w:rsidRPr="00F94AE3">
        <w:rPr>
          <w:rFonts w:ascii="Arial" w:hAnsi="Arial" w:cs="Arial"/>
          <w:lang w:val="en-US"/>
        </w:rPr>
        <w:t xml:space="preserve">. Available at: </w:t>
      </w:r>
      <w:hyperlink r:id="rId34" w:tgtFrame="_new" w:history="1">
        <w:r w:rsidRPr="00F94AE3">
          <w:rPr>
            <w:rStyle w:val="Hyperlink"/>
            <w:rFonts w:ascii="Arial" w:hAnsi="Arial" w:cs="Arial"/>
            <w:lang w:val="en-US"/>
          </w:rPr>
          <w:t>https://www.ft.com</w:t>
        </w:r>
      </w:hyperlink>
      <w:r w:rsidRPr="00F94AE3">
        <w:rPr>
          <w:rFonts w:ascii="Arial" w:hAnsi="Arial" w:cs="Arial"/>
          <w:lang w:val="en-US"/>
        </w:rPr>
        <w:t xml:space="preserve"> </w:t>
      </w:r>
    </w:p>
    <w:p w14:paraId="6BB1A441" w14:textId="7D588DED"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Forbes (2023) </w:t>
      </w:r>
      <w:r w:rsidRPr="00F94AE3">
        <w:rPr>
          <w:rFonts w:ascii="Arial" w:hAnsi="Arial" w:cs="Arial"/>
          <w:i/>
          <w:iCs/>
          <w:lang w:val="en-US"/>
        </w:rPr>
        <w:t>Volkswagen valuation and strategic investments</w:t>
      </w:r>
      <w:r w:rsidRPr="00F94AE3">
        <w:rPr>
          <w:rFonts w:ascii="Arial" w:hAnsi="Arial" w:cs="Arial"/>
          <w:lang w:val="en-US"/>
        </w:rPr>
        <w:t xml:space="preserve">. Available at: </w:t>
      </w:r>
      <w:hyperlink r:id="rId35" w:tgtFrame="_new" w:history="1">
        <w:r w:rsidRPr="00F94AE3">
          <w:rPr>
            <w:rStyle w:val="Hyperlink"/>
            <w:rFonts w:ascii="Arial" w:hAnsi="Arial" w:cs="Arial"/>
            <w:lang w:val="en-US"/>
          </w:rPr>
          <w:t>https://www.forbes.com</w:t>
        </w:r>
      </w:hyperlink>
      <w:r w:rsidRPr="00F94AE3">
        <w:rPr>
          <w:rFonts w:ascii="Arial" w:hAnsi="Arial" w:cs="Arial"/>
          <w:lang w:val="en-US"/>
        </w:rPr>
        <w:t xml:space="preserve"> </w:t>
      </w:r>
    </w:p>
    <w:p w14:paraId="18F73A24" w14:textId="4949CA30"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Harvard Business Review (2022) </w:t>
      </w:r>
      <w:r w:rsidRPr="00F94AE3">
        <w:rPr>
          <w:rFonts w:ascii="Arial" w:hAnsi="Arial" w:cs="Arial"/>
          <w:i/>
          <w:iCs/>
          <w:lang w:val="en-US"/>
        </w:rPr>
        <w:t>Capital budgeting under uncertainty</w:t>
      </w:r>
      <w:r w:rsidRPr="00F94AE3">
        <w:rPr>
          <w:rFonts w:ascii="Arial" w:hAnsi="Arial" w:cs="Arial"/>
          <w:lang w:val="en-US"/>
        </w:rPr>
        <w:t xml:space="preserve">. Available at: </w:t>
      </w:r>
      <w:hyperlink r:id="rId36" w:tgtFrame="_new" w:history="1">
        <w:r w:rsidRPr="00F94AE3">
          <w:rPr>
            <w:rStyle w:val="Hyperlink"/>
            <w:rFonts w:ascii="Arial" w:hAnsi="Arial" w:cs="Arial"/>
            <w:lang w:val="en-US"/>
          </w:rPr>
          <w:t>https://hbr.org</w:t>
        </w:r>
      </w:hyperlink>
      <w:r w:rsidRPr="00F94AE3">
        <w:rPr>
          <w:rFonts w:ascii="Arial" w:hAnsi="Arial" w:cs="Arial"/>
          <w:lang w:val="en-US"/>
        </w:rPr>
        <w:t xml:space="preserve"> </w:t>
      </w:r>
    </w:p>
    <w:p w14:paraId="5F7E398A" w14:textId="2EDE6E7A"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MarketLine (2023) </w:t>
      </w:r>
      <w:r w:rsidRPr="00F94AE3">
        <w:rPr>
          <w:rFonts w:ascii="Arial" w:hAnsi="Arial" w:cs="Arial"/>
          <w:i/>
          <w:iCs/>
          <w:lang w:val="en-US"/>
        </w:rPr>
        <w:t>Volkswagen Group financial analysis</w:t>
      </w:r>
      <w:r w:rsidRPr="00F94AE3">
        <w:rPr>
          <w:rFonts w:ascii="Arial" w:hAnsi="Arial" w:cs="Arial"/>
          <w:lang w:val="en-US"/>
        </w:rPr>
        <w:t xml:space="preserve">. Available at: </w:t>
      </w:r>
      <w:hyperlink r:id="rId37" w:tgtFrame="_new" w:history="1">
        <w:r w:rsidRPr="00F94AE3">
          <w:rPr>
            <w:rStyle w:val="Hyperlink"/>
            <w:rFonts w:ascii="Arial" w:hAnsi="Arial" w:cs="Arial"/>
            <w:lang w:val="en-US"/>
          </w:rPr>
          <w:t>https://advantage.marketline.com</w:t>
        </w:r>
      </w:hyperlink>
      <w:r w:rsidRPr="00F94AE3">
        <w:rPr>
          <w:rFonts w:ascii="Arial" w:hAnsi="Arial" w:cs="Arial"/>
          <w:lang w:val="en-US"/>
        </w:rPr>
        <w:t xml:space="preserve"> </w:t>
      </w:r>
    </w:p>
    <w:p w14:paraId="08724165" w14:textId="26410C66"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Statista (2024) </w:t>
      </w:r>
      <w:r w:rsidRPr="00F94AE3">
        <w:rPr>
          <w:rFonts w:ascii="Arial" w:hAnsi="Arial" w:cs="Arial"/>
          <w:i/>
          <w:iCs/>
          <w:lang w:val="en-US"/>
        </w:rPr>
        <w:t>Automotive financial data</w:t>
      </w:r>
      <w:r w:rsidRPr="00F94AE3">
        <w:rPr>
          <w:rFonts w:ascii="Arial" w:hAnsi="Arial" w:cs="Arial"/>
          <w:lang w:val="en-US"/>
        </w:rPr>
        <w:t xml:space="preserve">. Available at: </w:t>
      </w:r>
      <w:hyperlink r:id="rId38" w:tgtFrame="_new" w:history="1">
        <w:r w:rsidRPr="00F94AE3">
          <w:rPr>
            <w:rStyle w:val="Hyperlink"/>
            <w:rFonts w:ascii="Arial" w:hAnsi="Arial" w:cs="Arial"/>
            <w:lang w:val="en-US"/>
          </w:rPr>
          <w:t>https://www.statista.com</w:t>
        </w:r>
      </w:hyperlink>
      <w:r w:rsidRPr="00F94AE3">
        <w:rPr>
          <w:rFonts w:ascii="Arial" w:hAnsi="Arial" w:cs="Arial"/>
          <w:lang w:val="en-US"/>
        </w:rPr>
        <w:t xml:space="preserve"> </w:t>
      </w:r>
    </w:p>
    <w:p w14:paraId="22438680" w14:textId="288562DF" w:rsidR="00F94AE3" w:rsidRPr="00F94AE3" w:rsidRDefault="00F94AE3" w:rsidP="00F94AE3">
      <w:pPr>
        <w:pStyle w:val="NormalWeb"/>
        <w:spacing w:line="360" w:lineRule="auto"/>
        <w:rPr>
          <w:rFonts w:ascii="Arial" w:hAnsi="Arial" w:cs="Arial"/>
          <w:lang w:val="en-US"/>
        </w:rPr>
      </w:pPr>
      <w:r w:rsidRPr="00F94AE3">
        <w:rPr>
          <w:rFonts w:ascii="Arial" w:hAnsi="Arial" w:cs="Arial"/>
          <w:lang w:val="en-US"/>
        </w:rPr>
        <w:t xml:space="preserve">The Economist (2023) </w:t>
      </w:r>
      <w:r w:rsidRPr="00F94AE3">
        <w:rPr>
          <w:rFonts w:ascii="Arial" w:hAnsi="Arial" w:cs="Arial"/>
          <w:i/>
          <w:iCs/>
          <w:lang w:val="en-US"/>
        </w:rPr>
        <w:t>EV market competition and strategy</w:t>
      </w:r>
      <w:r w:rsidRPr="00F94AE3">
        <w:rPr>
          <w:rFonts w:ascii="Arial" w:hAnsi="Arial" w:cs="Arial"/>
          <w:lang w:val="en-US"/>
        </w:rPr>
        <w:t xml:space="preserve">. Available at: </w:t>
      </w:r>
      <w:hyperlink r:id="rId39" w:tgtFrame="_new" w:history="1">
        <w:r w:rsidRPr="00F94AE3">
          <w:rPr>
            <w:rStyle w:val="Hyperlink"/>
            <w:rFonts w:ascii="Arial" w:hAnsi="Arial" w:cs="Arial"/>
            <w:lang w:val="en-US"/>
          </w:rPr>
          <w:t>https://www.economist.com</w:t>
        </w:r>
      </w:hyperlink>
      <w:r w:rsidRPr="00F94AE3">
        <w:rPr>
          <w:rFonts w:ascii="Arial" w:hAnsi="Arial" w:cs="Arial"/>
          <w:lang w:val="en-US"/>
        </w:rPr>
        <w:t xml:space="preserve"> </w:t>
      </w:r>
    </w:p>
    <w:p w14:paraId="1724FF0C" w14:textId="17857C6A" w:rsidR="00D115FA" w:rsidRDefault="00D115FA" w:rsidP="00D115FA">
      <w:pPr>
        <w:pStyle w:val="NormalWeb"/>
        <w:spacing w:line="360" w:lineRule="auto"/>
        <w:rPr>
          <w:rFonts w:ascii="Arial" w:hAnsi="Arial" w:cs="Arial"/>
          <w:lang w:val="en-US"/>
        </w:rPr>
      </w:pPr>
    </w:p>
    <w:p w14:paraId="01593DE3" w14:textId="77777777" w:rsidR="00D115FA" w:rsidRDefault="00D115FA" w:rsidP="00D115FA">
      <w:pPr>
        <w:spacing w:after="160" w:line="278" w:lineRule="auto"/>
        <w:rPr>
          <w:rFonts w:ascii="Arial" w:eastAsia="Times New Roman" w:hAnsi="Arial" w:cs="Arial"/>
          <w:sz w:val="24"/>
          <w:szCs w:val="24"/>
          <w:lang w:val="en-US" w:eastAsia="en-GB"/>
        </w:rPr>
      </w:pPr>
      <w:r>
        <w:rPr>
          <w:rFonts w:ascii="Arial" w:hAnsi="Arial" w:cs="Arial"/>
          <w:lang w:val="en-US"/>
        </w:rPr>
        <w:br w:type="page"/>
      </w:r>
    </w:p>
    <w:p w14:paraId="57A7EEBA" w14:textId="77777777" w:rsidR="00D115FA" w:rsidRDefault="00D115FA" w:rsidP="00D115FA">
      <w:pPr>
        <w:pStyle w:val="Heading1"/>
        <w:rPr>
          <w:lang w:val="en-US"/>
        </w:rPr>
      </w:pPr>
      <w:bookmarkStart w:id="59" w:name="_Toc226785399"/>
      <w:r w:rsidRPr="008330FB">
        <w:rPr>
          <w:lang w:val="en-US"/>
        </w:rPr>
        <w:lastRenderedPageBreak/>
        <w:t>Appendices</w:t>
      </w:r>
      <w:r>
        <w:rPr>
          <w:lang w:val="en-US"/>
        </w:rPr>
        <w:t>:</w:t>
      </w:r>
      <w:bookmarkEnd w:id="59"/>
    </w:p>
    <w:p w14:paraId="607E376D" w14:textId="3A65792C" w:rsidR="00D115FA" w:rsidRDefault="007C5E57" w:rsidP="006E65DA">
      <w:pPr>
        <w:pStyle w:val="Heading2"/>
      </w:pPr>
      <w:bookmarkStart w:id="60" w:name="_Toc226785400"/>
      <w:r w:rsidRPr="007C5E57">
        <w:t xml:space="preserve">Appendix A: </w:t>
      </w:r>
      <w:r w:rsidR="00C47B61" w:rsidRPr="00C47B61">
        <w:t>Key Financial Ratios (2019-2023)</w:t>
      </w:r>
      <w:r w:rsidR="00D115FA" w:rsidRPr="6C3A0363">
        <w:t>:</w:t>
      </w:r>
      <w:bookmarkEnd w:id="60"/>
    </w:p>
    <w:bookmarkStart w:id="61" w:name="_MON_1837396772"/>
    <w:bookmarkEnd w:id="61"/>
    <w:p w14:paraId="03AAFCFF" w14:textId="107E1264" w:rsidR="00620EED" w:rsidRPr="006E65DA" w:rsidRDefault="00620EED" w:rsidP="00D115FA">
      <w:pPr>
        <w:jc w:val="both"/>
        <w:rPr>
          <w:rFonts w:ascii="Arial" w:hAnsi="Arial" w:cs="Arial"/>
          <w:b/>
          <w:bCs/>
          <w:sz w:val="24"/>
          <w:szCs w:val="24"/>
        </w:rPr>
      </w:pPr>
      <w:r>
        <w:rPr>
          <w:rFonts w:ascii="Arial" w:hAnsi="Arial" w:cs="Arial"/>
          <w:b/>
          <w:bCs/>
          <w:sz w:val="24"/>
          <w:szCs w:val="24"/>
        </w:rPr>
        <w:object w:dxaOrig="10147" w:dyaOrig="2234" w14:anchorId="4DC80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5pt;height:111.5pt" o:ole="">
            <v:imagedata r:id="rId40" o:title=""/>
          </v:shape>
          <o:OLEObject Type="Embed" ProgID="Excel.Sheet.12" ShapeID="_x0000_i1025" DrawAspect="Content" ObjectID="_1838022752" r:id="rId41"/>
        </w:object>
      </w:r>
    </w:p>
    <w:p w14:paraId="41ABBF72" w14:textId="2CB26BFE" w:rsidR="007C5E57" w:rsidRDefault="007C5E57" w:rsidP="00D115FA">
      <w:pPr>
        <w:jc w:val="both"/>
        <w:rPr>
          <w:rFonts w:ascii="Arial" w:hAnsi="Arial" w:cs="Arial"/>
          <w:b/>
          <w:bCs/>
          <w:sz w:val="24"/>
          <w:szCs w:val="24"/>
        </w:rPr>
      </w:pPr>
      <w:r w:rsidRPr="006E65DA">
        <w:rPr>
          <w:rFonts w:ascii="Arial" w:hAnsi="Arial" w:cs="Arial"/>
          <w:b/>
          <w:bCs/>
          <w:sz w:val="24"/>
          <w:szCs w:val="24"/>
        </w:rPr>
        <w:t>Graph:</w:t>
      </w:r>
    </w:p>
    <w:p w14:paraId="5881B730" w14:textId="5A030EC6" w:rsidR="00271E45" w:rsidRPr="00271E45" w:rsidRDefault="00271E45" w:rsidP="00271E45">
      <w:pPr>
        <w:pStyle w:val="ListParagraph"/>
        <w:numPr>
          <w:ilvl w:val="0"/>
          <w:numId w:val="71"/>
        </w:numPr>
        <w:jc w:val="both"/>
        <w:rPr>
          <w:rFonts w:ascii="Arial" w:hAnsi="Arial" w:cs="Arial"/>
          <w:b/>
          <w:bCs/>
          <w:sz w:val="24"/>
          <w:szCs w:val="24"/>
        </w:rPr>
      </w:pPr>
      <w:r w:rsidRPr="00271E45">
        <w:rPr>
          <w:rFonts w:ascii="Arial" w:hAnsi="Arial" w:cs="Arial"/>
          <w:b/>
          <w:bCs/>
          <w:sz w:val="24"/>
          <w:szCs w:val="24"/>
        </w:rPr>
        <w:t>Revenue</w:t>
      </w:r>
    </w:p>
    <w:p w14:paraId="30CBB5EF" w14:textId="796F1AEC" w:rsidR="007C5E57" w:rsidRPr="006E65DA" w:rsidRDefault="00271E45" w:rsidP="00D115FA">
      <w:pPr>
        <w:jc w:val="both"/>
        <w:rPr>
          <w:rFonts w:ascii="Arial" w:hAnsi="Arial" w:cs="Arial"/>
          <w:sz w:val="24"/>
          <w:szCs w:val="24"/>
        </w:rPr>
      </w:pPr>
      <w:r>
        <w:rPr>
          <w:noProof/>
          <w14:ligatures w14:val="standardContextual"/>
        </w:rPr>
        <w:drawing>
          <wp:inline distT="0" distB="0" distL="0" distR="0" wp14:anchorId="3668CAD8" wp14:editId="56BC245D">
            <wp:extent cx="4451350" cy="2584450"/>
            <wp:effectExtent l="0" t="0" r="6350" b="6350"/>
            <wp:docPr id="1778996433" name="Chart 1">
              <a:extLst xmlns:a="http://schemas.openxmlformats.org/drawingml/2006/main">
                <a:ext uri="{FF2B5EF4-FFF2-40B4-BE49-F238E27FC236}">
                  <a16:creationId xmlns:a16="http://schemas.microsoft.com/office/drawing/2014/main" id="{95F54962-807B-79D9-62C7-C984C1A6DD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067A942" w14:textId="2DE36FC3" w:rsidR="00271E45" w:rsidRPr="00271E45" w:rsidRDefault="00271E45" w:rsidP="00271E45">
      <w:pPr>
        <w:pStyle w:val="ListParagraph"/>
        <w:numPr>
          <w:ilvl w:val="0"/>
          <w:numId w:val="71"/>
        </w:numPr>
        <w:jc w:val="both"/>
        <w:rPr>
          <w:rFonts w:ascii="Arial" w:hAnsi="Arial" w:cs="Arial"/>
          <w:b/>
          <w:bCs/>
          <w:sz w:val="24"/>
          <w:szCs w:val="24"/>
        </w:rPr>
      </w:pPr>
      <w:r w:rsidRPr="00271E45">
        <w:rPr>
          <w:rFonts w:ascii="Arial" w:hAnsi="Arial" w:cs="Arial"/>
          <w:b/>
          <w:bCs/>
          <w:sz w:val="24"/>
          <w:szCs w:val="24"/>
        </w:rPr>
        <w:t>Operating Margin</w:t>
      </w:r>
    </w:p>
    <w:p w14:paraId="5B37CA7D" w14:textId="43220264" w:rsidR="00271E45" w:rsidRPr="00271E45" w:rsidRDefault="00271E45" w:rsidP="00271E45">
      <w:pPr>
        <w:jc w:val="both"/>
        <w:rPr>
          <w:rFonts w:ascii="Arial" w:hAnsi="Arial" w:cs="Arial"/>
          <w:sz w:val="24"/>
          <w:szCs w:val="24"/>
        </w:rPr>
      </w:pPr>
      <w:r>
        <w:rPr>
          <w:noProof/>
          <w14:ligatures w14:val="standardContextual"/>
        </w:rPr>
        <w:drawing>
          <wp:inline distT="0" distB="0" distL="0" distR="0" wp14:anchorId="0AC28322" wp14:editId="47F6024F">
            <wp:extent cx="4514850" cy="2711450"/>
            <wp:effectExtent l="0" t="0" r="0" b="12700"/>
            <wp:docPr id="1999658111" name="Chart 1">
              <a:extLst xmlns:a="http://schemas.openxmlformats.org/drawingml/2006/main">
                <a:ext uri="{FF2B5EF4-FFF2-40B4-BE49-F238E27FC236}">
                  <a16:creationId xmlns:a16="http://schemas.microsoft.com/office/drawing/2014/main" id="{D7ADF29C-F0E8-976F-C41B-3E4A733170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6A4CF8F" w14:textId="558AF8A2" w:rsidR="00271E45" w:rsidRPr="00271E45" w:rsidRDefault="00271E45" w:rsidP="00271E45">
      <w:pPr>
        <w:pStyle w:val="ListParagraph"/>
        <w:numPr>
          <w:ilvl w:val="0"/>
          <w:numId w:val="71"/>
        </w:numPr>
        <w:jc w:val="both"/>
        <w:rPr>
          <w:rFonts w:ascii="Arial" w:hAnsi="Arial" w:cs="Arial"/>
          <w:b/>
          <w:bCs/>
          <w:sz w:val="24"/>
          <w:szCs w:val="24"/>
        </w:rPr>
      </w:pPr>
      <w:r w:rsidRPr="00271E45">
        <w:rPr>
          <w:rFonts w:ascii="Arial" w:hAnsi="Arial" w:cs="Arial"/>
          <w:b/>
          <w:bCs/>
          <w:sz w:val="24"/>
          <w:szCs w:val="24"/>
        </w:rPr>
        <w:lastRenderedPageBreak/>
        <w:t>Net Margin</w:t>
      </w:r>
    </w:p>
    <w:p w14:paraId="6299BB87" w14:textId="30E7F5C4" w:rsidR="00271E45" w:rsidRDefault="00271E45" w:rsidP="00D115FA">
      <w:pPr>
        <w:jc w:val="both"/>
        <w:rPr>
          <w:rFonts w:ascii="Arial" w:hAnsi="Arial" w:cs="Arial"/>
          <w:sz w:val="24"/>
          <w:szCs w:val="24"/>
        </w:rPr>
      </w:pPr>
      <w:r>
        <w:rPr>
          <w:noProof/>
          <w14:ligatures w14:val="standardContextual"/>
        </w:rPr>
        <w:drawing>
          <wp:inline distT="0" distB="0" distL="0" distR="0" wp14:anchorId="4DCC3B3E" wp14:editId="62CC9E80">
            <wp:extent cx="4279900" cy="2476500"/>
            <wp:effectExtent l="0" t="0" r="6350" b="0"/>
            <wp:docPr id="128246543" name="Chart 1">
              <a:extLst xmlns:a="http://schemas.openxmlformats.org/drawingml/2006/main">
                <a:ext uri="{FF2B5EF4-FFF2-40B4-BE49-F238E27FC236}">
                  <a16:creationId xmlns:a16="http://schemas.microsoft.com/office/drawing/2014/main" id="{851B7D39-8092-2E7A-0981-B3F3BB69B0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A75B570" w14:textId="278B4764" w:rsidR="00271E45" w:rsidRPr="00271E45" w:rsidRDefault="00271E45" w:rsidP="00271E45">
      <w:pPr>
        <w:pStyle w:val="ListParagraph"/>
        <w:numPr>
          <w:ilvl w:val="0"/>
          <w:numId w:val="71"/>
        </w:numPr>
        <w:jc w:val="both"/>
        <w:rPr>
          <w:rFonts w:ascii="Arial" w:hAnsi="Arial" w:cs="Arial"/>
          <w:b/>
          <w:bCs/>
          <w:sz w:val="24"/>
          <w:szCs w:val="24"/>
        </w:rPr>
      </w:pPr>
      <w:r w:rsidRPr="00271E45">
        <w:rPr>
          <w:rFonts w:ascii="Arial" w:hAnsi="Arial" w:cs="Arial"/>
          <w:b/>
          <w:bCs/>
          <w:sz w:val="24"/>
          <w:szCs w:val="24"/>
        </w:rPr>
        <w:t>Current Ratio</w:t>
      </w:r>
    </w:p>
    <w:p w14:paraId="1C9EDFCC" w14:textId="55C01D35" w:rsidR="00271E45" w:rsidRDefault="00271E45" w:rsidP="00D115FA">
      <w:pPr>
        <w:jc w:val="both"/>
        <w:rPr>
          <w:rFonts w:ascii="Arial" w:hAnsi="Arial" w:cs="Arial"/>
          <w:sz w:val="24"/>
          <w:szCs w:val="24"/>
        </w:rPr>
      </w:pPr>
      <w:r>
        <w:rPr>
          <w:noProof/>
          <w14:ligatures w14:val="standardContextual"/>
        </w:rPr>
        <w:drawing>
          <wp:inline distT="0" distB="0" distL="0" distR="0" wp14:anchorId="462D5AE9" wp14:editId="5B0C2D2D">
            <wp:extent cx="4203700" cy="2336800"/>
            <wp:effectExtent l="0" t="0" r="6350" b="6350"/>
            <wp:docPr id="24459634" name="Chart 1">
              <a:extLst xmlns:a="http://schemas.openxmlformats.org/drawingml/2006/main">
                <a:ext uri="{FF2B5EF4-FFF2-40B4-BE49-F238E27FC236}">
                  <a16:creationId xmlns:a16="http://schemas.microsoft.com/office/drawing/2014/main" id="{3E81CB36-ACD6-6925-3A47-D9CA058A02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0ECB9DF" w14:textId="7CE14975" w:rsidR="00271E45" w:rsidRPr="00271E45" w:rsidRDefault="00271E45" w:rsidP="00271E45">
      <w:pPr>
        <w:pStyle w:val="ListParagraph"/>
        <w:numPr>
          <w:ilvl w:val="0"/>
          <w:numId w:val="71"/>
        </w:numPr>
        <w:jc w:val="both"/>
        <w:rPr>
          <w:rFonts w:ascii="Arial" w:hAnsi="Arial" w:cs="Arial"/>
          <w:b/>
          <w:bCs/>
          <w:sz w:val="24"/>
          <w:szCs w:val="24"/>
        </w:rPr>
      </w:pPr>
      <w:r w:rsidRPr="00271E45">
        <w:rPr>
          <w:rFonts w:ascii="Arial" w:hAnsi="Arial" w:cs="Arial"/>
          <w:b/>
          <w:bCs/>
          <w:sz w:val="24"/>
          <w:szCs w:val="24"/>
        </w:rPr>
        <w:t>Debt/Equity</w:t>
      </w:r>
    </w:p>
    <w:p w14:paraId="11700144" w14:textId="1E68C1B2" w:rsidR="00271E45" w:rsidRDefault="00271E45" w:rsidP="00D115FA">
      <w:pPr>
        <w:jc w:val="both"/>
        <w:rPr>
          <w:rFonts w:ascii="Arial" w:hAnsi="Arial" w:cs="Arial"/>
          <w:sz w:val="24"/>
          <w:szCs w:val="24"/>
        </w:rPr>
      </w:pPr>
      <w:r>
        <w:rPr>
          <w:noProof/>
          <w14:ligatures w14:val="standardContextual"/>
        </w:rPr>
        <w:drawing>
          <wp:inline distT="0" distB="0" distL="0" distR="0" wp14:anchorId="33DB7C3E" wp14:editId="063A214E">
            <wp:extent cx="4572000" cy="2743200"/>
            <wp:effectExtent l="0" t="0" r="0" b="0"/>
            <wp:docPr id="431871166" name="Chart 1">
              <a:extLst xmlns:a="http://schemas.openxmlformats.org/drawingml/2006/main">
                <a:ext uri="{FF2B5EF4-FFF2-40B4-BE49-F238E27FC236}">
                  <a16:creationId xmlns:a16="http://schemas.microsoft.com/office/drawing/2014/main" id="{28689516-680A-A442-2387-3F18379EE9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16725BF6" w14:textId="2051A64D" w:rsidR="00031512" w:rsidRPr="00031512" w:rsidRDefault="00031512" w:rsidP="00031512">
      <w:pPr>
        <w:pStyle w:val="Heading2"/>
        <w:rPr>
          <w:lang w:val="en-US"/>
        </w:rPr>
      </w:pPr>
      <w:bookmarkStart w:id="62" w:name="_Toc226785401"/>
      <w:r w:rsidRPr="00031512">
        <w:rPr>
          <w:lang w:val="en-US"/>
        </w:rPr>
        <w:lastRenderedPageBreak/>
        <w:t xml:space="preserve">Appendix B: </w:t>
      </w:r>
      <w:r w:rsidR="00271E45" w:rsidRPr="00271E45">
        <w:rPr>
          <w:lang w:val="en-US"/>
        </w:rPr>
        <w:t>Investment appraisal calculations</w:t>
      </w:r>
      <w:bookmarkEnd w:id="62"/>
    </w:p>
    <w:p w14:paraId="7958AA81" w14:textId="77777777" w:rsidR="00031512" w:rsidRDefault="00031512" w:rsidP="00711808">
      <w:pPr>
        <w:jc w:val="center"/>
        <w:rPr>
          <w:rFonts w:ascii="Arial" w:hAnsi="Arial" w:cs="Arial"/>
          <w:b/>
          <w:bCs/>
          <w:sz w:val="24"/>
          <w:szCs w:val="24"/>
          <w:lang w:val="en-US"/>
        </w:rPr>
      </w:pPr>
      <w:r w:rsidRPr="00031512">
        <w:rPr>
          <w:rFonts w:ascii="Arial" w:hAnsi="Arial" w:cs="Arial"/>
          <w:b/>
          <w:bCs/>
          <w:sz w:val="24"/>
          <w:szCs w:val="24"/>
          <w:lang w:val="en-US"/>
        </w:rPr>
        <w:t>Summary Results</w:t>
      </w:r>
    </w:p>
    <w:bookmarkStart w:id="63" w:name="_MON_1837397468"/>
    <w:bookmarkEnd w:id="63"/>
    <w:p w14:paraId="5213E442" w14:textId="666F2AC7" w:rsidR="00271E45" w:rsidRPr="00031512" w:rsidRDefault="00271E45" w:rsidP="00271E45">
      <w:pPr>
        <w:rPr>
          <w:rFonts w:ascii="Arial" w:hAnsi="Arial" w:cs="Arial"/>
          <w:b/>
          <w:bCs/>
          <w:sz w:val="24"/>
          <w:szCs w:val="24"/>
          <w:lang w:val="en-US"/>
        </w:rPr>
      </w:pPr>
      <w:r>
        <w:rPr>
          <w:rFonts w:ascii="Arial" w:hAnsi="Arial" w:cs="Arial"/>
          <w:b/>
          <w:bCs/>
          <w:sz w:val="24"/>
          <w:szCs w:val="24"/>
          <w:lang w:val="en-US"/>
        </w:rPr>
        <w:object w:dxaOrig="7896" w:dyaOrig="1875" w14:anchorId="2F8DDFC5">
          <v:shape id="_x0000_i1026" type="#_x0000_t75" style="width:395pt;height:94pt" o:ole="">
            <v:imagedata r:id="rId47" o:title=""/>
          </v:shape>
          <o:OLEObject Type="Embed" ProgID="Excel.Sheet.12" ShapeID="_x0000_i1026" DrawAspect="Content" ObjectID="_1838022753" r:id="rId48"/>
        </w:object>
      </w:r>
    </w:p>
    <w:p w14:paraId="0C1D52C0" w14:textId="0079CFEB" w:rsidR="007855C2" w:rsidRDefault="00F94AE3">
      <w:pPr>
        <w:rPr>
          <w:rFonts w:ascii="Arial" w:hAnsi="Arial" w:cs="Arial"/>
          <w:sz w:val="24"/>
          <w:szCs w:val="24"/>
        </w:rPr>
      </w:pPr>
      <w:r>
        <w:rPr>
          <w:rFonts w:ascii="Arial" w:hAnsi="Arial" w:cs="Arial"/>
          <w:sz w:val="24"/>
          <w:szCs w:val="24"/>
        </w:rPr>
        <w:t>Graph:</w:t>
      </w:r>
    </w:p>
    <w:p w14:paraId="57323AB8" w14:textId="39540857" w:rsidR="00F94AE3" w:rsidRPr="007855C2" w:rsidRDefault="00F94AE3">
      <w:pPr>
        <w:rPr>
          <w:rFonts w:ascii="Arial" w:hAnsi="Arial" w:cs="Arial"/>
          <w:sz w:val="24"/>
          <w:szCs w:val="24"/>
        </w:rPr>
      </w:pPr>
      <w:r>
        <w:rPr>
          <w:noProof/>
          <w14:ligatures w14:val="standardContextual"/>
        </w:rPr>
        <w:drawing>
          <wp:inline distT="0" distB="0" distL="0" distR="0" wp14:anchorId="67D0BB8F" wp14:editId="2D4C870F">
            <wp:extent cx="5264150" cy="3155950"/>
            <wp:effectExtent l="0" t="0" r="12700" b="6350"/>
            <wp:docPr id="513654802" name="Chart 1">
              <a:extLst xmlns:a="http://schemas.openxmlformats.org/drawingml/2006/main">
                <a:ext uri="{FF2B5EF4-FFF2-40B4-BE49-F238E27FC236}">
                  <a16:creationId xmlns:a16="http://schemas.microsoft.com/office/drawing/2014/main" id="{1C63C9C8-2EE0-915C-71AC-0C8B4FA4A9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sectPr w:rsidR="00F94AE3" w:rsidRPr="007855C2" w:rsidSect="00D115FA">
      <w:footerReference w:type="default" r:id="rId5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C0EDC" w14:textId="77777777" w:rsidR="00825710" w:rsidRDefault="00825710">
      <w:pPr>
        <w:spacing w:after="0" w:line="240" w:lineRule="auto"/>
      </w:pPr>
      <w:r>
        <w:separator/>
      </w:r>
    </w:p>
  </w:endnote>
  <w:endnote w:type="continuationSeparator" w:id="0">
    <w:p w14:paraId="3D1B87BB" w14:textId="77777777" w:rsidR="00825710" w:rsidRDefault="00825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7014A324" w14:textId="77777777" w:rsidR="00D115FA" w:rsidRDefault="00D115FA">
        <w:pPr>
          <w:pStyle w:val="Footer"/>
          <w:jc w:val="right"/>
        </w:pPr>
        <w:r>
          <w:fldChar w:fldCharType="begin"/>
        </w:r>
        <w:r>
          <w:instrText xml:space="preserve"> PAGE   \* MERGEFORMAT </w:instrText>
        </w:r>
        <w:r>
          <w:fldChar w:fldCharType="separate"/>
        </w:r>
        <w:r w:rsidR="00F07FC5">
          <w:rPr>
            <w:noProof/>
          </w:rPr>
          <w:t>18</w:t>
        </w:r>
        <w:r>
          <w:rPr>
            <w:noProof/>
          </w:rPr>
          <w:fldChar w:fldCharType="end"/>
        </w:r>
      </w:p>
    </w:sdtContent>
  </w:sdt>
  <w:p w14:paraId="62C39C47" w14:textId="77777777" w:rsidR="00D115FA" w:rsidRDefault="00D11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4BED2" w14:textId="77777777" w:rsidR="00825710" w:rsidRDefault="00825710">
      <w:pPr>
        <w:spacing w:after="0" w:line="240" w:lineRule="auto"/>
      </w:pPr>
      <w:r>
        <w:separator/>
      </w:r>
    </w:p>
  </w:footnote>
  <w:footnote w:type="continuationSeparator" w:id="0">
    <w:p w14:paraId="2D190432" w14:textId="77777777" w:rsidR="00825710" w:rsidRDefault="008257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748"/>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916B7"/>
    <w:multiLevelType w:val="multilevel"/>
    <w:tmpl w:val="C31E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1076F7"/>
    <w:multiLevelType w:val="hybridMultilevel"/>
    <w:tmpl w:val="41085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76A22"/>
    <w:multiLevelType w:val="hybridMultilevel"/>
    <w:tmpl w:val="AD2C0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14680B"/>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1F53F1"/>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B05B8C"/>
    <w:multiLevelType w:val="hybridMultilevel"/>
    <w:tmpl w:val="C9881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F571E7"/>
    <w:multiLevelType w:val="hybridMultilevel"/>
    <w:tmpl w:val="F0EE7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E2715E"/>
    <w:multiLevelType w:val="hybridMultilevel"/>
    <w:tmpl w:val="D910B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B80628"/>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E01179"/>
    <w:multiLevelType w:val="hybridMultilevel"/>
    <w:tmpl w:val="1BB42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8175A3"/>
    <w:multiLevelType w:val="hybridMultilevel"/>
    <w:tmpl w:val="8D1AA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A1342"/>
    <w:multiLevelType w:val="hybridMultilevel"/>
    <w:tmpl w:val="E6B43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BF7970"/>
    <w:multiLevelType w:val="hybridMultilevel"/>
    <w:tmpl w:val="17301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3F0524"/>
    <w:multiLevelType w:val="multilevel"/>
    <w:tmpl w:val="4698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A25980"/>
    <w:multiLevelType w:val="multilevel"/>
    <w:tmpl w:val="07547BEC"/>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145705E2"/>
    <w:multiLevelType w:val="hybridMultilevel"/>
    <w:tmpl w:val="C270F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3B351F"/>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870891"/>
    <w:multiLevelType w:val="hybridMultilevel"/>
    <w:tmpl w:val="A6B27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0941B7"/>
    <w:multiLevelType w:val="hybridMultilevel"/>
    <w:tmpl w:val="7DCA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A20B4A"/>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C8367E"/>
    <w:multiLevelType w:val="hybridMultilevel"/>
    <w:tmpl w:val="6B66A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A55CC4"/>
    <w:multiLevelType w:val="hybridMultilevel"/>
    <w:tmpl w:val="1E5CF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0C4E71"/>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11005D"/>
    <w:multiLevelType w:val="hybridMultilevel"/>
    <w:tmpl w:val="21D2E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7FF0A24"/>
    <w:multiLevelType w:val="hybridMultilevel"/>
    <w:tmpl w:val="8BB05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203896"/>
    <w:multiLevelType w:val="hybridMultilevel"/>
    <w:tmpl w:val="29669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EA2638"/>
    <w:multiLevelType w:val="hybridMultilevel"/>
    <w:tmpl w:val="CDE68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DF0019"/>
    <w:multiLevelType w:val="hybridMultilevel"/>
    <w:tmpl w:val="DED29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43D4BEA"/>
    <w:multiLevelType w:val="hybridMultilevel"/>
    <w:tmpl w:val="2B688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6E70DA"/>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0648F8"/>
    <w:multiLevelType w:val="multilevel"/>
    <w:tmpl w:val="4698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E93260"/>
    <w:multiLevelType w:val="hybridMultilevel"/>
    <w:tmpl w:val="099020C4"/>
    <w:lvl w:ilvl="0" w:tplc="82F2161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072BF1"/>
    <w:multiLevelType w:val="hybridMultilevel"/>
    <w:tmpl w:val="CA90B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DE4AB7"/>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936F40"/>
    <w:multiLevelType w:val="hybridMultilevel"/>
    <w:tmpl w:val="941A5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C507E3"/>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076C28"/>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471471"/>
    <w:multiLevelType w:val="hybridMultilevel"/>
    <w:tmpl w:val="DD7C6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13F3E4E"/>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49028C"/>
    <w:multiLevelType w:val="hybridMultilevel"/>
    <w:tmpl w:val="BCAA7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789068E"/>
    <w:multiLevelType w:val="hybridMultilevel"/>
    <w:tmpl w:val="7098C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92D072C"/>
    <w:multiLevelType w:val="hybridMultilevel"/>
    <w:tmpl w:val="80CEF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BCE730F"/>
    <w:multiLevelType w:val="multilevel"/>
    <w:tmpl w:val="C31E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6A4E9C"/>
    <w:multiLevelType w:val="hybridMultilevel"/>
    <w:tmpl w:val="08E4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E8A4F1F"/>
    <w:multiLevelType w:val="multilevel"/>
    <w:tmpl w:val="07547BEC"/>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6" w15:restartNumberingAfterBreak="0">
    <w:nsid w:val="4F245C5B"/>
    <w:multiLevelType w:val="hybridMultilevel"/>
    <w:tmpl w:val="97DE8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2997BE3"/>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DD03B7"/>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4F0161"/>
    <w:multiLevelType w:val="multilevel"/>
    <w:tmpl w:val="4698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6C1770"/>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93738C"/>
    <w:multiLevelType w:val="hybridMultilevel"/>
    <w:tmpl w:val="2CBA5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81977B4"/>
    <w:multiLevelType w:val="hybridMultilevel"/>
    <w:tmpl w:val="FC887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81A31DD"/>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8876FFF"/>
    <w:multiLevelType w:val="hybridMultilevel"/>
    <w:tmpl w:val="A4305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8EF0A0E"/>
    <w:multiLevelType w:val="hybridMultilevel"/>
    <w:tmpl w:val="F2AAF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A193392"/>
    <w:multiLevelType w:val="hybridMultilevel"/>
    <w:tmpl w:val="4EFED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AAA63F2"/>
    <w:multiLevelType w:val="hybridMultilevel"/>
    <w:tmpl w:val="269A3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B9B24AF"/>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403D77"/>
    <w:multiLevelType w:val="multilevel"/>
    <w:tmpl w:val="4698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891794"/>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E26743"/>
    <w:multiLevelType w:val="hybridMultilevel"/>
    <w:tmpl w:val="7FE4A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E8496E"/>
    <w:multiLevelType w:val="hybridMultilevel"/>
    <w:tmpl w:val="A692A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E7913E2"/>
    <w:multiLevelType w:val="hybridMultilevel"/>
    <w:tmpl w:val="DD9A0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314483F"/>
    <w:multiLevelType w:val="multilevel"/>
    <w:tmpl w:val="4698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96D5996"/>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756E11"/>
    <w:multiLevelType w:val="hybridMultilevel"/>
    <w:tmpl w:val="8818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ED65BB6"/>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104546"/>
    <w:multiLevelType w:val="hybridMultilevel"/>
    <w:tmpl w:val="A912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6637F30"/>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5A5CCB"/>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CD26823"/>
    <w:multiLevelType w:val="hybridMultilevel"/>
    <w:tmpl w:val="8FD20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D8C4572"/>
    <w:multiLevelType w:val="multilevel"/>
    <w:tmpl w:val="07547BE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7726204">
    <w:abstractNumId w:val="28"/>
  </w:num>
  <w:num w:numId="2" w16cid:durableId="1488665635">
    <w:abstractNumId w:val="41"/>
  </w:num>
  <w:num w:numId="3" w16cid:durableId="747535594">
    <w:abstractNumId w:val="43"/>
  </w:num>
  <w:num w:numId="4" w16cid:durableId="1388725269">
    <w:abstractNumId w:val="1"/>
  </w:num>
  <w:num w:numId="5" w16cid:durableId="2129615765">
    <w:abstractNumId w:val="4"/>
  </w:num>
  <w:num w:numId="6" w16cid:durableId="408575939">
    <w:abstractNumId w:val="48"/>
  </w:num>
  <w:num w:numId="7" w16cid:durableId="241179693">
    <w:abstractNumId w:val="23"/>
  </w:num>
  <w:num w:numId="8" w16cid:durableId="2057657317">
    <w:abstractNumId w:val="20"/>
  </w:num>
  <w:num w:numId="9" w16cid:durableId="22172035">
    <w:abstractNumId w:val="53"/>
  </w:num>
  <w:num w:numId="10" w16cid:durableId="213665147">
    <w:abstractNumId w:val="17"/>
  </w:num>
  <w:num w:numId="11" w16cid:durableId="2086602968">
    <w:abstractNumId w:val="70"/>
  </w:num>
  <w:num w:numId="12" w16cid:durableId="710417530">
    <w:abstractNumId w:val="39"/>
  </w:num>
  <w:num w:numId="13" w16cid:durableId="1112020380">
    <w:abstractNumId w:val="69"/>
  </w:num>
  <w:num w:numId="14" w16cid:durableId="112477623">
    <w:abstractNumId w:val="67"/>
  </w:num>
  <w:num w:numId="15" w16cid:durableId="1700616904">
    <w:abstractNumId w:val="72"/>
  </w:num>
  <w:num w:numId="16" w16cid:durableId="1588226455">
    <w:abstractNumId w:val="34"/>
  </w:num>
  <w:num w:numId="17" w16cid:durableId="444424545">
    <w:abstractNumId w:val="37"/>
  </w:num>
  <w:num w:numId="18" w16cid:durableId="1271669496">
    <w:abstractNumId w:val="30"/>
  </w:num>
  <w:num w:numId="19" w16cid:durableId="1057625458">
    <w:abstractNumId w:val="60"/>
  </w:num>
  <w:num w:numId="20" w16cid:durableId="704329968">
    <w:abstractNumId w:val="3"/>
  </w:num>
  <w:num w:numId="21" w16cid:durableId="71589522">
    <w:abstractNumId w:val="15"/>
  </w:num>
  <w:num w:numId="22" w16cid:durableId="266815306">
    <w:abstractNumId w:val="40"/>
  </w:num>
  <w:num w:numId="23" w16cid:durableId="2083524778">
    <w:abstractNumId w:val="44"/>
  </w:num>
  <w:num w:numId="24" w16cid:durableId="559250586">
    <w:abstractNumId w:val="45"/>
  </w:num>
  <w:num w:numId="25" w16cid:durableId="655570929">
    <w:abstractNumId w:val="12"/>
  </w:num>
  <w:num w:numId="26" w16cid:durableId="622733876">
    <w:abstractNumId w:val="9"/>
  </w:num>
  <w:num w:numId="27" w16cid:durableId="848570280">
    <w:abstractNumId w:val="0"/>
  </w:num>
  <w:num w:numId="28" w16cid:durableId="533349950">
    <w:abstractNumId w:val="65"/>
  </w:num>
  <w:num w:numId="29" w16cid:durableId="160317432">
    <w:abstractNumId w:val="50"/>
  </w:num>
  <w:num w:numId="30" w16cid:durableId="999116578">
    <w:abstractNumId w:val="36"/>
  </w:num>
  <w:num w:numId="31" w16cid:durableId="670959520">
    <w:abstractNumId w:val="47"/>
  </w:num>
  <w:num w:numId="32" w16cid:durableId="1711220141">
    <w:abstractNumId w:val="33"/>
  </w:num>
  <w:num w:numId="33" w16cid:durableId="1515725905">
    <w:abstractNumId w:val="29"/>
  </w:num>
  <w:num w:numId="34" w16cid:durableId="269974771">
    <w:abstractNumId w:val="31"/>
  </w:num>
  <w:num w:numId="35" w16cid:durableId="1623339205">
    <w:abstractNumId w:val="57"/>
  </w:num>
  <w:num w:numId="36" w16cid:durableId="197398751">
    <w:abstractNumId w:val="64"/>
  </w:num>
  <w:num w:numId="37" w16cid:durableId="2089302389">
    <w:abstractNumId w:val="14"/>
  </w:num>
  <w:num w:numId="38" w16cid:durableId="246622102">
    <w:abstractNumId w:val="5"/>
  </w:num>
  <w:num w:numId="39" w16cid:durableId="1051349363">
    <w:abstractNumId w:val="58"/>
  </w:num>
  <w:num w:numId="40" w16cid:durableId="1446315160">
    <w:abstractNumId w:val="49"/>
  </w:num>
  <w:num w:numId="41" w16cid:durableId="2007783989">
    <w:abstractNumId w:val="59"/>
  </w:num>
  <w:num w:numId="42" w16cid:durableId="720834225">
    <w:abstractNumId w:val="42"/>
  </w:num>
  <w:num w:numId="43" w16cid:durableId="311100132">
    <w:abstractNumId w:val="7"/>
  </w:num>
  <w:num w:numId="44" w16cid:durableId="292443630">
    <w:abstractNumId w:val="38"/>
  </w:num>
  <w:num w:numId="45" w16cid:durableId="197160685">
    <w:abstractNumId w:val="46"/>
  </w:num>
  <w:num w:numId="46" w16cid:durableId="2021083598">
    <w:abstractNumId w:val="24"/>
  </w:num>
  <w:num w:numId="47" w16cid:durableId="779297472">
    <w:abstractNumId w:val="66"/>
  </w:num>
  <w:num w:numId="48" w16cid:durableId="147720391">
    <w:abstractNumId w:val="52"/>
  </w:num>
  <w:num w:numId="49" w16cid:durableId="1679305383">
    <w:abstractNumId w:val="2"/>
  </w:num>
  <w:num w:numId="50" w16cid:durableId="475758492">
    <w:abstractNumId w:val="54"/>
  </w:num>
  <w:num w:numId="51" w16cid:durableId="225070794">
    <w:abstractNumId w:val="62"/>
  </w:num>
  <w:num w:numId="52" w16cid:durableId="1258901631">
    <w:abstractNumId w:val="56"/>
  </w:num>
  <w:num w:numId="53" w16cid:durableId="374503944">
    <w:abstractNumId w:val="61"/>
  </w:num>
  <w:num w:numId="54" w16cid:durableId="56516124">
    <w:abstractNumId w:val="27"/>
  </w:num>
  <w:num w:numId="55" w16cid:durableId="933055866">
    <w:abstractNumId w:val="71"/>
  </w:num>
  <w:num w:numId="56" w16cid:durableId="1179542938">
    <w:abstractNumId w:val="19"/>
  </w:num>
  <w:num w:numId="57" w16cid:durableId="1079253017">
    <w:abstractNumId w:val="35"/>
  </w:num>
  <w:num w:numId="58" w16cid:durableId="2007202611">
    <w:abstractNumId w:val="16"/>
  </w:num>
  <w:num w:numId="59" w16cid:durableId="762527833">
    <w:abstractNumId w:val="51"/>
  </w:num>
  <w:num w:numId="60" w16cid:durableId="1356691697">
    <w:abstractNumId w:val="11"/>
  </w:num>
  <w:num w:numId="61" w16cid:durableId="1711302859">
    <w:abstractNumId w:val="8"/>
  </w:num>
  <w:num w:numId="62" w16cid:durableId="41028655">
    <w:abstractNumId w:val="18"/>
  </w:num>
  <w:num w:numId="63" w16cid:durableId="1017344471">
    <w:abstractNumId w:val="22"/>
  </w:num>
  <w:num w:numId="64" w16cid:durableId="1225601853">
    <w:abstractNumId w:val="63"/>
  </w:num>
  <w:num w:numId="65" w16cid:durableId="167213009">
    <w:abstractNumId w:val="68"/>
  </w:num>
  <w:num w:numId="66" w16cid:durableId="1021275317">
    <w:abstractNumId w:val="26"/>
  </w:num>
  <w:num w:numId="67" w16cid:durableId="730231462">
    <w:abstractNumId w:val="21"/>
  </w:num>
  <w:num w:numId="68" w16cid:durableId="252401667">
    <w:abstractNumId w:val="25"/>
  </w:num>
  <w:num w:numId="69" w16cid:durableId="1583642066">
    <w:abstractNumId w:val="55"/>
  </w:num>
  <w:num w:numId="70" w16cid:durableId="1976639162">
    <w:abstractNumId w:val="10"/>
  </w:num>
  <w:num w:numId="71" w16cid:durableId="1194610711">
    <w:abstractNumId w:val="32"/>
  </w:num>
  <w:num w:numId="72" w16cid:durableId="430206783">
    <w:abstractNumId w:val="6"/>
  </w:num>
  <w:num w:numId="73" w16cid:durableId="962269868">
    <w:abstractNumId w:val="1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959"/>
    <w:rsid w:val="00031512"/>
    <w:rsid w:val="00041799"/>
    <w:rsid w:val="00075782"/>
    <w:rsid w:val="000A71E6"/>
    <w:rsid w:val="000C594E"/>
    <w:rsid w:val="000C78B0"/>
    <w:rsid w:val="000D129B"/>
    <w:rsid w:val="00153879"/>
    <w:rsid w:val="00160077"/>
    <w:rsid w:val="001637BA"/>
    <w:rsid w:val="001C18C1"/>
    <w:rsid w:val="001C3728"/>
    <w:rsid w:val="001D5EF2"/>
    <w:rsid w:val="001F25E4"/>
    <w:rsid w:val="00212ED5"/>
    <w:rsid w:val="002430D6"/>
    <w:rsid w:val="00263543"/>
    <w:rsid w:val="00271E45"/>
    <w:rsid w:val="00282B59"/>
    <w:rsid w:val="002917FE"/>
    <w:rsid w:val="002B23CF"/>
    <w:rsid w:val="002C0D11"/>
    <w:rsid w:val="002C1128"/>
    <w:rsid w:val="002C56EC"/>
    <w:rsid w:val="002C5C19"/>
    <w:rsid w:val="002F07DD"/>
    <w:rsid w:val="003259DD"/>
    <w:rsid w:val="003425AD"/>
    <w:rsid w:val="00361E3B"/>
    <w:rsid w:val="00374F96"/>
    <w:rsid w:val="003A170C"/>
    <w:rsid w:val="003A7B8D"/>
    <w:rsid w:val="003D0D2B"/>
    <w:rsid w:val="003D5AED"/>
    <w:rsid w:val="003D76C4"/>
    <w:rsid w:val="003F4F9D"/>
    <w:rsid w:val="0042040C"/>
    <w:rsid w:val="00430DED"/>
    <w:rsid w:val="004453FF"/>
    <w:rsid w:val="004569A0"/>
    <w:rsid w:val="00456BC6"/>
    <w:rsid w:val="004D022C"/>
    <w:rsid w:val="004D3F33"/>
    <w:rsid w:val="004E3FA1"/>
    <w:rsid w:val="004F4A2A"/>
    <w:rsid w:val="00511A40"/>
    <w:rsid w:val="005809B0"/>
    <w:rsid w:val="005837CE"/>
    <w:rsid w:val="0059729A"/>
    <w:rsid w:val="005B098C"/>
    <w:rsid w:val="005C70CD"/>
    <w:rsid w:val="005F4661"/>
    <w:rsid w:val="00616B98"/>
    <w:rsid w:val="00620EED"/>
    <w:rsid w:val="00623BBB"/>
    <w:rsid w:val="00662570"/>
    <w:rsid w:val="0066364B"/>
    <w:rsid w:val="00665C71"/>
    <w:rsid w:val="00667CA1"/>
    <w:rsid w:val="00673073"/>
    <w:rsid w:val="00684357"/>
    <w:rsid w:val="00695821"/>
    <w:rsid w:val="006B4FBD"/>
    <w:rsid w:val="006C47AB"/>
    <w:rsid w:val="006C601A"/>
    <w:rsid w:val="006D6B6E"/>
    <w:rsid w:val="006E65DA"/>
    <w:rsid w:val="00700BB8"/>
    <w:rsid w:val="00703B46"/>
    <w:rsid w:val="0070461A"/>
    <w:rsid w:val="00711808"/>
    <w:rsid w:val="007855C2"/>
    <w:rsid w:val="007B1251"/>
    <w:rsid w:val="007B3E77"/>
    <w:rsid w:val="007B6EA7"/>
    <w:rsid w:val="007C5E57"/>
    <w:rsid w:val="007F5197"/>
    <w:rsid w:val="00825710"/>
    <w:rsid w:val="00843DBD"/>
    <w:rsid w:val="00853496"/>
    <w:rsid w:val="008A00F1"/>
    <w:rsid w:val="008C142F"/>
    <w:rsid w:val="009372A0"/>
    <w:rsid w:val="0094322E"/>
    <w:rsid w:val="0094681E"/>
    <w:rsid w:val="009848F3"/>
    <w:rsid w:val="009909CC"/>
    <w:rsid w:val="009C35DD"/>
    <w:rsid w:val="009C47EE"/>
    <w:rsid w:val="00A32D4C"/>
    <w:rsid w:val="00A61DB5"/>
    <w:rsid w:val="00A67182"/>
    <w:rsid w:val="00A7047A"/>
    <w:rsid w:val="00A75289"/>
    <w:rsid w:val="00AC24F6"/>
    <w:rsid w:val="00AD30B3"/>
    <w:rsid w:val="00AE44B8"/>
    <w:rsid w:val="00AE68E2"/>
    <w:rsid w:val="00B40CFB"/>
    <w:rsid w:val="00BA23FB"/>
    <w:rsid w:val="00BB1412"/>
    <w:rsid w:val="00BB18CF"/>
    <w:rsid w:val="00BD0C6B"/>
    <w:rsid w:val="00BD5F49"/>
    <w:rsid w:val="00BE049A"/>
    <w:rsid w:val="00BE2BF7"/>
    <w:rsid w:val="00C316D7"/>
    <w:rsid w:val="00C4159F"/>
    <w:rsid w:val="00C47B61"/>
    <w:rsid w:val="00C6042A"/>
    <w:rsid w:val="00C70508"/>
    <w:rsid w:val="00C71140"/>
    <w:rsid w:val="00C771D0"/>
    <w:rsid w:val="00C823AA"/>
    <w:rsid w:val="00C95F86"/>
    <w:rsid w:val="00CB5519"/>
    <w:rsid w:val="00CB6FD5"/>
    <w:rsid w:val="00CC5311"/>
    <w:rsid w:val="00CC6449"/>
    <w:rsid w:val="00CE5F92"/>
    <w:rsid w:val="00CE6980"/>
    <w:rsid w:val="00D112EE"/>
    <w:rsid w:val="00D115FA"/>
    <w:rsid w:val="00D20D78"/>
    <w:rsid w:val="00D21C0C"/>
    <w:rsid w:val="00D8673D"/>
    <w:rsid w:val="00DB75B4"/>
    <w:rsid w:val="00DE5064"/>
    <w:rsid w:val="00E02A20"/>
    <w:rsid w:val="00E070B1"/>
    <w:rsid w:val="00E2614B"/>
    <w:rsid w:val="00E268D4"/>
    <w:rsid w:val="00E46589"/>
    <w:rsid w:val="00E53959"/>
    <w:rsid w:val="00E53CF8"/>
    <w:rsid w:val="00E60A99"/>
    <w:rsid w:val="00E81CEF"/>
    <w:rsid w:val="00E8527C"/>
    <w:rsid w:val="00E9427E"/>
    <w:rsid w:val="00ED139D"/>
    <w:rsid w:val="00ED4049"/>
    <w:rsid w:val="00F01C61"/>
    <w:rsid w:val="00F07FC5"/>
    <w:rsid w:val="00F35790"/>
    <w:rsid w:val="00F40B0B"/>
    <w:rsid w:val="00F9166E"/>
    <w:rsid w:val="00F94AE3"/>
    <w:rsid w:val="00FB42C7"/>
    <w:rsid w:val="00FF5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CC44A"/>
  <w15:chartTrackingRefBased/>
  <w15:docId w15:val="{0BA5F09E-86D0-4E34-8194-D18989316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6D7"/>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E46589"/>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40CFB"/>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1C3728"/>
    <w:pPr>
      <w:keepNext/>
      <w:keepLines/>
      <w:spacing w:before="160" w:after="80"/>
      <w:outlineLvl w:val="2"/>
    </w:pPr>
    <w:rPr>
      <w:rFonts w:ascii="Arial" w:eastAsiaTheme="majorEastAsia" w:hAnsi="Arial" w:cstheme="majorBidi"/>
      <w:b/>
      <w:color w:val="000000" w:themeColor="text1"/>
      <w:sz w:val="26"/>
      <w:szCs w:val="28"/>
    </w:rPr>
  </w:style>
  <w:style w:type="paragraph" w:styleId="Heading4">
    <w:name w:val="heading 4"/>
    <w:basedOn w:val="Normal"/>
    <w:next w:val="Normal"/>
    <w:link w:val="Heading4Char"/>
    <w:uiPriority w:val="9"/>
    <w:semiHidden/>
    <w:unhideWhenUsed/>
    <w:qFormat/>
    <w:rsid w:val="00E539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39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39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9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9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9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589"/>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B40CFB"/>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rsid w:val="001C3728"/>
    <w:rPr>
      <w:rFonts w:ascii="Arial" w:eastAsiaTheme="majorEastAsia" w:hAnsi="Arial" w:cstheme="majorBidi"/>
      <w:b/>
      <w:color w:val="000000" w:themeColor="text1"/>
      <w:kern w:val="0"/>
      <w:sz w:val="26"/>
      <w:szCs w:val="28"/>
      <w:lang w:val="en-GB"/>
      <w14:ligatures w14:val="none"/>
    </w:rPr>
  </w:style>
  <w:style w:type="character" w:customStyle="1" w:styleId="Heading4Char">
    <w:name w:val="Heading 4 Char"/>
    <w:basedOn w:val="DefaultParagraphFont"/>
    <w:link w:val="Heading4"/>
    <w:uiPriority w:val="9"/>
    <w:semiHidden/>
    <w:rsid w:val="00E539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39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39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9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9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959"/>
    <w:rPr>
      <w:rFonts w:eastAsiaTheme="majorEastAsia" w:cstheme="majorBidi"/>
      <w:color w:val="272727" w:themeColor="text1" w:themeTint="D8"/>
    </w:rPr>
  </w:style>
  <w:style w:type="paragraph" w:styleId="Title">
    <w:name w:val="Title"/>
    <w:basedOn w:val="Normal"/>
    <w:next w:val="Normal"/>
    <w:link w:val="TitleChar"/>
    <w:uiPriority w:val="10"/>
    <w:qFormat/>
    <w:rsid w:val="00E53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9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9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9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959"/>
    <w:pPr>
      <w:spacing w:before="160"/>
      <w:jc w:val="center"/>
    </w:pPr>
    <w:rPr>
      <w:i/>
      <w:iCs/>
      <w:color w:val="404040" w:themeColor="text1" w:themeTint="BF"/>
    </w:rPr>
  </w:style>
  <w:style w:type="character" w:customStyle="1" w:styleId="QuoteChar">
    <w:name w:val="Quote Char"/>
    <w:basedOn w:val="DefaultParagraphFont"/>
    <w:link w:val="Quote"/>
    <w:uiPriority w:val="29"/>
    <w:rsid w:val="00E53959"/>
    <w:rPr>
      <w:i/>
      <w:iCs/>
      <w:color w:val="404040" w:themeColor="text1" w:themeTint="BF"/>
    </w:rPr>
  </w:style>
  <w:style w:type="paragraph" w:styleId="ListParagraph">
    <w:name w:val="List Paragraph"/>
    <w:basedOn w:val="Normal"/>
    <w:uiPriority w:val="34"/>
    <w:qFormat/>
    <w:rsid w:val="00E53959"/>
    <w:pPr>
      <w:ind w:left="720"/>
      <w:contextualSpacing/>
    </w:pPr>
  </w:style>
  <w:style w:type="character" w:styleId="IntenseEmphasis">
    <w:name w:val="Intense Emphasis"/>
    <w:basedOn w:val="DefaultParagraphFont"/>
    <w:uiPriority w:val="21"/>
    <w:qFormat/>
    <w:rsid w:val="00E53959"/>
    <w:rPr>
      <w:i/>
      <w:iCs/>
      <w:color w:val="2F5496" w:themeColor="accent1" w:themeShade="BF"/>
    </w:rPr>
  </w:style>
  <w:style w:type="paragraph" w:styleId="IntenseQuote">
    <w:name w:val="Intense Quote"/>
    <w:basedOn w:val="Normal"/>
    <w:next w:val="Normal"/>
    <w:link w:val="IntenseQuoteChar"/>
    <w:uiPriority w:val="30"/>
    <w:qFormat/>
    <w:rsid w:val="00E539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3959"/>
    <w:rPr>
      <w:i/>
      <w:iCs/>
      <w:color w:val="2F5496" w:themeColor="accent1" w:themeShade="BF"/>
    </w:rPr>
  </w:style>
  <w:style w:type="character" w:styleId="IntenseReference">
    <w:name w:val="Intense Reference"/>
    <w:basedOn w:val="DefaultParagraphFont"/>
    <w:uiPriority w:val="32"/>
    <w:qFormat/>
    <w:rsid w:val="00E53959"/>
    <w:rPr>
      <w:b/>
      <w:bCs/>
      <w:smallCaps/>
      <w:color w:val="2F5496" w:themeColor="accent1" w:themeShade="BF"/>
      <w:spacing w:val="5"/>
    </w:rPr>
  </w:style>
  <w:style w:type="paragraph" w:styleId="NormalWeb">
    <w:name w:val="Normal (Web)"/>
    <w:basedOn w:val="Normal"/>
    <w:uiPriority w:val="99"/>
    <w:unhideWhenUsed/>
    <w:rsid w:val="00D115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11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5FA"/>
    <w:rPr>
      <w:kern w:val="0"/>
      <w:sz w:val="22"/>
      <w:szCs w:val="22"/>
      <w:lang w:val="en-GB"/>
      <w14:ligatures w14:val="none"/>
    </w:rPr>
  </w:style>
  <w:style w:type="paragraph" w:styleId="TOCHeading">
    <w:name w:val="TOC Heading"/>
    <w:basedOn w:val="Heading1"/>
    <w:next w:val="Normal"/>
    <w:uiPriority w:val="39"/>
    <w:unhideWhenUsed/>
    <w:qFormat/>
    <w:rsid w:val="00D115FA"/>
    <w:pPr>
      <w:spacing w:before="480" w:after="0"/>
      <w:outlineLvl w:val="9"/>
    </w:pPr>
    <w:rPr>
      <w:bCs/>
      <w:sz w:val="28"/>
      <w:szCs w:val="28"/>
      <w:lang w:eastAsia="ja-JP"/>
    </w:rPr>
  </w:style>
  <w:style w:type="paragraph" w:styleId="TOC1">
    <w:name w:val="toc 1"/>
    <w:basedOn w:val="Normal"/>
    <w:next w:val="Normal"/>
    <w:autoRedefine/>
    <w:uiPriority w:val="39"/>
    <w:unhideWhenUsed/>
    <w:rsid w:val="00D115FA"/>
    <w:pPr>
      <w:spacing w:after="100"/>
    </w:pPr>
  </w:style>
  <w:style w:type="character" w:styleId="Hyperlink">
    <w:name w:val="Hyperlink"/>
    <w:basedOn w:val="DefaultParagraphFont"/>
    <w:uiPriority w:val="99"/>
    <w:unhideWhenUsed/>
    <w:rsid w:val="00D115FA"/>
    <w:rPr>
      <w:color w:val="0563C1" w:themeColor="hyperlink"/>
      <w:u w:val="single"/>
    </w:rPr>
  </w:style>
  <w:style w:type="paragraph" w:styleId="NoSpacing">
    <w:name w:val="No Spacing"/>
    <w:link w:val="NoSpacingChar"/>
    <w:uiPriority w:val="1"/>
    <w:qFormat/>
    <w:rsid w:val="00D115FA"/>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D115FA"/>
    <w:rPr>
      <w:rFonts w:eastAsiaTheme="minorEastAsia"/>
      <w:kern w:val="0"/>
      <w:sz w:val="22"/>
      <w:szCs w:val="22"/>
      <w14:ligatures w14:val="none"/>
    </w:rPr>
  </w:style>
  <w:style w:type="character" w:customStyle="1" w:styleId="citation-198">
    <w:name w:val="citation-198"/>
    <w:basedOn w:val="DefaultParagraphFont"/>
    <w:rsid w:val="00D115FA"/>
  </w:style>
  <w:style w:type="character" w:customStyle="1" w:styleId="citation-197">
    <w:name w:val="citation-197"/>
    <w:basedOn w:val="DefaultParagraphFont"/>
    <w:rsid w:val="00D115FA"/>
  </w:style>
  <w:style w:type="character" w:customStyle="1" w:styleId="citation-194">
    <w:name w:val="citation-194"/>
    <w:basedOn w:val="DefaultParagraphFont"/>
    <w:rsid w:val="00D115FA"/>
  </w:style>
  <w:style w:type="paragraph" w:styleId="TOC2">
    <w:name w:val="toc 2"/>
    <w:basedOn w:val="Normal"/>
    <w:next w:val="Normal"/>
    <w:autoRedefine/>
    <w:uiPriority w:val="39"/>
    <w:unhideWhenUsed/>
    <w:rsid w:val="00D115FA"/>
    <w:pPr>
      <w:spacing w:after="100"/>
      <w:ind w:left="220"/>
    </w:pPr>
  </w:style>
  <w:style w:type="paragraph" w:styleId="Caption">
    <w:name w:val="caption"/>
    <w:basedOn w:val="Normal"/>
    <w:next w:val="Normal"/>
    <w:uiPriority w:val="35"/>
    <w:unhideWhenUsed/>
    <w:qFormat/>
    <w:rsid w:val="00D115FA"/>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D115FA"/>
    <w:pPr>
      <w:spacing w:after="0"/>
    </w:pPr>
  </w:style>
  <w:style w:type="table" w:styleId="TableGrid">
    <w:name w:val="Table Grid"/>
    <w:basedOn w:val="TableNormal"/>
    <w:uiPriority w:val="39"/>
    <w:rsid w:val="00D11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115FA"/>
    <w:rPr>
      <w:color w:val="666666"/>
    </w:rPr>
  </w:style>
  <w:style w:type="character" w:customStyle="1" w:styleId="UnresolvedMention1">
    <w:name w:val="Unresolved Mention1"/>
    <w:basedOn w:val="DefaultParagraphFont"/>
    <w:uiPriority w:val="99"/>
    <w:semiHidden/>
    <w:unhideWhenUsed/>
    <w:rsid w:val="00D115FA"/>
    <w:rPr>
      <w:color w:val="605E5C"/>
      <w:shd w:val="clear" w:color="auto" w:fill="E1DFDD"/>
    </w:rPr>
  </w:style>
  <w:style w:type="paragraph" w:styleId="TOC3">
    <w:name w:val="toc 3"/>
    <w:basedOn w:val="Normal"/>
    <w:next w:val="Normal"/>
    <w:autoRedefine/>
    <w:uiPriority w:val="39"/>
    <w:unhideWhenUsed/>
    <w:rsid w:val="00D115FA"/>
    <w:pPr>
      <w:spacing w:after="100"/>
      <w:ind w:left="440"/>
    </w:pPr>
  </w:style>
  <w:style w:type="paragraph" w:styleId="Header">
    <w:name w:val="header"/>
    <w:basedOn w:val="Normal"/>
    <w:link w:val="HeaderChar"/>
    <w:uiPriority w:val="99"/>
    <w:unhideWhenUsed/>
    <w:rsid w:val="00F07F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7FC5"/>
    <w:rPr>
      <w:kern w:val="0"/>
      <w:sz w:val="22"/>
      <w:szCs w:val="22"/>
      <w:lang w:val="en-GB"/>
      <w14:ligatures w14:val="none"/>
    </w:rPr>
  </w:style>
  <w:style w:type="character" w:styleId="Strong">
    <w:name w:val="Strong"/>
    <w:basedOn w:val="DefaultParagraphFont"/>
    <w:uiPriority w:val="22"/>
    <w:qFormat/>
    <w:rsid w:val="001C3728"/>
    <w:rPr>
      <w:b/>
      <w:bCs/>
    </w:rPr>
  </w:style>
  <w:style w:type="character" w:styleId="UnresolvedMention">
    <w:name w:val="Unresolved Mention"/>
    <w:basedOn w:val="DefaultParagraphFont"/>
    <w:uiPriority w:val="99"/>
    <w:semiHidden/>
    <w:unhideWhenUsed/>
    <w:rsid w:val="003D0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20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ista.com" TargetMode="External"/><Relationship Id="rId18" Type="http://schemas.openxmlformats.org/officeDocument/2006/relationships/hyperlink" Target="https://hbr.org" TargetMode="External"/><Relationship Id="rId26" Type="http://schemas.openxmlformats.org/officeDocument/2006/relationships/hyperlink" Target="https://www.forbes.com" TargetMode="External"/><Relationship Id="rId39" Type="http://schemas.openxmlformats.org/officeDocument/2006/relationships/hyperlink" Target="https://www.economist.com" TargetMode="External"/><Relationship Id="rId21" Type="http://schemas.openxmlformats.org/officeDocument/2006/relationships/hyperlink" Target="https://www.economist.com" TargetMode="External"/><Relationship Id="rId34" Type="http://schemas.openxmlformats.org/officeDocument/2006/relationships/hyperlink" Target="https://www.ft.com" TargetMode="External"/><Relationship Id="rId42" Type="http://schemas.openxmlformats.org/officeDocument/2006/relationships/chart" Target="charts/chart1.xml"/><Relationship Id="rId47" Type="http://schemas.openxmlformats.org/officeDocument/2006/relationships/image" Target="media/image3.emf"/><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loomberg.com" TargetMode="External"/><Relationship Id="rId29" Type="http://schemas.openxmlformats.org/officeDocument/2006/relationships/hyperlink" Target="https://www.oecd.org" TargetMode="External"/><Relationship Id="rId11" Type="http://schemas.openxmlformats.org/officeDocument/2006/relationships/hyperlink" Target="https://www.forbes.com" TargetMode="External"/><Relationship Id="rId24" Type="http://schemas.openxmlformats.org/officeDocument/2006/relationships/hyperlink" Target="https://www.bloomberg.com" TargetMode="External"/><Relationship Id="rId32" Type="http://schemas.openxmlformats.org/officeDocument/2006/relationships/hyperlink" Target="https://annualreport2024.volkswagen-group.com" TargetMode="External"/><Relationship Id="rId37" Type="http://schemas.openxmlformats.org/officeDocument/2006/relationships/hyperlink" Target="https://advantage.marketline.com" TargetMode="External"/><Relationship Id="rId40" Type="http://schemas.openxmlformats.org/officeDocument/2006/relationships/image" Target="media/image2.emf"/><Relationship Id="rId45"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hyperlink" Target="https://www.volkswagenag.com/en/InvestorRelations.html" TargetMode="External"/><Relationship Id="rId23" Type="http://schemas.openxmlformats.org/officeDocument/2006/relationships/hyperlink" Target="https://www.gurufocus.com" TargetMode="External"/><Relationship Id="rId28" Type="http://schemas.openxmlformats.org/officeDocument/2006/relationships/hyperlink" Target="https://advantage.marketline.com" TargetMode="External"/><Relationship Id="rId36" Type="http://schemas.openxmlformats.org/officeDocument/2006/relationships/hyperlink" Target="https://hbr.org" TargetMode="External"/><Relationship Id="rId49" Type="http://schemas.openxmlformats.org/officeDocument/2006/relationships/chart" Target="charts/chart6.xml"/><Relationship Id="rId10" Type="http://schemas.openxmlformats.org/officeDocument/2006/relationships/hyperlink" Target="https://www.ft.com" TargetMode="External"/><Relationship Id="rId19" Type="http://schemas.openxmlformats.org/officeDocument/2006/relationships/hyperlink" Target="https://advantage.marketline.com" TargetMode="External"/><Relationship Id="rId31" Type="http://schemas.openxmlformats.org/officeDocument/2006/relationships/hyperlink" Target="https://www.economist.com" TargetMode="External"/><Relationship Id="rId44" Type="http://schemas.openxmlformats.org/officeDocument/2006/relationships/chart" Target="charts/chart3.xm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loomberg.com" TargetMode="External"/><Relationship Id="rId14" Type="http://schemas.openxmlformats.org/officeDocument/2006/relationships/hyperlink" Target="https://www.economist.com" TargetMode="External"/><Relationship Id="rId22" Type="http://schemas.openxmlformats.org/officeDocument/2006/relationships/hyperlink" Target="https://annualreport2024.volkswagen-group.com" TargetMode="External"/><Relationship Id="rId27" Type="http://schemas.openxmlformats.org/officeDocument/2006/relationships/hyperlink" Target="https://hbr.org" TargetMode="External"/><Relationship Id="rId30" Type="http://schemas.openxmlformats.org/officeDocument/2006/relationships/hyperlink" Target="https://www.statista.com" TargetMode="External"/><Relationship Id="rId35" Type="http://schemas.openxmlformats.org/officeDocument/2006/relationships/hyperlink" Target="https://www.forbes.com" TargetMode="External"/><Relationship Id="rId43" Type="http://schemas.openxmlformats.org/officeDocument/2006/relationships/chart" Target="charts/chart2.xml"/><Relationship Id="rId48" Type="http://schemas.openxmlformats.org/officeDocument/2006/relationships/package" Target="embeddings/Microsoft_Excel_Worksheet1.xlsx"/><Relationship Id="rId8" Type="http://schemas.microsoft.com/office/2007/relationships/hdphoto" Target="media/hdphoto1.wdp"/><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advantage.marketline.com" TargetMode="External"/><Relationship Id="rId17" Type="http://schemas.openxmlformats.org/officeDocument/2006/relationships/hyperlink" Target="https://www.ft.com" TargetMode="External"/><Relationship Id="rId25" Type="http://schemas.openxmlformats.org/officeDocument/2006/relationships/hyperlink" Target="https://www.ft.com" TargetMode="External"/><Relationship Id="rId33" Type="http://schemas.openxmlformats.org/officeDocument/2006/relationships/hyperlink" Target="https://www.bloomberg.com" TargetMode="External"/><Relationship Id="rId38" Type="http://schemas.openxmlformats.org/officeDocument/2006/relationships/hyperlink" Target="https://www.statista.com" TargetMode="External"/><Relationship Id="rId46" Type="http://schemas.openxmlformats.org/officeDocument/2006/relationships/chart" Target="charts/chart5.xml"/><Relationship Id="rId20" Type="http://schemas.openxmlformats.org/officeDocument/2006/relationships/hyperlink" Target="https://www.statista.com" TargetMode="External"/><Relationship Id="rId41" Type="http://schemas.openxmlformats.org/officeDocument/2006/relationships/package" Target="embeddings/Microsoft_Excel_Worksheet.xlsx"/><Relationship Id="rId1" Type="http://schemas.openxmlformats.org/officeDocument/2006/relationships/numbering" Target="numbering.xml"/><Relationship Id="rId6"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pollo%20Gadget\OneDrive\Desktop\zahid%20%20vai%20task\New%20folder\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pollo%20Gadget\OneDrive\Desktop\zahid%20%20vai%20task\New%20folder\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pollo%20Gadget\OneDrive\Desktop\zahid%20%20vai%20task\New%20folder\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pollo%20Gadget\OneDrive\Desktop\zahid%20%20vai%20task\New%20folder\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pollo%20Gadget\OneDrive\Desktop\zahid%20%20vai%20task\New%20folder\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pollo%20Gadget\OneDrive\Desktop\zahid%20%20vai%20task\New%20folder\New%20Microsoft%20Excel%20Worksheet.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Sheet1!$B$8</c:f>
              <c:strCache>
                <c:ptCount val="1"/>
                <c:pt idx="0">
                  <c:v>Revenue (€bn)</c:v>
                </c:pt>
              </c:strCache>
            </c:strRef>
          </c:tx>
          <c:spPr>
            <a:solidFill>
              <a:schemeClr val="accent2"/>
            </a:solidFill>
            <a:ln>
              <a:noFill/>
            </a:ln>
            <a:effectLst/>
          </c:spPr>
          <c:invertIfNegative val="0"/>
          <c:cat>
            <c:strRef>
              <c:f>Sheet1!$A$9:$A$13</c:f>
              <c:strCache>
                <c:ptCount val="5"/>
                <c:pt idx="0">
                  <c:v>2019</c:v>
                </c:pt>
                <c:pt idx="1">
                  <c:v>2020</c:v>
                </c:pt>
                <c:pt idx="2">
                  <c:v>2021</c:v>
                </c:pt>
                <c:pt idx="3">
                  <c:v>2022</c:v>
                </c:pt>
                <c:pt idx="4">
                  <c:v>2023</c:v>
                </c:pt>
              </c:strCache>
            </c:strRef>
          </c:cat>
          <c:val>
            <c:numRef>
              <c:f>Sheet1!$B$9:$B$13</c:f>
              <c:numCache>
                <c:formatCode>General</c:formatCode>
                <c:ptCount val="5"/>
                <c:pt idx="0">
                  <c:v>252.6</c:v>
                </c:pt>
                <c:pt idx="1">
                  <c:v>222.9</c:v>
                </c:pt>
                <c:pt idx="2">
                  <c:v>250.2</c:v>
                </c:pt>
                <c:pt idx="3">
                  <c:v>279.2</c:v>
                </c:pt>
                <c:pt idx="4">
                  <c:v>322.3</c:v>
                </c:pt>
              </c:numCache>
            </c:numRef>
          </c:val>
          <c:extLst>
            <c:ext xmlns:c16="http://schemas.microsoft.com/office/drawing/2014/chart" uri="{C3380CC4-5D6E-409C-BE32-E72D297353CC}">
              <c16:uniqueId val="{00000000-5154-49A9-BDE8-5D32AA58B2CA}"/>
            </c:ext>
          </c:extLst>
        </c:ser>
        <c:dLbls>
          <c:showLegendKey val="0"/>
          <c:showVal val="0"/>
          <c:showCatName val="0"/>
          <c:showSerName val="0"/>
          <c:showPercent val="0"/>
          <c:showBubbleSize val="0"/>
        </c:dLbls>
        <c:gapWidth val="150"/>
        <c:axId val="1741744672"/>
        <c:axId val="1741749472"/>
      </c:barChart>
      <c:catAx>
        <c:axId val="1741744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1749472"/>
        <c:crosses val="autoZero"/>
        <c:auto val="1"/>
        <c:lblAlgn val="ctr"/>
        <c:lblOffset val="100"/>
        <c:noMultiLvlLbl val="0"/>
      </c:catAx>
      <c:valAx>
        <c:axId val="1741749472"/>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17446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Sheet1!$B$15</c:f>
              <c:strCache>
                <c:ptCount val="1"/>
                <c:pt idx="0">
                  <c:v>Operating Margin (%)</c:v>
                </c:pt>
              </c:strCache>
            </c:strRef>
          </c:tx>
          <c:spPr>
            <a:ln w="38100" cap="rnd">
              <a:solidFill>
                <a:schemeClr val="accent6"/>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Sheet1!$A$16:$A$20</c:f>
              <c:strCache>
                <c:ptCount val="5"/>
                <c:pt idx="0">
                  <c:v>2019</c:v>
                </c:pt>
                <c:pt idx="1">
                  <c:v>2020</c:v>
                </c:pt>
                <c:pt idx="2">
                  <c:v>2021</c:v>
                </c:pt>
                <c:pt idx="3">
                  <c:v>2022</c:v>
                </c:pt>
                <c:pt idx="4">
                  <c:v>2023</c:v>
                </c:pt>
              </c:strCache>
            </c:strRef>
          </c:cat>
          <c:val>
            <c:numRef>
              <c:f>Sheet1!$B$16:$B$20</c:f>
              <c:numCache>
                <c:formatCode>General</c:formatCode>
                <c:ptCount val="5"/>
                <c:pt idx="0">
                  <c:v>7.6</c:v>
                </c:pt>
                <c:pt idx="1">
                  <c:v>4.3</c:v>
                </c:pt>
                <c:pt idx="2">
                  <c:v>8</c:v>
                </c:pt>
                <c:pt idx="3">
                  <c:v>8.1</c:v>
                </c:pt>
                <c:pt idx="4">
                  <c:v>7</c:v>
                </c:pt>
              </c:numCache>
            </c:numRef>
          </c:val>
          <c:smooth val="0"/>
          <c:extLst>
            <c:ext xmlns:c16="http://schemas.microsoft.com/office/drawing/2014/chart" uri="{C3380CC4-5D6E-409C-BE32-E72D297353CC}">
              <c16:uniqueId val="{00000000-4282-46E4-9ADB-DC81224C376B}"/>
            </c:ext>
          </c:extLst>
        </c:ser>
        <c:dLbls>
          <c:dLblPos val="ctr"/>
          <c:showLegendKey val="0"/>
          <c:showVal val="1"/>
          <c:showCatName val="0"/>
          <c:showSerName val="0"/>
          <c:showPercent val="0"/>
          <c:showBubbleSize val="0"/>
        </c:dLbls>
        <c:smooth val="0"/>
        <c:axId val="1733797664"/>
        <c:axId val="1733798624"/>
      </c:lineChart>
      <c:catAx>
        <c:axId val="1733797664"/>
        <c:scaling>
          <c:orientation val="minMax"/>
        </c:scaling>
        <c:delete val="0"/>
        <c:axPos val="b"/>
        <c:title>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733798624"/>
        <c:crosses val="autoZero"/>
        <c:auto val="1"/>
        <c:lblAlgn val="ctr"/>
        <c:lblOffset val="100"/>
        <c:noMultiLvlLbl val="0"/>
      </c:catAx>
      <c:valAx>
        <c:axId val="173379862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37976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Sheet1!$B$22</c:f>
              <c:strCache>
                <c:ptCount val="1"/>
                <c:pt idx="0">
                  <c:v>Net Margin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Sheet1!$A$23:$A$27</c:f>
              <c:strCache>
                <c:ptCount val="5"/>
                <c:pt idx="0">
                  <c:v>2019</c:v>
                </c:pt>
                <c:pt idx="1">
                  <c:v>2020</c:v>
                </c:pt>
                <c:pt idx="2">
                  <c:v>2021</c:v>
                </c:pt>
                <c:pt idx="3">
                  <c:v>2022</c:v>
                </c:pt>
                <c:pt idx="4">
                  <c:v>2023</c:v>
                </c:pt>
              </c:strCache>
            </c:strRef>
          </c:cat>
          <c:val>
            <c:numRef>
              <c:f>Sheet1!$B$23:$B$27</c:f>
              <c:numCache>
                <c:formatCode>General</c:formatCode>
                <c:ptCount val="5"/>
                <c:pt idx="0">
                  <c:v>5.5</c:v>
                </c:pt>
                <c:pt idx="1">
                  <c:v>3.9</c:v>
                </c:pt>
                <c:pt idx="2">
                  <c:v>6.2</c:v>
                </c:pt>
                <c:pt idx="3">
                  <c:v>5.7</c:v>
                </c:pt>
                <c:pt idx="4">
                  <c:v>5</c:v>
                </c:pt>
              </c:numCache>
            </c:numRef>
          </c:val>
          <c:extLst>
            <c:ext xmlns:c16="http://schemas.microsoft.com/office/drawing/2014/chart" uri="{C3380CC4-5D6E-409C-BE32-E72D297353CC}">
              <c16:uniqueId val="{00000000-CFCC-45F9-B53B-673704B55E6C}"/>
            </c:ext>
          </c:extLst>
        </c:ser>
        <c:dLbls>
          <c:dLblPos val="inEnd"/>
          <c:showLegendKey val="0"/>
          <c:showVal val="1"/>
          <c:showCatName val="0"/>
          <c:showSerName val="0"/>
          <c:showPercent val="0"/>
          <c:showBubbleSize val="0"/>
        </c:dLbls>
        <c:gapWidth val="65"/>
        <c:axId val="1876483488"/>
        <c:axId val="1876492608"/>
      </c:barChart>
      <c:catAx>
        <c:axId val="187648348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876492608"/>
        <c:crosses val="autoZero"/>
        <c:auto val="1"/>
        <c:lblAlgn val="ctr"/>
        <c:lblOffset val="100"/>
        <c:noMultiLvlLbl val="0"/>
      </c:catAx>
      <c:valAx>
        <c:axId val="187649260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8764834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Sheet1!$B$30</c:f>
              <c:strCache>
                <c:ptCount val="1"/>
                <c:pt idx="0">
                  <c:v>Current Ratio</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Sheet1!$A$31:$A$35</c:f>
              <c:strCache>
                <c:ptCount val="5"/>
                <c:pt idx="0">
                  <c:v>2019</c:v>
                </c:pt>
                <c:pt idx="1">
                  <c:v>2020</c:v>
                </c:pt>
                <c:pt idx="2">
                  <c:v>2021</c:v>
                </c:pt>
                <c:pt idx="3">
                  <c:v>2022</c:v>
                </c:pt>
                <c:pt idx="4">
                  <c:v>2023</c:v>
                </c:pt>
              </c:strCache>
            </c:strRef>
          </c:cat>
          <c:val>
            <c:numRef>
              <c:f>Sheet1!$B$31:$B$35</c:f>
              <c:numCache>
                <c:formatCode>General</c:formatCode>
                <c:ptCount val="5"/>
                <c:pt idx="0">
                  <c:v>1.1200000000000001</c:v>
                </c:pt>
                <c:pt idx="1">
                  <c:v>1.1000000000000001</c:v>
                </c:pt>
                <c:pt idx="2">
                  <c:v>1.1499999999999999</c:v>
                </c:pt>
                <c:pt idx="3">
                  <c:v>1.18</c:v>
                </c:pt>
                <c:pt idx="4">
                  <c:v>1.2</c:v>
                </c:pt>
              </c:numCache>
            </c:numRef>
          </c:val>
          <c:extLst>
            <c:ext xmlns:c16="http://schemas.microsoft.com/office/drawing/2014/chart" uri="{C3380CC4-5D6E-409C-BE32-E72D297353CC}">
              <c16:uniqueId val="{00000000-E798-4B13-B72D-C9DEC6830EBB}"/>
            </c:ext>
          </c:extLst>
        </c:ser>
        <c:dLbls>
          <c:showLegendKey val="0"/>
          <c:showVal val="1"/>
          <c:showCatName val="0"/>
          <c:showSerName val="0"/>
          <c:showPercent val="0"/>
          <c:showBubbleSize val="0"/>
        </c:dLbls>
        <c:gapWidth val="84"/>
        <c:gapDepth val="53"/>
        <c:shape val="box"/>
        <c:axId val="1876504608"/>
        <c:axId val="1876513728"/>
        <c:axId val="0"/>
      </c:bar3DChart>
      <c:catAx>
        <c:axId val="18765046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876513728"/>
        <c:crosses val="autoZero"/>
        <c:auto val="1"/>
        <c:lblAlgn val="ctr"/>
        <c:lblOffset val="100"/>
        <c:noMultiLvlLbl val="0"/>
      </c:catAx>
      <c:valAx>
        <c:axId val="1876513728"/>
        <c:scaling>
          <c:orientation val="minMax"/>
        </c:scaling>
        <c:delete val="1"/>
        <c:axPos val="b"/>
        <c:numFmt formatCode="General" sourceLinked="1"/>
        <c:majorTickMark val="out"/>
        <c:minorTickMark val="none"/>
        <c:tickLblPos val="nextTo"/>
        <c:crossAx val="18765046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Sheet1!$B$37</c:f>
              <c:strCache>
                <c:ptCount val="1"/>
                <c:pt idx="0">
                  <c:v>Debt/Equity</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Sheet1!$A$38:$A$42</c:f>
              <c:strCache>
                <c:ptCount val="5"/>
                <c:pt idx="0">
                  <c:v>2019</c:v>
                </c:pt>
                <c:pt idx="1">
                  <c:v>2020</c:v>
                </c:pt>
                <c:pt idx="2">
                  <c:v>2021</c:v>
                </c:pt>
                <c:pt idx="3">
                  <c:v>2022</c:v>
                </c:pt>
                <c:pt idx="4">
                  <c:v>2023</c:v>
                </c:pt>
              </c:strCache>
            </c:strRef>
          </c:cat>
          <c:val>
            <c:numRef>
              <c:f>Sheet1!$B$38:$B$42</c:f>
              <c:numCache>
                <c:formatCode>General</c:formatCode>
                <c:ptCount val="5"/>
                <c:pt idx="0">
                  <c:v>1.65</c:v>
                </c:pt>
                <c:pt idx="1">
                  <c:v>1.72</c:v>
                </c:pt>
                <c:pt idx="2">
                  <c:v>1.7</c:v>
                </c:pt>
                <c:pt idx="3">
                  <c:v>1.68</c:v>
                </c:pt>
                <c:pt idx="4">
                  <c:v>1.66</c:v>
                </c:pt>
              </c:numCache>
            </c:numRef>
          </c:val>
          <c:extLst>
            <c:ext xmlns:c16="http://schemas.microsoft.com/office/drawing/2014/chart" uri="{C3380CC4-5D6E-409C-BE32-E72D297353CC}">
              <c16:uniqueId val="{00000000-9789-46B8-A13A-B8075A23F6EF}"/>
            </c:ext>
          </c:extLst>
        </c:ser>
        <c:dLbls>
          <c:showLegendKey val="0"/>
          <c:showVal val="1"/>
          <c:showCatName val="0"/>
          <c:showSerName val="0"/>
          <c:showPercent val="0"/>
          <c:showBubbleSize val="0"/>
        </c:dLbls>
        <c:gapWidth val="75"/>
        <c:overlap val="100"/>
        <c:axId val="1876498368"/>
        <c:axId val="1876491648"/>
      </c:barChart>
      <c:catAx>
        <c:axId val="1876498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876491648"/>
        <c:crosses val="autoZero"/>
        <c:auto val="1"/>
        <c:lblAlgn val="ctr"/>
        <c:lblOffset val="100"/>
        <c:noMultiLvlLbl val="0"/>
      </c:catAx>
      <c:valAx>
        <c:axId val="1876491648"/>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498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Sheet1!$A$47</c:f>
              <c:strCache>
                <c:ptCount val="1"/>
                <c:pt idx="0">
                  <c:v>A</c:v>
                </c:pt>
              </c:strCache>
            </c:strRef>
          </c:tx>
          <c:spPr>
            <a:solidFill>
              <a:schemeClr val="accent6"/>
            </a:solidFill>
            <a:ln>
              <a:noFill/>
            </a:ln>
            <a:effectLst/>
          </c:spPr>
          <c:invertIfNegative val="0"/>
          <c:cat>
            <c:strRef>
              <c:f>Sheet1!$B$46:$G$46</c:f>
              <c:strCache>
                <c:ptCount val="6"/>
                <c:pt idx="0">
                  <c:v>Year 1</c:v>
                </c:pt>
                <c:pt idx="1">
                  <c:v>Year 2</c:v>
                </c:pt>
                <c:pt idx="2">
                  <c:v>Year 3</c:v>
                </c:pt>
                <c:pt idx="3">
                  <c:v>Year 4</c:v>
                </c:pt>
                <c:pt idx="4">
                  <c:v>Year 5</c:v>
                </c:pt>
                <c:pt idx="5">
                  <c:v>Initial Investment</c:v>
                </c:pt>
              </c:strCache>
            </c:strRef>
          </c:cat>
          <c:val>
            <c:numRef>
              <c:f>Sheet1!$B$47:$G$47</c:f>
              <c:numCache>
                <c:formatCode>General</c:formatCode>
                <c:ptCount val="6"/>
                <c:pt idx="0">
                  <c:v>10</c:v>
                </c:pt>
                <c:pt idx="1">
                  <c:v>12</c:v>
                </c:pt>
                <c:pt idx="2">
                  <c:v>14</c:v>
                </c:pt>
                <c:pt idx="3">
                  <c:v>10</c:v>
                </c:pt>
                <c:pt idx="4">
                  <c:v>8</c:v>
                </c:pt>
                <c:pt idx="5">
                  <c:v>50</c:v>
                </c:pt>
              </c:numCache>
            </c:numRef>
          </c:val>
          <c:extLst>
            <c:ext xmlns:c16="http://schemas.microsoft.com/office/drawing/2014/chart" uri="{C3380CC4-5D6E-409C-BE32-E72D297353CC}">
              <c16:uniqueId val="{00000000-873C-4309-9158-1A02F560F7DF}"/>
            </c:ext>
          </c:extLst>
        </c:ser>
        <c:ser>
          <c:idx val="1"/>
          <c:order val="1"/>
          <c:tx>
            <c:strRef>
              <c:f>Sheet1!$A$48</c:f>
              <c:strCache>
                <c:ptCount val="1"/>
                <c:pt idx="0">
                  <c:v>B</c:v>
                </c:pt>
              </c:strCache>
            </c:strRef>
          </c:tx>
          <c:spPr>
            <a:solidFill>
              <a:schemeClr val="accent5"/>
            </a:solidFill>
            <a:ln>
              <a:noFill/>
            </a:ln>
            <a:effectLst/>
          </c:spPr>
          <c:invertIfNegative val="0"/>
          <c:cat>
            <c:strRef>
              <c:f>Sheet1!$B$46:$G$46</c:f>
              <c:strCache>
                <c:ptCount val="6"/>
                <c:pt idx="0">
                  <c:v>Year 1</c:v>
                </c:pt>
                <c:pt idx="1">
                  <c:v>Year 2</c:v>
                </c:pt>
                <c:pt idx="2">
                  <c:v>Year 3</c:v>
                </c:pt>
                <c:pt idx="3">
                  <c:v>Year 4</c:v>
                </c:pt>
                <c:pt idx="4">
                  <c:v>Year 5</c:v>
                </c:pt>
                <c:pt idx="5">
                  <c:v>Initial Investment</c:v>
                </c:pt>
              </c:strCache>
            </c:strRef>
          </c:cat>
          <c:val>
            <c:numRef>
              <c:f>Sheet1!$B$48:$G$48</c:f>
              <c:numCache>
                <c:formatCode>General</c:formatCode>
                <c:ptCount val="6"/>
                <c:pt idx="0">
                  <c:v>11</c:v>
                </c:pt>
                <c:pt idx="1">
                  <c:v>11</c:v>
                </c:pt>
                <c:pt idx="2">
                  <c:v>11</c:v>
                </c:pt>
                <c:pt idx="3">
                  <c:v>11</c:v>
                </c:pt>
                <c:pt idx="4">
                  <c:v>11</c:v>
                </c:pt>
                <c:pt idx="5">
                  <c:v>50</c:v>
                </c:pt>
              </c:numCache>
            </c:numRef>
          </c:val>
          <c:extLst>
            <c:ext xmlns:c16="http://schemas.microsoft.com/office/drawing/2014/chart" uri="{C3380CC4-5D6E-409C-BE32-E72D297353CC}">
              <c16:uniqueId val="{00000001-873C-4309-9158-1A02F560F7DF}"/>
            </c:ext>
          </c:extLst>
        </c:ser>
        <c:ser>
          <c:idx val="2"/>
          <c:order val="2"/>
          <c:tx>
            <c:strRef>
              <c:f>Sheet1!$A$49</c:f>
              <c:strCache>
                <c:ptCount val="1"/>
                <c:pt idx="0">
                  <c:v>C</c:v>
                </c:pt>
              </c:strCache>
            </c:strRef>
          </c:tx>
          <c:spPr>
            <a:solidFill>
              <a:schemeClr val="accent4"/>
            </a:solidFill>
            <a:ln>
              <a:noFill/>
            </a:ln>
            <a:effectLst/>
          </c:spPr>
          <c:invertIfNegative val="0"/>
          <c:cat>
            <c:strRef>
              <c:f>Sheet1!$B$46:$G$46</c:f>
              <c:strCache>
                <c:ptCount val="6"/>
                <c:pt idx="0">
                  <c:v>Year 1</c:v>
                </c:pt>
                <c:pt idx="1">
                  <c:v>Year 2</c:v>
                </c:pt>
                <c:pt idx="2">
                  <c:v>Year 3</c:v>
                </c:pt>
                <c:pt idx="3">
                  <c:v>Year 4</c:v>
                </c:pt>
                <c:pt idx="4">
                  <c:v>Year 5</c:v>
                </c:pt>
                <c:pt idx="5">
                  <c:v>Initial Investment</c:v>
                </c:pt>
              </c:strCache>
            </c:strRef>
          </c:cat>
          <c:val>
            <c:numRef>
              <c:f>Sheet1!$B$49:$G$49</c:f>
              <c:numCache>
                <c:formatCode>General</c:formatCode>
                <c:ptCount val="6"/>
                <c:pt idx="0">
                  <c:v>5</c:v>
                </c:pt>
                <c:pt idx="1">
                  <c:v>10</c:v>
                </c:pt>
                <c:pt idx="2">
                  <c:v>20</c:v>
                </c:pt>
                <c:pt idx="3">
                  <c:v>25</c:v>
                </c:pt>
                <c:pt idx="4">
                  <c:v>5</c:v>
                </c:pt>
                <c:pt idx="5">
                  <c:v>50</c:v>
                </c:pt>
              </c:numCache>
            </c:numRef>
          </c:val>
          <c:extLst>
            <c:ext xmlns:c16="http://schemas.microsoft.com/office/drawing/2014/chart" uri="{C3380CC4-5D6E-409C-BE32-E72D297353CC}">
              <c16:uniqueId val="{00000002-873C-4309-9158-1A02F560F7DF}"/>
            </c:ext>
          </c:extLst>
        </c:ser>
        <c:dLbls>
          <c:showLegendKey val="0"/>
          <c:showVal val="0"/>
          <c:showCatName val="0"/>
          <c:showSerName val="0"/>
          <c:showPercent val="0"/>
          <c:showBubbleSize val="0"/>
        </c:dLbls>
        <c:gapWidth val="150"/>
        <c:axId val="1876526208"/>
        <c:axId val="1876526688"/>
      </c:barChart>
      <c:catAx>
        <c:axId val="1876526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526688"/>
        <c:crosses val="autoZero"/>
        <c:auto val="1"/>
        <c:lblAlgn val="ctr"/>
        <c:lblOffset val="100"/>
        <c:noMultiLvlLbl val="0"/>
      </c:catAx>
      <c:valAx>
        <c:axId val="1876526688"/>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5262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5.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36</Pages>
  <Words>6431</Words>
  <Characters>36660</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Akbar hossain</dc:creator>
  <cp:keywords/>
  <dc:description/>
  <cp:lastModifiedBy>Jashim Uddin</cp:lastModifiedBy>
  <cp:revision>147</cp:revision>
  <dcterms:created xsi:type="dcterms:W3CDTF">2025-12-15T18:14:00Z</dcterms:created>
  <dcterms:modified xsi:type="dcterms:W3CDTF">2026-04-18T10:06:00Z</dcterms:modified>
</cp:coreProperties>
</file>