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9065E4" w14:textId="77777777" w:rsidR="00914205" w:rsidRPr="00914205" w:rsidRDefault="00914205" w:rsidP="00914205">
      <w:pPr>
        <w:spacing w:before="212"/>
        <w:jc w:val="center"/>
        <w:rPr>
          <w:b/>
          <w:sz w:val="56"/>
        </w:rPr>
      </w:pPr>
      <w:r w:rsidRPr="00914205">
        <w:rPr>
          <w:b/>
          <w:noProof/>
          <w:sz w:val="56"/>
        </w:rPr>
        <w:drawing>
          <wp:inline distT="0" distB="0" distL="0" distR="0" wp14:anchorId="2D4DA329" wp14:editId="16792387">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4FA1C540" w14:textId="77777777" w:rsidR="00914205" w:rsidRPr="00914205" w:rsidRDefault="00914205" w:rsidP="00914205">
      <w:pPr>
        <w:spacing w:before="212"/>
        <w:jc w:val="center"/>
        <w:rPr>
          <w:b/>
          <w:sz w:val="36"/>
          <w:szCs w:val="36"/>
        </w:rPr>
      </w:pPr>
    </w:p>
    <w:p w14:paraId="0C1917E6" w14:textId="77777777" w:rsidR="00914205" w:rsidRPr="00914205" w:rsidRDefault="00914205" w:rsidP="00914205">
      <w:pPr>
        <w:spacing w:before="212"/>
        <w:rPr>
          <w:b/>
          <w:sz w:val="56"/>
        </w:rPr>
      </w:pPr>
    </w:p>
    <w:p w14:paraId="39B67865" w14:textId="77777777" w:rsidR="00914205" w:rsidRPr="00914205" w:rsidRDefault="00914205" w:rsidP="00914205">
      <w:pPr>
        <w:spacing w:before="212"/>
        <w:rPr>
          <w:b/>
          <w:sz w:val="48"/>
          <w:szCs w:val="48"/>
        </w:rPr>
      </w:pPr>
      <w:r w:rsidRPr="00914205">
        <w:rPr>
          <w:b/>
          <w:sz w:val="48"/>
          <w:szCs w:val="48"/>
        </w:rPr>
        <w:t xml:space="preserve">MODULE </w:t>
      </w:r>
      <w:proofErr w:type="gramStart"/>
      <w:r w:rsidRPr="00914205">
        <w:rPr>
          <w:b/>
          <w:sz w:val="48"/>
          <w:szCs w:val="48"/>
        </w:rPr>
        <w:t>CODE:ECEW</w:t>
      </w:r>
      <w:proofErr w:type="gramEnd"/>
      <w:r w:rsidRPr="00914205">
        <w:rPr>
          <w:b/>
          <w:sz w:val="48"/>
          <w:szCs w:val="48"/>
        </w:rPr>
        <w:t>7011</w:t>
      </w:r>
    </w:p>
    <w:p w14:paraId="28358A1E" w14:textId="77777777" w:rsidR="00914205" w:rsidRPr="00914205" w:rsidRDefault="00914205" w:rsidP="00914205">
      <w:pPr>
        <w:spacing w:before="212"/>
        <w:rPr>
          <w:b/>
          <w:sz w:val="48"/>
          <w:szCs w:val="48"/>
        </w:rPr>
      </w:pPr>
    </w:p>
    <w:p w14:paraId="2900690E" w14:textId="77777777" w:rsidR="00914205" w:rsidRPr="00914205" w:rsidRDefault="00914205" w:rsidP="00914205">
      <w:pPr>
        <w:spacing w:before="3"/>
        <w:rPr>
          <w:b/>
          <w:sz w:val="48"/>
          <w:szCs w:val="48"/>
        </w:rPr>
      </w:pPr>
      <w:r w:rsidRPr="00914205">
        <w:rPr>
          <w:b/>
          <w:sz w:val="48"/>
          <w:szCs w:val="48"/>
        </w:rPr>
        <w:t>STUDENT NAME: David Jones-Evans</w:t>
      </w:r>
    </w:p>
    <w:p w14:paraId="0FCB14DB" w14:textId="77777777" w:rsidR="00914205" w:rsidRPr="00914205" w:rsidRDefault="00914205" w:rsidP="00914205">
      <w:pPr>
        <w:spacing w:before="3"/>
        <w:rPr>
          <w:b/>
          <w:sz w:val="48"/>
          <w:szCs w:val="48"/>
        </w:rPr>
      </w:pPr>
    </w:p>
    <w:p w14:paraId="7CEBD612" w14:textId="77777777" w:rsidR="00914205" w:rsidRPr="00914205" w:rsidRDefault="00914205" w:rsidP="00914205">
      <w:pPr>
        <w:spacing w:before="3"/>
        <w:rPr>
          <w:b/>
          <w:sz w:val="48"/>
          <w:szCs w:val="48"/>
        </w:rPr>
      </w:pPr>
      <w:r w:rsidRPr="00914205">
        <w:rPr>
          <w:b/>
          <w:sz w:val="48"/>
          <w:szCs w:val="48"/>
        </w:rPr>
        <w:t>STUDENT NUMBER: 2517683</w:t>
      </w:r>
    </w:p>
    <w:p w14:paraId="7E80596F" w14:textId="77777777" w:rsidR="00914205" w:rsidRPr="00914205" w:rsidRDefault="00914205" w:rsidP="00914205">
      <w:pPr>
        <w:spacing w:before="3"/>
        <w:rPr>
          <w:b/>
          <w:sz w:val="48"/>
          <w:szCs w:val="48"/>
        </w:rPr>
      </w:pPr>
    </w:p>
    <w:p w14:paraId="1CF402EB" w14:textId="77777777" w:rsidR="00914205" w:rsidRPr="00914205" w:rsidRDefault="00914205" w:rsidP="00914205">
      <w:pPr>
        <w:spacing w:before="3"/>
        <w:rPr>
          <w:b/>
        </w:rPr>
      </w:pPr>
      <w:r w:rsidRPr="00914205">
        <w:rPr>
          <w:b/>
          <w:sz w:val="48"/>
          <w:szCs w:val="48"/>
        </w:rPr>
        <w:t xml:space="preserve">ASSIGNMENT TITLE: </w:t>
      </w:r>
      <w:r w:rsidRPr="00914205">
        <w:rPr>
          <w:b/>
          <w:i/>
          <w:iCs/>
        </w:rPr>
        <w:t>A reflective, academic response to the concept of leading and managing education professionals</w:t>
      </w:r>
      <w:r w:rsidRPr="00914205">
        <w:rPr>
          <w:rFonts w:ascii="Arial" w:hAnsi="Arial" w:cs="Arial"/>
          <w:b/>
          <w:i/>
          <w:iCs/>
        </w:rPr>
        <w:t> </w:t>
      </w:r>
    </w:p>
    <w:p w14:paraId="5820B422" w14:textId="77777777" w:rsidR="00914205" w:rsidRPr="00914205" w:rsidRDefault="00914205" w:rsidP="00914205">
      <w:pPr>
        <w:rPr>
          <w:b/>
          <w:sz w:val="47"/>
        </w:rPr>
      </w:pPr>
    </w:p>
    <w:p w14:paraId="79AB501E" w14:textId="77777777" w:rsidR="00914205" w:rsidRPr="00914205" w:rsidRDefault="00914205" w:rsidP="00914205">
      <w:pPr>
        <w:ind w:left="100"/>
        <w:jc w:val="center"/>
        <w:rPr>
          <w:b/>
          <w:sz w:val="47"/>
        </w:rPr>
      </w:pPr>
    </w:p>
    <w:p w14:paraId="3C2D91F3" w14:textId="77777777" w:rsidR="00914205" w:rsidRPr="00914205" w:rsidRDefault="00914205" w:rsidP="00914205">
      <w:pPr>
        <w:ind w:left="100"/>
        <w:rPr>
          <w:b/>
          <w:sz w:val="47"/>
        </w:rPr>
      </w:pPr>
    </w:p>
    <w:p w14:paraId="3B44E547" w14:textId="77777777" w:rsidR="00914205" w:rsidRPr="00914205" w:rsidRDefault="00914205" w:rsidP="00914205">
      <w:pPr>
        <w:ind w:left="100"/>
        <w:rPr>
          <w:b/>
          <w:sz w:val="47"/>
        </w:rPr>
      </w:pPr>
    </w:p>
    <w:p w14:paraId="5D1CB201" w14:textId="77777777" w:rsidR="00914205" w:rsidRPr="00914205" w:rsidRDefault="00914205" w:rsidP="00914205">
      <w:pPr>
        <w:jc w:val="center"/>
        <w:rPr>
          <w:b/>
          <w:sz w:val="40"/>
        </w:rPr>
      </w:pPr>
    </w:p>
    <w:p w14:paraId="30E5A8B4" w14:textId="77777777" w:rsidR="00914205" w:rsidRPr="00914205" w:rsidRDefault="00914205" w:rsidP="00914205">
      <w:pPr>
        <w:pStyle w:val="Heading2"/>
        <w:ind w:left="567" w:firstLine="142"/>
        <w:rPr>
          <w:rFonts w:asciiTheme="minorHAnsi" w:hAnsiTheme="minorHAnsi" w:cstheme="minorBidi"/>
          <w:sz w:val="22"/>
          <w:szCs w:val="22"/>
        </w:rPr>
      </w:pPr>
      <w:r w:rsidRPr="00914205">
        <w:rPr>
          <w:rFonts w:asciiTheme="minorHAnsi" w:hAnsiTheme="minorHAnsi" w:cstheme="minorBidi"/>
          <w:sz w:val="22"/>
          <w:szCs w:val="22"/>
        </w:rPr>
        <w:lastRenderedPageBreak/>
        <w:t>Use of Generative AI in Assessment</w:t>
      </w:r>
    </w:p>
    <w:p w14:paraId="7585E125" w14:textId="77777777" w:rsidR="00914205" w:rsidRPr="00914205" w:rsidRDefault="00914205" w:rsidP="00914205">
      <w:pPr>
        <w:rPr>
          <w:highlight w:val="yellow"/>
        </w:rPr>
      </w:pPr>
      <w:r w:rsidRPr="00914205">
        <w:tab/>
      </w:r>
      <w:r w:rsidRPr="00914205">
        <w:rPr>
          <w:rFonts w:eastAsia="Calibri"/>
        </w:rPr>
        <w:tab/>
      </w:r>
      <w:r w:rsidRPr="00914205">
        <w:rPr>
          <w:rFonts w:eastAsia="Calibri"/>
        </w:rPr>
        <w:tab/>
      </w:r>
      <w:r w:rsidRPr="00914205">
        <w:rPr>
          <w:rFonts w:eastAsia="Calibri"/>
        </w:rPr>
        <w:tab/>
      </w:r>
      <w:r w:rsidRPr="00914205">
        <w:rPr>
          <w:rFonts w:eastAsia="Calibri"/>
        </w:rPr>
        <w:tab/>
      </w:r>
      <w:r w:rsidRPr="00914205">
        <w:rPr>
          <w:rFonts w:eastAsia="Calibri"/>
        </w:rPr>
        <w:tab/>
      </w:r>
      <w:r w:rsidRPr="00914205">
        <w:rPr>
          <w:rFonts w:eastAsia="Calibri"/>
        </w:rPr>
        <w:tab/>
      </w:r>
      <w:r w:rsidRPr="00914205">
        <w:rPr>
          <w:rFonts w:eastAsia="Calibri"/>
        </w:rPr>
        <w:tab/>
      </w:r>
      <w:r w:rsidRPr="00914205">
        <w:rPr>
          <w:rFonts w:eastAsia="Calibri"/>
        </w:rPr>
        <w:tab/>
      </w:r>
      <w:r w:rsidRPr="00914205">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14205" w:rsidRPr="00914205" w14:paraId="53B484BA" w14:textId="77777777" w:rsidTr="00C076B5">
        <w:trPr>
          <w:trHeight w:val="300"/>
        </w:trPr>
        <w:tc>
          <w:tcPr>
            <w:tcW w:w="2250" w:type="dxa"/>
            <w:tcMar>
              <w:left w:w="105" w:type="dxa"/>
              <w:right w:w="105" w:type="dxa"/>
            </w:tcMar>
          </w:tcPr>
          <w:p w14:paraId="2C1B4DE4" w14:textId="77777777" w:rsidR="00914205" w:rsidRPr="00914205" w:rsidRDefault="00914205" w:rsidP="00C076B5">
            <w:pPr>
              <w:spacing w:line="259" w:lineRule="auto"/>
              <w:rPr>
                <w:rFonts w:eastAsia="Calibri"/>
                <w:sz w:val="22"/>
                <w:szCs w:val="22"/>
              </w:rPr>
            </w:pPr>
            <w:r w:rsidRPr="00914205">
              <w:rPr>
                <w:rFonts w:eastAsia="Calibri"/>
                <w:sz w:val="22"/>
                <w:szCs w:val="22"/>
              </w:rPr>
              <w:t>RESEARCH</w:t>
            </w:r>
          </w:p>
        </w:tc>
        <w:tc>
          <w:tcPr>
            <w:tcW w:w="5397" w:type="dxa"/>
            <w:tcMar>
              <w:left w:w="105" w:type="dxa"/>
              <w:right w:w="105" w:type="dxa"/>
            </w:tcMar>
          </w:tcPr>
          <w:p w14:paraId="2E87EAA3" w14:textId="77777777" w:rsidR="00914205" w:rsidRPr="00914205" w:rsidRDefault="00914205" w:rsidP="00C076B5">
            <w:pPr>
              <w:spacing w:line="259" w:lineRule="auto"/>
              <w:rPr>
                <w:rFonts w:eastAsia="Calibri"/>
                <w:sz w:val="22"/>
                <w:szCs w:val="22"/>
              </w:rPr>
            </w:pPr>
            <w:r w:rsidRPr="00914205">
              <w:rPr>
                <w:rFonts w:eastAsia="Calibri"/>
                <w:sz w:val="22"/>
                <w:szCs w:val="22"/>
              </w:rPr>
              <w:t>For this assessment, you can use Generative AI to support you in research, including searching for bibliography, using tools to summarise, compare and interrogate materials.</w:t>
            </w:r>
          </w:p>
        </w:tc>
        <w:tc>
          <w:tcPr>
            <w:tcW w:w="1417" w:type="dxa"/>
          </w:tcPr>
          <w:p w14:paraId="2F413BA5" w14:textId="77777777" w:rsidR="00914205" w:rsidRPr="00914205" w:rsidRDefault="00914205" w:rsidP="00C076B5">
            <w:pPr>
              <w:rPr>
                <w:rFonts w:eastAsia="Calibri"/>
                <w:sz w:val="22"/>
                <w:szCs w:val="22"/>
              </w:rPr>
            </w:pPr>
            <w:r w:rsidRPr="00914205">
              <w:rPr>
                <w:rFonts w:eastAsia="Calibri"/>
                <w:sz w:val="22"/>
                <w:szCs w:val="22"/>
              </w:rPr>
              <w:t xml:space="preserve">Yes </w:t>
            </w:r>
            <w:sdt>
              <w:sdtPr>
                <w:rPr>
                  <w:sz w:val="22"/>
                  <w:szCs w:val="22"/>
                </w:rPr>
                <w:id w:val="2132582787"/>
                <w14:checkbox>
                  <w14:checked w14:val="1"/>
                  <w14:checkedState w14:val="2612" w14:font="MS Gothic"/>
                  <w14:uncheckedState w14:val="2610" w14:font="MS Gothic"/>
                </w14:checkbox>
              </w:sdtPr>
              <w:sdtContent>
                <w:r w:rsidRPr="00914205">
                  <w:rPr>
                    <w:rFonts w:ascii="Segoe UI Symbol" w:eastAsia="MS Gothic" w:hAnsi="Segoe UI Symbol" w:cs="Segoe UI Symbol"/>
                    <w:sz w:val="22"/>
                    <w:szCs w:val="22"/>
                  </w:rPr>
                  <w:t>☒</w:t>
                </w:r>
              </w:sdtContent>
            </w:sdt>
          </w:p>
          <w:p w14:paraId="7499E6E7" w14:textId="77777777" w:rsidR="00914205" w:rsidRPr="00914205" w:rsidRDefault="00914205" w:rsidP="00C076B5">
            <w:pPr>
              <w:rPr>
                <w:rFonts w:eastAsia="Calibri"/>
                <w:sz w:val="22"/>
                <w:szCs w:val="22"/>
              </w:rPr>
            </w:pPr>
          </w:p>
          <w:p w14:paraId="4F3C3470" w14:textId="77777777" w:rsidR="00914205" w:rsidRPr="00914205" w:rsidRDefault="00914205" w:rsidP="00C076B5">
            <w:pPr>
              <w:rPr>
                <w:rFonts w:eastAsia="Calibri"/>
                <w:sz w:val="22"/>
                <w:szCs w:val="22"/>
              </w:rPr>
            </w:pPr>
            <w:r w:rsidRPr="00914205">
              <w:rPr>
                <w:rFonts w:eastAsia="Calibri"/>
                <w:sz w:val="22"/>
                <w:szCs w:val="22"/>
              </w:rPr>
              <w:t xml:space="preserve">No  </w:t>
            </w:r>
            <w:sdt>
              <w:sdtPr>
                <w:rPr>
                  <w:sz w:val="22"/>
                  <w:szCs w:val="22"/>
                </w:rPr>
                <w:id w:val="232746510"/>
                <w14:checkbox>
                  <w14:checked w14:val="0"/>
                  <w14:checkedState w14:val="2612" w14:font="MS Gothic"/>
                  <w14:uncheckedState w14:val="2610" w14:font="MS Gothic"/>
                </w14:checkbox>
              </w:sdtPr>
              <w:sdtContent>
                <w:r w:rsidRPr="00914205">
                  <w:rPr>
                    <w:rFonts w:eastAsia="MS Gothic"/>
                    <w:sz w:val="22"/>
                    <w:szCs w:val="22"/>
                  </w:rPr>
                  <w:t>☐</w:t>
                </w:r>
              </w:sdtContent>
            </w:sdt>
          </w:p>
        </w:tc>
      </w:tr>
      <w:tr w:rsidR="00914205" w:rsidRPr="00914205" w14:paraId="75AAA3EF" w14:textId="77777777" w:rsidTr="00C076B5">
        <w:trPr>
          <w:trHeight w:val="300"/>
        </w:trPr>
        <w:tc>
          <w:tcPr>
            <w:tcW w:w="2250" w:type="dxa"/>
            <w:tcMar>
              <w:left w:w="105" w:type="dxa"/>
              <w:right w:w="105" w:type="dxa"/>
            </w:tcMar>
          </w:tcPr>
          <w:p w14:paraId="4F54BDD1" w14:textId="77777777" w:rsidR="00914205" w:rsidRPr="00914205" w:rsidRDefault="00914205" w:rsidP="00C076B5">
            <w:pPr>
              <w:spacing w:line="259" w:lineRule="auto"/>
              <w:rPr>
                <w:rFonts w:eastAsia="Calibri"/>
                <w:sz w:val="22"/>
                <w:szCs w:val="22"/>
              </w:rPr>
            </w:pPr>
            <w:r w:rsidRPr="00914205">
              <w:rPr>
                <w:rFonts w:eastAsia="Calibri"/>
                <w:sz w:val="22"/>
                <w:szCs w:val="22"/>
              </w:rPr>
              <w:t>STRUCTURE</w:t>
            </w:r>
          </w:p>
        </w:tc>
        <w:tc>
          <w:tcPr>
            <w:tcW w:w="5397" w:type="dxa"/>
            <w:tcMar>
              <w:left w:w="105" w:type="dxa"/>
              <w:right w:w="105" w:type="dxa"/>
            </w:tcMar>
          </w:tcPr>
          <w:p w14:paraId="0102EA80" w14:textId="77777777" w:rsidR="00914205" w:rsidRPr="00914205" w:rsidRDefault="00914205" w:rsidP="00C076B5">
            <w:pPr>
              <w:spacing w:line="259" w:lineRule="auto"/>
              <w:rPr>
                <w:rFonts w:eastAsia="Calibri"/>
                <w:sz w:val="22"/>
                <w:szCs w:val="22"/>
              </w:rPr>
            </w:pPr>
            <w:r w:rsidRPr="00914205">
              <w:rPr>
                <w:rFonts w:eastAsia="Calibri"/>
                <w:sz w:val="22"/>
                <w:szCs w:val="22"/>
              </w:rPr>
              <w:t>For this assessment, you can use Generative AI to support you in structuring your submission, including creating a draft argument structure, identifying parts and headings, etc.</w:t>
            </w:r>
          </w:p>
        </w:tc>
        <w:tc>
          <w:tcPr>
            <w:tcW w:w="1417" w:type="dxa"/>
          </w:tcPr>
          <w:p w14:paraId="67EACF5E" w14:textId="77777777" w:rsidR="00914205" w:rsidRPr="00914205" w:rsidRDefault="00914205" w:rsidP="00C076B5">
            <w:pPr>
              <w:rPr>
                <w:rFonts w:eastAsia="Calibri"/>
                <w:sz w:val="22"/>
                <w:szCs w:val="22"/>
              </w:rPr>
            </w:pPr>
            <w:r w:rsidRPr="00914205">
              <w:rPr>
                <w:rFonts w:eastAsia="Calibri"/>
                <w:sz w:val="22"/>
                <w:szCs w:val="22"/>
              </w:rPr>
              <w:t xml:space="preserve">Yes </w:t>
            </w:r>
            <w:sdt>
              <w:sdtPr>
                <w:rPr>
                  <w:sz w:val="22"/>
                  <w:szCs w:val="22"/>
                </w:rPr>
                <w:id w:val="-1963106295"/>
                <w14:checkbox>
                  <w14:checked w14:val="1"/>
                  <w14:checkedState w14:val="2612" w14:font="MS Gothic"/>
                  <w14:uncheckedState w14:val="2610" w14:font="MS Gothic"/>
                </w14:checkbox>
              </w:sdtPr>
              <w:sdtContent>
                <w:r w:rsidRPr="00914205">
                  <w:rPr>
                    <w:rFonts w:ascii="Segoe UI Symbol" w:eastAsia="MS Gothic" w:hAnsi="Segoe UI Symbol" w:cs="Segoe UI Symbol"/>
                    <w:sz w:val="22"/>
                    <w:szCs w:val="22"/>
                  </w:rPr>
                  <w:t>☒</w:t>
                </w:r>
              </w:sdtContent>
            </w:sdt>
          </w:p>
          <w:p w14:paraId="3622430F" w14:textId="77777777" w:rsidR="00914205" w:rsidRPr="00914205" w:rsidRDefault="00914205" w:rsidP="00C076B5">
            <w:pPr>
              <w:rPr>
                <w:rFonts w:eastAsia="Calibri"/>
                <w:sz w:val="22"/>
                <w:szCs w:val="22"/>
              </w:rPr>
            </w:pPr>
          </w:p>
          <w:p w14:paraId="5B7369B1" w14:textId="77777777" w:rsidR="00914205" w:rsidRPr="00914205" w:rsidRDefault="00914205" w:rsidP="00C076B5">
            <w:pPr>
              <w:rPr>
                <w:rFonts w:eastAsia="Calibri"/>
                <w:sz w:val="22"/>
                <w:szCs w:val="22"/>
              </w:rPr>
            </w:pPr>
            <w:r w:rsidRPr="00914205">
              <w:rPr>
                <w:rFonts w:eastAsia="Calibri"/>
                <w:sz w:val="22"/>
                <w:szCs w:val="22"/>
              </w:rPr>
              <w:t xml:space="preserve">No  </w:t>
            </w:r>
            <w:sdt>
              <w:sdtPr>
                <w:rPr>
                  <w:sz w:val="22"/>
                  <w:szCs w:val="22"/>
                </w:rPr>
                <w:id w:val="-1770765072"/>
                <w14:checkbox>
                  <w14:checked w14:val="0"/>
                  <w14:checkedState w14:val="2612" w14:font="MS Gothic"/>
                  <w14:uncheckedState w14:val="2610" w14:font="MS Gothic"/>
                </w14:checkbox>
              </w:sdtPr>
              <w:sdtContent>
                <w:r w:rsidRPr="00914205">
                  <w:rPr>
                    <w:rFonts w:eastAsia="MS Gothic" w:cs="Segoe UI Symbol"/>
                    <w:sz w:val="22"/>
                    <w:szCs w:val="22"/>
                  </w:rPr>
                  <w:t>☐</w:t>
                </w:r>
              </w:sdtContent>
            </w:sdt>
          </w:p>
        </w:tc>
      </w:tr>
      <w:tr w:rsidR="00914205" w:rsidRPr="00914205" w14:paraId="324C9FC3" w14:textId="77777777" w:rsidTr="00C076B5">
        <w:trPr>
          <w:trHeight w:val="300"/>
        </w:trPr>
        <w:tc>
          <w:tcPr>
            <w:tcW w:w="2250" w:type="dxa"/>
            <w:tcMar>
              <w:left w:w="105" w:type="dxa"/>
              <w:right w:w="105" w:type="dxa"/>
            </w:tcMar>
          </w:tcPr>
          <w:p w14:paraId="2E5FF299" w14:textId="77777777" w:rsidR="00914205" w:rsidRPr="00914205" w:rsidRDefault="00914205" w:rsidP="00C076B5">
            <w:pPr>
              <w:spacing w:line="259" w:lineRule="auto"/>
              <w:rPr>
                <w:rFonts w:eastAsia="Calibri"/>
                <w:sz w:val="22"/>
                <w:szCs w:val="22"/>
              </w:rPr>
            </w:pPr>
            <w:r w:rsidRPr="00914205">
              <w:rPr>
                <w:rFonts w:eastAsia="Calibri"/>
                <w:sz w:val="22"/>
                <w:szCs w:val="22"/>
              </w:rPr>
              <w:t>PROOFREADING</w:t>
            </w:r>
          </w:p>
        </w:tc>
        <w:tc>
          <w:tcPr>
            <w:tcW w:w="5397" w:type="dxa"/>
            <w:tcMar>
              <w:left w:w="105" w:type="dxa"/>
              <w:right w:w="105" w:type="dxa"/>
            </w:tcMar>
          </w:tcPr>
          <w:p w14:paraId="31EAAB47" w14:textId="77777777" w:rsidR="00914205" w:rsidRPr="00914205" w:rsidRDefault="00914205" w:rsidP="00C076B5">
            <w:pPr>
              <w:spacing w:line="259" w:lineRule="auto"/>
              <w:rPr>
                <w:rFonts w:eastAsia="Calibri"/>
                <w:sz w:val="22"/>
                <w:szCs w:val="22"/>
              </w:rPr>
            </w:pPr>
            <w:r w:rsidRPr="00914205">
              <w:rPr>
                <w:rFonts w:eastAsia="Calibri"/>
                <w:sz w:val="22"/>
                <w:szCs w:val="22"/>
              </w:rPr>
              <w:t>For this assessment, you can use Generative AI to check your own text/creation for grammatical and syntactical mistakes, including rephrasing of your own work within specific standards.</w:t>
            </w:r>
          </w:p>
        </w:tc>
        <w:tc>
          <w:tcPr>
            <w:tcW w:w="1417" w:type="dxa"/>
          </w:tcPr>
          <w:p w14:paraId="12B99884" w14:textId="77777777" w:rsidR="00914205" w:rsidRPr="00914205" w:rsidRDefault="00914205" w:rsidP="00C076B5">
            <w:pPr>
              <w:rPr>
                <w:rFonts w:eastAsia="Calibri"/>
                <w:sz w:val="22"/>
                <w:szCs w:val="22"/>
              </w:rPr>
            </w:pPr>
            <w:r w:rsidRPr="00914205">
              <w:rPr>
                <w:rFonts w:eastAsia="Calibri"/>
                <w:sz w:val="22"/>
                <w:szCs w:val="22"/>
              </w:rPr>
              <w:t xml:space="preserve">Yes </w:t>
            </w:r>
            <w:sdt>
              <w:sdtPr>
                <w:rPr>
                  <w:sz w:val="22"/>
                  <w:szCs w:val="22"/>
                </w:rPr>
                <w:id w:val="-1324893659"/>
                <w14:checkbox>
                  <w14:checked w14:val="1"/>
                  <w14:checkedState w14:val="2612" w14:font="MS Gothic"/>
                  <w14:uncheckedState w14:val="2610" w14:font="MS Gothic"/>
                </w14:checkbox>
              </w:sdtPr>
              <w:sdtContent>
                <w:r w:rsidRPr="00914205">
                  <w:rPr>
                    <w:rFonts w:ascii="Segoe UI Symbol" w:eastAsia="MS Gothic" w:hAnsi="Segoe UI Symbol" w:cs="Segoe UI Symbol"/>
                    <w:sz w:val="22"/>
                    <w:szCs w:val="22"/>
                  </w:rPr>
                  <w:t>☒</w:t>
                </w:r>
              </w:sdtContent>
            </w:sdt>
          </w:p>
          <w:p w14:paraId="751CABA2" w14:textId="77777777" w:rsidR="00914205" w:rsidRPr="00914205" w:rsidRDefault="00914205" w:rsidP="00C076B5">
            <w:pPr>
              <w:rPr>
                <w:rFonts w:eastAsia="Calibri"/>
                <w:sz w:val="22"/>
                <w:szCs w:val="22"/>
              </w:rPr>
            </w:pPr>
          </w:p>
          <w:p w14:paraId="67F16215" w14:textId="77777777" w:rsidR="00914205" w:rsidRPr="00914205" w:rsidRDefault="00914205" w:rsidP="00C076B5">
            <w:pPr>
              <w:rPr>
                <w:rFonts w:eastAsia="Calibri"/>
                <w:sz w:val="22"/>
                <w:szCs w:val="22"/>
              </w:rPr>
            </w:pPr>
            <w:r w:rsidRPr="00914205">
              <w:rPr>
                <w:rFonts w:eastAsia="Calibri"/>
                <w:sz w:val="22"/>
                <w:szCs w:val="22"/>
              </w:rPr>
              <w:t xml:space="preserve">No  </w:t>
            </w:r>
            <w:sdt>
              <w:sdtPr>
                <w:rPr>
                  <w:sz w:val="22"/>
                  <w:szCs w:val="22"/>
                </w:rPr>
                <w:id w:val="-2147112077"/>
                <w14:checkbox>
                  <w14:checked w14:val="0"/>
                  <w14:checkedState w14:val="2612" w14:font="MS Gothic"/>
                  <w14:uncheckedState w14:val="2610" w14:font="MS Gothic"/>
                </w14:checkbox>
              </w:sdtPr>
              <w:sdtContent>
                <w:r w:rsidRPr="00914205">
                  <w:rPr>
                    <w:rFonts w:eastAsia="MS Gothic"/>
                    <w:sz w:val="22"/>
                    <w:szCs w:val="22"/>
                  </w:rPr>
                  <w:t>☐</w:t>
                </w:r>
              </w:sdtContent>
            </w:sdt>
          </w:p>
        </w:tc>
      </w:tr>
      <w:tr w:rsidR="00914205" w:rsidRPr="00914205" w14:paraId="102691F1" w14:textId="77777777" w:rsidTr="00C076B5">
        <w:trPr>
          <w:trHeight w:val="300"/>
        </w:trPr>
        <w:tc>
          <w:tcPr>
            <w:tcW w:w="2250" w:type="dxa"/>
            <w:tcMar>
              <w:left w:w="105" w:type="dxa"/>
              <w:right w:w="105" w:type="dxa"/>
            </w:tcMar>
          </w:tcPr>
          <w:p w14:paraId="4099D767" w14:textId="77777777" w:rsidR="00914205" w:rsidRPr="00914205" w:rsidRDefault="00914205" w:rsidP="00C076B5">
            <w:pPr>
              <w:spacing w:line="259" w:lineRule="auto"/>
              <w:rPr>
                <w:rFonts w:eastAsia="Calibri"/>
                <w:sz w:val="22"/>
                <w:szCs w:val="22"/>
              </w:rPr>
            </w:pPr>
            <w:r w:rsidRPr="00914205">
              <w:rPr>
                <w:rFonts w:eastAsia="Calibri"/>
                <w:sz w:val="22"/>
                <w:szCs w:val="22"/>
              </w:rPr>
              <w:t>WRITING</w:t>
            </w:r>
          </w:p>
        </w:tc>
        <w:tc>
          <w:tcPr>
            <w:tcW w:w="5397" w:type="dxa"/>
            <w:tcMar>
              <w:left w:w="105" w:type="dxa"/>
              <w:right w:w="105" w:type="dxa"/>
            </w:tcMar>
          </w:tcPr>
          <w:p w14:paraId="68E962E8" w14:textId="77777777" w:rsidR="00914205" w:rsidRPr="00914205" w:rsidRDefault="00914205" w:rsidP="00C076B5">
            <w:pPr>
              <w:spacing w:line="259" w:lineRule="auto"/>
              <w:rPr>
                <w:rFonts w:eastAsia="Calibri"/>
                <w:sz w:val="22"/>
                <w:szCs w:val="22"/>
              </w:rPr>
            </w:pPr>
            <w:r w:rsidRPr="00914205">
              <w:rPr>
                <w:rFonts w:eastAsia="Calibri"/>
                <w:sz w:val="22"/>
                <w:szCs w:val="22"/>
              </w:rPr>
              <w:t>For this assessment, you can use Generative AI to create text for submission.</w:t>
            </w:r>
          </w:p>
        </w:tc>
        <w:tc>
          <w:tcPr>
            <w:tcW w:w="1417" w:type="dxa"/>
          </w:tcPr>
          <w:p w14:paraId="5C844BFA" w14:textId="77777777" w:rsidR="00914205" w:rsidRPr="00914205" w:rsidRDefault="00914205" w:rsidP="00C076B5">
            <w:pPr>
              <w:rPr>
                <w:rFonts w:eastAsia="Calibri"/>
                <w:sz w:val="22"/>
                <w:szCs w:val="22"/>
              </w:rPr>
            </w:pPr>
            <w:r w:rsidRPr="00914205">
              <w:rPr>
                <w:rFonts w:eastAsia="Calibri"/>
                <w:sz w:val="22"/>
                <w:szCs w:val="22"/>
              </w:rPr>
              <w:t xml:space="preserve">Yes </w:t>
            </w:r>
            <w:sdt>
              <w:sdtPr>
                <w:rPr>
                  <w:sz w:val="22"/>
                  <w:szCs w:val="22"/>
                </w:rPr>
                <w:id w:val="-369145368"/>
                <w14:checkbox>
                  <w14:checked w14:val="0"/>
                  <w14:checkedState w14:val="2612" w14:font="MS Gothic"/>
                  <w14:uncheckedState w14:val="2610" w14:font="MS Gothic"/>
                </w14:checkbox>
              </w:sdtPr>
              <w:sdtContent>
                <w:r w:rsidRPr="00914205">
                  <w:rPr>
                    <w:rFonts w:eastAsia="MS Gothic" w:cs="Segoe UI Symbol"/>
                    <w:sz w:val="22"/>
                    <w:szCs w:val="22"/>
                  </w:rPr>
                  <w:t>☐</w:t>
                </w:r>
              </w:sdtContent>
            </w:sdt>
          </w:p>
          <w:p w14:paraId="5A638CA9" w14:textId="77777777" w:rsidR="00914205" w:rsidRPr="00914205" w:rsidRDefault="00914205" w:rsidP="00C076B5">
            <w:pPr>
              <w:rPr>
                <w:rFonts w:eastAsia="Calibri"/>
                <w:sz w:val="22"/>
                <w:szCs w:val="22"/>
              </w:rPr>
            </w:pPr>
          </w:p>
          <w:p w14:paraId="38181D3D" w14:textId="77777777" w:rsidR="00914205" w:rsidRPr="00914205" w:rsidRDefault="00914205" w:rsidP="00C076B5">
            <w:pPr>
              <w:rPr>
                <w:rFonts w:eastAsia="Calibri"/>
                <w:sz w:val="22"/>
                <w:szCs w:val="22"/>
              </w:rPr>
            </w:pPr>
            <w:r w:rsidRPr="00914205">
              <w:rPr>
                <w:rFonts w:eastAsia="Calibri"/>
                <w:sz w:val="22"/>
                <w:szCs w:val="22"/>
              </w:rPr>
              <w:t xml:space="preserve">No  </w:t>
            </w:r>
            <w:sdt>
              <w:sdtPr>
                <w:rPr>
                  <w:sz w:val="22"/>
                  <w:szCs w:val="22"/>
                </w:rPr>
                <w:id w:val="-1362739539"/>
                <w14:checkbox>
                  <w14:checked w14:val="1"/>
                  <w14:checkedState w14:val="2612" w14:font="MS Gothic"/>
                  <w14:uncheckedState w14:val="2610" w14:font="MS Gothic"/>
                </w14:checkbox>
              </w:sdtPr>
              <w:sdtContent>
                <w:r w:rsidRPr="00914205">
                  <w:rPr>
                    <w:rFonts w:ascii="Segoe UI Symbol" w:eastAsia="MS Gothic" w:hAnsi="Segoe UI Symbol" w:cs="Segoe UI Symbol"/>
                    <w:sz w:val="22"/>
                    <w:szCs w:val="22"/>
                  </w:rPr>
                  <w:t>☒</w:t>
                </w:r>
              </w:sdtContent>
            </w:sdt>
          </w:p>
        </w:tc>
      </w:tr>
      <w:tr w:rsidR="00914205" w:rsidRPr="00914205" w14:paraId="621BCDCB" w14:textId="77777777" w:rsidTr="00C076B5">
        <w:trPr>
          <w:trHeight w:val="300"/>
        </w:trPr>
        <w:tc>
          <w:tcPr>
            <w:tcW w:w="2250" w:type="dxa"/>
            <w:tcMar>
              <w:left w:w="105" w:type="dxa"/>
              <w:right w:w="105" w:type="dxa"/>
            </w:tcMar>
          </w:tcPr>
          <w:p w14:paraId="32B989CB" w14:textId="77777777" w:rsidR="00914205" w:rsidRPr="00914205" w:rsidRDefault="00914205" w:rsidP="00C076B5">
            <w:pPr>
              <w:spacing w:line="259" w:lineRule="auto"/>
              <w:rPr>
                <w:rFonts w:eastAsia="Calibri"/>
                <w:sz w:val="22"/>
                <w:szCs w:val="22"/>
              </w:rPr>
            </w:pPr>
            <w:r w:rsidRPr="00914205">
              <w:rPr>
                <w:rFonts w:eastAsia="Calibri"/>
                <w:sz w:val="22"/>
                <w:szCs w:val="22"/>
              </w:rPr>
              <w:t>CREATIVE</w:t>
            </w:r>
          </w:p>
        </w:tc>
        <w:tc>
          <w:tcPr>
            <w:tcW w:w="5397" w:type="dxa"/>
            <w:tcMar>
              <w:left w:w="105" w:type="dxa"/>
              <w:right w:w="105" w:type="dxa"/>
            </w:tcMar>
          </w:tcPr>
          <w:p w14:paraId="12E7EFEA" w14:textId="77777777" w:rsidR="00914205" w:rsidRPr="00914205" w:rsidRDefault="00914205" w:rsidP="00C076B5">
            <w:pPr>
              <w:spacing w:line="259" w:lineRule="auto"/>
              <w:rPr>
                <w:rFonts w:eastAsia="Calibri"/>
                <w:sz w:val="22"/>
                <w:szCs w:val="22"/>
              </w:rPr>
            </w:pPr>
            <w:r w:rsidRPr="00914205">
              <w:rPr>
                <w:rFonts w:eastAsia="Calibri"/>
                <w:sz w:val="22"/>
                <w:szCs w:val="22"/>
              </w:rPr>
              <w:t>For this assessment, you can use Generative AI to create creative materials, such as images.</w:t>
            </w:r>
          </w:p>
        </w:tc>
        <w:tc>
          <w:tcPr>
            <w:tcW w:w="1417" w:type="dxa"/>
          </w:tcPr>
          <w:p w14:paraId="66EB9C34" w14:textId="77777777" w:rsidR="00914205" w:rsidRPr="00914205" w:rsidRDefault="00914205" w:rsidP="00C076B5">
            <w:pPr>
              <w:rPr>
                <w:rFonts w:eastAsia="Calibri"/>
                <w:sz w:val="22"/>
                <w:szCs w:val="22"/>
              </w:rPr>
            </w:pPr>
            <w:r w:rsidRPr="00914205">
              <w:rPr>
                <w:rFonts w:eastAsia="Calibri"/>
                <w:sz w:val="22"/>
                <w:szCs w:val="22"/>
              </w:rPr>
              <w:t xml:space="preserve">Yes </w:t>
            </w:r>
            <w:sdt>
              <w:sdtPr>
                <w:rPr>
                  <w:sz w:val="22"/>
                  <w:szCs w:val="22"/>
                </w:rPr>
                <w:id w:val="2010552085"/>
                <w14:checkbox>
                  <w14:checked w14:val="0"/>
                  <w14:checkedState w14:val="2612" w14:font="MS Gothic"/>
                  <w14:uncheckedState w14:val="2610" w14:font="MS Gothic"/>
                </w14:checkbox>
              </w:sdtPr>
              <w:sdtContent>
                <w:r w:rsidRPr="00914205">
                  <w:rPr>
                    <w:rFonts w:eastAsia="MS Gothic" w:cs="Segoe UI Symbol"/>
                    <w:sz w:val="22"/>
                    <w:szCs w:val="22"/>
                  </w:rPr>
                  <w:t>☐</w:t>
                </w:r>
              </w:sdtContent>
            </w:sdt>
          </w:p>
          <w:p w14:paraId="77D45991" w14:textId="77777777" w:rsidR="00914205" w:rsidRPr="00914205" w:rsidRDefault="00914205" w:rsidP="00C076B5">
            <w:pPr>
              <w:rPr>
                <w:rFonts w:eastAsia="Calibri"/>
                <w:sz w:val="22"/>
                <w:szCs w:val="22"/>
              </w:rPr>
            </w:pPr>
          </w:p>
          <w:p w14:paraId="287D1859" w14:textId="77777777" w:rsidR="00914205" w:rsidRPr="00914205" w:rsidRDefault="00914205" w:rsidP="00C076B5">
            <w:pPr>
              <w:rPr>
                <w:rFonts w:eastAsia="Calibri"/>
                <w:sz w:val="22"/>
                <w:szCs w:val="22"/>
              </w:rPr>
            </w:pPr>
            <w:r w:rsidRPr="00914205">
              <w:rPr>
                <w:rFonts w:eastAsia="Calibri"/>
                <w:sz w:val="22"/>
                <w:szCs w:val="22"/>
              </w:rPr>
              <w:t xml:space="preserve">No  </w:t>
            </w:r>
            <w:sdt>
              <w:sdtPr>
                <w:rPr>
                  <w:sz w:val="22"/>
                  <w:szCs w:val="22"/>
                </w:rPr>
                <w:id w:val="1717855451"/>
                <w14:checkbox>
                  <w14:checked w14:val="1"/>
                  <w14:checkedState w14:val="2612" w14:font="MS Gothic"/>
                  <w14:uncheckedState w14:val="2610" w14:font="MS Gothic"/>
                </w14:checkbox>
              </w:sdtPr>
              <w:sdtContent>
                <w:r w:rsidRPr="00914205">
                  <w:rPr>
                    <w:rFonts w:ascii="Segoe UI Symbol" w:eastAsia="MS Gothic" w:hAnsi="Segoe UI Symbol" w:cs="Segoe UI Symbol"/>
                    <w:sz w:val="22"/>
                    <w:szCs w:val="22"/>
                  </w:rPr>
                  <w:t>☒</w:t>
                </w:r>
              </w:sdtContent>
            </w:sdt>
          </w:p>
        </w:tc>
      </w:tr>
      <w:tr w:rsidR="00914205" w:rsidRPr="00914205" w14:paraId="5F871E0B" w14:textId="77777777" w:rsidTr="00C076B5">
        <w:trPr>
          <w:trHeight w:val="300"/>
        </w:trPr>
        <w:tc>
          <w:tcPr>
            <w:tcW w:w="2250" w:type="dxa"/>
            <w:tcMar>
              <w:left w:w="105" w:type="dxa"/>
              <w:right w:w="105" w:type="dxa"/>
            </w:tcMar>
          </w:tcPr>
          <w:p w14:paraId="5FB2DF2D" w14:textId="77777777" w:rsidR="00914205" w:rsidRPr="00914205" w:rsidRDefault="00914205" w:rsidP="00C076B5">
            <w:pPr>
              <w:spacing w:line="259" w:lineRule="auto"/>
              <w:rPr>
                <w:sz w:val="22"/>
                <w:szCs w:val="22"/>
              </w:rPr>
            </w:pPr>
            <w:r w:rsidRPr="00914205">
              <w:rPr>
                <w:rFonts w:eastAsia="Calibri"/>
                <w:sz w:val="22"/>
                <w:szCs w:val="22"/>
              </w:rPr>
              <w:t>PROGRAMING</w:t>
            </w:r>
          </w:p>
        </w:tc>
        <w:tc>
          <w:tcPr>
            <w:tcW w:w="5397" w:type="dxa"/>
            <w:tcMar>
              <w:left w:w="105" w:type="dxa"/>
              <w:right w:w="105" w:type="dxa"/>
            </w:tcMar>
          </w:tcPr>
          <w:p w14:paraId="6C28B9E8" w14:textId="77777777" w:rsidR="00914205" w:rsidRPr="00914205" w:rsidRDefault="00914205" w:rsidP="00C076B5">
            <w:pPr>
              <w:spacing w:line="259" w:lineRule="auto"/>
              <w:rPr>
                <w:rFonts w:eastAsia="Calibri"/>
                <w:sz w:val="22"/>
                <w:szCs w:val="22"/>
              </w:rPr>
            </w:pPr>
            <w:r w:rsidRPr="00914205">
              <w:rPr>
                <w:rFonts w:eastAsia="Calibri"/>
                <w:sz w:val="22"/>
                <w:szCs w:val="22"/>
              </w:rPr>
              <w:t>For this assessment, you can use Generative AI to create and check code.</w:t>
            </w:r>
          </w:p>
        </w:tc>
        <w:tc>
          <w:tcPr>
            <w:tcW w:w="1417" w:type="dxa"/>
          </w:tcPr>
          <w:p w14:paraId="7170DD15" w14:textId="77777777" w:rsidR="00914205" w:rsidRPr="00914205" w:rsidRDefault="00914205" w:rsidP="00C076B5">
            <w:pPr>
              <w:rPr>
                <w:rFonts w:eastAsia="Calibri"/>
                <w:sz w:val="22"/>
                <w:szCs w:val="22"/>
              </w:rPr>
            </w:pPr>
            <w:r w:rsidRPr="00914205">
              <w:rPr>
                <w:rFonts w:eastAsia="Calibri"/>
                <w:sz w:val="22"/>
                <w:szCs w:val="22"/>
              </w:rPr>
              <w:t xml:space="preserve">Yes </w:t>
            </w:r>
            <w:sdt>
              <w:sdtPr>
                <w:rPr>
                  <w:sz w:val="22"/>
                  <w:szCs w:val="22"/>
                </w:rPr>
                <w:id w:val="1136687853"/>
                <w14:checkbox>
                  <w14:checked w14:val="0"/>
                  <w14:checkedState w14:val="2612" w14:font="MS Gothic"/>
                  <w14:uncheckedState w14:val="2610" w14:font="MS Gothic"/>
                </w14:checkbox>
              </w:sdtPr>
              <w:sdtContent>
                <w:r w:rsidRPr="00914205">
                  <w:rPr>
                    <w:rFonts w:eastAsia="MS Gothic" w:cs="Segoe UI Symbol"/>
                    <w:sz w:val="22"/>
                    <w:szCs w:val="22"/>
                  </w:rPr>
                  <w:t>☐</w:t>
                </w:r>
              </w:sdtContent>
            </w:sdt>
          </w:p>
          <w:p w14:paraId="11DE6CBD" w14:textId="77777777" w:rsidR="00914205" w:rsidRPr="00914205" w:rsidRDefault="00914205" w:rsidP="00C076B5">
            <w:pPr>
              <w:rPr>
                <w:rFonts w:eastAsia="Calibri"/>
                <w:sz w:val="22"/>
                <w:szCs w:val="22"/>
              </w:rPr>
            </w:pPr>
          </w:p>
          <w:p w14:paraId="1CFE36C0" w14:textId="77777777" w:rsidR="00914205" w:rsidRPr="00914205" w:rsidRDefault="00914205" w:rsidP="00C076B5">
            <w:pPr>
              <w:rPr>
                <w:rFonts w:eastAsia="Calibri"/>
                <w:sz w:val="22"/>
                <w:szCs w:val="22"/>
              </w:rPr>
            </w:pPr>
            <w:r w:rsidRPr="00914205">
              <w:rPr>
                <w:rFonts w:eastAsia="Calibri"/>
                <w:sz w:val="22"/>
                <w:szCs w:val="22"/>
              </w:rPr>
              <w:t xml:space="preserve">No  </w:t>
            </w:r>
            <w:sdt>
              <w:sdtPr>
                <w:rPr>
                  <w:sz w:val="22"/>
                  <w:szCs w:val="22"/>
                </w:rPr>
                <w:id w:val="648559774"/>
                <w14:checkbox>
                  <w14:checked w14:val="1"/>
                  <w14:checkedState w14:val="2612" w14:font="MS Gothic"/>
                  <w14:uncheckedState w14:val="2610" w14:font="MS Gothic"/>
                </w14:checkbox>
              </w:sdtPr>
              <w:sdtContent>
                <w:r w:rsidRPr="00914205">
                  <w:rPr>
                    <w:rFonts w:ascii="Segoe UI Symbol" w:eastAsia="MS Gothic" w:hAnsi="Segoe UI Symbol" w:cs="Segoe UI Symbol"/>
                    <w:sz w:val="22"/>
                    <w:szCs w:val="22"/>
                  </w:rPr>
                  <w:t>☒</w:t>
                </w:r>
              </w:sdtContent>
            </w:sdt>
          </w:p>
        </w:tc>
      </w:tr>
      <w:tr w:rsidR="00914205" w:rsidRPr="00914205" w14:paraId="4C65BAF7" w14:textId="77777777" w:rsidTr="00C076B5">
        <w:trPr>
          <w:trHeight w:val="300"/>
        </w:trPr>
        <w:tc>
          <w:tcPr>
            <w:tcW w:w="2250" w:type="dxa"/>
            <w:tcMar>
              <w:left w:w="105" w:type="dxa"/>
              <w:right w:w="105" w:type="dxa"/>
            </w:tcMar>
          </w:tcPr>
          <w:p w14:paraId="5D9871F9" w14:textId="77777777" w:rsidR="00914205" w:rsidRPr="00914205" w:rsidRDefault="00914205" w:rsidP="00C076B5">
            <w:pPr>
              <w:spacing w:line="259" w:lineRule="auto"/>
              <w:rPr>
                <w:rFonts w:eastAsia="Calibri"/>
                <w:sz w:val="22"/>
                <w:szCs w:val="22"/>
              </w:rPr>
            </w:pPr>
            <w:r w:rsidRPr="00914205">
              <w:rPr>
                <w:rFonts w:eastAsia="Calibri"/>
                <w:sz w:val="22"/>
                <w:szCs w:val="22"/>
              </w:rPr>
              <w:t>NONE</w:t>
            </w:r>
          </w:p>
        </w:tc>
        <w:tc>
          <w:tcPr>
            <w:tcW w:w="5397" w:type="dxa"/>
            <w:tcMar>
              <w:left w:w="105" w:type="dxa"/>
              <w:right w:w="105" w:type="dxa"/>
            </w:tcMar>
          </w:tcPr>
          <w:p w14:paraId="3C593F77" w14:textId="77777777" w:rsidR="00914205" w:rsidRPr="00914205" w:rsidRDefault="00914205" w:rsidP="00C076B5">
            <w:pPr>
              <w:spacing w:line="259" w:lineRule="auto"/>
              <w:rPr>
                <w:rFonts w:eastAsia="Calibri"/>
                <w:sz w:val="22"/>
                <w:szCs w:val="22"/>
              </w:rPr>
            </w:pPr>
            <w:r w:rsidRPr="00914205">
              <w:rPr>
                <w:rFonts w:eastAsia="Calibri"/>
                <w:sz w:val="22"/>
                <w:szCs w:val="22"/>
              </w:rPr>
              <w:t xml:space="preserve">For this assessment, you are not allowed to use </w:t>
            </w:r>
            <w:r w:rsidRPr="00914205">
              <w:rPr>
                <w:rFonts w:eastAsia="Calibri"/>
                <w:b/>
                <w:bCs/>
                <w:sz w:val="22"/>
                <w:szCs w:val="22"/>
              </w:rPr>
              <w:t>any</w:t>
            </w:r>
            <w:r w:rsidRPr="00914205">
              <w:rPr>
                <w:rFonts w:eastAsia="Calibri"/>
                <w:sz w:val="22"/>
                <w:szCs w:val="22"/>
              </w:rPr>
              <w:t xml:space="preserve"> type of Generative AI support. This includes research support, structure support, writing/proofreading support and creative support.</w:t>
            </w:r>
          </w:p>
        </w:tc>
        <w:tc>
          <w:tcPr>
            <w:tcW w:w="1417" w:type="dxa"/>
          </w:tcPr>
          <w:p w14:paraId="46E4822F" w14:textId="77777777" w:rsidR="00914205" w:rsidRPr="00914205" w:rsidRDefault="00914205" w:rsidP="00C076B5">
            <w:pPr>
              <w:rPr>
                <w:rFonts w:eastAsia="Calibri"/>
                <w:sz w:val="22"/>
                <w:szCs w:val="22"/>
              </w:rPr>
            </w:pPr>
            <w:r w:rsidRPr="00914205">
              <w:rPr>
                <w:rFonts w:eastAsia="Calibri"/>
                <w:sz w:val="22"/>
                <w:szCs w:val="22"/>
              </w:rPr>
              <w:t xml:space="preserve">Yes </w:t>
            </w:r>
            <w:sdt>
              <w:sdtPr>
                <w:rPr>
                  <w:sz w:val="22"/>
                  <w:szCs w:val="22"/>
                </w:rPr>
                <w:id w:val="1610168832"/>
                <w14:checkbox>
                  <w14:checked w14:val="0"/>
                  <w14:checkedState w14:val="2612" w14:font="MS Gothic"/>
                  <w14:uncheckedState w14:val="2610" w14:font="MS Gothic"/>
                </w14:checkbox>
              </w:sdtPr>
              <w:sdtContent>
                <w:r w:rsidRPr="00914205">
                  <w:rPr>
                    <w:rFonts w:eastAsia="MS Gothic" w:cs="Segoe UI Symbol"/>
                    <w:sz w:val="22"/>
                    <w:szCs w:val="22"/>
                  </w:rPr>
                  <w:t>☐</w:t>
                </w:r>
              </w:sdtContent>
            </w:sdt>
          </w:p>
          <w:p w14:paraId="476329A1" w14:textId="77777777" w:rsidR="00914205" w:rsidRPr="00914205" w:rsidRDefault="00914205" w:rsidP="00C076B5">
            <w:pPr>
              <w:rPr>
                <w:rFonts w:eastAsia="Calibri"/>
                <w:sz w:val="22"/>
                <w:szCs w:val="22"/>
              </w:rPr>
            </w:pPr>
          </w:p>
          <w:p w14:paraId="4240D630" w14:textId="77777777" w:rsidR="00914205" w:rsidRPr="00914205" w:rsidRDefault="00914205" w:rsidP="00C076B5">
            <w:pPr>
              <w:rPr>
                <w:rFonts w:eastAsia="Calibri"/>
                <w:sz w:val="22"/>
                <w:szCs w:val="22"/>
              </w:rPr>
            </w:pPr>
            <w:r w:rsidRPr="00914205">
              <w:rPr>
                <w:rFonts w:eastAsia="Calibri"/>
                <w:sz w:val="22"/>
                <w:szCs w:val="22"/>
              </w:rPr>
              <w:t xml:space="preserve">No  </w:t>
            </w:r>
            <w:sdt>
              <w:sdtPr>
                <w:rPr>
                  <w:sz w:val="22"/>
                  <w:szCs w:val="22"/>
                </w:rPr>
                <w:id w:val="1628280607"/>
                <w14:checkbox>
                  <w14:checked w14:val="1"/>
                  <w14:checkedState w14:val="2612" w14:font="MS Gothic"/>
                  <w14:uncheckedState w14:val="2610" w14:font="MS Gothic"/>
                </w14:checkbox>
              </w:sdtPr>
              <w:sdtContent>
                <w:r w:rsidRPr="00914205">
                  <w:rPr>
                    <w:rFonts w:ascii="Segoe UI Symbol" w:eastAsia="MS Gothic" w:hAnsi="Segoe UI Symbol" w:cs="Segoe UI Symbol"/>
                    <w:sz w:val="22"/>
                    <w:szCs w:val="22"/>
                  </w:rPr>
                  <w:t>☒</w:t>
                </w:r>
              </w:sdtContent>
            </w:sdt>
          </w:p>
        </w:tc>
      </w:tr>
    </w:tbl>
    <w:p w14:paraId="75C2732A" w14:textId="77777777" w:rsidR="00914205" w:rsidRPr="00914205" w:rsidRDefault="00914205" w:rsidP="00914205">
      <w:pPr>
        <w:ind w:left="720"/>
      </w:pPr>
    </w:p>
    <w:p w14:paraId="3FC8FF81" w14:textId="77777777" w:rsidR="00914205" w:rsidRPr="00914205" w:rsidRDefault="00914205" w:rsidP="00914205">
      <w:pPr>
        <w:rPr>
          <w:b/>
          <w:bCs/>
          <w:sz w:val="32"/>
          <w:szCs w:val="32"/>
          <w:u w:val="single"/>
        </w:rPr>
      </w:pPr>
      <w:r w:rsidRPr="00914205">
        <w:rPr>
          <w:b/>
          <w:bCs/>
          <w:sz w:val="32"/>
          <w:szCs w:val="32"/>
          <w:u w:val="single"/>
        </w:rPr>
        <w:t>AI Acknowledgement</w:t>
      </w:r>
    </w:p>
    <w:p w14:paraId="1CFECB69" w14:textId="77777777" w:rsidR="00914205" w:rsidRPr="00914205" w:rsidRDefault="00914205" w:rsidP="00914205">
      <w:r w:rsidRPr="00914205">
        <w:t xml:space="preserve">I acknowledge the use of Grok (Grok.com) on 24 August to ensure Harvard referencing compliance. I used the prompt(s): </w:t>
      </w:r>
    </w:p>
    <w:p w14:paraId="75CE42EC" w14:textId="77777777" w:rsidR="00914205" w:rsidRPr="00914205" w:rsidRDefault="00914205" w:rsidP="00914205">
      <w:r w:rsidRPr="00914205">
        <w:t>1. please check this document for correct in-text and reference list citations</w:t>
      </w:r>
    </w:p>
    <w:p w14:paraId="04EA5864" w14:textId="77777777" w:rsidR="00914205" w:rsidRPr="00914205" w:rsidRDefault="00914205" w:rsidP="00914205">
      <w:r w:rsidRPr="00914205">
        <w:t xml:space="preserve">I confirm that I have not presented any AI generated text as my own work. </w:t>
      </w:r>
    </w:p>
    <w:p w14:paraId="29B679CE" w14:textId="77777777" w:rsidR="00914205" w:rsidRPr="00914205" w:rsidRDefault="00914205" w:rsidP="00914205"/>
    <w:p w14:paraId="32385976" w14:textId="77777777" w:rsidR="00914205" w:rsidRPr="00914205" w:rsidRDefault="00914205" w:rsidP="00914205"/>
    <w:p w14:paraId="6906C118" w14:textId="77777777" w:rsidR="00914205" w:rsidRPr="00914205" w:rsidRDefault="00914205" w:rsidP="00914205"/>
    <w:p w14:paraId="53704B82" w14:textId="77777777" w:rsidR="00914205" w:rsidRPr="00914205" w:rsidRDefault="00914205" w:rsidP="00914205"/>
    <w:p w14:paraId="226BFC8C" w14:textId="77777777" w:rsidR="00914205" w:rsidRPr="00914205" w:rsidRDefault="00914205" w:rsidP="00914205"/>
    <w:p w14:paraId="3D5A403F" w14:textId="77777777" w:rsidR="00914205" w:rsidRPr="00914205" w:rsidRDefault="00914205" w:rsidP="00914205"/>
    <w:p w14:paraId="4D993BE8" w14:textId="77777777" w:rsidR="00914205" w:rsidRPr="00914205" w:rsidRDefault="00914205" w:rsidP="00914205"/>
    <w:p w14:paraId="73587877" w14:textId="77777777" w:rsidR="00914205" w:rsidRPr="006F08D2" w:rsidRDefault="00914205" w:rsidP="00914205">
      <w:pPr>
        <w:spacing w:before="3"/>
        <w:jc w:val="center"/>
        <w:rPr>
          <w:b/>
        </w:rPr>
      </w:pPr>
      <w:r w:rsidRPr="006F08D2">
        <w:rPr>
          <w:b/>
        </w:rPr>
        <w:lastRenderedPageBreak/>
        <w:t>A reflective, academic response to the concept of leading and managing education professionals</w:t>
      </w:r>
      <w:r w:rsidRPr="006F08D2">
        <w:rPr>
          <w:rFonts w:ascii="Arial" w:hAnsi="Arial" w:cs="Arial"/>
          <w:b/>
        </w:rPr>
        <w:t> </w:t>
      </w:r>
    </w:p>
    <w:p w14:paraId="314D08D4" w14:textId="77777777" w:rsidR="00914205" w:rsidRPr="00914205" w:rsidRDefault="00914205" w:rsidP="00550F69">
      <w:pPr>
        <w:rPr>
          <w:b/>
          <w:bCs/>
        </w:rPr>
      </w:pPr>
    </w:p>
    <w:p w14:paraId="751FC015" w14:textId="20C143A6" w:rsidR="00550F69" w:rsidRPr="00914205" w:rsidRDefault="00550F69" w:rsidP="00550F69">
      <w:pPr>
        <w:rPr>
          <w:b/>
          <w:bCs/>
        </w:rPr>
      </w:pPr>
      <w:r w:rsidRPr="00914205">
        <w:rPr>
          <w:b/>
          <w:bCs/>
        </w:rPr>
        <w:t>Introduction</w:t>
      </w:r>
    </w:p>
    <w:p w14:paraId="5E18E382" w14:textId="77777777" w:rsidR="00550F69" w:rsidRPr="00914205" w:rsidRDefault="00550F69" w:rsidP="00550F69">
      <w:r w:rsidRPr="00914205">
        <w:t>This assignment critically reflects on leading and managing education professionals within an engineering department in a further education college. The department delivers programmes from Level 2 to BSc and operates within a five-layer management structure: Head of Department, Dean of Faculty, Director of Learning, Assistant Principal and Principal. The Head of Department also teaches approximately eight hours each week and has no assistant manager. This setting makes leadership both necessary and contested. Clear accountability and coordination are required, but the combination of teaching, curriculum responsibility, reporting demands and staff support can make sustained leadership difficult.</w:t>
      </w:r>
    </w:p>
    <w:p w14:paraId="1964273A" w14:textId="77777777" w:rsidR="00155642" w:rsidRPr="00914205" w:rsidRDefault="00550F69" w:rsidP="00550F69">
      <w:r w:rsidRPr="00914205">
        <w:t>My experience suggests that leadership in further education cannot be understood simply through job titles or an organisational chart. It is experienced through workload allocation, communication, quality systems, curriculum decisions, funding requirements, learner support and professional relationships.</w:t>
      </w:r>
      <w:r w:rsidR="00155642" w:rsidRPr="00914205">
        <w:t xml:space="preserve"> </w:t>
      </w:r>
    </w:p>
    <w:p w14:paraId="2D8F0449" w14:textId="7F01EA63" w:rsidR="000354BD" w:rsidRPr="00914205" w:rsidRDefault="000354BD" w:rsidP="00550F69">
      <w:r w:rsidRPr="00914205">
        <w:t>In engineering, these pressures hit harder because of real-world constraints</w:t>
      </w:r>
      <w:r w:rsidRPr="00914205">
        <w:t>, including</w:t>
      </w:r>
      <w:r w:rsidR="007D7464" w:rsidRPr="00914205">
        <w:t xml:space="preserve"> </w:t>
      </w:r>
      <w:r w:rsidRPr="00914205">
        <w:t xml:space="preserve">workshop space, health and safety rules, and industry specs. </w:t>
      </w:r>
      <w:r w:rsidR="00A664A4" w:rsidRPr="00914205">
        <w:t>Effective leadership extends beyond operational continuity</w:t>
      </w:r>
      <w:r w:rsidR="00A664A4" w:rsidRPr="00914205">
        <w:t>, i</w:t>
      </w:r>
      <w:r w:rsidRPr="00914205">
        <w:t>t</w:t>
      </w:r>
      <w:r w:rsidR="00A664A4" w:rsidRPr="00914205">
        <w:t xml:space="preserve"> mu</w:t>
      </w:r>
      <w:r w:rsidRPr="00914205">
        <w:t>s</w:t>
      </w:r>
      <w:r w:rsidR="00A664A4" w:rsidRPr="00914205">
        <w:t>t be</w:t>
      </w:r>
      <w:r w:rsidRPr="00914205">
        <w:t xml:space="preserve"> about giving staff the </w:t>
      </w:r>
      <w:r w:rsidR="007D7464" w:rsidRPr="00914205">
        <w:t>support</w:t>
      </w:r>
      <w:r w:rsidRPr="00914205">
        <w:t xml:space="preserve"> to make </w:t>
      </w:r>
      <w:r w:rsidR="007D7464" w:rsidRPr="00914205">
        <w:t>comprehensive</w:t>
      </w:r>
      <w:r w:rsidRPr="00914205">
        <w:t xml:space="preserve"> professional calls while maintaining high standards. </w:t>
      </w:r>
    </w:p>
    <w:p w14:paraId="61736F80" w14:textId="6328D7C1" w:rsidR="00550F69" w:rsidRPr="00914205" w:rsidRDefault="000354BD" w:rsidP="00550F69">
      <w:r w:rsidRPr="00914205">
        <w:t>Ultimately, FE leadership only works when solid management structures support</w:t>
      </w:r>
      <w:r w:rsidRPr="00914205">
        <w:t xml:space="preserve">, </w:t>
      </w:r>
      <w:r w:rsidRPr="00914205">
        <w:t>rather than overload</w:t>
      </w:r>
      <w:r w:rsidRPr="00914205">
        <w:t xml:space="preserve">, </w:t>
      </w:r>
      <w:r w:rsidRPr="00914205">
        <w:t>the people on the ground.</w:t>
      </w:r>
      <w:r w:rsidR="00550F69" w:rsidRPr="00914205">
        <w:t xml:space="preserve"> Hierarchy, performance data and accountability have legitimate functions, but become harmful when they reduce professional work to compliance or depend on staff goodwill to absorb structural pressures. The discussion is organised in five sections. It considers leadership models in context</w:t>
      </w:r>
      <w:r w:rsidR="00174B38" w:rsidRPr="00914205">
        <w:t>,</w:t>
      </w:r>
      <w:r w:rsidR="00550F69" w:rsidRPr="00914205">
        <w:t xml:space="preserve"> collaborative and distributed leadership</w:t>
      </w:r>
      <w:r w:rsidR="00174B38" w:rsidRPr="00914205">
        <w:t>,</w:t>
      </w:r>
      <w:r w:rsidR="00550F69" w:rsidRPr="00914205">
        <w:t xml:space="preserve"> practices associated with managing professionals</w:t>
      </w:r>
      <w:r w:rsidR="00174B38" w:rsidRPr="00914205">
        <w:t>,</w:t>
      </w:r>
      <w:r w:rsidR="00550F69" w:rsidRPr="00914205">
        <w:t xml:space="preserve"> international perspectives on system, middle, curriculum and teacher leadership</w:t>
      </w:r>
      <w:r w:rsidR="00174B38" w:rsidRPr="00914205">
        <w:t>,</w:t>
      </w:r>
      <w:r w:rsidR="00550F69" w:rsidRPr="00914205">
        <w:t xml:space="preserve"> and the relationship between policy imperatives and leadership practice. Throughout, theory </w:t>
      </w:r>
      <w:r w:rsidR="000865F5" w:rsidRPr="00914205">
        <w:t xml:space="preserve">is connected </w:t>
      </w:r>
      <w:r w:rsidR="00550F69" w:rsidRPr="00914205">
        <w:t xml:space="preserve">with examples from my own setting, including workload and </w:t>
      </w:r>
      <w:r w:rsidR="003650D2" w:rsidRPr="00914205">
        <w:t>occupational stress</w:t>
      </w:r>
      <w:r w:rsidR="00550F69" w:rsidRPr="00914205">
        <w:t>, funding pressure, workshop constraints and reporting requirements.</w:t>
      </w:r>
    </w:p>
    <w:p w14:paraId="24896AA0" w14:textId="77777777" w:rsidR="00550F69" w:rsidRPr="00914205" w:rsidRDefault="00550F69" w:rsidP="00550F69">
      <w:pPr>
        <w:rPr>
          <w:b/>
          <w:bCs/>
        </w:rPr>
      </w:pPr>
      <w:r w:rsidRPr="00914205">
        <w:rPr>
          <w:b/>
          <w:bCs/>
        </w:rPr>
        <w:t>1. Leadership models and approaches in context</w:t>
      </w:r>
    </w:p>
    <w:p w14:paraId="46CC4FE5" w14:textId="6D1043B2" w:rsidR="00550F69" w:rsidRPr="00914205" w:rsidRDefault="00550F69" w:rsidP="00550F69">
      <w:r w:rsidRPr="00914205">
        <w:t>The formal structure of my college reflects a strong managerial model of leadership. There are clear reporting lines, specified responsibilities and an emphasis on operational control. This has practical value. A large FE college needs robust systems for timetabling, staffing, assessment, safeguarding, quality assurance and risk management. Bush argues that managerial leadership focuses on functions, tasks and behaviours, on the assumption that competent performance of those functions facilitates the work of others in the organisation (Bush, 2019). In an engineering department, this can be seen in the need to coordinate workshop use, ensure assessment deadlines are met, monitor learner progress and maintain health and safety requirements.</w:t>
      </w:r>
      <w:r w:rsidR="00297676" w:rsidRPr="00914205">
        <w:t xml:space="preserve"> Bush and Glover (2014) similarly warn that a managerialist approach can privilege efficiency and compliance over educational purpose, which is a risk in my setting when reporting and recruitment targets appear to take priority over curriculum sequencing, staff capacity and workshop safety.</w:t>
      </w:r>
    </w:p>
    <w:p w14:paraId="2721E0E1" w14:textId="5F726503" w:rsidR="00550F69" w:rsidRPr="00914205" w:rsidRDefault="00550F69" w:rsidP="00550F69">
      <w:r w:rsidRPr="00914205">
        <w:lastRenderedPageBreak/>
        <w:t xml:space="preserve">However, managerial leadership also has limits. Systems can facilitate professional work, but they can also dominate it. If staff are primarily treated as implementers of targets, reports and processes, their specialist knowledge may be undervalued. This is a particular risk in vocational education, where lecturers’ technical expertise and understanding of learners are central to curriculum quality. The issue is therefore not whether management is necessary, but whether managerial requirements remain connected to educational purpose. </w:t>
      </w:r>
      <w:r w:rsidR="007D7464" w:rsidRPr="00914205">
        <w:t>Management without professional dialogue can become managerialist, privileging efficiency, measurement and compliance over learning, relationships and professional judgement</w:t>
      </w:r>
      <w:r w:rsidR="007D7464" w:rsidRPr="00914205">
        <w:t xml:space="preserve"> </w:t>
      </w:r>
      <w:r w:rsidR="00E64D4D" w:rsidRPr="00914205">
        <w:t>(</w:t>
      </w:r>
      <w:r w:rsidR="007C1D49" w:rsidRPr="00914205">
        <w:t>Bush and Glover</w:t>
      </w:r>
      <w:r w:rsidR="00E64D4D" w:rsidRPr="00914205">
        <w:t xml:space="preserve">, </w:t>
      </w:r>
      <w:r w:rsidR="007C1D49" w:rsidRPr="00914205">
        <w:t>2014)</w:t>
      </w:r>
      <w:r w:rsidRPr="00914205">
        <w:t>.</w:t>
      </w:r>
    </w:p>
    <w:p w14:paraId="59BCE5AA" w14:textId="6ED402C4" w:rsidR="00550F69" w:rsidRPr="00914205" w:rsidRDefault="00550F69" w:rsidP="00550F69">
      <w:r w:rsidRPr="00914205">
        <w:t xml:space="preserve">My own setting illustrates this tension. The Head of Department performs the role conscientiously while also retaining a substantial teaching commitment. This keeps leadership connected to classroom and workshop realities, which is a strength. However, the role has also involved </w:t>
      </w:r>
      <w:r w:rsidR="003650D2" w:rsidRPr="00914205">
        <w:t>occupational stress</w:t>
      </w:r>
      <w:r w:rsidRPr="00914205">
        <w:t xml:space="preserve"> and time away from work. This should not be interpreted as an individual weakness. Rather, it raises questions about a system that requires one person to hold responsibility for staff, quality, curriculum and performance while continuing to teach, without an assistant manager. </w:t>
      </w:r>
      <w:r w:rsidR="00926F90" w:rsidRPr="00914205">
        <w:t xml:space="preserve">Instead of building proper leadership capacity, the organisation appears to </w:t>
      </w:r>
      <w:r w:rsidRPr="00914205">
        <w:t xml:space="preserve">rely on </w:t>
      </w:r>
      <w:r w:rsidR="00926F90" w:rsidRPr="00914205">
        <w:t xml:space="preserve">the </w:t>
      </w:r>
      <w:r w:rsidRPr="00914205">
        <w:t xml:space="preserve">individual </w:t>
      </w:r>
      <w:r w:rsidR="00926F90" w:rsidRPr="00914205">
        <w:t xml:space="preserve">goodwill and </w:t>
      </w:r>
      <w:r w:rsidRPr="00914205">
        <w:t xml:space="preserve">resilience </w:t>
      </w:r>
      <w:r w:rsidR="00926F90" w:rsidRPr="00914205">
        <w:t xml:space="preserve">of staff </w:t>
      </w:r>
      <w:r w:rsidRPr="00914205">
        <w:t xml:space="preserve">to compensate for </w:t>
      </w:r>
      <w:r w:rsidR="00926F90" w:rsidRPr="00914205">
        <w:t>an overloaded H</w:t>
      </w:r>
      <w:r w:rsidR="00254287" w:rsidRPr="00914205">
        <w:t xml:space="preserve">ead of </w:t>
      </w:r>
      <w:r w:rsidR="00926F90" w:rsidRPr="00914205">
        <w:t>D</w:t>
      </w:r>
      <w:r w:rsidR="00254287" w:rsidRPr="00914205">
        <w:t>epartment</w:t>
      </w:r>
      <w:r w:rsidRPr="00914205">
        <w:t>. Such a model may work temporarily, but it is not necessarily sustainable.</w:t>
      </w:r>
    </w:p>
    <w:p w14:paraId="4271988D" w14:textId="407AAFC0" w:rsidR="00926F90" w:rsidRPr="00914205" w:rsidRDefault="00926F90" w:rsidP="00550F69">
      <w:r w:rsidRPr="00914205">
        <w:t>Distributed leadership makes sense because expertise doesn't just sit with managers</w:t>
      </w:r>
      <w:r w:rsidR="00E34C94" w:rsidRPr="00914205">
        <w:t xml:space="preserve">, </w:t>
      </w:r>
      <w:r w:rsidRPr="00914205">
        <w:t>it's scattered across the team</w:t>
      </w:r>
      <w:r w:rsidR="00E34C94" w:rsidRPr="00914205">
        <w:t xml:space="preserve"> of subject experts</w:t>
      </w:r>
      <w:r w:rsidRPr="00914205">
        <w:t xml:space="preserve">. </w:t>
      </w:r>
      <w:r w:rsidR="00E34C94" w:rsidRPr="00914205">
        <w:t>Within the</w:t>
      </w:r>
      <w:r w:rsidRPr="00914205">
        <w:t xml:space="preserve"> </w:t>
      </w:r>
      <w:r w:rsidR="00E34C94" w:rsidRPr="00914205">
        <w:t xml:space="preserve">engineering </w:t>
      </w:r>
      <w:r w:rsidRPr="00914205">
        <w:t>department</w:t>
      </w:r>
      <w:r w:rsidR="00E34C94" w:rsidRPr="00914205">
        <w:t>,</w:t>
      </w:r>
      <w:r w:rsidRPr="00914205">
        <w:t xml:space="preserve"> lecturers and course leads are the ones actually deciding when assessments run, how practical workshop activities are delivered, and how students</w:t>
      </w:r>
      <w:r w:rsidR="00E34C94" w:rsidRPr="00914205">
        <w:t xml:space="preserve"> are supported</w:t>
      </w:r>
      <w:r w:rsidRPr="00914205">
        <w:t xml:space="preserve">. </w:t>
      </w:r>
      <w:r w:rsidR="00E34C94" w:rsidRPr="00914205">
        <w:t>However,</w:t>
      </w:r>
      <w:r w:rsidRPr="00914205">
        <w:t xml:space="preserve"> passing down jobs isn't power</w:t>
      </w:r>
      <w:r w:rsidR="00E34C94" w:rsidRPr="00914205">
        <w:t xml:space="preserve"> </w:t>
      </w:r>
      <w:r w:rsidRPr="00914205">
        <w:t xml:space="preserve">sharing. There's a big difference between shaping a decision and just following orders. Harris (2004) </w:t>
      </w:r>
      <w:r w:rsidR="00E34C94" w:rsidRPr="00914205">
        <w:t>observed</w:t>
      </w:r>
      <w:r w:rsidRPr="00914205">
        <w:t xml:space="preserve"> this</w:t>
      </w:r>
      <w:r w:rsidR="00E34C94" w:rsidRPr="00914205">
        <w:t>,</w:t>
      </w:r>
      <w:r w:rsidR="002856BC" w:rsidRPr="00914205">
        <w:t xml:space="preserve"> in that</w:t>
      </w:r>
      <w:r w:rsidRPr="00914205">
        <w:t xml:space="preserve"> calling something distributed leadership doesn't mean it's democratic. If you give people extra tasks without giving them actual authority, you're just </w:t>
      </w:r>
      <w:r w:rsidR="004D4EEE" w:rsidRPr="00914205">
        <w:t>offloading tasks,</w:t>
      </w:r>
      <w:r w:rsidRPr="00914205">
        <w:t xml:space="preserve"> whil</w:t>
      </w:r>
      <w:r w:rsidR="004D4EEE" w:rsidRPr="00914205">
        <w:t>st</w:t>
      </w:r>
      <w:r w:rsidRPr="00914205">
        <w:t xml:space="preserve"> keeping the hierarchy intact.</w:t>
      </w:r>
    </w:p>
    <w:p w14:paraId="6D38B976" w14:textId="511E2447" w:rsidR="00550F69" w:rsidRPr="00914205" w:rsidRDefault="00550F69" w:rsidP="00550F69">
      <w:r w:rsidRPr="00914205">
        <w:t xml:space="preserve">A student-focused approach to leadership is also important. Ashcroft and Foreman-Peck (1994) argue that managing teaching and learning requires attention to curriculum design, assessment and learner support. This reinforces my view that leadership in FE must remain close to the realities of learners’ experiences. In engineering, safe workshop numbers, access to equipment, technical teaching expertise and appropriate sequencing cannot be treated as secondary operational matters. They are conditions of educational quality. </w:t>
      </w:r>
      <w:r w:rsidR="00B52D18" w:rsidRPr="00914205">
        <w:t xml:space="preserve">Managerial leadership gives us the structure we need, but it has to go hand-in-hand with distributed and student-centred ways of working. </w:t>
      </w:r>
      <w:r w:rsidR="00A664A4" w:rsidRPr="00914205">
        <w:t>This combination is necessary to protect professional judgement and support sustainable workloads</w:t>
      </w:r>
      <w:r w:rsidR="00B52D18" w:rsidRPr="00914205">
        <w:t>.</w:t>
      </w:r>
    </w:p>
    <w:p w14:paraId="342FC341" w14:textId="77777777" w:rsidR="00550F69" w:rsidRPr="00914205" w:rsidRDefault="00550F69" w:rsidP="00550F69">
      <w:pPr>
        <w:rPr>
          <w:b/>
          <w:bCs/>
        </w:rPr>
      </w:pPr>
      <w:r w:rsidRPr="00914205">
        <w:rPr>
          <w:b/>
          <w:bCs/>
        </w:rPr>
        <w:t>2. Collaborative and distributed leadership</w:t>
      </w:r>
    </w:p>
    <w:p w14:paraId="276250EF" w14:textId="6D702026" w:rsidR="00550F69" w:rsidRPr="00914205" w:rsidRDefault="00550F69" w:rsidP="00550F69">
      <w:r w:rsidRPr="00914205">
        <w:t xml:space="preserve">Collaboration is a routine feature of professional life in further education. Engineering lecturers share resources, support learners, interpret awarding-body expectations and solve practical problems together. In my setting, this collegiality is valuable because complex provision cannot be delivered well through isolated individual work. Jameson and </w:t>
      </w:r>
      <w:proofErr w:type="spellStart"/>
      <w:r w:rsidRPr="00914205">
        <w:t>McNay</w:t>
      </w:r>
      <w:proofErr w:type="spellEnd"/>
      <w:r w:rsidRPr="00914205">
        <w:t xml:space="preserve"> (2007) emphasise the importance of trust, shared knowledge and professional relationships in FE leadership. Their perspective is useful because it shows that leadership is not solely the activity of senior staff</w:t>
      </w:r>
      <w:r w:rsidR="00174B38" w:rsidRPr="00914205">
        <w:t>,</w:t>
      </w:r>
      <w:r w:rsidRPr="00914205">
        <w:t xml:space="preserve"> it also emerges through the capacity of teams to share expertise and make sense of challenges together.</w:t>
      </w:r>
    </w:p>
    <w:p w14:paraId="01C79CC5" w14:textId="06C2A373" w:rsidR="00550F69" w:rsidRPr="00914205" w:rsidRDefault="00550F69" w:rsidP="00550F69">
      <w:r w:rsidRPr="00914205">
        <w:lastRenderedPageBreak/>
        <w:t xml:space="preserve">Nevertheless, collaboration should not be </w:t>
      </w:r>
      <w:r w:rsidR="009D3B5C" w:rsidRPr="00914205">
        <w:t xml:space="preserve">over </w:t>
      </w:r>
      <w:r w:rsidR="00E86D24" w:rsidRPr="00914205">
        <w:t>idealised</w:t>
      </w:r>
      <w:r w:rsidRPr="00914205">
        <w:t xml:space="preserve">. There is an important difference between staff working together and leadership being genuinely distributed. Colleagues may cooperate because they are committed to learners and to one another, but this can also operate as a coping strategy in an under-resourced system. </w:t>
      </w:r>
      <w:r w:rsidR="000D0A53" w:rsidRPr="00914205">
        <w:t>Bush (2018) distinguishes that</w:t>
      </w:r>
      <w:r w:rsidRPr="00914205">
        <w:t xml:space="preserve"> staff are regularly solving problems generated by workload, limited capacity or unclear processes, collaboration may sustain the organisation without changing the conditions that created the problem. This raises a critical concern</w:t>
      </w:r>
      <w:r w:rsidR="009D3B5C" w:rsidRPr="00914205">
        <w:t>, as</w:t>
      </w:r>
      <w:r w:rsidRPr="00914205">
        <w:t xml:space="preserve"> the college can benefit from professional goodwill while retaining central control over the decisions that most affect staff work.</w:t>
      </w:r>
    </w:p>
    <w:p w14:paraId="4C1760D2" w14:textId="2583A484" w:rsidR="00F22541" w:rsidRPr="00914205" w:rsidRDefault="00ED6870" w:rsidP="00F22541">
      <w:pPr>
        <w:rPr>
          <w:highlight w:val="yellow"/>
        </w:rPr>
      </w:pPr>
      <w:r w:rsidRPr="00914205">
        <w:t>International</w:t>
      </w:r>
      <w:r w:rsidR="00550F69" w:rsidRPr="00914205">
        <w:t xml:space="preserve"> literature on teacher leadership is helpful here. Teacher leadership is best understood as influence rather than a formal title. It involves practitioners improving practice beyond their own classroom through sharing expertise, leading inquiry and contributing to collective improvement. </w:t>
      </w:r>
      <w:r w:rsidR="00F22541" w:rsidRPr="00914205">
        <w:t xml:space="preserve">A good example is Ontario’s Teacher Learning and Leadership Program (TLLP). It was set up as a partnership between the Ontario Teachers’ Federation and the Ministry of Education, and it backs professional learning and leadership work that teachers themselves lead (Ontario Teachers’ Federation, 2017). The idea is to treat teachers as active partners in shaping improvement, not just people who receive reforms designed </w:t>
      </w:r>
      <w:r w:rsidR="003A4796" w:rsidRPr="00914205">
        <w:t>from outside of the setting</w:t>
      </w:r>
      <w:r w:rsidR="00F22541" w:rsidRPr="00914205">
        <w:t>.</w:t>
      </w:r>
    </w:p>
    <w:p w14:paraId="678C93FA" w14:textId="37EA2611" w:rsidR="00550F69" w:rsidRPr="00914205" w:rsidRDefault="00550F69" w:rsidP="00550F69">
      <w:r w:rsidRPr="00914205">
        <w:t>This comparison is relevant to my setting because lecturers often possess the most detailed knowledge of curriculum and learner need, yet they may be involved only after strategic decisions have been made. If teacher or lecturer expertise is recognised only at the stage of implementation, the organisation may claim to be collaborative while remaining essentially hierarchical. This is particularly problematic in engineering, where staff need to make informed decisions about technical content, practical activity and safety. Distributed leadership should therefore mean more than asking people to help</w:t>
      </w:r>
      <w:r w:rsidR="00174B38" w:rsidRPr="00914205">
        <w:t>,</w:t>
      </w:r>
      <w:r w:rsidRPr="00914205">
        <w:t xml:space="preserve"> it should include meaningful participation in planning, professional learning and curriculum development.</w:t>
      </w:r>
    </w:p>
    <w:p w14:paraId="1715C706" w14:textId="75EF3EC9" w:rsidR="00550F69" w:rsidRPr="00914205" w:rsidRDefault="00550F69" w:rsidP="00550F69">
      <w:pPr>
        <w:rPr>
          <w:highlight w:val="yellow"/>
        </w:rPr>
      </w:pPr>
      <w:r w:rsidRPr="00914205">
        <w:t>A useful critical comparison is provided by Michaela Community School. The school’s use of Up Learn is presented as part of a highly structured model based on strong routines, silent study and tightly sequenced curriculum coverage. The provider’s case study claims that the platform supports homework, revision and curriculum-gap identification, and can offer support where specialist staffing is limited (Up Learn, 2025). This suggests that directive leadership can create consistency and protect curriculum coverage. However, Michaela’s model is not straightforwardly transferable to FE engineering. Practical vocational delivery relies on limits</w:t>
      </w:r>
      <w:r w:rsidR="002A6A1D" w:rsidRPr="00914205">
        <w:t xml:space="preserve"> previously discussed</w:t>
      </w:r>
      <w:r w:rsidRPr="00914205">
        <w:t xml:space="preserve">. </w:t>
      </w:r>
      <w:r w:rsidR="00D23A24" w:rsidRPr="00914205">
        <w:t>While tight control can create consistency, overlooking the vocational context risks sidelining staff expertise. Michaela shows the real value of well-sequenced resources, but it also makes clear that structural coherence still needs to be balanced with professional autonomy.</w:t>
      </w:r>
    </w:p>
    <w:p w14:paraId="3980E58E" w14:textId="4194AC4F" w:rsidR="00550F69" w:rsidRPr="00914205" w:rsidRDefault="00550F69" w:rsidP="00550F69">
      <w:r w:rsidRPr="00914205">
        <w:t>Overall, collaboration and distributed leadership have significant potential in FE, but only when they are supported by trust, influence and clear purpose. Without these conditions, they risk becoming rhetorical labels for staff simply coping with organisational pressure.</w:t>
      </w:r>
    </w:p>
    <w:p w14:paraId="20F35127" w14:textId="77777777" w:rsidR="00550F69" w:rsidRPr="00914205" w:rsidRDefault="00550F69" w:rsidP="00550F69">
      <w:pPr>
        <w:rPr>
          <w:b/>
          <w:bCs/>
        </w:rPr>
      </w:pPr>
      <w:r w:rsidRPr="00914205">
        <w:rPr>
          <w:b/>
          <w:bCs/>
        </w:rPr>
        <w:t>3. Practices associated with leading and managing professionals</w:t>
      </w:r>
    </w:p>
    <w:p w14:paraId="317D1378" w14:textId="77777777" w:rsidR="00550F69" w:rsidRPr="00914205" w:rsidRDefault="00550F69" w:rsidP="00550F69">
      <w:r w:rsidRPr="00914205">
        <w:t xml:space="preserve">Leadership is enacted through daily practices. In my context, these include communication, workload allocation, quality assurance, performance monitoring, curriculum planning, staff support and data reporting. The module has made me more aware that such practices are not </w:t>
      </w:r>
      <w:r w:rsidRPr="00914205">
        <w:lastRenderedPageBreak/>
        <w:t>neutral. They can be experienced as developmental or controlling depending on how they are designed and enacted.</w:t>
      </w:r>
    </w:p>
    <w:p w14:paraId="2660B551" w14:textId="2BB6DED3" w:rsidR="00550F69" w:rsidRPr="00914205" w:rsidRDefault="00550F69" w:rsidP="00550F69">
      <w:r w:rsidRPr="00914205">
        <w:t xml:space="preserve">Quality assurance provides a clear example. Monitoring learner outcomes, assessment practice and curriculum quality </w:t>
      </w:r>
      <w:r w:rsidR="00643CAE" w:rsidRPr="00914205">
        <w:t>are</w:t>
      </w:r>
      <w:r w:rsidRPr="00914205">
        <w:t xml:space="preserve"> necessary in an FE college. However, quality processes can either facilitate professional reflection or become surveillance. If staff are encouraged to discuss evidence, identify problems and develop solutions, quality assurance can support learning. If the emphasis is primarily on completing forms and demonstrating compliance, it can reduce autonomy and damage trust. This distinction is significant because professional staff are more likely to engage meaningfully with improvement when they understand the educational rationale behind evidence collection</w:t>
      </w:r>
      <w:r w:rsidR="00643CAE" w:rsidRPr="00914205">
        <w:t xml:space="preserve"> </w:t>
      </w:r>
      <w:r w:rsidR="00E64D4D" w:rsidRPr="00914205">
        <w:t>(</w:t>
      </w:r>
      <w:r w:rsidR="00643CAE" w:rsidRPr="00914205">
        <w:t>Gravells</w:t>
      </w:r>
      <w:r w:rsidR="00E64D4D" w:rsidRPr="00914205">
        <w:t xml:space="preserve">, </w:t>
      </w:r>
      <w:r w:rsidR="00643CAE" w:rsidRPr="00914205">
        <w:t>201</w:t>
      </w:r>
      <w:r w:rsidR="00137668" w:rsidRPr="00914205">
        <w:t>6</w:t>
      </w:r>
      <w:r w:rsidR="00643CAE" w:rsidRPr="00914205">
        <w:t>)</w:t>
      </w:r>
      <w:r w:rsidRPr="00914205">
        <w:t>.</w:t>
      </w:r>
    </w:p>
    <w:p w14:paraId="6718AC48" w14:textId="584EA108" w:rsidR="00550F69" w:rsidRPr="00914205" w:rsidRDefault="00550F69" w:rsidP="00550F69">
      <w:r w:rsidRPr="00914205">
        <w:t>In a five-layer hierarchy, communication is also critical. Messages can pass through several levels before reaching curriculum teams. Each stage may add new interpretation, urgency or reporting requirements. Middle leaders therefore have a demanding translational role</w:t>
      </w:r>
      <w:r w:rsidR="007F2205" w:rsidRPr="00914205">
        <w:t>,</w:t>
      </w:r>
      <w:r w:rsidRPr="00914205">
        <w:t xml:space="preserve"> they must interpret senior-level priorities into workable educational practice. </w:t>
      </w:r>
      <w:r w:rsidR="007F2205" w:rsidRPr="00914205">
        <w:t xml:space="preserve">Therefore, it means deciding what's </w:t>
      </w:r>
      <w:r w:rsidR="00913A8E" w:rsidRPr="00914205">
        <w:t>feasible</w:t>
      </w:r>
      <w:r w:rsidR="00FB0DFF">
        <w:t xml:space="preserve"> by</w:t>
      </w:r>
      <w:r w:rsidR="007F2205" w:rsidRPr="00914205">
        <w:t xml:space="preserve"> setting priorities and backing staff </w:t>
      </w:r>
      <w:r w:rsidR="00913A8E" w:rsidRPr="00914205">
        <w:t>appropriately</w:t>
      </w:r>
      <w:r w:rsidR="007F2205" w:rsidRPr="00914205">
        <w:t xml:space="preserve">. Get this balance wrong and leadership </w:t>
      </w:r>
      <w:r w:rsidR="00FB0DFF">
        <w:t xml:space="preserve">will </w:t>
      </w:r>
      <w:r w:rsidR="007F2205" w:rsidRPr="00914205">
        <w:t xml:space="preserve">feel fragmented </w:t>
      </w:r>
      <w:r w:rsidR="00FB0DFF">
        <w:t>with</w:t>
      </w:r>
      <w:r w:rsidR="007F2205" w:rsidRPr="00914205">
        <w:t xml:space="preserve"> conflicting demands</w:t>
      </w:r>
      <w:r w:rsidR="00273068" w:rsidRPr="00914205">
        <w:t xml:space="preserve"> (</w:t>
      </w:r>
      <w:r w:rsidR="00987390" w:rsidRPr="00914205">
        <w:t>Skerritt et al.,</w:t>
      </w:r>
      <w:r w:rsidR="00273068" w:rsidRPr="00914205">
        <w:t xml:space="preserve"> 2023)</w:t>
      </w:r>
      <w:r w:rsidR="007F2205" w:rsidRPr="00914205">
        <w:t>.</w:t>
      </w:r>
    </w:p>
    <w:p w14:paraId="3896276A" w14:textId="4EE89CCE" w:rsidR="00550F69" w:rsidRPr="00914205" w:rsidRDefault="00550F69" w:rsidP="00550F69">
      <w:r w:rsidRPr="00914205">
        <w:t>The tension between funding and safe delivery illustrates this point. In my setting, there has been pressure to increase the number of enhanced learners because this attracts additional funding</w:t>
      </w:r>
      <w:r w:rsidR="002E233A" w:rsidRPr="00914205">
        <w:t xml:space="preserve"> (</w:t>
      </w:r>
      <w:proofErr w:type="spellStart"/>
      <w:r w:rsidR="002E233A" w:rsidRPr="00914205">
        <w:t>Medr</w:t>
      </w:r>
      <w:proofErr w:type="spellEnd"/>
      <w:r w:rsidR="002E233A" w:rsidRPr="00914205">
        <w:t>, 2025</w:t>
      </w:r>
      <w:r w:rsidR="00FC122B" w:rsidRPr="00914205">
        <w:t>a</w:t>
      </w:r>
      <w:r w:rsidR="002E233A" w:rsidRPr="00914205">
        <w:t>)</w:t>
      </w:r>
      <w:r w:rsidRPr="00914205">
        <w:t>. Funding is important</w:t>
      </w:r>
      <w:r w:rsidR="00174B38" w:rsidRPr="00914205">
        <w:t>,</w:t>
      </w:r>
      <w:r w:rsidRPr="00914205">
        <w:t xml:space="preserve"> colleges need it to sustain provision. However, engineering workshops have a health and safety capacity limit of around twelve learners. Leadership must therefore decide whether to interpret financial pressure responsibly or transmit it without challenge. A drive to increase numbers without acknowledging workshop capacity risks placing funding logic above safe, educationally sound practice. This demonstrates that leadership cannot be separated from operational context. Decisions that appear financially rational may be educationally or ethically unsound if they disregard the conditions of practical teaching</w:t>
      </w:r>
      <w:r w:rsidR="008760F5" w:rsidRPr="00914205">
        <w:t xml:space="preserve"> </w:t>
      </w:r>
      <w:r w:rsidR="003A2289" w:rsidRPr="00914205">
        <w:t>(O’Leary et al., 2019)</w:t>
      </w:r>
      <w:r w:rsidR="003A2289" w:rsidRPr="00914205">
        <w:t>.</w:t>
      </w:r>
    </w:p>
    <w:p w14:paraId="2B1A657C" w14:textId="6FE898B6" w:rsidR="000431EE" w:rsidRPr="00914205" w:rsidRDefault="000431EE" w:rsidP="00550F69">
      <w:r w:rsidRPr="00914205">
        <w:t xml:space="preserve">I observed this tension directly when discussions about enhanced learner numbers were linked to departmental funding. My immediate reaction was to view the issue mainly as a recruitment or financial challenge. However, reflecting on the discussion from the position of an engineering lecturer changed that view. </w:t>
      </w:r>
      <w:r w:rsidR="00986E2C" w:rsidRPr="00914205">
        <w:t>In a workshop, class sizes directly impact supervision, safety, and learning pace, not just college funding. Starting conversations with financial incentives rather than safe conditions was a clear red flag for me. As a future leader, I</w:t>
      </w:r>
      <w:r w:rsidR="00C92FBF" w:rsidRPr="00914205">
        <w:t xml:space="preserve"> would require</w:t>
      </w:r>
      <w:r w:rsidR="00986E2C" w:rsidRPr="00914205">
        <w:t xml:space="preserve"> clear capacity evidence to protect staff workload, health and safety, and teaching quality before signing off on recruitment targets (</w:t>
      </w:r>
      <w:r w:rsidR="00607567" w:rsidRPr="00914205">
        <w:t xml:space="preserve">Mat </w:t>
      </w:r>
      <w:proofErr w:type="spellStart"/>
      <w:r w:rsidR="00607567" w:rsidRPr="00914205">
        <w:t>Lazim</w:t>
      </w:r>
      <w:proofErr w:type="spellEnd"/>
      <w:r w:rsidR="00607567" w:rsidRPr="00914205">
        <w:t xml:space="preserve"> et al.,</w:t>
      </w:r>
      <w:r w:rsidR="00607567" w:rsidRPr="00914205">
        <w:t xml:space="preserve"> </w:t>
      </w:r>
      <w:r w:rsidR="00986E2C" w:rsidRPr="00914205">
        <w:t>2022).</w:t>
      </w:r>
    </w:p>
    <w:p w14:paraId="61F2D260" w14:textId="38343F25" w:rsidR="000431EE" w:rsidRPr="00914205" w:rsidRDefault="00550F69" w:rsidP="00550F69">
      <w:r w:rsidRPr="00914205">
        <w:t>A second example concerns reporting. Staff were criticised for not completing elements of a quality framework even though the curriculum sequence had not yet generated the required data. This exposes a weakness in compliance-led leadership</w:t>
      </w:r>
      <w:r w:rsidR="000044DB" w:rsidRPr="00914205">
        <w:t>.</w:t>
      </w:r>
      <w:r w:rsidRPr="00914205">
        <w:t xml:space="preserve"> </w:t>
      </w:r>
      <w:r w:rsidR="000044DB" w:rsidRPr="00914205">
        <w:t>D</w:t>
      </w:r>
      <w:r w:rsidRPr="00914205">
        <w:t>ata is being demanded before the educational process that could produce meaningful evidence is complete. The result is pressure to report rather than a genuine opportunity to learn from evidence. Cohen’s discussion of counterproductive work behaviour is relevant because it highlights how organisational pressures and performance demands can contribute to damaging behaviour and weakened trust (Cohen, 2018). In this context, the problem is not only individual conduct</w:t>
      </w:r>
      <w:r w:rsidR="00174B38" w:rsidRPr="00914205">
        <w:t>,</w:t>
      </w:r>
      <w:r w:rsidRPr="00914205">
        <w:t xml:space="preserve"> it is the possibility that leadership systems themselves become counterproductive when compliance overrides professional judgement.</w:t>
      </w:r>
      <w:r w:rsidR="000044DB" w:rsidRPr="00914205">
        <w:t xml:space="preserve"> It forced me to distinguish between compliance and true accountability. Rather than agreeing to unrealistic deadlines or flatly refusing, moving forward </w:t>
      </w:r>
      <w:r w:rsidR="000044DB" w:rsidRPr="00914205">
        <w:lastRenderedPageBreak/>
        <w:t xml:space="preserve">I’ll constructively propose interim updates and explain curriculum timelines constructively, rather than either refusing tight deadlines outright or agreeing to unrealistic expectations. </w:t>
      </w:r>
      <w:r w:rsidR="000431EE" w:rsidRPr="00914205">
        <w:t>This would preserve professional relationships while protecting the educational integrity of the evidence.</w:t>
      </w:r>
    </w:p>
    <w:p w14:paraId="18CEE244" w14:textId="25B88BCC" w:rsidR="00550F69" w:rsidRPr="00914205" w:rsidRDefault="00E4577B" w:rsidP="00550F69">
      <w:r w:rsidRPr="00914205">
        <w:t>A further example concerns communication within the department that was understood as placing pressure on staff to secure learner achievement regardless of the difficulties involved.</w:t>
      </w:r>
      <w:r w:rsidRPr="00914205">
        <w:t xml:space="preserve"> </w:t>
      </w:r>
      <w:r w:rsidR="003118F8" w:rsidRPr="00914205">
        <w:t xml:space="preserve">While it was probably meant to show determination and support for learners, it is ethically problematic. </w:t>
      </w:r>
      <w:r w:rsidR="00550F69" w:rsidRPr="00914205">
        <w:t>However, it can be interpreted as placing achievement above standards, process and professional integrity. Effective leadership should challenge staff to improve outcomes while also protecting the validity of learning and assessment. It should never normalise pressure that suggests that the process does not matter. This has changed my understanding of leadership</w:t>
      </w:r>
      <w:r w:rsidR="005A1960" w:rsidRPr="00914205">
        <w:t>.</w:t>
      </w:r>
      <w:r w:rsidR="00550F69" w:rsidRPr="00914205">
        <w:t xml:space="preserve"> </w:t>
      </w:r>
      <w:r w:rsidR="005A1960" w:rsidRPr="00914205">
        <w:t>I</w:t>
      </w:r>
      <w:r w:rsidR="00550F69" w:rsidRPr="00914205">
        <w:t>t is not simply the ability to drive performance, but the ability to create conditions in which performance remains educationally meaningful.</w:t>
      </w:r>
    </w:p>
    <w:p w14:paraId="284CD1ED" w14:textId="48CED447" w:rsidR="00297676" w:rsidRPr="00914205" w:rsidRDefault="00297676" w:rsidP="00550F69">
      <w:proofErr w:type="spellStart"/>
      <w:r w:rsidRPr="00914205">
        <w:t>Leithwood</w:t>
      </w:r>
      <w:proofErr w:type="spellEnd"/>
      <w:r w:rsidRPr="00914205">
        <w:t>, Harris and Hopkins (2020) identify developing people and improving organisational conditions as central features of successful leadership, reinforcing my view that the workload and limited support experienced by middle leaders in my department are not peripheral concerns but directly affect the organisation’s capacity for improvement.</w:t>
      </w:r>
    </w:p>
    <w:p w14:paraId="7A7CBA7E" w14:textId="414F8642" w:rsidR="00297676" w:rsidRPr="00914205" w:rsidRDefault="00297676" w:rsidP="00550F69">
      <w:r w:rsidRPr="00914205">
        <w:t xml:space="preserve">Harris and Jones (2018) warn that leadership and management can have a destructive dimension when influence and accountability are exercised in ways that </w:t>
      </w:r>
      <w:r w:rsidR="00D75C8C" w:rsidRPr="00914205">
        <w:t xml:space="preserve">would </w:t>
      </w:r>
      <w:r w:rsidRPr="00914205">
        <w:t>damage trust or professional wellbeing. This is relevant to my setting because pressure to produce outcomes or data can become counterproductive if it is not balanced by educational judgement, realistic capacity and respectful dialogue.</w:t>
      </w:r>
    </w:p>
    <w:p w14:paraId="53CB17A7" w14:textId="77777777" w:rsidR="00550F69" w:rsidRPr="00914205" w:rsidRDefault="00550F69" w:rsidP="00550F69">
      <w:r w:rsidRPr="00914205">
        <w:t>On balance, effective leadership practice requires more than organisation and urgency. It needs contextual understanding, clear communication, ethical judgement and trust. The strongest practices in my setting are those that connect institutional expectations with the realities of curriculum, learner need and staff capacity. The weakest are those that impose demands without creating coherence or support.</w:t>
      </w:r>
    </w:p>
    <w:p w14:paraId="3157506A" w14:textId="77777777" w:rsidR="00550F69" w:rsidRPr="00914205" w:rsidRDefault="00550F69" w:rsidP="00550F69">
      <w:pPr>
        <w:rPr>
          <w:b/>
          <w:bCs/>
        </w:rPr>
      </w:pPr>
      <w:r w:rsidRPr="00914205">
        <w:rPr>
          <w:b/>
          <w:bCs/>
        </w:rPr>
        <w:t>4. International evidence: system, middle, curriculum and teacher leadership</w:t>
      </w:r>
    </w:p>
    <w:p w14:paraId="7DB4B7D0" w14:textId="46B6D130" w:rsidR="00550F69" w:rsidRPr="00914205" w:rsidRDefault="00550F69" w:rsidP="00550F69">
      <w:r w:rsidRPr="00914205">
        <w:t>International evidence demonstrates that leadership operates across several levels</w:t>
      </w:r>
      <w:r w:rsidR="00FF34E2" w:rsidRPr="00914205">
        <w:t xml:space="preserve">, </w:t>
      </w:r>
      <w:r w:rsidR="00FE7034" w:rsidRPr="00914205">
        <w:t>such as</w:t>
      </w:r>
      <w:r w:rsidR="00FF34E2" w:rsidRPr="00914205">
        <w:t xml:space="preserve"> s</w:t>
      </w:r>
      <w:r w:rsidRPr="00914205">
        <w:t>ystems, institutions, departments, curriculum teams and classrooms. In my context, middle and curriculum leadership are especially important because they link institutional priorities to daily teaching and learning. However, wider ideas about system leadership and teacher leadership help clarify what these roles could achieve when they are properly supported</w:t>
      </w:r>
      <w:r w:rsidR="00FE7034" w:rsidRPr="00914205">
        <w:t xml:space="preserve"> </w:t>
      </w:r>
      <w:r w:rsidR="00FE7034" w:rsidRPr="00914205">
        <w:t>(UNESCO, 2024)</w:t>
      </w:r>
      <w:r w:rsidRPr="00914205">
        <w:t>.</w:t>
      </w:r>
    </w:p>
    <w:p w14:paraId="18FCA771" w14:textId="71482976" w:rsidR="00550F69" w:rsidRPr="00914205" w:rsidRDefault="00550F69" w:rsidP="00550F69">
      <w:pPr>
        <w:rPr>
          <w:highlight w:val="yellow"/>
        </w:rPr>
      </w:pPr>
      <w:r w:rsidRPr="00914205">
        <w:t xml:space="preserve">Middle leadership is often described as the bridge between senior </w:t>
      </w:r>
      <w:r w:rsidR="007B2D1B">
        <w:t xml:space="preserve">corporate </w:t>
      </w:r>
      <w:r w:rsidRPr="00914205">
        <w:t xml:space="preserve">direction and </w:t>
      </w:r>
      <w:r w:rsidR="007B2D1B">
        <w:t xml:space="preserve">those on </w:t>
      </w:r>
      <w:r w:rsidRPr="00914205">
        <w:t xml:space="preserve">frontline practice. Yet Andrew Hargreaves’ concept of leading from the middle offers a more ambitious interpretation. </w:t>
      </w:r>
      <w:r w:rsidR="00526AAA" w:rsidRPr="00914205">
        <w:t xml:space="preserve">Hargreaves (2023) argues that leadership from the middle is about driving real educational change, not just making hierarchy work more smoothly. </w:t>
      </w:r>
      <w:r w:rsidR="00C92FBF" w:rsidRPr="00914205">
        <w:t>H</w:t>
      </w:r>
      <w:r w:rsidR="00C92FBF" w:rsidRPr="00914205">
        <w:t xml:space="preserve">e </w:t>
      </w:r>
      <w:r w:rsidR="00C92FBF" w:rsidRPr="00914205">
        <w:t>presents this approach as collaborative, inclusive and focused on shared improvement.</w:t>
      </w:r>
      <w:r w:rsidR="00C92FBF" w:rsidRPr="00914205">
        <w:t xml:space="preserve"> </w:t>
      </w:r>
      <w:r w:rsidRPr="00914205">
        <w:t>This is highly relevant to my setting. A Head of Department or curriculum leader should not merely transmit messages from above</w:t>
      </w:r>
      <w:r w:rsidR="00174B38" w:rsidRPr="00914205">
        <w:t>,</w:t>
      </w:r>
      <w:r w:rsidRPr="00914205">
        <w:t xml:space="preserve"> they should help shape coherent improvement that reflects learners, staff knowledge and local circumstances.</w:t>
      </w:r>
    </w:p>
    <w:p w14:paraId="2FB05DB6" w14:textId="592F1419" w:rsidR="00550F69" w:rsidRPr="00914205" w:rsidRDefault="00550F69" w:rsidP="00550F69">
      <w:r w:rsidRPr="00914205">
        <w:lastRenderedPageBreak/>
        <w:t>However, the experience of my department shows the limits of this aspiration. The Head of Department combines leadership with teaching and has no assistant manager. Workload, reporting pressures and urgent operational issues can therefore pull middle leadership towards reactive administration. Hargreaves’ argument makes this a structural issue rather than a personal one</w:t>
      </w:r>
      <w:r w:rsidR="00D27667" w:rsidRPr="00914205">
        <w:t>.</w:t>
      </w:r>
      <w:r w:rsidRPr="00914205">
        <w:t xml:space="preserve"> </w:t>
      </w:r>
      <w:r w:rsidR="00D27667" w:rsidRPr="00914205">
        <w:t>I</w:t>
      </w:r>
      <w:r w:rsidRPr="00914205">
        <w:t>f the middle is expected to be the source of collaborative improvement, it must have the capacity to lead. Otherwise, it becomes a transmission point for demands made elsewhere. In my setting, the risk is that middle leadership is valued rhetorically but under-resourced in practice.</w:t>
      </w:r>
    </w:p>
    <w:p w14:paraId="1C07E9C8" w14:textId="6936355F" w:rsidR="00550F69" w:rsidRPr="00914205" w:rsidRDefault="00550F69" w:rsidP="00550F69">
      <w:r w:rsidRPr="00914205">
        <w:t xml:space="preserve">Curriculum leadership is similarly significant in FE engineering. It involves more than maintaining schemes of work or meeting awarding-body requirements. It includes sequencing technical learning, connecting theory with practical activity, supporting progression across levels and ensuring that curriculum content remains relevant to industry. </w:t>
      </w:r>
      <w:r w:rsidR="002D267C" w:rsidRPr="00914205">
        <w:t>Experienced lecturers naturally exercise this leadership, informally, because they have specialist knowledge. This is valuable, but it can also reveal some weaknesses, due to curriculum quality that is dependent on individuals compensating for structural limitations and the institution would be shown as not using their expertise strategically. Effective curriculum leadership requires security in protected time, recognition and meaningful involvement in decisions</w:t>
      </w:r>
      <w:r w:rsidR="000C0035" w:rsidRPr="00914205">
        <w:t xml:space="preserve"> </w:t>
      </w:r>
      <w:r w:rsidR="000C0035" w:rsidRPr="00914205">
        <w:t>(OECD, 2021)</w:t>
      </w:r>
      <w:r w:rsidR="002D267C" w:rsidRPr="00914205">
        <w:t>.</w:t>
      </w:r>
    </w:p>
    <w:p w14:paraId="76A06F40" w14:textId="25615EC4" w:rsidR="00550F69" w:rsidRPr="00914205" w:rsidRDefault="00550F69" w:rsidP="00550F69">
      <w:r w:rsidRPr="00914205">
        <w:t>Teacher leadership strengthens this argument. Teacher leaders share practice, influence colleagues and contribute to improvement beyond their own classes. The TLLP demonstrates the potential of teacher-led inquiry and self-directed professional learning, offering an alternative to reform models in which teachers only implement decisions made by others (Ontario Teachers’ Federation, 2017).</w:t>
      </w:r>
      <w:r w:rsidR="00297676" w:rsidRPr="00914205">
        <w:t xml:space="preserve"> Stevenson et al. (2016) argue that leaders have an important role in creating the organisational conditions for continuous professional development</w:t>
      </w:r>
      <w:r w:rsidR="00174B38" w:rsidRPr="00914205">
        <w:t>,</w:t>
      </w:r>
      <w:r w:rsidR="00297676" w:rsidRPr="00914205">
        <w:t xml:space="preserve"> in my context, this suggests that lecturer collaboration requires protected time, structured opportunities for dialogue and recognition that professional learning is part of quality improvement rather than an additional task.</w:t>
      </w:r>
      <w:r w:rsidRPr="00914205">
        <w:t xml:space="preserve"> </w:t>
      </w:r>
      <w:r w:rsidR="00297676" w:rsidRPr="00914205">
        <w:t>T</w:t>
      </w:r>
      <w:r w:rsidRPr="00914205">
        <w:t>his suggests that lecturer expertise should inform professional learning and curriculum change from the beginning. It should not only be sought when implementation becomes difficult.</w:t>
      </w:r>
    </w:p>
    <w:p w14:paraId="1AC3318C" w14:textId="77777777" w:rsidR="00BB502C" w:rsidRPr="00914205" w:rsidRDefault="00BB502C" w:rsidP="00550F69">
      <w:r w:rsidRPr="00914205">
        <w:t>System leadership provides a broader perspective. Tackling complex problems requires what Senge, Hamilton and Kania (2015) refer to as "system leadership", which is moving away from isolated fixers and toward collective action. It relies on seeing the whole organisational landscape to open honest discussion, and shifting focus from reactive firefighting to co-creating the future. Because FE funding, staffing, and regional skill needs overlap, tackling these issues in isolation simply doesn't work. A leader who only focuses on one target, or one department, may create local improvement while missing the wider consequences.</w:t>
      </w:r>
    </w:p>
    <w:p w14:paraId="3F78C003" w14:textId="77777777" w:rsidR="00553532" w:rsidRPr="00914205" w:rsidRDefault="00550F69" w:rsidP="00550F69">
      <w:r w:rsidRPr="00914205">
        <w:t>Hopkins’ work adds a moral dimension. He presents system leadership as a responsibility to build capacity beyond one institution, especially by supporting improvement in other schools and networks (Hopkins, 2009). Although developed in a school context, the principle is useful for FE. Leaders should not simply compete for learners or protect their own departmental interests</w:t>
      </w:r>
      <w:r w:rsidR="00174B38" w:rsidRPr="00914205">
        <w:t>,</w:t>
      </w:r>
      <w:r w:rsidRPr="00914205">
        <w:t xml:space="preserve"> they should contribute to progression pathways, </w:t>
      </w:r>
      <w:r w:rsidR="003913E2" w:rsidRPr="00914205">
        <w:t xml:space="preserve">interdepartmental </w:t>
      </w:r>
      <w:r w:rsidRPr="00914205">
        <w:t xml:space="preserve">partnerships and </w:t>
      </w:r>
      <w:r w:rsidR="003913E2" w:rsidRPr="00914205">
        <w:t xml:space="preserve">a </w:t>
      </w:r>
      <w:r w:rsidRPr="00914205">
        <w:t xml:space="preserve">wider sector improvement. </w:t>
      </w:r>
      <w:proofErr w:type="spellStart"/>
      <w:r w:rsidR="00553532" w:rsidRPr="00914205">
        <w:t>Medr’s</w:t>
      </w:r>
      <w:proofErr w:type="spellEnd"/>
      <w:r w:rsidR="00553532" w:rsidRPr="00914205">
        <w:t xml:space="preserve"> creation in 2024 formed part of an attempt to create greater coherence across Welsh post-16 education through shared funding, regulation and quality arrangements</w:t>
      </w:r>
      <w:r w:rsidR="00553532" w:rsidRPr="00914205">
        <w:t xml:space="preserve"> </w:t>
      </w:r>
    </w:p>
    <w:p w14:paraId="0B8D52C8" w14:textId="1A22ADF8" w:rsidR="00550F69" w:rsidRPr="00914205" w:rsidRDefault="00550F69" w:rsidP="00550F69">
      <w:r w:rsidRPr="00914205">
        <w:t xml:space="preserve">These international perspectives lead me to a more critical conclusion. Middle, curriculum and teacher leaders are vital because they connect strategy with lived educational practice. Yet their </w:t>
      </w:r>
      <w:r w:rsidRPr="00914205">
        <w:lastRenderedPageBreak/>
        <w:t>potential depends on the conditions created by senior and system leaders. Leadership cannot be distributed simply by expecting staff to do more. It must involve genuine influence, capacity and support. Otherwise, the language of collaboration hides a reality of overload and centralised control.</w:t>
      </w:r>
    </w:p>
    <w:p w14:paraId="47AD6BCB" w14:textId="77777777" w:rsidR="00550F69" w:rsidRPr="00914205" w:rsidRDefault="00550F69" w:rsidP="00550F69">
      <w:pPr>
        <w:rPr>
          <w:b/>
          <w:bCs/>
        </w:rPr>
      </w:pPr>
      <w:r w:rsidRPr="00914205">
        <w:rPr>
          <w:b/>
          <w:bCs/>
        </w:rPr>
        <w:t>5. Policy imperatives and leading and managing others</w:t>
      </w:r>
    </w:p>
    <w:p w14:paraId="630D19DE" w14:textId="66FCCAB7" w:rsidR="00550F69" w:rsidRPr="00914205" w:rsidRDefault="00942491" w:rsidP="00550F69">
      <w:r w:rsidRPr="00914205">
        <w:t xml:space="preserve">National policy and local community demands dictate how FE leadership operates in practice. Between shifting funding rules, inspection standards, and enrolment quotas, what leaders ask of their staff is largely shaped by external regulatory pressure. </w:t>
      </w:r>
      <w:r w:rsidR="00550F69" w:rsidRPr="00914205">
        <w:t>Policy implementation is therefore not an external issue added to leadership</w:t>
      </w:r>
      <w:r w:rsidR="00174B38" w:rsidRPr="00914205">
        <w:t>,</w:t>
      </w:r>
      <w:r w:rsidR="00550F69" w:rsidRPr="00914205">
        <w:t xml:space="preserve"> it is one of the main ways </w:t>
      </w:r>
      <w:proofErr w:type="gramStart"/>
      <w:r w:rsidR="00550F69" w:rsidRPr="00914205">
        <w:t>leadership</w:t>
      </w:r>
      <w:proofErr w:type="gramEnd"/>
      <w:r w:rsidR="00550F69" w:rsidRPr="00914205">
        <w:t xml:space="preserve"> is experienced. The key question is whether leaders interpret policy educationally or merely transmit it administratively</w:t>
      </w:r>
      <w:r w:rsidR="00E119D4" w:rsidRPr="00914205">
        <w:t xml:space="preserve"> (</w:t>
      </w:r>
      <w:r w:rsidR="00987390" w:rsidRPr="00914205">
        <w:t>Skerritt et al.,</w:t>
      </w:r>
      <w:r w:rsidR="00DC6217" w:rsidRPr="00914205">
        <w:t xml:space="preserve"> </w:t>
      </w:r>
      <w:r w:rsidR="00E119D4" w:rsidRPr="00914205">
        <w:t>2023)</w:t>
      </w:r>
      <w:r w:rsidR="00550F69" w:rsidRPr="00914205">
        <w:t>.</w:t>
      </w:r>
    </w:p>
    <w:p w14:paraId="08A652A9" w14:textId="12DD4035" w:rsidR="00550F69" w:rsidRPr="00914205" w:rsidRDefault="00550F69" w:rsidP="00550F69">
      <w:r w:rsidRPr="00914205">
        <w:t xml:space="preserve">The </w:t>
      </w:r>
      <w:proofErr w:type="spellStart"/>
      <w:r w:rsidRPr="00914205">
        <w:t>Medr</w:t>
      </w:r>
      <w:proofErr w:type="spellEnd"/>
      <w:r w:rsidRPr="00914205">
        <w:t xml:space="preserve"> reform provides a useful macro-level context. </w:t>
      </w:r>
      <w:proofErr w:type="spellStart"/>
      <w:r w:rsidR="001C69C6" w:rsidRPr="00914205">
        <w:t>Medr’s</w:t>
      </w:r>
      <w:proofErr w:type="spellEnd"/>
      <w:r w:rsidR="001C69C6" w:rsidRPr="00914205">
        <w:t xml:space="preserve"> launch in 2024 aimed to fix longstanding fragmentation across Welsh post-16 education by pulling funding, quality, and regulation into one place</w:t>
      </w:r>
      <w:r w:rsidR="00E119D4" w:rsidRPr="00914205">
        <w:t xml:space="preserve">, </w:t>
      </w:r>
      <w:r w:rsidR="001C69C6" w:rsidRPr="00914205">
        <w:t>creating a more coherent system for learner progression</w:t>
      </w:r>
      <w:r w:rsidR="007D7464" w:rsidRPr="00914205">
        <w:t xml:space="preserve"> </w:t>
      </w:r>
      <w:r w:rsidR="007D7464" w:rsidRPr="00914205">
        <w:t xml:space="preserve">(Tertiary Education and Research (Wales) Act 2022; </w:t>
      </w:r>
      <w:proofErr w:type="spellStart"/>
      <w:r w:rsidR="007D7464" w:rsidRPr="00914205">
        <w:t>Medr</w:t>
      </w:r>
      <w:proofErr w:type="spellEnd"/>
      <w:r w:rsidR="007D7464" w:rsidRPr="00914205">
        <w:t>, 2025b)</w:t>
      </w:r>
      <w:r w:rsidR="001C69C6" w:rsidRPr="00914205">
        <w:t xml:space="preserve">. </w:t>
      </w:r>
      <w:r w:rsidRPr="00914205">
        <w:t>This reflects a system leadership ambition</w:t>
      </w:r>
      <w:r w:rsidR="00E119D4" w:rsidRPr="00914205">
        <w:t>,</w:t>
      </w:r>
      <w:r w:rsidRPr="00914205">
        <w:t xml:space="preserve"> to view tertiary education as an interconnected system rather than a group of separate institutions.</w:t>
      </w:r>
    </w:p>
    <w:p w14:paraId="6FBDDE48" w14:textId="79B43A05" w:rsidR="00550F69" w:rsidRPr="00914205" w:rsidRDefault="00550F69" w:rsidP="00550F69">
      <w:r w:rsidRPr="00914205">
        <w:t xml:space="preserve">For my own practice, </w:t>
      </w:r>
      <w:proofErr w:type="spellStart"/>
      <w:r w:rsidRPr="00914205">
        <w:t>Medr</w:t>
      </w:r>
      <w:proofErr w:type="spellEnd"/>
      <w:r w:rsidRPr="00914205">
        <w:t xml:space="preserve"> is useful because it highlights that funding and reporting arrangements are not merely technical. They shape what institutions value and how staff spend time. Shared data returns and common reporting expectations can potentially improve visibility and coordination. However, they can also add burden if they are poorly aligned with curriculum processes. In my setting, the problem of being asked to complete quality-framework reporting before the relevant course sequence had generated data illustrates this risk. Reporting should help leaders understand practice</w:t>
      </w:r>
      <w:r w:rsidR="00174B38" w:rsidRPr="00914205">
        <w:t>,</w:t>
      </w:r>
      <w:r w:rsidRPr="00914205">
        <w:t xml:space="preserve"> it should not become an end in itself.</w:t>
      </w:r>
    </w:p>
    <w:p w14:paraId="62055588" w14:textId="12AEDA4A" w:rsidR="00550F69" w:rsidRPr="00914205" w:rsidRDefault="00550F69" w:rsidP="00550F69">
      <w:r w:rsidRPr="00914205">
        <w:t xml:space="preserve">Senge, Hamilton and Kania’s (2015) approach to system leadership sharpens this critique. </w:t>
      </w:r>
      <w:r w:rsidR="007B434C" w:rsidRPr="00914205">
        <w:t>Leaders must recogni</w:t>
      </w:r>
      <w:r w:rsidR="00FB0E08" w:rsidRPr="00914205">
        <w:t>s</w:t>
      </w:r>
      <w:r w:rsidR="007B434C" w:rsidRPr="00914205">
        <w:t>e how workshop space, workload, and funding intersect. Rather than issuing top-down directives, they need to facilitate real discussion around these pressures</w:t>
      </w:r>
      <w:r w:rsidR="00500CEE" w:rsidRPr="00914205">
        <w:t xml:space="preserve">, </w:t>
      </w:r>
      <w:r w:rsidR="007B434C" w:rsidRPr="00914205">
        <w:t xml:space="preserve">moving beyond reactive firefighting to sustainable planning. </w:t>
      </w:r>
      <w:r w:rsidRPr="00914205">
        <w:t>Pressure to increase enhanced learner numbers or to obtain data quickly may be understandable responses to financial and accountability pressures, but they do not necessarily solve the underlying issue. A system perspective would ask whether the organisation’s structures, resources and priorities are coherent.</w:t>
      </w:r>
    </w:p>
    <w:p w14:paraId="01AF3979" w14:textId="255C3385" w:rsidR="00550F69" w:rsidRPr="00914205" w:rsidRDefault="00550F69" w:rsidP="00550F69">
      <w:r w:rsidRPr="00914205">
        <w:t>This is where leadership becomes ethical as well as technical. A workshop capacity of twelve for health and safety reasons is not an inconvenience to be overcome by target-setting</w:t>
      </w:r>
      <w:r w:rsidR="00174B38" w:rsidRPr="00914205">
        <w:t>,</w:t>
      </w:r>
      <w:r w:rsidRPr="00914205">
        <w:t xml:space="preserve"> it is a real condition of safe provision. Equally, a curriculum sequence cannot generate valid evidence before learners have completed the relevant learning and assessment. Leaders should therefore act as thoughtful filters of policy</w:t>
      </w:r>
      <w:r w:rsidR="006870D4" w:rsidRPr="00914205">
        <w:t>, where</w:t>
      </w:r>
      <w:r w:rsidRPr="00914205">
        <w:t xml:space="preserve"> prioritising, explaining and</w:t>
      </w:r>
      <w:r w:rsidR="00086BF2" w:rsidRPr="00914205">
        <w:t>, more importantly,</w:t>
      </w:r>
      <w:r w:rsidRPr="00914205">
        <w:t xml:space="preserve"> contextualising demands so that staff can respond professionally. Where leadership simply passes pressure down the hierarchy, policy can become fragmented and counterproductive</w:t>
      </w:r>
      <w:r w:rsidR="00B36B02" w:rsidRPr="00914205">
        <w:t xml:space="preserve"> (Health and Safety Executive, 2024; Health and Safety Executive, 2026).</w:t>
      </w:r>
    </w:p>
    <w:p w14:paraId="3A3C7C1F" w14:textId="27559F9E" w:rsidR="00550F69" w:rsidRPr="00914205" w:rsidRDefault="00550F69" w:rsidP="00550F69">
      <w:r w:rsidRPr="00914205">
        <w:t xml:space="preserve">The comparison with Michaela Community School is instructive again. Its highly structured model suggests that strong routines and closely sequenced learning resources can provide coherence. Yet the FE context requires a different balance. Engineering programmes involve practical equipment, safety regulation, employer relevance and varied learner pathways. Policy </w:t>
      </w:r>
      <w:r w:rsidRPr="00914205">
        <w:lastRenderedPageBreak/>
        <w:t>cannot be implemented through standardisation alone. It needs professional interpretation by staff who understand the curriculum and its constraints. This reinforces the central argument of this assignment</w:t>
      </w:r>
      <w:r w:rsidR="006870D4" w:rsidRPr="00914205">
        <w:t>.</w:t>
      </w:r>
      <w:r w:rsidRPr="00914205">
        <w:t xml:space="preserve"> </w:t>
      </w:r>
      <w:r w:rsidR="006870D4" w:rsidRPr="00914205">
        <w:t>C</w:t>
      </w:r>
      <w:r w:rsidRPr="00914205">
        <w:t>oherence is valuable, but coherence achieved through control alone is not sufficient</w:t>
      </w:r>
      <w:r w:rsidR="00CD097E" w:rsidRPr="00914205">
        <w:t xml:space="preserve"> (Hughes and Lewis, 2020)</w:t>
      </w:r>
      <w:r w:rsidRPr="00914205">
        <w:t>.</w:t>
      </w:r>
    </w:p>
    <w:p w14:paraId="3D728EB3" w14:textId="77777777" w:rsidR="00550F69" w:rsidRPr="00914205" w:rsidRDefault="00550F69" w:rsidP="00550F69">
      <w:r w:rsidRPr="00914205">
        <w:t>Overall, policy leadership should be judged by whether it strengthens educational practice. In my setting, that means aligning reporting requirements with actual learning processes, protecting safe workshop capacity, using funding responsibly and giving middle leaders time to interpret change. Leadership is weakest when policy is experienced only as urgency and compliance. It is strongest when it builds shared understanding and enables staff to connect system requirements with learner need.</w:t>
      </w:r>
    </w:p>
    <w:p w14:paraId="6ED946E9" w14:textId="77777777" w:rsidR="00550F69" w:rsidRPr="00914205" w:rsidRDefault="00550F69" w:rsidP="00550F69">
      <w:pPr>
        <w:rPr>
          <w:b/>
          <w:bCs/>
        </w:rPr>
      </w:pPr>
      <w:r w:rsidRPr="00914205">
        <w:rPr>
          <w:b/>
          <w:bCs/>
        </w:rPr>
        <w:t>Conclusion</w:t>
      </w:r>
    </w:p>
    <w:p w14:paraId="20824957" w14:textId="77777777" w:rsidR="00550F69" w:rsidRPr="00914205" w:rsidRDefault="00550F69" w:rsidP="00550F69">
      <w:r w:rsidRPr="00914205">
        <w:t>This reflection has developed a more critical understanding of leading and managing education professionals in further education. The formal hierarchy in my setting provides necessary accountability and structure, but it also creates risks when leadership capacity is concentrated in roles that are already overloaded. The experience of a Head of Department balancing teaching, management and broad departmental responsibility demonstrates that sustainable leadership cannot depend solely on personal resilience. The institution must create realistic conditions for people to lead.</w:t>
      </w:r>
    </w:p>
    <w:p w14:paraId="41444946" w14:textId="2C3E4434" w:rsidR="00550F69" w:rsidRPr="00914205" w:rsidRDefault="00FD17FC" w:rsidP="00550F69">
      <w:r w:rsidRPr="00914205">
        <w:t xml:space="preserve">If anything, this highlights the critical role of frontline staff. Course leaders and lecturers aren't passive policy enforcers, but the ones actually delivering quality teaching and support. </w:t>
      </w:r>
      <w:r w:rsidR="00550F69" w:rsidRPr="00914205">
        <w:t>Distributed leadership, teacher leadership and leading from the middle are valuable because they recognise this. However, they must involve genuine influence, protected time and trust. Asking staff to take on more responsibility without changing authority or workload does not create meaningful leadership</w:t>
      </w:r>
      <w:r w:rsidR="00174B38" w:rsidRPr="00914205">
        <w:t>,</w:t>
      </w:r>
      <w:r w:rsidR="00550F69" w:rsidRPr="00914205">
        <w:t xml:space="preserve"> it transfers pressure.</w:t>
      </w:r>
    </w:p>
    <w:p w14:paraId="73BBE4E2" w14:textId="77777777" w:rsidR="00550F69" w:rsidRPr="00914205" w:rsidRDefault="00550F69" w:rsidP="00550F69">
      <w:r w:rsidRPr="00914205">
        <w:t>The comparison with Michaela Community School has clarified the value and limits of directive leadership. Clear routines, well-sequenced resources and curriculum coherence can be beneficial. Yet the evidence used is partly provider-led, and its model cannot be copied straightforwardly into an FE engineering department. Practical delivery requires professional autonomy, specialist knowledge and attention to safety. The comparison therefore strengthens the argument for balance rather than imitation.</w:t>
      </w:r>
    </w:p>
    <w:p w14:paraId="0A48A5DF" w14:textId="10CA4014" w:rsidR="00550F69" w:rsidRPr="00914205" w:rsidRDefault="00550F69" w:rsidP="00550F69">
      <w:r w:rsidRPr="00914205">
        <w:t xml:space="preserve">Senge, Hopkins and Hargreaves have broadened my view of leadership beyond the individual organisation. They show that leaders should build collective capacity, see interdependence and support improvement through collaboration. </w:t>
      </w:r>
      <w:proofErr w:type="spellStart"/>
      <w:r w:rsidRPr="00914205">
        <w:t>Medr’s</w:t>
      </w:r>
      <w:proofErr w:type="spellEnd"/>
      <w:r w:rsidRPr="00914205">
        <w:t xml:space="preserve"> development in Wales makes this system perspective particularly important. Yet the theory also exposes a gap in my own context</w:t>
      </w:r>
      <w:r w:rsidR="00E36969" w:rsidRPr="00914205">
        <w:t>. D</w:t>
      </w:r>
      <w:r w:rsidRPr="00914205">
        <w:t>aily reporting, funding and workload pressures can make leadership reactive and internally focused. The challenge is to ensure that managerial systems serve education rather than displace it.</w:t>
      </w:r>
    </w:p>
    <w:p w14:paraId="6E84D74F" w14:textId="5D7A1B77" w:rsidR="00093EA6" w:rsidRPr="00914205" w:rsidRDefault="00093EA6" w:rsidP="00550F69">
      <w:r w:rsidRPr="00914205">
        <w:t>The reflection has also changed how I understand my own responsibility as an emerging leader. Previously, I may have assumed that leadership mainly involved responding efficiently to requests from more senior colleagues. I now recognise that ethical leadership sometimes requires questioning the assumptions within those requests, particularly where they affect learner safety, staff capacity or the validity of assessment and reporting. My future action will be to develop a more evidence-informed and dialogic approach</w:t>
      </w:r>
      <w:r w:rsidR="00E36969" w:rsidRPr="00914205">
        <w:t>. This</w:t>
      </w:r>
      <w:r w:rsidRPr="00914205">
        <w:t xml:space="preserve"> bring</w:t>
      </w:r>
      <w:r w:rsidR="00E36969" w:rsidRPr="00914205">
        <w:t>s</w:t>
      </w:r>
      <w:r w:rsidRPr="00914205">
        <w:t xml:space="preserve"> relevant curriculum, capacity and learner information into discussions</w:t>
      </w:r>
      <w:r w:rsidR="00174B38" w:rsidRPr="00914205">
        <w:t>,</w:t>
      </w:r>
      <w:r w:rsidRPr="00914205">
        <w:t xml:space="preserve"> asking colleagues closest to delivery for their perspective</w:t>
      </w:r>
      <w:r w:rsidR="00174B38" w:rsidRPr="00914205">
        <w:t>,</w:t>
      </w:r>
      <w:r w:rsidRPr="00914205">
        <w:t xml:space="preserve"> and distinguishing between an urgent demand and a genuinely important </w:t>
      </w:r>
      <w:r w:rsidRPr="00914205">
        <w:lastRenderedPageBreak/>
        <w:t>educational priority. This does not mean rejecting accountability. Rather, it means helping ensure that accountability supports learning instead of becoming detached from it.</w:t>
      </w:r>
    </w:p>
    <w:p w14:paraId="2010018E" w14:textId="23B2877A" w:rsidR="00550F69" w:rsidRPr="00914205" w:rsidRDefault="009B59E6" w:rsidP="00550F69">
      <w:r w:rsidRPr="00914205">
        <w:t xml:space="preserve">From this, my research into leading and managing educational professionals has shifted from directing people toward targets, to an understanding of building conditions where ethical work can happen. Ultimately, leading in FE requires aligning policy and budgets with real staff capacity and student needs, without compromising student safety. </w:t>
      </w:r>
      <w:r w:rsidR="00550F69" w:rsidRPr="00914205">
        <w:t>It should encourage high expectations without normalising pressure that compromises safety, standards or professional judgement. On balance, the assignment has led me to conclude that leadership is most effective when it is ethical, capacity-aware and curriculum-informed, and least effective when urgency, control and compliance are mistaken for educational improvement.</w:t>
      </w:r>
    </w:p>
    <w:p w14:paraId="21185824" w14:textId="77777777" w:rsidR="00550F69" w:rsidRPr="00914205" w:rsidRDefault="00550F69" w:rsidP="00550F69">
      <w:pPr>
        <w:rPr>
          <w:b/>
          <w:bCs/>
        </w:rPr>
      </w:pPr>
      <w:r w:rsidRPr="00914205">
        <w:rPr>
          <w:b/>
          <w:bCs/>
        </w:rPr>
        <w:t>Reference list</w:t>
      </w:r>
    </w:p>
    <w:p w14:paraId="23BE7142" w14:textId="11E40E06" w:rsidR="00501D27" w:rsidRPr="00914205" w:rsidRDefault="00501D27" w:rsidP="00501D27">
      <w:r w:rsidRPr="00914205">
        <w:t xml:space="preserve">Ashcroft, K. and Foreman-Peck, L. </w:t>
      </w:r>
      <w:r w:rsidR="003952FF" w:rsidRPr="00914205">
        <w:t>(</w:t>
      </w:r>
      <w:r w:rsidRPr="00914205">
        <w:t>1994</w:t>
      </w:r>
      <w:r w:rsidR="003952FF" w:rsidRPr="00914205">
        <w:t>)</w:t>
      </w:r>
      <w:r w:rsidRPr="00914205">
        <w:t xml:space="preserve"> </w:t>
      </w:r>
      <w:r w:rsidRPr="00914205">
        <w:rPr>
          <w:i/>
          <w:iCs/>
        </w:rPr>
        <w:t>Managing teaching and learning in further and higher education</w:t>
      </w:r>
      <w:r w:rsidRPr="00914205">
        <w:t>. London: Routledge.</w:t>
      </w:r>
    </w:p>
    <w:p w14:paraId="23CFDEE9" w14:textId="3EF335DE" w:rsidR="000D0A53" w:rsidRPr="00914205" w:rsidRDefault="000D0A53" w:rsidP="00501D27">
      <w:r w:rsidRPr="00914205">
        <w:t xml:space="preserve">Bush, T. </w:t>
      </w:r>
      <w:r w:rsidR="003952FF" w:rsidRPr="00914205">
        <w:t>(</w:t>
      </w:r>
      <w:r w:rsidRPr="00914205">
        <w:t>2018</w:t>
      </w:r>
      <w:r w:rsidR="003952FF" w:rsidRPr="00914205">
        <w:t>)</w:t>
      </w:r>
      <w:r w:rsidRPr="00914205">
        <w:t xml:space="preserve"> </w:t>
      </w:r>
      <w:r w:rsidR="00C85DAE" w:rsidRPr="00914205">
        <w:t>‘</w:t>
      </w:r>
      <w:r w:rsidRPr="00914205">
        <w:t>Prescribing distributed leadership: Is this a contradiction?</w:t>
      </w:r>
      <w:r w:rsidR="00C85DAE" w:rsidRPr="00914205">
        <w:t>’</w:t>
      </w:r>
      <w:r w:rsidRPr="00914205">
        <w:t xml:space="preserve"> </w:t>
      </w:r>
      <w:r w:rsidRPr="00914205">
        <w:rPr>
          <w:i/>
          <w:iCs/>
        </w:rPr>
        <w:t>Educational Management Administration &amp; Leadership</w:t>
      </w:r>
      <w:r w:rsidR="00C85DAE" w:rsidRPr="00914205">
        <w:t>, 46(4), 535-537.</w:t>
      </w:r>
      <w:r w:rsidRPr="00914205">
        <w:t xml:space="preserve"> Available at: </w:t>
      </w:r>
      <w:r w:rsidR="008452EB" w:rsidRPr="00914205">
        <w:t>https://doi.org/10.1177/174114321876840</w:t>
      </w:r>
      <w:r w:rsidR="008452EB" w:rsidRPr="00914205">
        <w:t xml:space="preserve">3 </w:t>
      </w:r>
      <w:r w:rsidRPr="00914205">
        <w:t xml:space="preserve">(Accessed: </w:t>
      </w:r>
      <w:r w:rsidR="00E675A5" w:rsidRPr="00914205">
        <w:t>1</w:t>
      </w:r>
      <w:r w:rsidRPr="00914205">
        <w:t xml:space="preserve">9 </w:t>
      </w:r>
      <w:r w:rsidR="00E675A5" w:rsidRPr="00914205">
        <w:t>July</w:t>
      </w:r>
      <w:r w:rsidRPr="00914205">
        <w:t xml:space="preserve"> 2026).</w:t>
      </w:r>
    </w:p>
    <w:p w14:paraId="5C0BBA54" w14:textId="301BB062" w:rsidR="00501D27" w:rsidRPr="00914205" w:rsidRDefault="00501D27" w:rsidP="00501D27">
      <w:r w:rsidRPr="00914205">
        <w:t xml:space="preserve">Bush, T. </w:t>
      </w:r>
      <w:r w:rsidR="003952FF" w:rsidRPr="00914205">
        <w:t>(</w:t>
      </w:r>
      <w:r w:rsidRPr="00914205">
        <w:t>2019</w:t>
      </w:r>
      <w:r w:rsidR="003952FF" w:rsidRPr="00914205">
        <w:t>)</w:t>
      </w:r>
      <w:r w:rsidRPr="00914205">
        <w:t xml:space="preserve"> ‘Models of educational leadership’, in Bush, T., Bell, L. and </w:t>
      </w:r>
      <w:proofErr w:type="spellStart"/>
      <w:r w:rsidRPr="00914205">
        <w:t>Middlewood</w:t>
      </w:r>
      <w:proofErr w:type="spellEnd"/>
      <w:r w:rsidRPr="00914205">
        <w:t xml:space="preserve">, D. </w:t>
      </w:r>
      <w:r w:rsidR="00C62644" w:rsidRPr="00914205">
        <w:t>(</w:t>
      </w:r>
      <w:r w:rsidRPr="00914205">
        <w:t>eds</w:t>
      </w:r>
      <w:r w:rsidR="00C62644" w:rsidRPr="00914205">
        <w:t>)</w:t>
      </w:r>
      <w:r w:rsidRPr="00914205">
        <w:t xml:space="preserve"> </w:t>
      </w:r>
      <w:r w:rsidRPr="00914205">
        <w:rPr>
          <w:i/>
          <w:iCs/>
        </w:rPr>
        <w:t>Principles of educational leadership and management</w:t>
      </w:r>
      <w:r w:rsidRPr="00914205">
        <w:t xml:space="preserve">. 3rd </w:t>
      </w:r>
      <w:proofErr w:type="spellStart"/>
      <w:r w:rsidRPr="00914205">
        <w:t>edn</w:t>
      </w:r>
      <w:proofErr w:type="spellEnd"/>
      <w:r w:rsidRPr="00914205">
        <w:t>. London: Sage, pp. 3</w:t>
      </w:r>
      <w:r w:rsidR="008452EB" w:rsidRPr="00914205">
        <w:t>-</w:t>
      </w:r>
      <w:r w:rsidRPr="00914205">
        <w:t>17.</w:t>
      </w:r>
    </w:p>
    <w:p w14:paraId="3002DA20" w14:textId="0EF12EF2" w:rsidR="00B707A4" w:rsidRPr="00914205" w:rsidRDefault="00C62644" w:rsidP="00501D27">
      <w:r w:rsidRPr="00914205">
        <w:t>Bush, T. and Glover, D. (2014) ‘School leadership models: what do we know?’, </w:t>
      </w:r>
      <w:r w:rsidRPr="00914205">
        <w:rPr>
          <w:i/>
          <w:iCs/>
        </w:rPr>
        <w:t>School Leadership &amp; Management</w:t>
      </w:r>
      <w:r w:rsidRPr="00914205">
        <w:t>, 34(5), pp. 553</w:t>
      </w:r>
      <w:r w:rsidR="008452EB" w:rsidRPr="00914205">
        <w:t>-</w:t>
      </w:r>
      <w:r w:rsidRPr="00914205">
        <w:t>571. Available at:</w:t>
      </w:r>
      <w:r w:rsidRPr="00914205">
        <w:t xml:space="preserve"> </w:t>
      </w:r>
      <w:r w:rsidRPr="00914205">
        <w:t>https://doi.org/10.1080/13632434.2014.928680</w:t>
      </w:r>
      <w:r w:rsidRPr="00914205">
        <w:t xml:space="preserve"> </w:t>
      </w:r>
      <w:r w:rsidR="0028376F" w:rsidRPr="00914205">
        <w:t xml:space="preserve">(Accessed: </w:t>
      </w:r>
      <w:r w:rsidR="0028376F" w:rsidRPr="00914205">
        <w:t>22</w:t>
      </w:r>
      <w:r w:rsidR="0028376F" w:rsidRPr="00914205">
        <w:t xml:space="preserve"> July 2026).</w:t>
      </w:r>
    </w:p>
    <w:p w14:paraId="723F1806" w14:textId="457B63F3" w:rsidR="00501D27" w:rsidRPr="00914205" w:rsidRDefault="00501D27" w:rsidP="00501D27">
      <w:r w:rsidRPr="00914205">
        <w:t xml:space="preserve">Cohen, A. </w:t>
      </w:r>
      <w:r w:rsidR="003952FF" w:rsidRPr="00914205">
        <w:t>(</w:t>
      </w:r>
      <w:r w:rsidRPr="00914205">
        <w:t>2018</w:t>
      </w:r>
      <w:r w:rsidR="003952FF" w:rsidRPr="00914205">
        <w:t>)</w:t>
      </w:r>
      <w:r w:rsidRPr="00914205">
        <w:t xml:space="preserve"> </w:t>
      </w:r>
      <w:r w:rsidRPr="00914205">
        <w:rPr>
          <w:i/>
          <w:iCs/>
        </w:rPr>
        <w:t xml:space="preserve">Counterproductive work </w:t>
      </w:r>
      <w:proofErr w:type="spellStart"/>
      <w:r w:rsidRPr="00914205">
        <w:rPr>
          <w:i/>
          <w:iCs/>
        </w:rPr>
        <w:t>behaviors</w:t>
      </w:r>
      <w:proofErr w:type="spellEnd"/>
      <w:r w:rsidRPr="00914205">
        <w:rPr>
          <w:i/>
          <w:iCs/>
        </w:rPr>
        <w:t>: understanding the dark side of personalities in organizational life</w:t>
      </w:r>
      <w:r w:rsidRPr="00914205">
        <w:t>. London: Routledge.</w:t>
      </w:r>
    </w:p>
    <w:p w14:paraId="2717E429" w14:textId="508ACE1C" w:rsidR="00643CAE" w:rsidRPr="00914205" w:rsidRDefault="00643CAE" w:rsidP="00501D27">
      <w:r w:rsidRPr="00914205">
        <w:t xml:space="preserve">Gravells, A. </w:t>
      </w:r>
      <w:r w:rsidR="003952FF" w:rsidRPr="00914205">
        <w:t>(</w:t>
      </w:r>
      <w:r w:rsidRPr="00914205">
        <w:t>2016</w:t>
      </w:r>
      <w:r w:rsidR="003952FF" w:rsidRPr="00914205">
        <w:t>)</w:t>
      </w:r>
      <w:r w:rsidRPr="00914205">
        <w:t xml:space="preserve"> </w:t>
      </w:r>
      <w:r w:rsidRPr="00914205">
        <w:rPr>
          <w:i/>
          <w:iCs/>
        </w:rPr>
        <w:t>Principles and practices of quality assurance: a guide for internal and external quality assurers in the FE and skills sector</w:t>
      </w:r>
      <w:r w:rsidRPr="00914205">
        <w:t>. London: Learning Matters.</w:t>
      </w:r>
    </w:p>
    <w:p w14:paraId="79898D12" w14:textId="63E41E8F" w:rsidR="00501D27" w:rsidRPr="00914205" w:rsidRDefault="00501D27" w:rsidP="00501D27">
      <w:r w:rsidRPr="00914205">
        <w:t xml:space="preserve">Hargreaves, A. </w:t>
      </w:r>
      <w:r w:rsidR="003952FF" w:rsidRPr="00914205">
        <w:t>(</w:t>
      </w:r>
      <w:r w:rsidRPr="00914205">
        <w:t>2023</w:t>
      </w:r>
      <w:r w:rsidR="003952FF" w:rsidRPr="00914205">
        <w:t>)</w:t>
      </w:r>
      <w:r w:rsidRPr="00914205">
        <w:t xml:space="preserve"> </w:t>
      </w:r>
      <w:r w:rsidRPr="00914205">
        <w:rPr>
          <w:i/>
          <w:iCs/>
        </w:rPr>
        <w:t>Leadership from the middle: the beating heart of educational transformation</w:t>
      </w:r>
      <w:r w:rsidRPr="00914205">
        <w:t>. Abingdon: Routledge.</w:t>
      </w:r>
    </w:p>
    <w:p w14:paraId="2CF5E526" w14:textId="5C83CB44" w:rsidR="00501D27" w:rsidRPr="00914205" w:rsidRDefault="0028376F" w:rsidP="00501D27">
      <w:r w:rsidRPr="00914205">
        <w:t>Harris, A. (2004) ‘Distributed leadership and school improvement: leading or misleading?’, Educational Management Administration &amp; Leadership, 32(1), pp. 11</w:t>
      </w:r>
      <w:r w:rsidR="008452EB" w:rsidRPr="00914205">
        <w:t>-</w:t>
      </w:r>
      <w:r w:rsidRPr="00914205">
        <w:t>24. Available at: https://doi.org/10.1177/1741143204039297</w:t>
      </w:r>
      <w:r w:rsidRPr="00914205">
        <w:t xml:space="preserve"> </w:t>
      </w:r>
      <w:r w:rsidR="00501D27" w:rsidRPr="00914205">
        <w:t>(Accessed: 1</w:t>
      </w:r>
      <w:r w:rsidR="0068327B" w:rsidRPr="00914205">
        <w:t>7</w:t>
      </w:r>
      <w:r w:rsidR="00501D27" w:rsidRPr="00914205">
        <w:t xml:space="preserve"> </w:t>
      </w:r>
      <w:r w:rsidR="0068327B" w:rsidRPr="00914205">
        <w:t>July</w:t>
      </w:r>
      <w:r w:rsidR="00501D27" w:rsidRPr="00914205">
        <w:t xml:space="preserve"> 2026).</w:t>
      </w:r>
    </w:p>
    <w:p w14:paraId="7064B526" w14:textId="466667DD" w:rsidR="00501D27" w:rsidRPr="00914205" w:rsidRDefault="00501D27" w:rsidP="00501D27">
      <w:r w:rsidRPr="00914205">
        <w:t xml:space="preserve">Harris, A. and Jones, M. </w:t>
      </w:r>
      <w:r w:rsidR="003952FF" w:rsidRPr="00914205">
        <w:t>(</w:t>
      </w:r>
      <w:r w:rsidRPr="00914205">
        <w:t>2018</w:t>
      </w:r>
      <w:r w:rsidR="003952FF" w:rsidRPr="00914205">
        <w:t>)</w:t>
      </w:r>
      <w:r w:rsidRPr="00914205">
        <w:t xml:space="preserve"> ‘The dark side of leadership and management’, </w:t>
      </w:r>
      <w:r w:rsidRPr="00914205">
        <w:rPr>
          <w:i/>
          <w:iCs/>
        </w:rPr>
        <w:t>School Leadership &amp; Management</w:t>
      </w:r>
      <w:r w:rsidRPr="00914205">
        <w:t>, 38(5), pp. 475</w:t>
      </w:r>
      <w:r w:rsidR="008452EB" w:rsidRPr="00914205">
        <w:t>-</w:t>
      </w:r>
      <w:r w:rsidRPr="00914205">
        <w:t xml:space="preserve">477. Available at: https://doi.org/10.1080/13632434.2018.1509276 (Accessed: 17 </w:t>
      </w:r>
      <w:r w:rsidR="0028376F" w:rsidRPr="00914205">
        <w:t>July</w:t>
      </w:r>
      <w:r w:rsidRPr="00914205">
        <w:t xml:space="preserve"> 2026).</w:t>
      </w:r>
    </w:p>
    <w:p w14:paraId="7E5D69E0" w14:textId="77B1C9AF" w:rsidR="00BC613B" w:rsidRPr="00914205" w:rsidRDefault="00BC613B" w:rsidP="00501D27">
      <w:r w:rsidRPr="00914205">
        <w:t xml:space="preserve">Health and Safety Executive </w:t>
      </w:r>
      <w:r w:rsidR="003952FF" w:rsidRPr="00914205">
        <w:t>(</w:t>
      </w:r>
      <w:r w:rsidRPr="00914205">
        <w:t>2024</w:t>
      </w:r>
      <w:r w:rsidR="003952FF" w:rsidRPr="00914205">
        <w:t>)</w:t>
      </w:r>
      <w:r w:rsidRPr="00914205">
        <w:t xml:space="preserve"> </w:t>
      </w:r>
      <w:r w:rsidRPr="00914205">
        <w:rPr>
          <w:i/>
          <w:iCs/>
        </w:rPr>
        <w:t>Risk assessment: steps needed to manage risk</w:t>
      </w:r>
      <w:r w:rsidRPr="00914205">
        <w:t>. Available at: https://www.hse.gov.uk/simple-health-safety/risk/steps-needed-to-manage-risk.htm (Accessed: 21 August 2026).</w:t>
      </w:r>
    </w:p>
    <w:p w14:paraId="22B4A11E" w14:textId="7F4C197C" w:rsidR="00B36B02" w:rsidRPr="00914205" w:rsidRDefault="00B36B02" w:rsidP="00501D27">
      <w:r w:rsidRPr="00914205">
        <w:t xml:space="preserve">Health and Safety Executive </w:t>
      </w:r>
      <w:r w:rsidR="003952FF" w:rsidRPr="00914205">
        <w:t>(</w:t>
      </w:r>
      <w:r w:rsidRPr="00914205">
        <w:t>2026</w:t>
      </w:r>
      <w:r w:rsidR="003952FF" w:rsidRPr="00914205">
        <w:t>)</w:t>
      </w:r>
      <w:r w:rsidRPr="00914205">
        <w:t xml:space="preserve"> </w:t>
      </w:r>
      <w:r w:rsidRPr="00914205">
        <w:rPr>
          <w:i/>
          <w:iCs/>
        </w:rPr>
        <w:t>Provide information and training: supervise your workers</w:t>
      </w:r>
      <w:r w:rsidRPr="00914205">
        <w:t xml:space="preserve">. Available at: https://www.hse.gov.uk/simple-health-safety/training/supervision.htm (Accessed: </w:t>
      </w:r>
      <w:r w:rsidR="0028376F" w:rsidRPr="00914205">
        <w:t>1</w:t>
      </w:r>
      <w:r w:rsidRPr="00914205">
        <w:t>1 August 2026).</w:t>
      </w:r>
    </w:p>
    <w:p w14:paraId="6286648B" w14:textId="4C43F1BE" w:rsidR="00501D27" w:rsidRPr="00914205" w:rsidRDefault="00607567" w:rsidP="00501D27">
      <w:r w:rsidRPr="00914205">
        <w:lastRenderedPageBreak/>
        <w:t xml:space="preserve">Hopkins, D. (2009) ‘System leadership for school transformation’. </w:t>
      </w:r>
      <w:r w:rsidRPr="00914205">
        <w:rPr>
          <w:i/>
          <w:iCs/>
        </w:rPr>
        <w:t>Horizon: Thought Leadership</w:t>
      </w:r>
      <w:r w:rsidRPr="00914205">
        <w:t xml:space="preserve">. Melbourne: </w:t>
      </w:r>
      <w:proofErr w:type="spellStart"/>
      <w:r w:rsidRPr="00914205">
        <w:t>Bastow</w:t>
      </w:r>
      <w:proofErr w:type="spellEnd"/>
      <w:r w:rsidRPr="00914205">
        <w:t xml:space="preserve"> Institute of Educational Leadership. Available at: https://www.academy.vic.gov.au/sites/default/files/2022-04/system-leadership-for-school-transformation.pdf</w:t>
      </w:r>
      <w:r w:rsidRPr="00914205">
        <w:t xml:space="preserve"> </w:t>
      </w:r>
      <w:r w:rsidR="00501D27" w:rsidRPr="00914205">
        <w:t>(Accessed: 17 August 2026).</w:t>
      </w:r>
    </w:p>
    <w:p w14:paraId="2049C6FD" w14:textId="05154AAD" w:rsidR="00CD097E" w:rsidRPr="00914205" w:rsidRDefault="00607567" w:rsidP="00501D27">
      <w:r w:rsidRPr="00914205">
        <w:t xml:space="preserve">Hughes, S. and Lewis, H. (2020) ‘Tensions in current curriculum reform and the development of teachers’ professional autonomy’, </w:t>
      </w:r>
      <w:r w:rsidRPr="00914205">
        <w:rPr>
          <w:i/>
          <w:iCs/>
        </w:rPr>
        <w:t>Curriculum Journal</w:t>
      </w:r>
      <w:r w:rsidR="008452EB" w:rsidRPr="00914205">
        <w:t>,</w:t>
      </w:r>
      <w:r w:rsidRPr="00914205">
        <w:t xml:space="preserve"> </w:t>
      </w:r>
      <w:r w:rsidR="007D16AE" w:rsidRPr="00914205">
        <w:t xml:space="preserve">31(2), </w:t>
      </w:r>
      <w:r w:rsidR="007D16AE" w:rsidRPr="00914205">
        <w:t>pp. 290</w:t>
      </w:r>
      <w:r w:rsidR="008452EB" w:rsidRPr="00914205">
        <w:t>-</w:t>
      </w:r>
      <w:r w:rsidR="007D16AE" w:rsidRPr="00914205">
        <w:t>302.</w:t>
      </w:r>
      <w:r w:rsidR="007D16AE" w:rsidRPr="00914205">
        <w:t xml:space="preserve"> </w:t>
      </w:r>
      <w:r w:rsidRPr="00914205">
        <w:t>Available at: https://doi.org/10.1002/curj.25</w:t>
      </w:r>
      <w:r w:rsidRPr="00914205">
        <w:t xml:space="preserve"> </w:t>
      </w:r>
      <w:r w:rsidR="00CD097E" w:rsidRPr="00914205">
        <w:t>(Accessed: 2</w:t>
      </w:r>
      <w:r w:rsidRPr="00914205">
        <w:t>8</w:t>
      </w:r>
      <w:r w:rsidR="00CD097E" w:rsidRPr="00914205">
        <w:t xml:space="preserve"> </w:t>
      </w:r>
      <w:r w:rsidRPr="00914205">
        <w:t>July</w:t>
      </w:r>
      <w:r w:rsidR="00CD097E" w:rsidRPr="00914205">
        <w:t xml:space="preserve"> 2026).</w:t>
      </w:r>
    </w:p>
    <w:p w14:paraId="58CC1E82" w14:textId="25BA1907" w:rsidR="00501D27" w:rsidRPr="00914205" w:rsidRDefault="00501D27" w:rsidP="00501D27">
      <w:r w:rsidRPr="00914205">
        <w:t xml:space="preserve">Jameson, J. and </w:t>
      </w:r>
      <w:proofErr w:type="spellStart"/>
      <w:r w:rsidRPr="00914205">
        <w:t>McNay</w:t>
      </w:r>
      <w:proofErr w:type="spellEnd"/>
      <w:r w:rsidRPr="00914205">
        <w:t xml:space="preserve">, I. </w:t>
      </w:r>
      <w:r w:rsidR="00607567" w:rsidRPr="00914205">
        <w:t>(</w:t>
      </w:r>
      <w:r w:rsidRPr="00914205">
        <w:t>2007</w:t>
      </w:r>
      <w:r w:rsidR="00607567" w:rsidRPr="00914205">
        <w:t>)</w:t>
      </w:r>
      <w:r w:rsidRPr="00914205">
        <w:t xml:space="preserve"> </w:t>
      </w:r>
      <w:r w:rsidRPr="00914205">
        <w:rPr>
          <w:i/>
          <w:iCs/>
        </w:rPr>
        <w:t>Ultimate FE leadership and management handbook</w:t>
      </w:r>
      <w:r w:rsidRPr="00914205">
        <w:t>. London: Continuum.</w:t>
      </w:r>
    </w:p>
    <w:p w14:paraId="29BB3E4A" w14:textId="76D79509" w:rsidR="00501D27" w:rsidRPr="00914205" w:rsidRDefault="00501D27" w:rsidP="00501D27">
      <w:proofErr w:type="spellStart"/>
      <w:r w:rsidRPr="00914205">
        <w:t>Leithwood</w:t>
      </w:r>
      <w:proofErr w:type="spellEnd"/>
      <w:r w:rsidRPr="00914205">
        <w:t xml:space="preserve">, K., Harris, A. and Hopkins, D. </w:t>
      </w:r>
      <w:r w:rsidR="003952FF" w:rsidRPr="00914205">
        <w:t>(</w:t>
      </w:r>
      <w:r w:rsidRPr="00914205">
        <w:t>2020</w:t>
      </w:r>
      <w:r w:rsidR="003952FF" w:rsidRPr="00914205">
        <w:t>)</w:t>
      </w:r>
      <w:r w:rsidRPr="00914205">
        <w:t xml:space="preserve"> ‘Seven strong claims about successful school leadership revisited’, </w:t>
      </w:r>
      <w:r w:rsidRPr="00914205">
        <w:rPr>
          <w:i/>
          <w:iCs/>
        </w:rPr>
        <w:t>School Leadership &amp; Management</w:t>
      </w:r>
      <w:r w:rsidRPr="00914205">
        <w:t>, 40(1), pp. 5</w:t>
      </w:r>
      <w:r w:rsidR="008452EB" w:rsidRPr="00914205">
        <w:t>-</w:t>
      </w:r>
      <w:r w:rsidRPr="00914205">
        <w:t>22. Available at: https://doi.org/10.1080/13632434.2019.1596077 (Accessed: 17 August 2026).</w:t>
      </w:r>
    </w:p>
    <w:p w14:paraId="43C1A367" w14:textId="69C1B61B" w:rsidR="00FD1682" w:rsidRPr="00914205" w:rsidRDefault="00FD1682" w:rsidP="00501D27">
      <w:r w:rsidRPr="00914205">
        <w:t xml:space="preserve">Mat </w:t>
      </w:r>
      <w:proofErr w:type="spellStart"/>
      <w:r w:rsidRPr="00914205">
        <w:t>Lazim</w:t>
      </w:r>
      <w:proofErr w:type="spellEnd"/>
      <w:r w:rsidRPr="00914205">
        <w:t xml:space="preserve">, S.H.I., Arifin, K., Abas, A., </w:t>
      </w:r>
      <w:proofErr w:type="spellStart"/>
      <w:r w:rsidRPr="00914205">
        <w:t>Khairil</w:t>
      </w:r>
      <w:proofErr w:type="spellEnd"/>
      <w:r w:rsidRPr="00914205">
        <w:t xml:space="preserve">, M., Ali, M.N., Lampe, I., Samad, M.A., </w:t>
      </w:r>
      <w:proofErr w:type="spellStart"/>
      <w:r w:rsidRPr="00914205">
        <w:t>Mahfudz</w:t>
      </w:r>
      <w:proofErr w:type="spellEnd"/>
      <w:r w:rsidRPr="00914205">
        <w:t xml:space="preserve">, M. and </w:t>
      </w:r>
      <w:proofErr w:type="spellStart"/>
      <w:r w:rsidRPr="00914205">
        <w:t>Ciyo</w:t>
      </w:r>
      <w:proofErr w:type="spellEnd"/>
      <w:r w:rsidRPr="00914205">
        <w:t xml:space="preserve">, M.B. (2022) ‘A systematic literature review on leadership practices for safety in the education sector’, </w:t>
      </w:r>
      <w:r w:rsidRPr="00914205">
        <w:rPr>
          <w:i/>
          <w:iCs/>
        </w:rPr>
        <w:t>Sustainability</w:t>
      </w:r>
      <w:r w:rsidRPr="00914205">
        <w:t>, 14(14), article 8262. Available at: https://doi.org/10.3390/su14148262 (Accessed: 19 August 2026).</w:t>
      </w:r>
    </w:p>
    <w:p w14:paraId="5793AC37" w14:textId="720BF7E3" w:rsidR="002E233A" w:rsidRPr="00914205" w:rsidRDefault="002E233A" w:rsidP="00501D27">
      <w:proofErr w:type="spellStart"/>
      <w:r w:rsidRPr="00914205">
        <w:t>Medr</w:t>
      </w:r>
      <w:proofErr w:type="spellEnd"/>
      <w:r w:rsidRPr="00914205">
        <w:t xml:space="preserve"> </w:t>
      </w:r>
      <w:r w:rsidR="003952FF" w:rsidRPr="00914205">
        <w:t>(</w:t>
      </w:r>
      <w:r w:rsidRPr="00914205">
        <w:t>2025</w:t>
      </w:r>
      <w:r w:rsidR="003952FF" w:rsidRPr="00914205">
        <w:t>a)</w:t>
      </w:r>
      <w:r w:rsidRPr="00914205">
        <w:t xml:space="preserve"> </w:t>
      </w:r>
      <w:r w:rsidRPr="00914205">
        <w:rPr>
          <w:i/>
          <w:iCs/>
        </w:rPr>
        <w:t>Enhanced engineering programme specification</w:t>
      </w:r>
      <w:r w:rsidRPr="00914205">
        <w:t xml:space="preserve">. Cardiff: </w:t>
      </w:r>
      <w:proofErr w:type="spellStart"/>
      <w:r w:rsidRPr="00914205">
        <w:t>Medr</w:t>
      </w:r>
      <w:proofErr w:type="spellEnd"/>
      <w:r w:rsidRPr="00914205">
        <w:t>.</w:t>
      </w:r>
      <w:r w:rsidR="008452EB" w:rsidRPr="00914205">
        <w:t xml:space="preserve"> </w:t>
      </w:r>
      <w:r w:rsidR="008452EB" w:rsidRPr="00914205">
        <w:t>Available at: https://www.medr.cymru/wp-content/uploads/2025/04/Programme-Specification-Enhanced-Engineering-Medr-English.pdf</w:t>
      </w:r>
      <w:r w:rsidR="008452EB" w:rsidRPr="00914205">
        <w:t xml:space="preserve"> (Accessed: 10 July 2026)</w:t>
      </w:r>
    </w:p>
    <w:p w14:paraId="0F51674A" w14:textId="1BC85291" w:rsidR="00501D27" w:rsidRPr="00914205" w:rsidRDefault="00501D27" w:rsidP="00501D27">
      <w:proofErr w:type="spellStart"/>
      <w:r w:rsidRPr="00914205">
        <w:t>Medr</w:t>
      </w:r>
      <w:proofErr w:type="spellEnd"/>
      <w:r w:rsidRPr="00914205">
        <w:t xml:space="preserve"> </w:t>
      </w:r>
      <w:r w:rsidR="003952FF" w:rsidRPr="00914205">
        <w:t>(</w:t>
      </w:r>
      <w:r w:rsidRPr="00914205">
        <w:t>2025</w:t>
      </w:r>
      <w:r w:rsidR="003952FF" w:rsidRPr="00914205">
        <w:t>b)</w:t>
      </w:r>
      <w:r w:rsidRPr="00914205">
        <w:t xml:space="preserve"> </w:t>
      </w:r>
      <w:r w:rsidRPr="00914205">
        <w:rPr>
          <w:i/>
          <w:iCs/>
        </w:rPr>
        <w:t>Strategic plan 2025–2030</w:t>
      </w:r>
      <w:r w:rsidRPr="00914205">
        <w:t xml:space="preserve">. Cardiff: </w:t>
      </w:r>
      <w:proofErr w:type="spellStart"/>
      <w:r w:rsidRPr="00914205">
        <w:t>Medr</w:t>
      </w:r>
      <w:proofErr w:type="spellEnd"/>
      <w:r w:rsidRPr="00914205">
        <w:t>.</w:t>
      </w:r>
      <w:r w:rsidR="008452EB" w:rsidRPr="00914205">
        <w:t xml:space="preserve"> </w:t>
      </w:r>
      <w:r w:rsidR="008452EB" w:rsidRPr="00914205">
        <w:t>Available at: https://www.medr.cymru/wp-content/uploads/2025/03/Medr-Strategic-Plan-2025-2030.pdf (Accessed: 10 July 2026).</w:t>
      </w:r>
    </w:p>
    <w:p w14:paraId="69815B70" w14:textId="270CCFC3" w:rsidR="000C0035" w:rsidRPr="00914205" w:rsidRDefault="000C0035" w:rsidP="00501D27">
      <w:r w:rsidRPr="00914205">
        <w:t xml:space="preserve">OECD </w:t>
      </w:r>
      <w:r w:rsidR="003952FF" w:rsidRPr="00914205">
        <w:t>(</w:t>
      </w:r>
      <w:r w:rsidRPr="00914205">
        <w:t>2021</w:t>
      </w:r>
      <w:r w:rsidR="003952FF" w:rsidRPr="00914205">
        <w:t>)</w:t>
      </w:r>
      <w:r w:rsidRPr="00914205">
        <w:t xml:space="preserve"> </w:t>
      </w:r>
      <w:r w:rsidRPr="00914205">
        <w:rPr>
          <w:i/>
          <w:iCs/>
        </w:rPr>
        <w:t>Teachers and leaders in vocational education and training</w:t>
      </w:r>
      <w:r w:rsidRPr="00914205">
        <w:t xml:space="preserve">. </w:t>
      </w:r>
      <w:r w:rsidR="007D7464" w:rsidRPr="00914205">
        <w:t>Paris:</w:t>
      </w:r>
      <w:r w:rsidR="007D7464" w:rsidRPr="00914205">
        <w:t xml:space="preserve"> </w:t>
      </w:r>
      <w:r w:rsidRPr="00914205">
        <w:t xml:space="preserve">OECD Publishing. Available at: </w:t>
      </w:r>
      <w:r w:rsidR="009F76B5" w:rsidRPr="00914205">
        <w:t>https://doi.org/10.1787/59d4fbb1-en</w:t>
      </w:r>
      <w:r w:rsidR="009F76B5" w:rsidRPr="00914205">
        <w:t xml:space="preserve"> </w:t>
      </w:r>
      <w:r w:rsidRPr="00914205">
        <w:t>(Accessed: 4 August 2026).</w:t>
      </w:r>
    </w:p>
    <w:p w14:paraId="66282806" w14:textId="304A8F12" w:rsidR="00FD1682" w:rsidRPr="00914205" w:rsidRDefault="00FD1682" w:rsidP="00501D27">
      <w:r w:rsidRPr="00914205">
        <w:t xml:space="preserve">O’Leary, M., Smith, R., Cui, V. and </w:t>
      </w:r>
      <w:proofErr w:type="spellStart"/>
      <w:r w:rsidRPr="00914205">
        <w:t>Dakka</w:t>
      </w:r>
      <w:proofErr w:type="spellEnd"/>
      <w:r w:rsidRPr="00914205">
        <w:t xml:space="preserve">, F. (2019) </w:t>
      </w:r>
      <w:r w:rsidRPr="00914205">
        <w:rPr>
          <w:i/>
          <w:iCs/>
        </w:rPr>
        <w:t>The role of leadership in prioritising and improving the quality of teaching and learning in further education</w:t>
      </w:r>
      <w:r w:rsidRPr="00914205">
        <w:t>. Available at: https://fetl.org.uk/publications/the-role-of-leadership-in-prioritising-and-improving-the-quality-of-teaching-and-learning-in-further-education/ (Accessed: 19 August 2026).</w:t>
      </w:r>
    </w:p>
    <w:p w14:paraId="40F44385" w14:textId="124580A4" w:rsidR="00501D27" w:rsidRPr="00914205" w:rsidRDefault="00501D27" w:rsidP="00501D27">
      <w:bookmarkStart w:id="0" w:name="_Hlk238467308"/>
      <w:r w:rsidRPr="00914205">
        <w:t xml:space="preserve">Ontario Teachers’ Federation </w:t>
      </w:r>
      <w:r w:rsidR="003952FF" w:rsidRPr="00914205">
        <w:t>(</w:t>
      </w:r>
      <w:r w:rsidRPr="00914205">
        <w:t>2017</w:t>
      </w:r>
      <w:r w:rsidR="003952FF" w:rsidRPr="00914205">
        <w:t>)</w:t>
      </w:r>
      <w:r w:rsidRPr="00914205">
        <w:t xml:space="preserve"> </w:t>
      </w:r>
      <w:r w:rsidRPr="00914205">
        <w:rPr>
          <w:i/>
          <w:iCs/>
        </w:rPr>
        <w:t>Teacher learning and leadership program</w:t>
      </w:r>
      <w:r w:rsidRPr="00914205">
        <w:t xml:space="preserve">. Available at: https://www.otffeo.on.ca/en/learning/teacher-learning-and-leadership-program/ </w:t>
      </w:r>
      <w:bookmarkEnd w:id="0"/>
      <w:r w:rsidRPr="00914205">
        <w:t>(Accessed: 17 August 2026).</w:t>
      </w:r>
    </w:p>
    <w:p w14:paraId="75CF23A6" w14:textId="1CC4F826" w:rsidR="00501D27" w:rsidRPr="00914205" w:rsidRDefault="009F76B5" w:rsidP="00501D27">
      <w:r w:rsidRPr="00914205">
        <w:t xml:space="preserve">Senge, P., Hamilton, H. and Kania, J. (2015) ‘The dawn of system leadership’, </w:t>
      </w:r>
      <w:r w:rsidRPr="00914205">
        <w:rPr>
          <w:i/>
          <w:iCs/>
        </w:rPr>
        <w:t>Stanford Social Innovation Review</w:t>
      </w:r>
      <w:r w:rsidRPr="00914205">
        <w:t>, 13(1), pp. 27</w:t>
      </w:r>
      <w:r w:rsidR="008452EB" w:rsidRPr="00914205">
        <w:t>-</w:t>
      </w:r>
      <w:r w:rsidRPr="00914205">
        <w:t>33. Available at: https://doi.org/10.48558/YTE7-XT62</w:t>
      </w:r>
      <w:r w:rsidRPr="00914205">
        <w:t xml:space="preserve"> </w:t>
      </w:r>
      <w:r w:rsidR="00501D27" w:rsidRPr="00914205">
        <w:t>(Accessed: 17 August 2026).</w:t>
      </w:r>
    </w:p>
    <w:p w14:paraId="68C2FB71" w14:textId="387702D1" w:rsidR="00FD1682" w:rsidRPr="00914205" w:rsidRDefault="00FD1682" w:rsidP="00FD1682">
      <w:r w:rsidRPr="00914205">
        <w:t xml:space="preserve">Skerritt, C., McNamara, G., Quinn, I., O’Hara, J. and Brown, M. (2023) ‘Middle leaders as policy translators: prime actors in the enactment of policy’, </w:t>
      </w:r>
      <w:r w:rsidRPr="00914205">
        <w:rPr>
          <w:i/>
          <w:iCs/>
        </w:rPr>
        <w:t>Journal of Education Policy</w:t>
      </w:r>
      <w:r w:rsidRPr="00914205">
        <w:t>, 38(4), pp. 567</w:t>
      </w:r>
      <w:r w:rsidR="008452EB" w:rsidRPr="00914205">
        <w:t>-</w:t>
      </w:r>
      <w:r w:rsidRPr="00914205">
        <w:t>585. Available at: https://doi.org/10.1080/02680939.2021.2006315 (Accessed: 11 August 2026).</w:t>
      </w:r>
    </w:p>
    <w:p w14:paraId="2510EC9D" w14:textId="3BBC2E91" w:rsidR="003A2289" w:rsidRPr="00914205" w:rsidRDefault="003A2289" w:rsidP="00501D27">
      <w:r w:rsidRPr="00914205">
        <w:t xml:space="preserve">Stevenson, M., Hedberg, J.G., O’Sullivan, K. and Howe, C. (2016) ‘Leading learning: the role of school leaders in supporting continuous professional development’, </w:t>
      </w:r>
      <w:r w:rsidRPr="00914205">
        <w:rPr>
          <w:i/>
          <w:iCs/>
        </w:rPr>
        <w:t>Professional Development in Education</w:t>
      </w:r>
      <w:r w:rsidRPr="00914205">
        <w:t>, 42(5), pp. 818</w:t>
      </w:r>
      <w:r w:rsidR="008452EB" w:rsidRPr="00914205">
        <w:t>-</w:t>
      </w:r>
      <w:r w:rsidRPr="00914205">
        <w:t>835. Available at: https://doi.org/10.1080/19415257.2015.1114507 (Accessed: 17 August 2026).</w:t>
      </w:r>
    </w:p>
    <w:p w14:paraId="78910ECF" w14:textId="3301538C" w:rsidR="00FD1682" w:rsidRPr="00914205" w:rsidRDefault="00FD1682" w:rsidP="00501D27">
      <w:r w:rsidRPr="00914205">
        <w:lastRenderedPageBreak/>
        <w:t>Tertiary Education and Research (Wales) Act 2022 (</w:t>
      </w:r>
      <w:proofErr w:type="spellStart"/>
      <w:r w:rsidRPr="00914205">
        <w:t>asc</w:t>
      </w:r>
      <w:proofErr w:type="spellEnd"/>
      <w:r w:rsidRPr="00914205">
        <w:t xml:space="preserve"> 1). Available at: https://www.legislation.gov.uk/asc/2022/1/contents (Accessed: 17 August 2026).</w:t>
      </w:r>
    </w:p>
    <w:p w14:paraId="69A20E75" w14:textId="275ABF97" w:rsidR="00FE7034" w:rsidRPr="00914205" w:rsidRDefault="00FE7034" w:rsidP="00501D27">
      <w:r w:rsidRPr="00914205">
        <w:t xml:space="preserve">UNESCO </w:t>
      </w:r>
      <w:r w:rsidR="003952FF" w:rsidRPr="00914205">
        <w:t>(</w:t>
      </w:r>
      <w:r w:rsidRPr="00914205">
        <w:t>2024</w:t>
      </w:r>
      <w:r w:rsidR="003952FF" w:rsidRPr="00914205">
        <w:t>)</w:t>
      </w:r>
      <w:r w:rsidRPr="00914205">
        <w:t xml:space="preserve"> </w:t>
      </w:r>
      <w:r w:rsidRPr="00914205">
        <w:rPr>
          <w:i/>
          <w:iCs/>
        </w:rPr>
        <w:t>School leadership roles and standards: observations from the International Study of Teacher Leadership</w:t>
      </w:r>
      <w:r w:rsidRPr="00914205">
        <w:t>. Available at: https://unesdoc.unesco.org/ark:/48223/pf0000391685 (Accessed: 24 August 2026).</w:t>
      </w:r>
    </w:p>
    <w:p w14:paraId="1ECD5CDF" w14:textId="31B3DA9E" w:rsidR="00501D27" w:rsidRPr="00914205" w:rsidRDefault="00501D27" w:rsidP="00501D27">
      <w:r w:rsidRPr="00914205">
        <w:t xml:space="preserve">Up Learn </w:t>
      </w:r>
      <w:r w:rsidR="00DA3D6F" w:rsidRPr="00914205">
        <w:t>(</w:t>
      </w:r>
      <w:r w:rsidRPr="00914205">
        <w:t>2025</w:t>
      </w:r>
      <w:r w:rsidR="00DA3D6F" w:rsidRPr="00914205">
        <w:t>)</w:t>
      </w:r>
      <w:r w:rsidRPr="00914205">
        <w:t xml:space="preserve"> </w:t>
      </w:r>
      <w:r w:rsidRPr="00914205">
        <w:rPr>
          <w:i/>
          <w:iCs/>
        </w:rPr>
        <w:t>Michaela’s winning formula with Up Learn</w:t>
      </w:r>
      <w:r w:rsidRPr="00914205">
        <w:t>. Available at: https://uplearn.co.uk/case-study-michaelas-winning-formula-with-up-learn/ (Accessed: 17 August 2026).</w:t>
      </w:r>
    </w:p>
    <w:p w14:paraId="265AC97E" w14:textId="77777777" w:rsidR="00501D27" w:rsidRPr="00914205" w:rsidRDefault="00501D27"/>
    <w:sectPr w:rsidR="00501D27" w:rsidRPr="009142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F69"/>
    <w:rsid w:val="000044DB"/>
    <w:rsid w:val="000354BD"/>
    <w:rsid w:val="00035530"/>
    <w:rsid w:val="000431EE"/>
    <w:rsid w:val="00053371"/>
    <w:rsid w:val="000620C4"/>
    <w:rsid w:val="000865F5"/>
    <w:rsid w:val="00086BF2"/>
    <w:rsid w:val="00093EA6"/>
    <w:rsid w:val="000C0035"/>
    <w:rsid w:val="000D0A53"/>
    <w:rsid w:val="000F11A6"/>
    <w:rsid w:val="00137668"/>
    <w:rsid w:val="00155642"/>
    <w:rsid w:val="00174B38"/>
    <w:rsid w:val="001A03C4"/>
    <w:rsid w:val="001C69C6"/>
    <w:rsid w:val="0020778C"/>
    <w:rsid w:val="00242F93"/>
    <w:rsid w:val="00254287"/>
    <w:rsid w:val="00273068"/>
    <w:rsid w:val="0028376F"/>
    <w:rsid w:val="002856BC"/>
    <w:rsid w:val="00297676"/>
    <w:rsid w:val="002A6A1D"/>
    <w:rsid w:val="002C0850"/>
    <w:rsid w:val="002C24CD"/>
    <w:rsid w:val="002D267C"/>
    <w:rsid w:val="002E1F61"/>
    <w:rsid w:val="002E233A"/>
    <w:rsid w:val="003118F8"/>
    <w:rsid w:val="003650D2"/>
    <w:rsid w:val="003652CB"/>
    <w:rsid w:val="003913E2"/>
    <w:rsid w:val="003952FF"/>
    <w:rsid w:val="003A2289"/>
    <w:rsid w:val="003A4796"/>
    <w:rsid w:val="003A536F"/>
    <w:rsid w:val="00451AC1"/>
    <w:rsid w:val="004723F2"/>
    <w:rsid w:val="004D4EEE"/>
    <w:rsid w:val="004F6EA9"/>
    <w:rsid w:val="00500CEE"/>
    <w:rsid w:val="00501D27"/>
    <w:rsid w:val="00526AAA"/>
    <w:rsid w:val="00550F69"/>
    <w:rsid w:val="00553532"/>
    <w:rsid w:val="00575B10"/>
    <w:rsid w:val="005A1960"/>
    <w:rsid w:val="005C4B2F"/>
    <w:rsid w:val="00607567"/>
    <w:rsid w:val="00643CAE"/>
    <w:rsid w:val="0068327B"/>
    <w:rsid w:val="006870D4"/>
    <w:rsid w:val="006B0E8D"/>
    <w:rsid w:val="006C5A31"/>
    <w:rsid w:val="006F08D2"/>
    <w:rsid w:val="007B2D1B"/>
    <w:rsid w:val="007B434C"/>
    <w:rsid w:val="007C1D49"/>
    <w:rsid w:val="007D16AE"/>
    <w:rsid w:val="007D7464"/>
    <w:rsid w:val="007F2205"/>
    <w:rsid w:val="008017F3"/>
    <w:rsid w:val="008452EB"/>
    <w:rsid w:val="00861E81"/>
    <w:rsid w:val="008760F5"/>
    <w:rsid w:val="008D7FC7"/>
    <w:rsid w:val="008E2611"/>
    <w:rsid w:val="00913A8E"/>
    <w:rsid w:val="00914205"/>
    <w:rsid w:val="00926F90"/>
    <w:rsid w:val="00935DFF"/>
    <w:rsid w:val="00937B5E"/>
    <w:rsid w:val="00942491"/>
    <w:rsid w:val="0096616A"/>
    <w:rsid w:val="00986E2C"/>
    <w:rsid w:val="00987390"/>
    <w:rsid w:val="009B59E6"/>
    <w:rsid w:val="009D3B5C"/>
    <w:rsid w:val="009F76B5"/>
    <w:rsid w:val="00A6612C"/>
    <w:rsid w:val="00A664A4"/>
    <w:rsid w:val="00AD47BA"/>
    <w:rsid w:val="00B36B02"/>
    <w:rsid w:val="00B52D18"/>
    <w:rsid w:val="00B707A4"/>
    <w:rsid w:val="00B766E0"/>
    <w:rsid w:val="00BB502C"/>
    <w:rsid w:val="00BC613B"/>
    <w:rsid w:val="00C363D4"/>
    <w:rsid w:val="00C62644"/>
    <w:rsid w:val="00C85DAE"/>
    <w:rsid w:val="00C92FBF"/>
    <w:rsid w:val="00CD097E"/>
    <w:rsid w:val="00D164D9"/>
    <w:rsid w:val="00D23A24"/>
    <w:rsid w:val="00D27667"/>
    <w:rsid w:val="00D63134"/>
    <w:rsid w:val="00D66776"/>
    <w:rsid w:val="00D75C8C"/>
    <w:rsid w:val="00DA3D6F"/>
    <w:rsid w:val="00DC6217"/>
    <w:rsid w:val="00E119D4"/>
    <w:rsid w:val="00E138A2"/>
    <w:rsid w:val="00E34C94"/>
    <w:rsid w:val="00E36969"/>
    <w:rsid w:val="00E4577B"/>
    <w:rsid w:val="00E64D4D"/>
    <w:rsid w:val="00E675A5"/>
    <w:rsid w:val="00E86D24"/>
    <w:rsid w:val="00ED6870"/>
    <w:rsid w:val="00F14094"/>
    <w:rsid w:val="00F22541"/>
    <w:rsid w:val="00F42A70"/>
    <w:rsid w:val="00FB0DFF"/>
    <w:rsid w:val="00FB0E08"/>
    <w:rsid w:val="00FC122B"/>
    <w:rsid w:val="00FD1682"/>
    <w:rsid w:val="00FD17FC"/>
    <w:rsid w:val="00FE7034"/>
    <w:rsid w:val="00FF34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FD165"/>
  <w15:chartTrackingRefBased/>
  <w15:docId w15:val="{242254F9-065C-4A57-B8E9-BCBC64DD6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0F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0F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0F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0F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0F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0F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0F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0F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0F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F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0F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0F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0F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0F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0F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0F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0F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0F69"/>
    <w:rPr>
      <w:rFonts w:eastAsiaTheme="majorEastAsia" w:cstheme="majorBidi"/>
      <w:color w:val="272727" w:themeColor="text1" w:themeTint="D8"/>
    </w:rPr>
  </w:style>
  <w:style w:type="paragraph" w:styleId="Title">
    <w:name w:val="Title"/>
    <w:basedOn w:val="Normal"/>
    <w:next w:val="Normal"/>
    <w:link w:val="TitleChar"/>
    <w:uiPriority w:val="10"/>
    <w:qFormat/>
    <w:rsid w:val="00550F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F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0F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0F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0F69"/>
    <w:pPr>
      <w:spacing w:before="160"/>
      <w:jc w:val="center"/>
    </w:pPr>
    <w:rPr>
      <w:i/>
      <w:iCs/>
      <w:color w:val="404040" w:themeColor="text1" w:themeTint="BF"/>
    </w:rPr>
  </w:style>
  <w:style w:type="character" w:customStyle="1" w:styleId="QuoteChar">
    <w:name w:val="Quote Char"/>
    <w:basedOn w:val="DefaultParagraphFont"/>
    <w:link w:val="Quote"/>
    <w:uiPriority w:val="29"/>
    <w:rsid w:val="00550F69"/>
    <w:rPr>
      <w:i/>
      <w:iCs/>
      <w:color w:val="404040" w:themeColor="text1" w:themeTint="BF"/>
    </w:rPr>
  </w:style>
  <w:style w:type="paragraph" w:styleId="ListParagraph">
    <w:name w:val="List Paragraph"/>
    <w:basedOn w:val="Normal"/>
    <w:uiPriority w:val="34"/>
    <w:qFormat/>
    <w:rsid w:val="00550F69"/>
    <w:pPr>
      <w:ind w:left="720"/>
      <w:contextualSpacing/>
    </w:pPr>
  </w:style>
  <w:style w:type="character" w:styleId="IntenseEmphasis">
    <w:name w:val="Intense Emphasis"/>
    <w:basedOn w:val="DefaultParagraphFont"/>
    <w:uiPriority w:val="21"/>
    <w:qFormat/>
    <w:rsid w:val="00550F69"/>
    <w:rPr>
      <w:i/>
      <w:iCs/>
      <w:color w:val="0F4761" w:themeColor="accent1" w:themeShade="BF"/>
    </w:rPr>
  </w:style>
  <w:style w:type="paragraph" w:styleId="IntenseQuote">
    <w:name w:val="Intense Quote"/>
    <w:basedOn w:val="Normal"/>
    <w:next w:val="Normal"/>
    <w:link w:val="IntenseQuoteChar"/>
    <w:uiPriority w:val="30"/>
    <w:qFormat/>
    <w:rsid w:val="00550F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0F69"/>
    <w:rPr>
      <w:i/>
      <w:iCs/>
      <w:color w:val="0F4761" w:themeColor="accent1" w:themeShade="BF"/>
    </w:rPr>
  </w:style>
  <w:style w:type="character" w:styleId="IntenseReference">
    <w:name w:val="Intense Reference"/>
    <w:basedOn w:val="DefaultParagraphFont"/>
    <w:uiPriority w:val="32"/>
    <w:qFormat/>
    <w:rsid w:val="00550F69"/>
    <w:rPr>
      <w:b/>
      <w:bCs/>
      <w:smallCaps/>
      <w:color w:val="0F4761" w:themeColor="accent1" w:themeShade="BF"/>
      <w:spacing w:val="5"/>
    </w:rPr>
  </w:style>
  <w:style w:type="paragraph" w:styleId="NormalWeb">
    <w:name w:val="Normal (Web)"/>
    <w:basedOn w:val="Normal"/>
    <w:uiPriority w:val="99"/>
    <w:semiHidden/>
    <w:unhideWhenUsed/>
    <w:rsid w:val="00F22541"/>
    <w:rPr>
      <w:rFonts w:ascii="Times New Roman" w:hAnsi="Times New Roman" w:cs="Times New Roman"/>
      <w:sz w:val="24"/>
      <w:szCs w:val="24"/>
    </w:rPr>
  </w:style>
  <w:style w:type="character" w:styleId="Hyperlink">
    <w:name w:val="Hyperlink"/>
    <w:basedOn w:val="DefaultParagraphFont"/>
    <w:uiPriority w:val="99"/>
    <w:unhideWhenUsed/>
    <w:rsid w:val="000620C4"/>
    <w:rPr>
      <w:color w:val="467886" w:themeColor="hyperlink"/>
      <w:u w:val="single"/>
    </w:rPr>
  </w:style>
  <w:style w:type="character" w:styleId="UnresolvedMention">
    <w:name w:val="Unresolved Mention"/>
    <w:basedOn w:val="DefaultParagraphFont"/>
    <w:uiPriority w:val="99"/>
    <w:semiHidden/>
    <w:unhideWhenUsed/>
    <w:rsid w:val="000620C4"/>
    <w:rPr>
      <w:color w:val="605E5C"/>
      <w:shd w:val="clear" w:color="auto" w:fill="E1DFDD"/>
    </w:rPr>
  </w:style>
  <w:style w:type="table" w:styleId="TableGrid">
    <w:name w:val="Table Grid"/>
    <w:basedOn w:val="TableNormal"/>
    <w:uiPriority w:val="39"/>
    <w:rsid w:val="00914205"/>
    <w:pPr>
      <w:spacing w:after="0" w:line="240" w:lineRule="auto"/>
    </w:pPr>
    <w:rPr>
      <w:rFonts w:eastAsiaTheme="minorEastAsia"/>
      <w:sz w:val="24"/>
      <w:szCs w:val="24"/>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921154">
      <w:bodyDiv w:val="1"/>
      <w:marLeft w:val="0"/>
      <w:marRight w:val="0"/>
      <w:marTop w:val="0"/>
      <w:marBottom w:val="0"/>
      <w:divBdr>
        <w:top w:val="none" w:sz="0" w:space="0" w:color="auto"/>
        <w:left w:val="none" w:sz="0" w:space="0" w:color="auto"/>
        <w:bottom w:val="none" w:sz="0" w:space="0" w:color="auto"/>
        <w:right w:val="none" w:sz="0" w:space="0" w:color="auto"/>
      </w:divBdr>
    </w:div>
    <w:div w:id="385105325">
      <w:bodyDiv w:val="1"/>
      <w:marLeft w:val="0"/>
      <w:marRight w:val="0"/>
      <w:marTop w:val="0"/>
      <w:marBottom w:val="0"/>
      <w:divBdr>
        <w:top w:val="none" w:sz="0" w:space="0" w:color="auto"/>
        <w:left w:val="none" w:sz="0" w:space="0" w:color="auto"/>
        <w:bottom w:val="none" w:sz="0" w:space="0" w:color="auto"/>
        <w:right w:val="none" w:sz="0" w:space="0" w:color="auto"/>
      </w:divBdr>
    </w:div>
    <w:div w:id="479032304">
      <w:bodyDiv w:val="1"/>
      <w:marLeft w:val="0"/>
      <w:marRight w:val="0"/>
      <w:marTop w:val="0"/>
      <w:marBottom w:val="0"/>
      <w:divBdr>
        <w:top w:val="none" w:sz="0" w:space="0" w:color="auto"/>
        <w:left w:val="none" w:sz="0" w:space="0" w:color="auto"/>
        <w:bottom w:val="none" w:sz="0" w:space="0" w:color="auto"/>
        <w:right w:val="none" w:sz="0" w:space="0" w:color="auto"/>
      </w:divBdr>
    </w:div>
    <w:div w:id="659888249">
      <w:bodyDiv w:val="1"/>
      <w:marLeft w:val="0"/>
      <w:marRight w:val="0"/>
      <w:marTop w:val="0"/>
      <w:marBottom w:val="0"/>
      <w:divBdr>
        <w:top w:val="none" w:sz="0" w:space="0" w:color="auto"/>
        <w:left w:val="none" w:sz="0" w:space="0" w:color="auto"/>
        <w:bottom w:val="none" w:sz="0" w:space="0" w:color="auto"/>
        <w:right w:val="none" w:sz="0" w:space="0" w:color="auto"/>
      </w:divBdr>
    </w:div>
    <w:div w:id="737020185">
      <w:bodyDiv w:val="1"/>
      <w:marLeft w:val="0"/>
      <w:marRight w:val="0"/>
      <w:marTop w:val="0"/>
      <w:marBottom w:val="0"/>
      <w:divBdr>
        <w:top w:val="none" w:sz="0" w:space="0" w:color="auto"/>
        <w:left w:val="none" w:sz="0" w:space="0" w:color="auto"/>
        <w:bottom w:val="none" w:sz="0" w:space="0" w:color="auto"/>
        <w:right w:val="none" w:sz="0" w:space="0" w:color="auto"/>
      </w:divBdr>
    </w:div>
    <w:div w:id="829979168">
      <w:bodyDiv w:val="1"/>
      <w:marLeft w:val="0"/>
      <w:marRight w:val="0"/>
      <w:marTop w:val="0"/>
      <w:marBottom w:val="0"/>
      <w:divBdr>
        <w:top w:val="none" w:sz="0" w:space="0" w:color="auto"/>
        <w:left w:val="none" w:sz="0" w:space="0" w:color="auto"/>
        <w:bottom w:val="none" w:sz="0" w:space="0" w:color="auto"/>
        <w:right w:val="none" w:sz="0" w:space="0" w:color="auto"/>
      </w:divBdr>
    </w:div>
    <w:div w:id="834494934">
      <w:bodyDiv w:val="1"/>
      <w:marLeft w:val="0"/>
      <w:marRight w:val="0"/>
      <w:marTop w:val="0"/>
      <w:marBottom w:val="0"/>
      <w:divBdr>
        <w:top w:val="none" w:sz="0" w:space="0" w:color="auto"/>
        <w:left w:val="none" w:sz="0" w:space="0" w:color="auto"/>
        <w:bottom w:val="none" w:sz="0" w:space="0" w:color="auto"/>
        <w:right w:val="none" w:sz="0" w:space="0" w:color="auto"/>
      </w:divBdr>
    </w:div>
    <w:div w:id="842357830">
      <w:bodyDiv w:val="1"/>
      <w:marLeft w:val="0"/>
      <w:marRight w:val="0"/>
      <w:marTop w:val="0"/>
      <w:marBottom w:val="0"/>
      <w:divBdr>
        <w:top w:val="none" w:sz="0" w:space="0" w:color="auto"/>
        <w:left w:val="none" w:sz="0" w:space="0" w:color="auto"/>
        <w:bottom w:val="none" w:sz="0" w:space="0" w:color="auto"/>
        <w:right w:val="none" w:sz="0" w:space="0" w:color="auto"/>
      </w:divBdr>
    </w:div>
    <w:div w:id="1067915297">
      <w:bodyDiv w:val="1"/>
      <w:marLeft w:val="0"/>
      <w:marRight w:val="0"/>
      <w:marTop w:val="0"/>
      <w:marBottom w:val="0"/>
      <w:divBdr>
        <w:top w:val="none" w:sz="0" w:space="0" w:color="auto"/>
        <w:left w:val="none" w:sz="0" w:space="0" w:color="auto"/>
        <w:bottom w:val="none" w:sz="0" w:space="0" w:color="auto"/>
        <w:right w:val="none" w:sz="0" w:space="0" w:color="auto"/>
      </w:divBdr>
    </w:div>
    <w:div w:id="1210914706">
      <w:bodyDiv w:val="1"/>
      <w:marLeft w:val="0"/>
      <w:marRight w:val="0"/>
      <w:marTop w:val="0"/>
      <w:marBottom w:val="0"/>
      <w:divBdr>
        <w:top w:val="none" w:sz="0" w:space="0" w:color="auto"/>
        <w:left w:val="none" w:sz="0" w:space="0" w:color="auto"/>
        <w:bottom w:val="none" w:sz="0" w:space="0" w:color="auto"/>
        <w:right w:val="none" w:sz="0" w:space="0" w:color="auto"/>
      </w:divBdr>
    </w:div>
    <w:div w:id="1288508298">
      <w:bodyDiv w:val="1"/>
      <w:marLeft w:val="0"/>
      <w:marRight w:val="0"/>
      <w:marTop w:val="0"/>
      <w:marBottom w:val="0"/>
      <w:divBdr>
        <w:top w:val="none" w:sz="0" w:space="0" w:color="auto"/>
        <w:left w:val="none" w:sz="0" w:space="0" w:color="auto"/>
        <w:bottom w:val="none" w:sz="0" w:space="0" w:color="auto"/>
        <w:right w:val="none" w:sz="0" w:space="0" w:color="auto"/>
      </w:divBdr>
    </w:div>
    <w:div w:id="1453209593">
      <w:bodyDiv w:val="1"/>
      <w:marLeft w:val="0"/>
      <w:marRight w:val="0"/>
      <w:marTop w:val="0"/>
      <w:marBottom w:val="0"/>
      <w:divBdr>
        <w:top w:val="none" w:sz="0" w:space="0" w:color="auto"/>
        <w:left w:val="none" w:sz="0" w:space="0" w:color="auto"/>
        <w:bottom w:val="none" w:sz="0" w:space="0" w:color="auto"/>
        <w:right w:val="none" w:sz="0" w:space="0" w:color="auto"/>
      </w:divBdr>
    </w:div>
    <w:div w:id="1595942610">
      <w:bodyDiv w:val="1"/>
      <w:marLeft w:val="0"/>
      <w:marRight w:val="0"/>
      <w:marTop w:val="0"/>
      <w:marBottom w:val="0"/>
      <w:divBdr>
        <w:top w:val="none" w:sz="0" w:space="0" w:color="auto"/>
        <w:left w:val="none" w:sz="0" w:space="0" w:color="auto"/>
        <w:bottom w:val="none" w:sz="0" w:space="0" w:color="auto"/>
        <w:right w:val="none" w:sz="0" w:space="0" w:color="auto"/>
      </w:divBdr>
    </w:div>
    <w:div w:id="1770349202">
      <w:bodyDiv w:val="1"/>
      <w:marLeft w:val="0"/>
      <w:marRight w:val="0"/>
      <w:marTop w:val="0"/>
      <w:marBottom w:val="0"/>
      <w:divBdr>
        <w:top w:val="none" w:sz="0" w:space="0" w:color="auto"/>
        <w:left w:val="none" w:sz="0" w:space="0" w:color="auto"/>
        <w:bottom w:val="none" w:sz="0" w:space="0" w:color="auto"/>
        <w:right w:val="none" w:sz="0" w:space="0" w:color="auto"/>
      </w:divBdr>
    </w:div>
    <w:div w:id="1789622757">
      <w:bodyDiv w:val="1"/>
      <w:marLeft w:val="0"/>
      <w:marRight w:val="0"/>
      <w:marTop w:val="0"/>
      <w:marBottom w:val="0"/>
      <w:divBdr>
        <w:top w:val="none" w:sz="0" w:space="0" w:color="auto"/>
        <w:left w:val="none" w:sz="0" w:space="0" w:color="auto"/>
        <w:bottom w:val="none" w:sz="0" w:space="0" w:color="auto"/>
        <w:right w:val="none" w:sz="0" w:space="0" w:color="auto"/>
      </w:divBdr>
    </w:div>
    <w:div w:id="1838618297">
      <w:bodyDiv w:val="1"/>
      <w:marLeft w:val="0"/>
      <w:marRight w:val="0"/>
      <w:marTop w:val="0"/>
      <w:marBottom w:val="0"/>
      <w:divBdr>
        <w:top w:val="none" w:sz="0" w:space="0" w:color="auto"/>
        <w:left w:val="none" w:sz="0" w:space="0" w:color="auto"/>
        <w:bottom w:val="none" w:sz="0" w:space="0" w:color="auto"/>
        <w:right w:val="none" w:sz="0" w:space="0" w:color="auto"/>
      </w:divBdr>
    </w:div>
    <w:div w:id="1883250169">
      <w:bodyDiv w:val="1"/>
      <w:marLeft w:val="0"/>
      <w:marRight w:val="0"/>
      <w:marTop w:val="0"/>
      <w:marBottom w:val="0"/>
      <w:divBdr>
        <w:top w:val="none" w:sz="0" w:space="0" w:color="auto"/>
        <w:left w:val="none" w:sz="0" w:space="0" w:color="auto"/>
        <w:bottom w:val="none" w:sz="0" w:space="0" w:color="auto"/>
        <w:right w:val="none" w:sz="0" w:space="0" w:color="auto"/>
      </w:divBdr>
    </w:div>
    <w:div w:id="2049180583">
      <w:bodyDiv w:val="1"/>
      <w:marLeft w:val="0"/>
      <w:marRight w:val="0"/>
      <w:marTop w:val="0"/>
      <w:marBottom w:val="0"/>
      <w:divBdr>
        <w:top w:val="none" w:sz="0" w:space="0" w:color="auto"/>
        <w:left w:val="none" w:sz="0" w:space="0" w:color="auto"/>
        <w:bottom w:val="none" w:sz="0" w:space="0" w:color="auto"/>
        <w:right w:val="none" w:sz="0" w:space="0" w:color="auto"/>
      </w:divBdr>
    </w:div>
    <w:div w:id="2050761007">
      <w:bodyDiv w:val="1"/>
      <w:marLeft w:val="0"/>
      <w:marRight w:val="0"/>
      <w:marTop w:val="0"/>
      <w:marBottom w:val="0"/>
      <w:divBdr>
        <w:top w:val="none" w:sz="0" w:space="0" w:color="auto"/>
        <w:left w:val="none" w:sz="0" w:space="0" w:color="auto"/>
        <w:bottom w:val="none" w:sz="0" w:space="0" w:color="auto"/>
        <w:right w:val="none" w:sz="0" w:space="0" w:color="auto"/>
      </w:divBdr>
    </w:div>
    <w:div w:id="2093356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A715F44-E178-40AB-94A8-1F541A782E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3635</TotalTime>
  <Pages>13</Pages>
  <Words>5673</Words>
  <Characters>32340</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Coleg Sir Gar</Company>
  <LinksUpToDate>false</LinksUpToDate>
  <CharactersWithSpaces>37938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davidjo1</dc:creator>
  <cp:keywords/>
  <dc:description/>
  <cp:lastModifiedBy>davidjo1</cp:lastModifiedBy>
  <cp:revision>99</cp:revision>
  <dcterms:created xsi:type="dcterms:W3CDTF">2026-08-17T13:13:00Z</dcterms:created>
  <dcterms:modified xsi:type="dcterms:W3CDTF">2026-08-24T14:28:00Z</dcterms:modified>
</cp:coreProperties>
</file>