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92FA8" w14:textId="71A121D5" w:rsidR="003D31A9" w:rsidRDefault="003D31A9" w:rsidP="00B942B3">
      <w:pPr>
        <w:jc w:val="center"/>
        <w:rPr>
          <w:rFonts w:cs="Times New Roman"/>
          <w:b/>
          <w:bCs/>
          <w:sz w:val="28"/>
          <w:szCs w:val="24"/>
        </w:rPr>
      </w:pPr>
      <w:r>
        <w:rPr>
          <w:rFonts w:cs="Times New Roman"/>
          <w:b/>
          <w:bCs/>
          <w:sz w:val="28"/>
          <w:szCs w:val="24"/>
        </w:rPr>
        <w:t xml:space="preserve">YEMISI ADESUYAN </w:t>
      </w:r>
      <w:r w:rsidR="00BE2DB7">
        <w:rPr>
          <w:rFonts w:cs="Times New Roman"/>
          <w:b/>
          <w:bCs/>
          <w:sz w:val="28"/>
          <w:szCs w:val="24"/>
        </w:rPr>
        <w:t xml:space="preserve">STUDENT </w:t>
      </w:r>
      <w:r w:rsidR="002A6B07">
        <w:rPr>
          <w:rFonts w:cs="Times New Roman"/>
          <w:b/>
          <w:bCs/>
          <w:sz w:val="28"/>
          <w:szCs w:val="24"/>
        </w:rPr>
        <w:t>NO 2104115</w:t>
      </w:r>
    </w:p>
    <w:p w14:paraId="169FDF43" w14:textId="2E19F92E" w:rsidR="00B942B3" w:rsidRPr="00F81271" w:rsidRDefault="00557DC9" w:rsidP="00B942B3">
      <w:pPr>
        <w:jc w:val="center"/>
        <w:rPr>
          <w:rFonts w:cs="Times New Roman"/>
          <w:b/>
          <w:bCs/>
          <w:sz w:val="28"/>
          <w:szCs w:val="24"/>
        </w:rPr>
      </w:pPr>
      <w:r w:rsidRPr="00F81271">
        <w:rPr>
          <w:rFonts w:cs="Times New Roman"/>
          <w:b/>
          <w:bCs/>
          <w:sz w:val="28"/>
          <w:szCs w:val="24"/>
        </w:rPr>
        <w:t>The Wellbeing of Future Generations Act in Wales: A Critical Examination of Progress towards Health, Wellbeing and Sustainable Development Goals</w:t>
      </w:r>
    </w:p>
    <w:p w14:paraId="0E44CE28" w14:textId="77777777" w:rsidR="00B942B3" w:rsidRPr="00F81271" w:rsidRDefault="00557DC9" w:rsidP="00A52D9D">
      <w:pPr>
        <w:pStyle w:val="Heading1"/>
        <w:numPr>
          <w:ilvl w:val="0"/>
          <w:numId w:val="0"/>
        </w:numPr>
        <w:rPr>
          <w:rFonts w:cs="Times New Roman"/>
        </w:rPr>
      </w:pPr>
      <w:r w:rsidRPr="00F81271">
        <w:rPr>
          <w:rFonts w:cs="Times New Roman"/>
        </w:rPr>
        <w:t>Introduction</w:t>
      </w:r>
    </w:p>
    <w:p w14:paraId="6A0EDE82" w14:textId="22DAFB53" w:rsidR="00B942B3" w:rsidRPr="00F81271" w:rsidRDefault="00557DC9" w:rsidP="00B942B3">
      <w:pPr>
        <w:rPr>
          <w:rFonts w:cs="Times New Roman"/>
        </w:rPr>
      </w:pPr>
      <w:r w:rsidRPr="00F81271">
        <w:rPr>
          <w:rFonts w:cs="Times New Roman"/>
        </w:rPr>
        <w:t>The United Kingdom, including Wales, has pledged to promote health, wellbeing, and sustainable development in line with the United Nations Sustainable Development Goals (SDGs) and its worldwide objectives by 2030</w:t>
      </w:r>
      <w:r w:rsidR="00661F3D">
        <w:rPr>
          <w:rFonts w:cs="Times New Roman"/>
        </w:rPr>
        <w:t xml:space="preserve"> (</w:t>
      </w:r>
      <w:r w:rsidR="00C74429" w:rsidRPr="00C74429">
        <w:rPr>
          <w:rFonts w:cs="Times New Roman"/>
        </w:rPr>
        <w:t>Well-being, Wales</w:t>
      </w:r>
      <w:r w:rsidR="00661F3D">
        <w:rPr>
          <w:rFonts w:cs="Times New Roman"/>
        </w:rPr>
        <w:t>, 201</w:t>
      </w:r>
      <w:r w:rsidR="00C74429">
        <w:rPr>
          <w:rFonts w:cs="Times New Roman"/>
        </w:rPr>
        <w:t>6</w:t>
      </w:r>
      <w:r w:rsidR="00F05126">
        <w:rPr>
          <w:rFonts w:cs="Times New Roman"/>
        </w:rPr>
        <w:t>)</w:t>
      </w:r>
      <w:r w:rsidRPr="00F81271">
        <w:rPr>
          <w:rFonts w:cs="Times New Roman"/>
        </w:rPr>
        <w:t xml:space="preserve">. The Wellbeing of Future Generations Act in Wales is a significant legislative project that has emerged amid ongoing difficulties presented by the pandemic, climate change, and economic considerations. This essay thoroughly analyses the Act, evaluating its efficacy in promoting health, wellbeing, and sustainable development.   This essay </w:t>
      </w:r>
      <w:r w:rsidR="0046413E">
        <w:rPr>
          <w:rFonts w:cs="Times New Roman"/>
        </w:rPr>
        <w:t xml:space="preserve">also </w:t>
      </w:r>
      <w:r w:rsidRPr="00F81271">
        <w:rPr>
          <w:rFonts w:cs="Times New Roman"/>
        </w:rPr>
        <w:t xml:space="preserve">examines Wales's initiatives supporting health, wellbeing and sustainable </w:t>
      </w:r>
      <w:r w:rsidR="00A21C43">
        <w:rPr>
          <w:rFonts w:cs="Times New Roman"/>
        </w:rPr>
        <w:t>growth</w:t>
      </w:r>
      <w:r w:rsidRPr="00F81271">
        <w:rPr>
          <w:rFonts w:cs="Times New Roman"/>
        </w:rPr>
        <w:t>.</w:t>
      </w:r>
      <w:r w:rsidR="0046413E">
        <w:rPr>
          <w:rFonts w:cs="Times New Roman"/>
        </w:rPr>
        <w:t xml:space="preserve"> </w:t>
      </w:r>
      <w:r w:rsidRPr="00F81271">
        <w:rPr>
          <w:rFonts w:cs="Times New Roman"/>
        </w:rPr>
        <w:t xml:space="preserve">Furthermore, the roles of the public service boards and the local authorities in supporting these initiatives and Acts are also discussed. Lastly, the progress of the Wellbeing of the </w:t>
      </w:r>
      <w:proofErr w:type="spellStart"/>
      <w:r w:rsidRPr="00F81271">
        <w:rPr>
          <w:rFonts w:cs="Times New Roman"/>
        </w:rPr>
        <w:t>Fure</w:t>
      </w:r>
      <w:proofErr w:type="spellEnd"/>
      <w:r w:rsidRPr="00F81271">
        <w:rPr>
          <w:rFonts w:cs="Times New Roman"/>
        </w:rPr>
        <w:t xml:space="preserve"> Act is critiqued. This clarifies the Act's critical role in guiding the path towards a healthier, more resilient, and sustainable Wales for both present and future generations.</w:t>
      </w:r>
    </w:p>
    <w:p w14:paraId="577B0BC6" w14:textId="77777777" w:rsidR="00B942B3" w:rsidRPr="00F81271" w:rsidRDefault="00557DC9" w:rsidP="001B7319">
      <w:pPr>
        <w:pStyle w:val="Heading1"/>
        <w:numPr>
          <w:ilvl w:val="0"/>
          <w:numId w:val="0"/>
        </w:numPr>
        <w:rPr>
          <w:rFonts w:cs="Times New Roman"/>
        </w:rPr>
      </w:pPr>
      <w:r w:rsidRPr="00F81271">
        <w:rPr>
          <w:rFonts w:cs="Times New Roman"/>
        </w:rPr>
        <w:t>Overview of the Wellbeing of Future Generations Act</w:t>
      </w:r>
    </w:p>
    <w:p w14:paraId="7AA44EF6" w14:textId="18BC95D3" w:rsidR="00A30737" w:rsidRPr="00A30737" w:rsidRDefault="00A30737" w:rsidP="00A30737">
      <w:pPr>
        <w:rPr>
          <w:rFonts w:cs="Times New Roman"/>
        </w:rPr>
      </w:pPr>
      <w:r w:rsidRPr="00A30737">
        <w:rPr>
          <w:rFonts w:cs="Times New Roman"/>
        </w:rPr>
        <w:t xml:space="preserve">The Well-being of Future Generations Act in Wales is a legal structure promoting sustainable economic, societal, environmental, and cultural development. Sustainable development, as outlined in the legislation, entails enhancing the general welfare of Wales via endeavours that adhere to the idea of sustainable development. Public entities are obligated under the Act to fulfil a responsibility </w:t>
      </w:r>
      <w:r w:rsidR="003348F5">
        <w:rPr>
          <w:rFonts w:cs="Times New Roman"/>
        </w:rPr>
        <w:t>for</w:t>
      </w:r>
      <w:r w:rsidRPr="00A30737">
        <w:rPr>
          <w:rFonts w:cs="Times New Roman"/>
        </w:rPr>
        <w:t xml:space="preserve"> well-being, which entails establishing and publishing sustainable development goals</w:t>
      </w:r>
      <w:r w:rsidR="00612762">
        <w:rPr>
          <w:rFonts w:cs="Times New Roman"/>
        </w:rPr>
        <w:t xml:space="preserve"> (</w:t>
      </w:r>
      <w:r w:rsidR="00612762" w:rsidRPr="00C74429">
        <w:rPr>
          <w:rFonts w:cs="Times New Roman"/>
        </w:rPr>
        <w:t>Well-being, Wales</w:t>
      </w:r>
      <w:r w:rsidR="00612762">
        <w:rPr>
          <w:rFonts w:cs="Times New Roman"/>
        </w:rPr>
        <w:t>, 2016)</w:t>
      </w:r>
      <w:r w:rsidRPr="00A30737">
        <w:rPr>
          <w:rFonts w:cs="Times New Roman"/>
        </w:rPr>
        <w:t>. The objectives must delineate how public entities will contribute to promoting well-being and undertake practical measures to attain them.</w:t>
      </w:r>
    </w:p>
    <w:p w14:paraId="2A0D9738" w14:textId="14A91C92" w:rsidR="008D272D" w:rsidRDefault="00A30737" w:rsidP="00A30737">
      <w:r w:rsidRPr="00A30737">
        <w:rPr>
          <w:rFonts w:cs="Times New Roman"/>
        </w:rPr>
        <w:t xml:space="preserve">The notion of sustainable development underscores the need to satisfy current demands while safeguarding the capacity of future generations to fulfil their own needs. Public entities are led by five fundamental factors: cooperation, integration, engagement, long-term planning, and prevention. Collaboration is the Act of working together with others </w:t>
      </w:r>
      <w:r w:rsidR="00FE2B8D">
        <w:rPr>
          <w:rFonts w:cs="Times New Roman"/>
        </w:rPr>
        <w:t>to</w:t>
      </w:r>
      <w:r w:rsidRPr="00A30737">
        <w:rPr>
          <w:rFonts w:cs="Times New Roman"/>
        </w:rPr>
        <w:t xml:space="preserve"> achieve specific objectives. Integration includes evaluating the effects on well-being goals. Involvement focuses on actively involving a wide range of stakeholders. Long-term thinking aims to strike a balance between immediate demands and future requirements. Lastly, emphasising prevention underscores the need to take proactive measures to achieve well-being goals successfully. Adhering to these principles may enhance decision-making, prevent the repetition of previous errors, and tackle long-term difficulties, aligning with the Act's goal for a sustainable and prosperous Wales</w:t>
      </w:r>
      <w:r>
        <w:t xml:space="preserve">. </w:t>
      </w:r>
    </w:p>
    <w:p w14:paraId="7A908324" w14:textId="3086BCF3" w:rsidR="00692478" w:rsidRDefault="00692478" w:rsidP="00692478">
      <w:r>
        <w:t xml:space="preserve">The Well-being of Future Generations Act in Wales includes procedures for evaluating and disclosing advancements, guaranteeing responsibility and openness in </w:t>
      </w:r>
      <w:r w:rsidR="00634493">
        <w:t>pursuing</w:t>
      </w:r>
      <w:r>
        <w:t xml:space="preserve"> well-being objectives. The following are essential elements:</w:t>
      </w:r>
    </w:p>
    <w:p w14:paraId="54067282" w14:textId="0CD5A571" w:rsidR="00692478" w:rsidRDefault="00692478" w:rsidP="00832A47">
      <w:pPr>
        <w:pStyle w:val="Heading2"/>
      </w:pPr>
      <w:r>
        <w:t>National Indicators and Milestones:</w:t>
      </w:r>
    </w:p>
    <w:p w14:paraId="6A2D73C5" w14:textId="6F53E239" w:rsidR="00692478" w:rsidRDefault="00692478" w:rsidP="00692478">
      <w:r>
        <w:t xml:space="preserve">Welsh Ministers must establish national indicators, quantifiable values or attributes associated with </w:t>
      </w:r>
      <w:r w:rsidR="00634493">
        <w:t>specific</w:t>
      </w:r>
      <w:r>
        <w:t xml:space="preserve"> results.</w:t>
      </w:r>
      <w:r w:rsidR="00832A47">
        <w:t xml:space="preserve"> </w:t>
      </w:r>
      <w:r>
        <w:t xml:space="preserve">Indicators may be assessed </w:t>
      </w:r>
      <w:r w:rsidR="00241B8E">
        <w:t xml:space="preserve">statistically or qualitatively over a particular timeframe and can be relevant to </w:t>
      </w:r>
      <w:r>
        <w:t>Wales as a whole or its components.</w:t>
      </w:r>
      <w:r w:rsidR="00832A47">
        <w:t xml:space="preserve"> The p</w:t>
      </w:r>
      <w:r>
        <w:t>eriodic evaluations and modifications of indicators and milestones are permitted to ensure their continued relevance.</w:t>
      </w:r>
    </w:p>
    <w:p w14:paraId="1B7BE31A" w14:textId="621A4DBC" w:rsidR="00692478" w:rsidRDefault="00E56DCE" w:rsidP="00692478">
      <w:r>
        <w:t>Furthermore, t</w:t>
      </w:r>
      <w:r w:rsidR="00692478">
        <w:t xml:space="preserve">he Act incorporates the sustainable development concept, which prioritises decision-making that fulfils current requirements while safeguarding the capacity of future generations to </w:t>
      </w:r>
      <w:r w:rsidR="00634493">
        <w:t>meet</w:t>
      </w:r>
      <w:r w:rsidR="00692478">
        <w:t xml:space="preserve"> their own needs.</w:t>
      </w:r>
      <w:r w:rsidR="003A3116">
        <w:t xml:space="preserve"> </w:t>
      </w:r>
      <w:r w:rsidR="00692478">
        <w:t xml:space="preserve">Public entities </w:t>
      </w:r>
      <w:r w:rsidR="00634493">
        <w:t>must</w:t>
      </w:r>
      <w:r w:rsidR="00692478">
        <w:t xml:space="preserve"> </w:t>
      </w:r>
      <w:r>
        <w:t>consider</w:t>
      </w:r>
      <w:r w:rsidR="00692478">
        <w:t xml:space="preserve"> the long-term consequences, proactively implement measures to avert issues, include well-being goals, cooperate with other entities, and </w:t>
      </w:r>
      <w:r w:rsidR="00634493">
        <w:t>have</w:t>
      </w:r>
      <w:r w:rsidR="00692478">
        <w:t xml:space="preserve"> a wide range of stakeholders.</w:t>
      </w:r>
    </w:p>
    <w:p w14:paraId="5160836B" w14:textId="26250369" w:rsidR="003A6237" w:rsidRDefault="00821414" w:rsidP="00692478">
      <w:r>
        <w:t xml:space="preserve">To </w:t>
      </w:r>
      <w:r w:rsidR="00692478">
        <w:t>ensure transparency</w:t>
      </w:r>
      <w:r w:rsidR="00634493">
        <w:t>,</w:t>
      </w:r>
      <w:r w:rsidR="003A6237">
        <w:t xml:space="preserve"> these measures have been implemented:</w:t>
      </w:r>
    </w:p>
    <w:p w14:paraId="629C77D3" w14:textId="26358C4B" w:rsidR="00692478" w:rsidRDefault="00692478" w:rsidP="00692478">
      <w:r w:rsidRPr="003A6237">
        <w:rPr>
          <w:b/>
          <w:bCs/>
        </w:rPr>
        <w:t>Requirement for well-being statements:</w:t>
      </w:r>
      <w:r>
        <w:t xml:space="preserve"> Public entities </w:t>
      </w:r>
      <w:r w:rsidR="003348F5">
        <w:t>must</w:t>
      </w:r>
      <w:r>
        <w:t xml:space="preserve"> disclose statements when establishing well-being objectives, elucidating the alignment between objectives and aims, </w:t>
      </w:r>
      <w:r w:rsidR="00634493">
        <w:t>and applying</w:t>
      </w:r>
      <w:r>
        <w:t xml:space="preserve"> the sustainable development concept.</w:t>
      </w:r>
    </w:p>
    <w:p w14:paraId="27ADCB65" w14:textId="007143AC" w:rsidR="00692478" w:rsidRDefault="003A6237" w:rsidP="00692478">
      <w:r w:rsidRPr="003A6237">
        <w:rPr>
          <w:b/>
          <w:bCs/>
        </w:rPr>
        <w:t>Y</w:t>
      </w:r>
      <w:r w:rsidR="00692478" w:rsidRPr="003A6237">
        <w:rPr>
          <w:b/>
          <w:bCs/>
        </w:rPr>
        <w:t>early reporting:</w:t>
      </w:r>
      <w:r w:rsidR="00692478">
        <w:t xml:space="preserve"> Public entities </w:t>
      </w:r>
      <w:r w:rsidR="00634493">
        <w:t>must issue annual reports detailing</w:t>
      </w:r>
      <w:r w:rsidR="00692478">
        <w:t xml:space="preserve"> the advancements achieved in achieving their well-being goals.</w:t>
      </w:r>
    </w:p>
    <w:p w14:paraId="412B75AA" w14:textId="211595DC" w:rsidR="00692478" w:rsidRDefault="00692478" w:rsidP="00692478">
      <w:r>
        <w:t>These measures guarantee that public entities comply with sustainable development, engage stakeholders, and openly disclose their progress in attaining the well-being objectives specified in the legislation.</w:t>
      </w:r>
    </w:p>
    <w:p w14:paraId="72ACA9FE" w14:textId="77777777" w:rsidR="00AD10E0" w:rsidRPr="00F81271" w:rsidRDefault="00557DC9" w:rsidP="00AD10E0">
      <w:pPr>
        <w:pStyle w:val="Heading2"/>
      </w:pPr>
      <w:r w:rsidRPr="00F81271">
        <w:t xml:space="preserve">An assessment of the Wellbeing of Future Generations Act's influence on health, wellbeing, and sustainable development in Wales. </w:t>
      </w:r>
    </w:p>
    <w:p w14:paraId="65026238" w14:textId="77777777" w:rsidR="00AD10E0" w:rsidRPr="00F81271" w:rsidRDefault="00557DC9" w:rsidP="00AD10E0">
      <w:pPr>
        <w:rPr>
          <w:rFonts w:cs="Times New Roman"/>
        </w:rPr>
      </w:pPr>
      <w:r w:rsidRPr="00F81271">
        <w:rPr>
          <w:rFonts w:cs="Times New Roman"/>
        </w:rPr>
        <w:t xml:space="preserve">The Wellness of Future Generations Act in Wales, implemented in 2015, signifies a </w:t>
      </w:r>
      <w:proofErr w:type="spellStart"/>
      <w:r w:rsidRPr="00F81271">
        <w:rPr>
          <w:rFonts w:cs="Times New Roman"/>
        </w:rPr>
        <w:t>groundbreaking</w:t>
      </w:r>
      <w:proofErr w:type="spellEnd"/>
      <w:r w:rsidRPr="00F81271">
        <w:rPr>
          <w:rFonts w:cs="Times New Roman"/>
        </w:rPr>
        <w:t xml:space="preserve"> effort to include health, wellness, and sustainable development into legal frameworks.   Nevertheless, a thorough analysis uncovers both advantages and difficulties in its influence on the population of Wales. </w:t>
      </w:r>
    </w:p>
    <w:p w14:paraId="277EDC61" w14:textId="0DDDAD5B" w:rsidR="00AD10E0" w:rsidRPr="00F81271" w:rsidRDefault="00557DC9" w:rsidP="00AD10E0">
      <w:pPr>
        <w:pStyle w:val="Heading2"/>
      </w:pPr>
      <w:r w:rsidRPr="00F81271">
        <w:t xml:space="preserve">Benefits of the Act: </w:t>
      </w:r>
    </w:p>
    <w:p w14:paraId="48D94D81" w14:textId="55F417A1" w:rsidR="00AD10E0" w:rsidRPr="00F81271" w:rsidRDefault="00557DC9" w:rsidP="00AD10E0">
      <w:pPr>
        <w:rPr>
          <w:rFonts w:cs="Times New Roman"/>
        </w:rPr>
      </w:pPr>
      <w:r w:rsidRPr="00F81271">
        <w:rPr>
          <w:rFonts w:cs="Times New Roman"/>
        </w:rPr>
        <w:t xml:space="preserve">The Act's remarkable strength lies in its comprehensive approach, shown by the seven wellness targets. The Act acknowledges economic, environmental, social, and cultural interdependence and strives for a holistic enhancement of residents' </w:t>
      </w:r>
      <w:r w:rsidR="00634493">
        <w:rPr>
          <w:rFonts w:cs="Times New Roman"/>
        </w:rPr>
        <w:t>well-being</w:t>
      </w:r>
      <w:r w:rsidRPr="00F81271">
        <w:rPr>
          <w:rFonts w:cs="Times New Roman"/>
        </w:rPr>
        <w:t xml:space="preserve">. The Act prioritises sustainable development, recognising the need to incorporate long-term environmental and social factors.   The commitment is of utmost importance considering global concerns like climate change, and the Act establishes Wales as a frontrunner in developing sustainable policies. </w:t>
      </w:r>
    </w:p>
    <w:p w14:paraId="537F26A7" w14:textId="77777777" w:rsidR="00AD10E0" w:rsidRPr="00F81271" w:rsidRDefault="00557DC9" w:rsidP="00AD10E0">
      <w:pPr>
        <w:rPr>
          <w:rFonts w:cs="Times New Roman"/>
        </w:rPr>
      </w:pPr>
      <w:r w:rsidRPr="00F81271">
        <w:rPr>
          <w:rFonts w:cs="Times New Roman"/>
        </w:rPr>
        <w:t xml:space="preserve">Furthermore, The Act promotes community involvement and active participation by fostering unity and cohesion. By empowering local citizens, they may develop a strong feeling of ownership over choices that impact their welfare, thus promoting social cohesion. </w:t>
      </w:r>
    </w:p>
    <w:p w14:paraId="4FFAB7DF" w14:textId="65E5B550" w:rsidR="00AD10E0" w:rsidRPr="00F81271" w:rsidRDefault="00557DC9" w:rsidP="00AD10E0">
      <w:pPr>
        <w:pStyle w:val="Heading2"/>
      </w:pPr>
      <w:r w:rsidRPr="00F81271">
        <w:t xml:space="preserve">Limitations of the Act: </w:t>
      </w:r>
    </w:p>
    <w:p w14:paraId="606CD2BB" w14:textId="77777777" w:rsidR="00AD10E0" w:rsidRPr="00F81271" w:rsidRDefault="00557DC9" w:rsidP="00AD10E0">
      <w:pPr>
        <w:rPr>
          <w:rFonts w:cs="Times New Roman"/>
        </w:rPr>
      </w:pPr>
      <w:r w:rsidRPr="00F81271">
        <w:rPr>
          <w:rFonts w:cs="Times New Roman"/>
        </w:rPr>
        <w:t xml:space="preserve">Although the Act sets out high objectives, converting these ambitions into concrete results encounters difficulties in execution. Some goals need more precise and quantifiable benchmarks, impeding the appropriate evaluation of progress. </w:t>
      </w:r>
    </w:p>
    <w:p w14:paraId="49DD3F47" w14:textId="77777777" w:rsidR="00AD10E0" w:rsidRPr="00F81271" w:rsidRDefault="00557DC9" w:rsidP="00AD10E0">
      <w:pPr>
        <w:rPr>
          <w:rFonts w:cs="Times New Roman"/>
        </w:rPr>
      </w:pPr>
      <w:r w:rsidRPr="00F81271">
        <w:rPr>
          <w:rFonts w:cs="Times New Roman"/>
        </w:rPr>
        <w:t xml:space="preserve">In addition, the effectiveness of the Act is closely tied to the sufficient allocation of resources.   The execution of projects, particularly at the local level, may be hindered by financial limitations and conflicting agendas. Therefore, securing enough resources and implementing effective finance systems are essential for implementing the Act. </w:t>
      </w:r>
    </w:p>
    <w:p w14:paraId="47D15D7C" w14:textId="2A00D21D" w:rsidR="00AD10E0" w:rsidRPr="00F81271" w:rsidRDefault="00557DC9" w:rsidP="00AD10E0">
      <w:pPr>
        <w:rPr>
          <w:rFonts w:cs="Times New Roman"/>
        </w:rPr>
      </w:pPr>
      <w:r w:rsidRPr="00F81271">
        <w:rPr>
          <w:rFonts w:cs="Times New Roman"/>
        </w:rPr>
        <w:t xml:space="preserve">Lastly, it is not easy to quantify the effects of the Act on health, welfare, and sustainable development completely. The indicators could not fully include the intricacy of </w:t>
      </w:r>
      <w:r w:rsidR="00011D48" w:rsidRPr="00F81271">
        <w:rPr>
          <w:rFonts w:cs="Times New Roman"/>
        </w:rPr>
        <w:t>outcomes</w:t>
      </w:r>
      <w:r w:rsidRPr="00F81271">
        <w:rPr>
          <w:rFonts w:cs="Times New Roman"/>
        </w:rPr>
        <w:t xml:space="preserve">, and there can be a want for continuous improvement and adjustment of measurements to provide a more precise representation of development. </w:t>
      </w:r>
    </w:p>
    <w:p w14:paraId="45FC3DF4" w14:textId="50443F17" w:rsidR="00AD10E0" w:rsidRPr="00CD07CE" w:rsidRDefault="00557DC9" w:rsidP="00AD10E0">
      <w:r w:rsidRPr="00F81271">
        <w:rPr>
          <w:rFonts w:cs="Times New Roman"/>
        </w:rPr>
        <w:t>Wales's Wellbeing of Future Generations Act exemplifies a dedication to comprehensive, enduring progress</w:t>
      </w:r>
      <w:r w:rsidR="00605033">
        <w:rPr>
          <w:rFonts w:cs="Times New Roman"/>
        </w:rPr>
        <w:t xml:space="preserve"> </w:t>
      </w:r>
      <w:r w:rsidR="00605033">
        <w:t>(</w:t>
      </w:r>
      <w:proofErr w:type="spellStart"/>
      <w:r w:rsidR="00605033" w:rsidRPr="005C1B5F">
        <w:t>Nesom</w:t>
      </w:r>
      <w:proofErr w:type="spellEnd"/>
      <w:r w:rsidR="00605033">
        <w:t xml:space="preserve"> </w:t>
      </w:r>
      <w:r w:rsidR="00605033" w:rsidRPr="005C1B5F">
        <w:t xml:space="preserve">&amp; </w:t>
      </w:r>
      <w:proofErr w:type="spellStart"/>
      <w:r w:rsidR="00605033" w:rsidRPr="005C1B5F">
        <w:t>MacKillop</w:t>
      </w:r>
      <w:proofErr w:type="spellEnd"/>
      <w:r w:rsidR="00605033" w:rsidRPr="005C1B5F">
        <w:t>, 2021)</w:t>
      </w:r>
      <w:r w:rsidRPr="00F81271">
        <w:rPr>
          <w:rFonts w:cs="Times New Roman"/>
        </w:rPr>
        <w:t>.  Although there are apparent beneficial effects, implementing, allocating resources, and measuring outcomes present continual obstacles that need continuous examination and adjustment. To fully realise the Act's potential in supporting the health, welfare, and sustainable development of the people of Wales, it is necessary to strengthen cooperation between Public Service Boards (PSBs) and Local Authorities (LAs), enhance community participation, and address the external issue.</w:t>
      </w:r>
    </w:p>
    <w:p w14:paraId="2859DF56" w14:textId="77777777" w:rsidR="00B942B3" w:rsidRPr="00F81271" w:rsidRDefault="00557DC9" w:rsidP="001B7319">
      <w:pPr>
        <w:pStyle w:val="Heading1"/>
        <w:numPr>
          <w:ilvl w:val="0"/>
          <w:numId w:val="0"/>
        </w:numPr>
        <w:ind w:left="720" w:hanging="360"/>
        <w:rPr>
          <w:rFonts w:cs="Times New Roman"/>
        </w:rPr>
      </w:pPr>
      <w:r w:rsidRPr="00F81271">
        <w:rPr>
          <w:rFonts w:cs="Times New Roman"/>
        </w:rPr>
        <w:t>A Critical Assessment of the Seven wellbeing Goals and its National Indicators</w:t>
      </w:r>
    </w:p>
    <w:p w14:paraId="1AD9BC0A" w14:textId="1D1A053A" w:rsidR="00B942B3" w:rsidRPr="00F81271" w:rsidRDefault="00557DC9" w:rsidP="00B942B3">
      <w:pPr>
        <w:rPr>
          <w:rFonts w:cs="Times New Roman"/>
        </w:rPr>
      </w:pPr>
      <w:r w:rsidRPr="00F81271">
        <w:rPr>
          <w:rFonts w:cs="Times New Roman"/>
        </w:rPr>
        <w:t xml:space="preserve">The Wellbeing of Future Generations Act in Wales, implemented in 2015, is an innovative legislative endeavour to incorporate health, </w:t>
      </w:r>
      <w:r w:rsidR="00634493">
        <w:rPr>
          <w:rFonts w:cs="Times New Roman"/>
        </w:rPr>
        <w:t>well-being</w:t>
      </w:r>
      <w:r w:rsidRPr="00F81271">
        <w:rPr>
          <w:rFonts w:cs="Times New Roman"/>
        </w:rPr>
        <w:t>, and sustainable development ideas into creating policies</w:t>
      </w:r>
      <w:r w:rsidR="00BB4A07">
        <w:rPr>
          <w:rFonts w:cs="Times New Roman"/>
        </w:rPr>
        <w:t xml:space="preserve"> (</w:t>
      </w:r>
      <w:r w:rsidR="00BB4A07" w:rsidRPr="00BB4A07">
        <w:rPr>
          <w:rFonts w:cs="Times New Roman"/>
        </w:rPr>
        <w:t>Wales</w:t>
      </w:r>
      <w:r w:rsidR="005E07C6">
        <w:rPr>
          <w:rFonts w:cs="Times New Roman"/>
        </w:rPr>
        <w:t xml:space="preserve"> </w:t>
      </w:r>
      <w:r w:rsidR="00BB4A07" w:rsidRPr="00BB4A07">
        <w:rPr>
          <w:rFonts w:cs="Times New Roman"/>
        </w:rPr>
        <w:t>Act</w:t>
      </w:r>
      <w:r w:rsidR="005E07C6">
        <w:rPr>
          <w:rFonts w:cs="Times New Roman"/>
        </w:rPr>
        <w:t>,</w:t>
      </w:r>
      <w:r w:rsidR="00BB4A07" w:rsidRPr="00BB4A07">
        <w:rPr>
          <w:rFonts w:cs="Times New Roman"/>
        </w:rPr>
        <w:t xml:space="preserve"> 2015</w:t>
      </w:r>
      <w:r w:rsidR="005E07C6">
        <w:rPr>
          <w:rFonts w:cs="Times New Roman"/>
        </w:rPr>
        <w:t>)</w:t>
      </w:r>
      <w:r w:rsidRPr="00F81271">
        <w:rPr>
          <w:rFonts w:cs="Times New Roman"/>
        </w:rPr>
        <w:t xml:space="preserve">.   The foundation of this initiative consists of seven objectives for promoting </w:t>
      </w:r>
      <w:r w:rsidR="00634493">
        <w:rPr>
          <w:rFonts w:cs="Times New Roman"/>
        </w:rPr>
        <w:t>well-being</w:t>
      </w:r>
      <w:r w:rsidRPr="00F81271">
        <w:rPr>
          <w:rFonts w:cs="Times New Roman"/>
        </w:rPr>
        <w:t>, each supported by national indicators designed to direct and assess its progress.</w:t>
      </w:r>
    </w:p>
    <w:p w14:paraId="2E0F7E49" w14:textId="69B2E579" w:rsidR="00B942B3" w:rsidRPr="00F81271" w:rsidRDefault="00542BA4" w:rsidP="00AD10E0">
      <w:pPr>
        <w:pStyle w:val="Heading2"/>
      </w:pPr>
      <w:r w:rsidRPr="00542BA4">
        <w:t>A Prosperous Wales</w:t>
      </w:r>
      <w:r w:rsidR="00557DC9" w:rsidRPr="00F81271">
        <w:t>:</w:t>
      </w:r>
    </w:p>
    <w:p w14:paraId="236C8845" w14:textId="77777777" w:rsidR="00B942B3" w:rsidRPr="00F81271" w:rsidRDefault="00557DC9" w:rsidP="00B942B3">
      <w:pPr>
        <w:rPr>
          <w:rFonts w:cs="Times New Roman"/>
        </w:rPr>
      </w:pPr>
      <w:r w:rsidRPr="00F81271">
        <w:rPr>
          <w:rFonts w:cs="Times New Roman"/>
        </w:rPr>
        <w:t>The aim is a prosperous economy where all citizens can afford decent housing and stable, well-paying jobs. Therefore, its national indicators include Gross Domestic Product (GDP) per capita, Employment and job quality measures, Income distribution and poverty rates. Hence, these indicators will help provide a more comprehensive picture of prosperity considering the social and environmental factors.</w:t>
      </w:r>
    </w:p>
    <w:p w14:paraId="15B47910" w14:textId="77B4561B" w:rsidR="00B942B3" w:rsidRPr="00F81271" w:rsidRDefault="00557DC9" w:rsidP="00AD10E0">
      <w:pPr>
        <w:pStyle w:val="Heading2"/>
      </w:pPr>
      <w:r w:rsidRPr="00F81271">
        <w:t>A Resilient Wales:</w:t>
      </w:r>
    </w:p>
    <w:p w14:paraId="479524EB" w14:textId="77777777" w:rsidR="00B942B3" w:rsidRPr="00F81271" w:rsidRDefault="00557DC9" w:rsidP="00B942B3">
      <w:pPr>
        <w:rPr>
          <w:rFonts w:cs="Times New Roman"/>
        </w:rPr>
      </w:pPr>
      <w:r w:rsidRPr="00F81271">
        <w:rPr>
          <w:rFonts w:cs="Times New Roman"/>
        </w:rPr>
        <w:t>This goal aims to preserve and improve the natural environment so that it is more biodiverse and home to resilient ecosystems facing social, economic, and ecological challenges and can adapt to new circumstances. For instance, the Act may clarify methods for bolstering resilience when considering climate change. Its national indicators are Biodiversity indices and ecosystem health measures, Greenhouse gas emissions and climate change adaptation metrics, and Renewable energy production and consumption. These indicators will ensure regular, up-to-date, and relevant information on new environmental concerns.</w:t>
      </w:r>
    </w:p>
    <w:p w14:paraId="3FB61780" w14:textId="0C558849" w:rsidR="00B942B3" w:rsidRPr="00F81271" w:rsidRDefault="00557DC9" w:rsidP="00AD10E0">
      <w:pPr>
        <w:pStyle w:val="Heading2"/>
      </w:pPr>
      <w:r w:rsidRPr="00F81271">
        <w:t>A Healthier Wales:</w:t>
      </w:r>
    </w:p>
    <w:p w14:paraId="47B051F5" w14:textId="7973912E" w:rsidR="00B942B3" w:rsidRPr="00F81271" w:rsidRDefault="00557DC9" w:rsidP="00B942B3">
      <w:pPr>
        <w:rPr>
          <w:rFonts w:cs="Times New Roman"/>
        </w:rPr>
      </w:pPr>
      <w:r w:rsidRPr="00F81271">
        <w:rPr>
          <w:rFonts w:cs="Times New Roman"/>
        </w:rPr>
        <w:t xml:space="preserve">This Act aims to live in a community where everyone knows how to make intelligent decisions for their health and where people's emotional and physical </w:t>
      </w:r>
      <w:r w:rsidR="00634493">
        <w:rPr>
          <w:rFonts w:cs="Times New Roman"/>
        </w:rPr>
        <w:t>well-being</w:t>
      </w:r>
      <w:r w:rsidRPr="00F81271">
        <w:rPr>
          <w:rFonts w:cs="Times New Roman"/>
        </w:rPr>
        <w:t xml:space="preserve"> is fully supported. On the other hand, the Act may be more explicit about how it deals with socioeconomic determinants of health. Its national indicators are Life expectancy and healthy life expectancy, Rates of mental health issues and their management, and Access to healthcare services and preventive health measures.</w:t>
      </w:r>
    </w:p>
    <w:p w14:paraId="5244F048" w14:textId="6DFED6FF" w:rsidR="00B942B3" w:rsidRPr="00F81271" w:rsidRDefault="001E1267" w:rsidP="00AD10E0">
      <w:pPr>
        <w:pStyle w:val="Heading2"/>
      </w:pPr>
      <w:r w:rsidRPr="001E1267">
        <w:t>A More Equal Wales</w:t>
      </w:r>
      <w:r w:rsidR="00557DC9" w:rsidRPr="00F81271">
        <w:t xml:space="preserve">: </w:t>
      </w:r>
    </w:p>
    <w:p w14:paraId="39C2D08D" w14:textId="77777777" w:rsidR="00B942B3" w:rsidRPr="00F81271" w:rsidRDefault="00557DC9" w:rsidP="00B942B3">
      <w:pPr>
        <w:rPr>
          <w:rFonts w:cs="Times New Roman"/>
        </w:rPr>
      </w:pPr>
      <w:r w:rsidRPr="00F81271">
        <w:rPr>
          <w:rFonts w:cs="Times New Roman"/>
        </w:rPr>
        <w:t xml:space="preserve">The ultimate objective is to establish a society whereby individuals may achieve their maximum capabilities, irrespective of their financial background or other determining circumstances.  </w:t>
      </w:r>
    </w:p>
    <w:p w14:paraId="01C77543" w14:textId="5BF4AF3E" w:rsidR="00B942B3" w:rsidRPr="00F81271" w:rsidRDefault="00557DC9" w:rsidP="00B942B3">
      <w:pPr>
        <w:rPr>
          <w:rFonts w:cs="Times New Roman"/>
        </w:rPr>
      </w:pPr>
      <w:r w:rsidRPr="00F81271">
        <w:rPr>
          <w:rFonts w:cs="Times New Roman"/>
        </w:rPr>
        <w:t xml:space="preserve">Although the Act's acknowledgement of social equality is commendable, it may benefit from offering more targeted solutions to the problem of inequality. In addition, the indicators include Income inequality measures (e.g., Gini coefficient), Educational attainment and access to quality education, and Social mobility indicators. These indicators provide a holistic </w:t>
      </w:r>
      <w:r w:rsidR="003348F5">
        <w:rPr>
          <w:rFonts w:cs="Times New Roman"/>
        </w:rPr>
        <w:t>evaluation of</w:t>
      </w:r>
      <w:r w:rsidRPr="00F81271">
        <w:rPr>
          <w:rFonts w:cs="Times New Roman"/>
        </w:rPr>
        <w:t xml:space="preserve"> social fairness</w:t>
      </w:r>
      <w:r w:rsidR="00D6730A">
        <w:rPr>
          <w:rFonts w:cs="Times New Roman"/>
        </w:rPr>
        <w:t xml:space="preserve"> </w:t>
      </w:r>
      <w:r w:rsidR="00D6730A" w:rsidRPr="00402F33">
        <w:t>(Jones, 2019)</w:t>
      </w:r>
      <w:r w:rsidRPr="00F81271">
        <w:rPr>
          <w:rFonts w:cs="Times New Roman"/>
        </w:rPr>
        <w:t xml:space="preserve">. </w:t>
      </w:r>
    </w:p>
    <w:p w14:paraId="5BEA3C1E" w14:textId="4D6F6AE5" w:rsidR="00B942B3" w:rsidRPr="00F81271" w:rsidRDefault="00557DC9" w:rsidP="00AD10E0">
      <w:pPr>
        <w:pStyle w:val="Heading2"/>
      </w:pPr>
      <w:r w:rsidRPr="00F81271">
        <w:t>A Wales of Cohesive Communities:</w:t>
      </w:r>
    </w:p>
    <w:p w14:paraId="44112E41" w14:textId="77777777" w:rsidR="00B942B3" w:rsidRPr="00F81271" w:rsidRDefault="00557DC9" w:rsidP="00B942B3">
      <w:pPr>
        <w:rPr>
          <w:rFonts w:cs="Times New Roman"/>
        </w:rPr>
      </w:pPr>
      <w:r w:rsidRPr="00F81271">
        <w:rPr>
          <w:rFonts w:cs="Times New Roman"/>
        </w:rPr>
        <w:t xml:space="preserve">Community vitality, security, health, inclusivity, and fairness are the aims of this Act. It would be helpful if the Act included more specific recommendations for strengthening community bonds. Its national indicators are Community engagement and participation rates, social inclusion and integration measures, and Public safety and perceptions of safety. </w:t>
      </w:r>
    </w:p>
    <w:p w14:paraId="62285EE9" w14:textId="3D5C7E3D" w:rsidR="00B942B3" w:rsidRPr="00F81271" w:rsidRDefault="00DF6072" w:rsidP="00AD10E0">
      <w:pPr>
        <w:pStyle w:val="Heading2"/>
      </w:pPr>
      <w:r w:rsidRPr="00DF6072">
        <w:t>A Wales of Vibrant Culture &amp; Thriving Welsh Language</w:t>
      </w:r>
      <w:r w:rsidR="00557DC9" w:rsidRPr="00F81271">
        <w:t>:</w:t>
      </w:r>
    </w:p>
    <w:p w14:paraId="41CDEEAE" w14:textId="3FA46B6E" w:rsidR="00B942B3" w:rsidRPr="00F81271" w:rsidRDefault="00557DC9" w:rsidP="00B942B3">
      <w:pPr>
        <w:rPr>
          <w:rFonts w:cs="Times New Roman"/>
        </w:rPr>
      </w:pPr>
      <w:r w:rsidRPr="00F81271">
        <w:rPr>
          <w:rFonts w:cs="Times New Roman"/>
        </w:rPr>
        <w:t xml:space="preserve">This Act aims to build a community that values and safeguards its Welsh language and culture while promoting and supporting the arts, athletics, and leisure activities. The importance of cultural involvement to health must be acknowledged. On the other hand, the Act might provide more targeted ways to boost cultural life. Its national indicators are Participation in cultural and recreational activities, Preservation of cultural heritage sites, and Usage and promotion of the Welsh language. Thus, the complex cultural contributions to the </w:t>
      </w:r>
      <w:r w:rsidR="00634493">
        <w:rPr>
          <w:rFonts w:cs="Times New Roman"/>
        </w:rPr>
        <w:t>well-being</w:t>
      </w:r>
      <w:r w:rsidRPr="00F81271">
        <w:rPr>
          <w:rFonts w:cs="Times New Roman"/>
        </w:rPr>
        <w:t xml:space="preserve"> of Wale’s residents may be better captured by evaluating the cultural involvement within the indicators.</w:t>
      </w:r>
    </w:p>
    <w:p w14:paraId="144A617B" w14:textId="044B278D" w:rsidR="00B942B3" w:rsidRPr="00F81271" w:rsidRDefault="00557DC9" w:rsidP="00AD10E0">
      <w:pPr>
        <w:pStyle w:val="Heading2"/>
      </w:pPr>
      <w:r w:rsidRPr="00F81271">
        <w:t>A Globally Responsible Wales:</w:t>
      </w:r>
    </w:p>
    <w:p w14:paraId="048A5E1D" w14:textId="071F803A" w:rsidR="00B942B3" w:rsidRPr="00F81271" w:rsidRDefault="00557DC9" w:rsidP="00B942B3">
      <w:pPr>
        <w:rPr>
          <w:rFonts w:cs="Times New Roman"/>
        </w:rPr>
      </w:pPr>
      <w:r w:rsidRPr="00F81271">
        <w:rPr>
          <w:rFonts w:cs="Times New Roman"/>
        </w:rPr>
        <w:t xml:space="preserve">A globally responsible Wales considers the interconnectedness of global and local wellbeing; hence,  it encourages Wales to assess its impact on the worldwide community. Nevertheless, the Act has the potential to provide more precise instructions about Wales's role in promoting global health. The national indicators of this Act are Carbon footprint and ecological footprint measures, </w:t>
      </w:r>
      <w:r w:rsidR="005040AF" w:rsidRPr="00F81271">
        <w:rPr>
          <w:rFonts w:cs="Times New Roman"/>
        </w:rPr>
        <w:t>international</w:t>
      </w:r>
      <w:r w:rsidRPr="00F81271">
        <w:rPr>
          <w:rFonts w:cs="Times New Roman"/>
        </w:rPr>
        <w:t xml:space="preserve"> aid contributions, and Global partnerships and collaborations. The efficacy of the aim might be enhanced by developing more exact measurements within the indicators to evaluate global responsibility.</w:t>
      </w:r>
    </w:p>
    <w:p w14:paraId="52875F6D" w14:textId="66D84FC7" w:rsidR="00CD07CE" w:rsidRDefault="00557DC9" w:rsidP="00CD07CE">
      <w:r w:rsidRPr="00F81271">
        <w:rPr>
          <w:rFonts w:cs="Times New Roman"/>
        </w:rPr>
        <w:t>Hence, the Wellbeing of Future Generations Act in Wales is an admirable attempt to include health, wellbeing, and sustainable development into legislation. However, each of the seven wellbeing objectives might need some refinement. If the Act is to remain relevant and successful in improving the general welfare of the people of Wales, a more nuanced and thorough approach to goal formulation and frequent evaluations of indicators are necessary for addressing the growing problems and objectives in pursuit of a sustainable and prosperous future requires continuous examination and change</w:t>
      </w:r>
      <w:r>
        <w:t xml:space="preserve">.  </w:t>
      </w:r>
    </w:p>
    <w:p w14:paraId="0EE084E0" w14:textId="7F753597" w:rsidR="000E5A69" w:rsidRDefault="00557DC9" w:rsidP="001B7319">
      <w:pPr>
        <w:pStyle w:val="Heading1"/>
        <w:numPr>
          <w:ilvl w:val="0"/>
          <w:numId w:val="0"/>
        </w:numPr>
      </w:pPr>
      <w:r>
        <w:t xml:space="preserve">A </w:t>
      </w:r>
      <w:r w:rsidR="007F1D40">
        <w:t>Critical evaluation of the ‘</w:t>
      </w:r>
      <w:r w:rsidRPr="000E5A69">
        <w:t>Healthier Wales</w:t>
      </w:r>
      <w:r w:rsidR="007F1D40">
        <w:t>’</w:t>
      </w:r>
      <w:r>
        <w:t xml:space="preserve"> goal</w:t>
      </w:r>
      <w:r w:rsidR="00685E34">
        <w:t>.</w:t>
      </w:r>
    </w:p>
    <w:p w14:paraId="71B750DE" w14:textId="230BCEC9" w:rsidR="0075731A" w:rsidRDefault="0075731A" w:rsidP="0075731A">
      <w:r>
        <w:t>A Healthier Wales is a comprehensive and enduring strategy for providing healthcare and social services in Wales</w:t>
      </w:r>
      <w:r w:rsidR="005E07C6">
        <w:t xml:space="preserve"> </w:t>
      </w:r>
      <w:r w:rsidR="005E07C6" w:rsidRPr="005E07C6">
        <w:t>(Wales</w:t>
      </w:r>
      <w:r w:rsidR="005E07C6">
        <w:t xml:space="preserve"> </w:t>
      </w:r>
      <w:r w:rsidR="005E07C6" w:rsidRPr="005E07C6">
        <w:t>Act</w:t>
      </w:r>
      <w:r w:rsidR="005E07C6">
        <w:t>,</w:t>
      </w:r>
      <w:r w:rsidR="005E07C6" w:rsidRPr="005E07C6">
        <w:t xml:space="preserve"> 2015</w:t>
      </w:r>
      <w:r w:rsidR="005E07C6">
        <w:t>)</w:t>
      </w:r>
      <w:r>
        <w:t xml:space="preserve">. The objective is to promote individuals' well-being and autonomy over an extended period. The </w:t>
      </w:r>
      <w:r w:rsidR="003D76C5">
        <w:t>strategies and poli</w:t>
      </w:r>
      <w:r w:rsidR="00F109CA">
        <w:t>cies are discussed.</w:t>
      </w:r>
    </w:p>
    <w:p w14:paraId="65E1C6B6" w14:textId="2BDBCA02" w:rsidR="0075731A" w:rsidRDefault="0075731A" w:rsidP="0075731A">
      <w:r>
        <w:t xml:space="preserve">A Healthier Wales emphasises implementing a comprehensive health and social care approach </w:t>
      </w:r>
      <w:r w:rsidR="00F109CA">
        <w:t>encompassing</w:t>
      </w:r>
      <w:r>
        <w:t xml:space="preserve"> the whole system. Its primary focus is promoting physical and emotional well-being while emphasising illness prevention. This strategy is crucial to address future issues, such as an ageing population and lifestyle changes.</w:t>
      </w:r>
      <w:r w:rsidR="002816F3">
        <w:t xml:space="preserve"> </w:t>
      </w:r>
      <w:r>
        <w:t>The Welsh Government is dedicated to implementing the concept of "health in all policies." This entails considering broader societal and economic factors, such as housing, parenting, education, and employment, to enhance overall health and well-being.</w:t>
      </w:r>
      <w:r w:rsidR="008313EF">
        <w:t xml:space="preserve"> Furthermore, i</w:t>
      </w:r>
      <w:r>
        <w:t xml:space="preserve">mplementing A Healthier Wales includes new </w:t>
      </w:r>
      <w:r w:rsidR="008313EF">
        <w:t>strategies</w:t>
      </w:r>
      <w:r>
        <w:t xml:space="preserve"> to establish resilient communities in Wales</w:t>
      </w:r>
      <w:r w:rsidR="00612762">
        <w:t xml:space="preserve"> </w:t>
      </w:r>
      <w:r w:rsidR="00612762">
        <w:rPr>
          <w:rFonts w:cs="Times New Roman"/>
        </w:rPr>
        <w:t>(</w:t>
      </w:r>
      <w:r w:rsidR="00612762" w:rsidRPr="00C74429">
        <w:rPr>
          <w:rFonts w:cs="Times New Roman"/>
        </w:rPr>
        <w:t>Well-being, Wales</w:t>
      </w:r>
      <w:r w:rsidR="00612762">
        <w:rPr>
          <w:rFonts w:cs="Times New Roman"/>
        </w:rPr>
        <w:t>, 2016)</w:t>
      </w:r>
      <w:r>
        <w:t xml:space="preserve">. These </w:t>
      </w:r>
      <w:r w:rsidR="008313EF">
        <w:t>strategies</w:t>
      </w:r>
      <w:r>
        <w:t xml:space="preserve"> prioritise health disparities, disease prevention, mental well-being, </w:t>
      </w:r>
      <w:r w:rsidR="006F5955">
        <w:t>children</w:t>
      </w:r>
      <w:r>
        <w:t xml:space="preserve"> and youth, and reducing carbon emissions.</w:t>
      </w:r>
    </w:p>
    <w:p w14:paraId="02C4F397" w14:textId="7048F628" w:rsidR="000431F7" w:rsidRDefault="00557DC9" w:rsidP="000431F7">
      <w:r>
        <w:t>In</w:t>
      </w:r>
      <w:r w:rsidR="006F5955">
        <w:t xml:space="preserve"> addition, in </w:t>
      </w:r>
      <w:r w:rsidR="00180689">
        <w:t>pursuing</w:t>
      </w:r>
      <w:r>
        <w:t xml:space="preserve"> a healthier and more well-connected society in Wales, several legal frameworks shape the trajectory of wellbeing initiatives.</w:t>
      </w:r>
    </w:p>
    <w:p w14:paraId="60336C9C" w14:textId="77777777" w:rsidR="00BA6880" w:rsidRDefault="00557DC9" w:rsidP="000431F7">
      <w:r>
        <w:t>The Wellbeing of Future Generations Act envisions an optimised society where physical and mental wellbeing is prioritised, emphasising understanding choices for future health. The Public Health (Wales) Act 2017 targets specific health issues, mandating health impact assessments to create a societal environment that minimises preventable damage. The Active Travel Act 2013 promotes practical walking and cycling, aligning with the goal of a more physically active population. The Social Services and Wellbeing (Wales) Act 2014 obligates entities to promote wellbeing, emphasising collaboration, prevention, and timely assistance. These legislative measures collectively contribute to Wales' commitment to holistic wellbeing.</w:t>
      </w:r>
    </w:p>
    <w:p w14:paraId="38E6F218" w14:textId="03BDE6F1" w:rsidR="00887486" w:rsidRDefault="00557DC9" w:rsidP="000431F7">
      <w:r>
        <w:t>To achieve the wellbeing objective in Wales, facilitators</w:t>
      </w:r>
      <w:r w:rsidRPr="00BA6880">
        <w:t xml:space="preserve"> include transitioning to a Wellness System with coordinated planning, </w:t>
      </w:r>
      <w:r>
        <w:t>emphasising</w:t>
      </w:r>
      <w:r w:rsidRPr="00BA6880">
        <w:t xml:space="preserve"> individual needs to </w:t>
      </w:r>
      <w:r>
        <w:t>personalise</w:t>
      </w:r>
      <w:r w:rsidRPr="00BA6880">
        <w:t xml:space="preserve"> approaches, fostering digital leadership proficiency for technological integration, transitioning public services to community-based models, and cultivating a culture of critical thinking and continuous learning. However, limitations arise from an NHS-centric narrative, lack of clear guidance, potential rivalry in service bidding, limited comprehension of health influencers, and uncertainties in the financial stability of third-sector organisations. Recognising these factors is crucial for policymakers and organisations navigating the intricate landscape of wellbeing optimisation</w:t>
      </w:r>
      <w:r w:rsidRPr="00887486">
        <w:t>.</w:t>
      </w:r>
    </w:p>
    <w:p w14:paraId="487DBE4C" w14:textId="30DA2D2D" w:rsidR="00341AB7" w:rsidRDefault="00557DC9" w:rsidP="00341AB7">
      <w:r>
        <w:t>Therefore, embarking on a journey to foster a healthier Wales, a compassionate nation, a</w:t>
      </w:r>
      <w:r w:rsidR="00CB38FE">
        <w:t>n active nation</w:t>
      </w:r>
      <w:r>
        <w:t>, designing places to support community health, and establishing seamless, preventative organisations for informed health decisions</w:t>
      </w:r>
      <w:r w:rsidR="00CB38FE">
        <w:t xml:space="preserve"> are the </w:t>
      </w:r>
      <w:r w:rsidR="00E2098A">
        <w:t>four</w:t>
      </w:r>
      <w:r w:rsidR="00CB38FE">
        <w:t xml:space="preserve"> </w:t>
      </w:r>
      <w:r w:rsidR="00E2098A">
        <w:t>crucial steps, which are further discussed.</w:t>
      </w:r>
    </w:p>
    <w:p w14:paraId="75B5651A" w14:textId="77777777" w:rsidR="000431F7" w:rsidRDefault="000431F7" w:rsidP="000431F7"/>
    <w:p w14:paraId="483CE093" w14:textId="7EE95148" w:rsidR="000431F7" w:rsidRDefault="00557DC9" w:rsidP="00B20EAB">
      <w:pPr>
        <w:pStyle w:val="Heading2"/>
      </w:pPr>
      <w:r w:rsidRPr="000431F7">
        <w:t>A compassionate nation:</w:t>
      </w:r>
    </w:p>
    <w:p w14:paraId="3FEF34CC" w14:textId="0F003AF7" w:rsidR="000E5A69" w:rsidRDefault="00557DC9" w:rsidP="000E5A69">
      <w:r>
        <w:t>The fundamental tenet of compassion is deeply ingrained in the essence of this endeavour. It entails cultivating a community where individuals are encouraged to comprehend and tackle their mental wellbeing. Initiatives strive to dismantle societal prejudices associated with mental health, fostering an atmosphere where empathy becomes an instinctive reaction to the difficulties experienced by people</w:t>
      </w:r>
      <w:r w:rsidR="00991588">
        <w:t xml:space="preserve"> </w:t>
      </w:r>
      <w:r w:rsidR="00991588" w:rsidRPr="00991588">
        <w:t>(Davies, 2017)</w:t>
      </w:r>
      <w:r w:rsidRPr="00991588">
        <w:t>.</w:t>
      </w:r>
    </w:p>
    <w:p w14:paraId="60CC0DF2" w14:textId="58EF55AF" w:rsidR="00AD6ADA" w:rsidRDefault="000D660A" w:rsidP="00887486">
      <w:r>
        <w:t>Mental health is a concern that affects not just a quarter of the population in Wales but also impacts everyone. The number of youngsters in the UK categorised as handicapped due to mental health concerns has increased by a factor of 35. By the conclusion of 2016, the number of children who were hospitalised due to self-harm had increased by 41% over three years, reaching a total of around 1,200. Over the previous decade, Wales has had the only increase in suicide rates among the nations of the United Kingdom</w:t>
      </w:r>
      <w:r w:rsidR="00D6730A">
        <w:t xml:space="preserve"> </w:t>
      </w:r>
      <w:r w:rsidR="00D6730A" w:rsidRPr="00402F33">
        <w:t>(Jones, 2019)</w:t>
      </w:r>
      <w:r>
        <w:t xml:space="preserve">. </w:t>
      </w:r>
    </w:p>
    <w:p w14:paraId="0FDF3C8A" w14:textId="692C3A78" w:rsidR="00887486" w:rsidRDefault="00557DC9" w:rsidP="00887486">
      <w:r>
        <w:t>The causes for these increases are twofold: 1) A growth in disparity between individuals, and 2) heightened degrees of destitution (including poverty experienced by employed and economic-related suffering) and diminished communal assets. The association between poverty, inequality, and mental health challenges is well-established and supported by extensive data, as acknowledged by the World Health Organisation. An individual's potential for optimal health, including both bodily and mental wellbeing, originates far before their want for medical assistance. This entails tackling the broader factors that influence health and ensuring that the general population's wellbeing is not just the duty of our healthcare and social welfare system but the obligation of the whole society. In addition to addressing the broader factors that influence health, developing our capacity for compassion and reflection can enhance our overall wellbeing and foster a more incredible feeling of belonging, togetherness, and coherence.   Compassion is awareness of suffering in oneself and others, accompanied by a solid dedication to relieve and avoid it. It is regarded as one of human history's most significant proclamations of fortitude and bravery. Reflective capacity refers to our cognitive ability to comprehend and interpret our own and others' intentional mental states, including emotions, wants, aspirations, objectives, and attitudes. Proficiency in navigating the social realm and comprehending both our internal sensations</w:t>
      </w:r>
    </w:p>
    <w:p w14:paraId="56C95A23" w14:textId="6E84FFC3" w:rsidR="000E5A69" w:rsidRDefault="00557DC9" w:rsidP="00B20EAB">
      <w:pPr>
        <w:pStyle w:val="Heading2"/>
      </w:pPr>
      <w:r w:rsidRPr="000431F7">
        <w:t>An active nation</w:t>
      </w:r>
    </w:p>
    <w:p w14:paraId="149FFACD" w14:textId="5F7DC994" w:rsidR="000E5A69" w:rsidRDefault="00557DC9" w:rsidP="000E5A69">
      <w:r>
        <w:t xml:space="preserve">Wales is dedicated to being an active country </w:t>
      </w:r>
      <w:r w:rsidR="000431F7">
        <w:t xml:space="preserve">and </w:t>
      </w:r>
      <w:r>
        <w:t xml:space="preserve">promoting mental wellbeing. This is a deliberate endeavour to enhance the advantages of engaging in physical activity for all individuals. The trip aims to encourage a physically active lifestyle </w:t>
      </w:r>
      <w:r w:rsidR="000431F7">
        <w:t>to benefit</w:t>
      </w:r>
      <w:r>
        <w:t xml:space="preserve"> both physical health and emotional wellbeing.</w:t>
      </w:r>
    </w:p>
    <w:p w14:paraId="1F76CE22" w14:textId="16504E5B" w:rsidR="00887486" w:rsidRDefault="00557DC9" w:rsidP="00887486">
      <w:r w:rsidRPr="00B64C12">
        <w:t>Public Health Wales reports that mental illness incurs a financial burden of £7 billion annually on Welsh society. Life expectancy in Wales (and the UK) has declined since 2010, marking the first fall in many decades. The disparity in life expectancy between the most and least poor areas in Wales is significant, with an 8-year difference in total life expectancy and an 18-year difference in healthy life expectancy. Implementing preventive measures, including all policies and sectors, will enhance wellbeing and reduce mortality</w:t>
      </w:r>
      <w:r w:rsidR="00954D44">
        <w:t xml:space="preserve"> </w:t>
      </w:r>
      <w:r w:rsidR="00954D44" w:rsidRPr="00FB061F">
        <w:t>(Davies, 2016)</w:t>
      </w:r>
      <w:r w:rsidRPr="00B64C12">
        <w:t>. An optimal society is not passive in addressing health issues but recognises the influence of social, cultural, political, economic, commercial, and environmental elements on health. It takes proactive measures to address these determinants of health for both present and future generations. The objective of achieving a healthier Wales entails adopting strategies that include the broader factors influencing health when making policy and investment choices across all industries. Health is not binary; it does not exist just in the states of having or not having it. Instead, it pertains to varying levels of wellbeing involving several resources, assets, strengths, hazards, and diseases. Acknowledging that the Welsh Government makes substantial investments in the NHS in Wales is crucial. Therefore, efforts have been made to reorient the system accordingly.</w:t>
      </w:r>
    </w:p>
    <w:p w14:paraId="38DA0822" w14:textId="0E37DECE" w:rsidR="00887486" w:rsidRDefault="00557DC9" w:rsidP="000E5A69">
      <w:r>
        <w:t xml:space="preserve">Physical exercise offers a diverse array of preventive advantages for our </w:t>
      </w:r>
      <w:proofErr w:type="spellStart"/>
      <w:r>
        <w:t>welwellbeing</w:t>
      </w:r>
      <w:proofErr w:type="spellEnd"/>
      <w:r>
        <w:t xml:space="preserve">. The repercussions of neglecting to address sedentary behaviour levels are evident in the form of escalating rates of obesity, type 2 diabetes, and diminished physical mobility, which burden the NHS. On average, </w:t>
      </w:r>
      <w:r w:rsidR="000D660A">
        <w:t>physically inactive people</w:t>
      </w:r>
      <w:r>
        <w:t xml:space="preserve"> spend 38% more days in the hospital, have 5.5% more visits to their general practitioner, access 13% more specialised medical services, and have 12% more visits from nurses </w:t>
      </w:r>
      <w:r w:rsidR="00DE3ED0">
        <w:t>than</w:t>
      </w:r>
      <w:r>
        <w:t xml:space="preserve"> physically active people. According to the European Commission's White Paper on Sport, the sports movement has a more significant impact on promoting physical exercise for health than any other social movement. Engaging in sports and physical activities significantly reduces the likelihood of developing cardiovascular disease, some types of cancer, type 2 diabetes, and obesity. Engaging in structured sports activities reduces the likelihood of cigarette smoking and illegal drug use among adolescents. Moreover, data suggests that those participating in athletics are more inclined to adopt good eating habits, such as consuming fruits and vegetables. Engaging in regular physical exercise daily may decrease the likelihood of adults having depression by 20-30%. For those who already have depression, physical activity serves as an effective method for alleviating symptoms.</w:t>
      </w:r>
    </w:p>
    <w:p w14:paraId="44FAA7A6" w14:textId="0729D69A" w:rsidR="000431F7" w:rsidRDefault="00557DC9" w:rsidP="00B20EAB">
      <w:pPr>
        <w:pStyle w:val="Heading2"/>
      </w:pPr>
      <w:r w:rsidRPr="000431F7">
        <w:t xml:space="preserve">Place-making and </w:t>
      </w:r>
      <w:r w:rsidR="00E12B0F">
        <w:t>designing in</w:t>
      </w:r>
      <w:r w:rsidRPr="000431F7">
        <w:t xml:space="preserve"> community health and wellbeing</w:t>
      </w:r>
    </w:p>
    <w:p w14:paraId="58653EEC" w14:textId="0A4DEEE6" w:rsidR="000E5A69" w:rsidRDefault="00557DC9" w:rsidP="000E5A69">
      <w:r>
        <w:t xml:space="preserve">Place-Making and Community Health: Central to the process is the notion of place-making, which involves intentionally designing and organising communities </w:t>
      </w:r>
      <w:r w:rsidR="000431F7">
        <w:t>to enhance</w:t>
      </w:r>
      <w:r>
        <w:t xml:space="preserve"> the physical and mental health of the people living there. Establishing conducive settings that facilitate physical exercise, social interaction, and psychological </w:t>
      </w:r>
      <w:r w:rsidR="000431F7">
        <w:t xml:space="preserve">wellbeing is crucial to this </w:t>
      </w:r>
      <w:r>
        <w:t>facet of the endeavour. It perceives communities as environments that naturally promote and support health</w:t>
      </w:r>
      <w:r w:rsidR="009D24E1">
        <w:t xml:space="preserve"> </w:t>
      </w:r>
      <w:r w:rsidR="009D24E1" w:rsidRPr="009D24E1">
        <w:t>(Broome, 2016)</w:t>
      </w:r>
      <w:r w:rsidRPr="009D24E1">
        <w:t>.</w:t>
      </w:r>
    </w:p>
    <w:p w14:paraId="2A7CFED0" w14:textId="2D10208C" w:rsidR="00887486" w:rsidRDefault="00557DC9" w:rsidP="000E5A69">
      <w:r>
        <w:t xml:space="preserve">Your place of residence and Employment significantly influence and mould your state of health and overall welfare. The physical environment envelops us and impacts our wellbeing subtly and overtly. Our wellbeing is directly </w:t>
      </w:r>
      <w:r w:rsidR="000D660A">
        <w:t>affected</w:t>
      </w:r>
      <w:r>
        <w:t xml:space="preserve"> by the air quality we inhale and our ability to get uncontaminated water. Various elements </w:t>
      </w:r>
      <w:r w:rsidR="000D660A">
        <w:t>influence</w:t>
      </w:r>
      <w:r>
        <w:t xml:space="preserve"> our behaviours, shaping our decisions about food and beverage consumption, level of physical activity, and social interactions. Effective planning may facilitate prioritising health as the most convenient choice, but health must be an inherent and fundamental factor in the planning process. Ultimately, it is essential to recognise that individuals must be the focal point. A recent scholarly study has emphasised that organisations that actively enhance employee wellbeing see improvements in their overall quality of life and reductions in healthcare costs and employee absences.</w:t>
      </w:r>
    </w:p>
    <w:p w14:paraId="3F2BC345" w14:textId="27E9B63F" w:rsidR="000E5A69" w:rsidRDefault="00557DC9" w:rsidP="00B20EAB">
      <w:pPr>
        <w:pStyle w:val="Heading2"/>
      </w:pPr>
      <w:r w:rsidRPr="000431F7">
        <w:t>Seamless, preventative organisations and services</w:t>
      </w:r>
    </w:p>
    <w:p w14:paraId="4EDE139B" w14:textId="779AA0A3" w:rsidR="00887486" w:rsidRDefault="00557DC9" w:rsidP="000E5A69">
      <w:r w:rsidRPr="006325D6">
        <w:t>Ensure that programmes assist individuals in comprehending habits and making choices that promote long-term health.</w:t>
      </w:r>
      <w:r>
        <w:t xml:space="preserve"> </w:t>
      </w:r>
      <w:r w:rsidRPr="002151F3">
        <w:t>In our contemporary society, we inhabit an intricate and interrelated global environment where many elements rely on each other, exerting a continuous influence and effect. These interactions are non-linear, but we often attempt to find linear approaches to address them</w:t>
      </w:r>
      <w:r w:rsidR="00CE078A">
        <w:t xml:space="preserve"> </w:t>
      </w:r>
      <w:r w:rsidR="00CE078A" w:rsidRPr="00991588">
        <w:t>(Davies, 201</w:t>
      </w:r>
      <w:r w:rsidR="00CE078A">
        <w:t>6</w:t>
      </w:r>
      <w:r w:rsidR="00CE078A" w:rsidRPr="00991588">
        <w:t>)</w:t>
      </w:r>
      <w:r w:rsidRPr="002151F3">
        <w:t xml:space="preserve">. The NHS and social care face growing demands and novel obstacles, including an ageing population, lifestyle shifts, public expectations, and the emergence of new medical technology. The medical health paradigm and a distinct social care system must be improved for future needs. There is a need to transition towards a health model encompassing social, economic, environmental, and cultural factors. This model should include less inflexible methods of operation, use more adaptable techniques, and place a far higher priority on maintaining individuals' health and wellbeing. This wellbeing provides seamless coordination of services from various providers, with individuals actively participating in managing their health and wellbeing. </w:t>
      </w:r>
      <w:proofErr w:type="spellStart"/>
      <w:r w:rsidRPr="002151F3">
        <w:t>Convenwell's</w:t>
      </w:r>
      <w:proofErr w:type="spellEnd"/>
      <w:r w:rsidRPr="002151F3">
        <w:t xml:space="preserve"> thinking and methods have primarily relied on rational and logical planning. They include operational mechanisms for driving change, including objectives, metrics, agreements, audits, and explicit knowledge</w:t>
      </w:r>
      <w:r w:rsidR="00BA32EE">
        <w:t xml:space="preserve"> </w:t>
      </w:r>
      <w:r w:rsidR="00BA32EE" w:rsidRPr="00991588">
        <w:t>(Davies, 2017)</w:t>
      </w:r>
      <w:r w:rsidRPr="002151F3">
        <w:t xml:space="preserve">. The prudent approach emphasises a solid dedication to a cause and the cultivation of robust connections and networks </w:t>
      </w:r>
      <w:proofErr w:type="spellStart"/>
      <w:r w:rsidRPr="002151F3">
        <w:t>fueled</w:t>
      </w:r>
      <w:proofErr w:type="spellEnd"/>
      <w:r w:rsidRPr="002151F3">
        <w:t xml:space="preserve"> by passion and pride. We must balance the current inflexible system with a forthcoming one that appreciates and acknowledges the need to expand chances to exchange and embrace innovative ideas and data and collaboratively develop new techniques to address future health requirements.</w:t>
      </w:r>
    </w:p>
    <w:p w14:paraId="46B65BFB" w14:textId="38A2F35B" w:rsidR="000E5A69" w:rsidRDefault="00557DC9" w:rsidP="000E5A69">
      <w:r>
        <w:t xml:space="preserve">Efficient and Proactive Services: To effectively promote a healthy country, the emphasis is placed on providing efficient and proactive services. This entails a transition towards proactive healthcare, whereby services assist people in comprehending behaviours and making decisions that promote long-term health. The journey seeks to establish a healthcare system that </w:t>
      </w:r>
      <w:r w:rsidR="000431F7">
        <w:t>treats illnesses and</w:t>
      </w:r>
      <w:r>
        <w:t xml:space="preserve"> proactively protects future wellbeing by addressing the underlying causes and promoting preventive actions.</w:t>
      </w:r>
    </w:p>
    <w:p w14:paraId="2B6D91F6" w14:textId="2BF7E0F4" w:rsidR="000A4446" w:rsidRDefault="00557DC9" w:rsidP="000E5A69">
      <w:r>
        <w:t>In summary</w:t>
      </w:r>
      <w:r w:rsidR="000431F7">
        <w:t>,</w:t>
      </w:r>
      <w:r>
        <w:t xml:space="preserve"> </w:t>
      </w:r>
      <w:r w:rsidR="000431F7">
        <w:t xml:space="preserve">Pursuing a healthier Wales is a holistic strategy incorporating </w:t>
      </w:r>
      <w:r>
        <w:t xml:space="preserve">physical and emotional wellness, community planning, and proactive healthcare. The vision surpasses conventional health paradigms by embedding compassion as its fundamental principle, striving for a society where empathy is </w:t>
      </w:r>
      <w:r w:rsidR="000431F7">
        <w:t>an individual virtue and</w:t>
      </w:r>
      <w:r>
        <w:t xml:space="preserve"> a shared force. As Wales advances on this transformational journey, the goal is </w:t>
      </w:r>
      <w:r w:rsidR="000431F7">
        <w:t>not just to become</w:t>
      </w:r>
      <w:r>
        <w:t xml:space="preserve"> a </w:t>
      </w:r>
      <w:r w:rsidR="000431F7">
        <w:t>physically active country</w:t>
      </w:r>
      <w:r>
        <w:t xml:space="preserve"> but also a caring society that values the wellbeing of wellbeing.</w:t>
      </w:r>
    </w:p>
    <w:p w14:paraId="6A978577" w14:textId="77777777" w:rsidR="00887486" w:rsidRDefault="00887486" w:rsidP="000E5A69"/>
    <w:p w14:paraId="1C82B88C" w14:textId="38A8BD04" w:rsidR="00887486" w:rsidRDefault="00557DC9" w:rsidP="00AD10E0">
      <w:pPr>
        <w:pStyle w:val="Heading2"/>
      </w:pPr>
      <w:r>
        <w:t>Recommen</w:t>
      </w:r>
      <w:r w:rsidR="00252575">
        <w:t>dations</w:t>
      </w:r>
    </w:p>
    <w:p w14:paraId="5DEE9DB6" w14:textId="3F569919" w:rsidR="00887486" w:rsidRDefault="00557DC9" w:rsidP="00887486">
      <w:r>
        <w:t>A multifaceted strategy encompassing community, organisational, and national levels is essential to foster a healthier and more resilient Wales</w:t>
      </w:r>
      <w:r w:rsidR="005C1B5F">
        <w:t xml:space="preserve"> (</w:t>
      </w:r>
      <w:proofErr w:type="spellStart"/>
      <w:r w:rsidR="005C1B5F" w:rsidRPr="005C1B5F">
        <w:t>Nesom</w:t>
      </w:r>
      <w:proofErr w:type="spellEnd"/>
      <w:r w:rsidR="0031403C">
        <w:t xml:space="preserve"> </w:t>
      </w:r>
      <w:r w:rsidR="005C1B5F" w:rsidRPr="005C1B5F">
        <w:t xml:space="preserve">&amp; </w:t>
      </w:r>
      <w:proofErr w:type="spellStart"/>
      <w:r w:rsidR="005C1B5F" w:rsidRPr="005C1B5F">
        <w:t>MacKillop</w:t>
      </w:r>
      <w:proofErr w:type="spellEnd"/>
      <w:r w:rsidR="005C1B5F" w:rsidRPr="005C1B5F">
        <w:t>, 2021)</w:t>
      </w:r>
      <w:r>
        <w:t>. This approach emphasises understanding and addressing the social determinants of health, promoting mental wellbeing, and promoting physical activity at various levels.</w:t>
      </w:r>
    </w:p>
    <w:p w14:paraId="4AACCA8B" w14:textId="07FDFFE8" w:rsidR="00887486" w:rsidRDefault="00557DC9" w:rsidP="00A70D7D">
      <w:pPr>
        <w:pStyle w:val="Heading3"/>
      </w:pPr>
      <w:r>
        <w:t>Community Initiatives:</w:t>
      </w:r>
    </w:p>
    <w:p w14:paraId="0B6C3100" w14:textId="2B7B4077" w:rsidR="00887486" w:rsidRDefault="00557DC9" w:rsidP="00887486">
      <w:r>
        <w:t xml:space="preserve">Community initiatives are pivotal in fostering a healthier and more active </w:t>
      </w:r>
      <w:r w:rsidRPr="00342380">
        <w:t>Wales</w:t>
      </w:r>
      <w:r w:rsidR="00342380" w:rsidRPr="00342380">
        <w:t xml:space="preserve"> (Gov.</w:t>
      </w:r>
      <w:r w:rsidR="003348F5">
        <w:t xml:space="preserve"> Wales</w:t>
      </w:r>
      <w:r w:rsidR="00342380" w:rsidRPr="00342380">
        <w:t>, 1969)</w:t>
      </w:r>
      <w:r w:rsidR="005B3A24" w:rsidRPr="00342380">
        <w:t xml:space="preserve">. </w:t>
      </w:r>
      <w:r w:rsidR="005B3A24" w:rsidRPr="005B3A24">
        <w:t xml:space="preserve">Initiatives should prioritise implementing projects centred on fundamental movement skills for all children in Wales, ensuring a solid foundation for physical activity. Exemplary programs like Cricket without Boundaries in Cardiff showcase the importance of making sports accessible, diverse, and affordable. Leveraging Sport Wales' physical literacy initiative in schools contributes to instilling a culture of physical activity across Wales. Simultaneously, promoting knowledge of </w:t>
      </w:r>
      <w:r>
        <w:t>physical exercise's societal, financial, and ecological benefits through</w:t>
      </w:r>
      <w:r w:rsidR="005B3A24" w:rsidRPr="005B3A24">
        <w:t xml:space="preserve"> national and local initiatives becomes crucial. Globally showcasing Wales' athletic prowess, as demonstrated in campaigns like Sport Wales' "We are Red," </w:t>
      </w:r>
      <w:r>
        <w:t>boosts recognition and</w:t>
      </w:r>
      <w:r w:rsidR="005B3A24" w:rsidRPr="005B3A24">
        <w:t xml:space="preserve"> inspires a culture of health. Additionally, advocating for a Healthy Travel Charter in Cardiff emphasises the importance of sustainable transportation, aligning with the broader goal of fostering a comprehensive and sustainable approach to wellbeing</w:t>
      </w:r>
      <w:r w:rsidR="00CE078A">
        <w:t xml:space="preserve"> </w:t>
      </w:r>
      <w:r w:rsidR="00CE078A" w:rsidRPr="00991588">
        <w:t>(Davies, 201</w:t>
      </w:r>
      <w:r w:rsidR="00CE078A">
        <w:t>6</w:t>
      </w:r>
      <w:r w:rsidR="00CE078A" w:rsidRPr="00991588">
        <w:t>)</w:t>
      </w:r>
      <w:r>
        <w:t>.</w:t>
      </w:r>
    </w:p>
    <w:p w14:paraId="50A08007" w14:textId="7472712A" w:rsidR="00887486" w:rsidRDefault="00140676" w:rsidP="003508CE">
      <w:pPr>
        <w:pStyle w:val="Heading3"/>
      </w:pPr>
      <w:r>
        <w:t>W</w:t>
      </w:r>
      <w:r w:rsidR="00557DC9">
        <w:t>ellbeing Measures:</w:t>
      </w:r>
    </w:p>
    <w:p w14:paraId="7AD2EC82" w14:textId="5F5097DA" w:rsidR="00887486" w:rsidRDefault="00557DC9" w:rsidP="00887486">
      <w:r w:rsidRPr="00AB5708">
        <w:t>Organisational measures in Wales encompass extending school days to incorporate diverse physical activities, fostering a holistic educational approach</w:t>
      </w:r>
      <w:r w:rsidR="00342380">
        <w:t xml:space="preserve"> </w:t>
      </w:r>
      <w:r w:rsidR="00342380" w:rsidRPr="00342380">
        <w:t>(Gov.</w:t>
      </w:r>
      <w:r w:rsidR="003348F5">
        <w:t xml:space="preserve"> Wales</w:t>
      </w:r>
      <w:r w:rsidR="00342380" w:rsidRPr="00342380">
        <w:t>, 1969)</w:t>
      </w:r>
      <w:r w:rsidRPr="00AB5708">
        <w:t>. Organisations' Health-driven policies prioritise physical exercise, promoting workplace wellbeing and wellbeing through active commuting. Comprehensive strategies like the Cycle to Work program are employed to integrate active transportation into daily workplace practices. Regular discussions with healthcare professionals emphasise the crucial role of physical exercise in maintaining overall health. These measures collectively create environments prioritising physical wellbeing with international institutions and workplaces across Wales</w:t>
      </w:r>
      <w:r w:rsidR="009D24E1">
        <w:t xml:space="preserve"> </w:t>
      </w:r>
      <w:r w:rsidR="009D24E1" w:rsidRPr="009D24E1">
        <w:t>(Broome, 2016)</w:t>
      </w:r>
      <w:r>
        <w:t>.</w:t>
      </w:r>
    </w:p>
    <w:p w14:paraId="08C8333D" w14:textId="362FFD29" w:rsidR="00887486" w:rsidRDefault="00557DC9" w:rsidP="003508CE">
      <w:pPr>
        <w:pStyle w:val="Heading3"/>
      </w:pPr>
      <w:r>
        <w:t>National or Collaborative Actions:</w:t>
      </w:r>
    </w:p>
    <w:p w14:paraId="31B151FC" w14:textId="25E2C20E" w:rsidR="00887486" w:rsidRDefault="00557DC9" w:rsidP="00887486">
      <w:r w:rsidRPr="00A664A5">
        <w:t>National and collaborative actions in Wales propose expanding legislation, such as the Nurse Staffing Levels Act, to encompass community settings, ensuring adequate staffing for compassionate patient care. Exemplary healthcare services, demonstrated by the Cardiff and Vale University Health Board, set a benchmark for delivering comprehensive care</w:t>
      </w:r>
      <w:r w:rsidR="009D24E1">
        <w:t xml:space="preserve"> </w:t>
      </w:r>
      <w:r w:rsidR="009D24E1" w:rsidRPr="009D24E1">
        <w:t>(Broome, 2016)</w:t>
      </w:r>
      <w:r w:rsidRPr="00A664A5">
        <w:t xml:space="preserve">. Integrated strategies like the All Wales Enhanced Recovery after Surgery Collaborative address health disparities, optimising </w:t>
      </w:r>
      <w:proofErr w:type="spellStart"/>
      <w:r w:rsidRPr="00A664A5">
        <w:t>prehabilitation</w:t>
      </w:r>
      <w:proofErr w:type="spellEnd"/>
      <w:r w:rsidRPr="00A664A5">
        <w:t xml:space="preserve"> and individualised recovery plans. Technology and personalised medicine initiatives, like the 2025 Movement in North Wales, aim to eliminate preventable health and housing disparities. Social prescribing actions, integrated across services, prioritise preventative measures to reduce reliance on the health and care system. </w:t>
      </w:r>
      <w:r>
        <w:t xml:space="preserve">As exemplified by the Community Care Collaborative in Wrexham, delivery paradigms </w:t>
      </w:r>
      <w:r w:rsidRPr="00A664A5">
        <w:t>prioritise inclusivity and individual-centric approaches, enhancing overall health outcomes</w:t>
      </w:r>
      <w:r w:rsidR="00CE078A">
        <w:t xml:space="preserve"> </w:t>
      </w:r>
      <w:r w:rsidR="00CE078A" w:rsidRPr="00991588">
        <w:t>(Davies, 201</w:t>
      </w:r>
      <w:r w:rsidR="00CE078A">
        <w:t>6</w:t>
      </w:r>
      <w:r w:rsidR="00CE078A" w:rsidRPr="00991588">
        <w:t>)</w:t>
      </w:r>
      <w:r>
        <w:t>.</w:t>
      </w:r>
    </w:p>
    <w:p w14:paraId="2592481D" w14:textId="67DD835A" w:rsidR="00875950" w:rsidRDefault="00557DC9" w:rsidP="00875950">
      <w:pPr>
        <w:pStyle w:val="Heading3"/>
      </w:pPr>
      <w:r>
        <w:t>Comprehensive Training and Education:</w:t>
      </w:r>
    </w:p>
    <w:p w14:paraId="68AF7108" w14:textId="61EF63F7" w:rsidR="00887486" w:rsidRDefault="00557DC9" w:rsidP="00875950">
      <w:r>
        <w:t xml:space="preserve">Wales can chart a holistic journey towards wellbeing through comprehensive training and education initiatives. Exemplified by HMP </w:t>
      </w:r>
      <w:proofErr w:type="spellStart"/>
      <w:r>
        <w:t>Parc</w:t>
      </w:r>
      <w:proofErr w:type="spellEnd"/>
      <w:r>
        <w:t xml:space="preserve"> Prison, providing </w:t>
      </w:r>
      <w:r w:rsidR="003608DB">
        <w:t>extensive</w:t>
      </w:r>
      <w:r>
        <w:t xml:space="preserve"> Adverse Childhood Experiences (ACE) awareness training ensures that personnel are equipped to address underlying issues. Organisations should adopt stress assessments, incident debriefing, and staff welfare policies, fostering a supportive work environment. The Power Threat Meaning approach training and resources like Samaritans </w:t>
      </w:r>
      <w:proofErr w:type="spellStart"/>
      <w:r>
        <w:t>Cymru's</w:t>
      </w:r>
      <w:proofErr w:type="spellEnd"/>
      <w:r>
        <w:t xml:space="preserve"> toolbox, contribute to mental health awareness, with </w:t>
      </w:r>
      <w:proofErr w:type="spellStart"/>
      <w:r>
        <w:t>Dŵr</w:t>
      </w:r>
      <w:proofErr w:type="spellEnd"/>
      <w:r>
        <w:t xml:space="preserve"> </w:t>
      </w:r>
      <w:proofErr w:type="spellStart"/>
      <w:r>
        <w:t>Cymru's</w:t>
      </w:r>
      <w:proofErr w:type="spellEnd"/>
      <w:r>
        <w:t xml:space="preserve"> success in suicide prevention training serving as inspiration. Encouraging community groups and outreach programs for early intervention fosters community involvement. These integrated initiatives address physical, mental, and societal aspects, </w:t>
      </w:r>
      <w:r w:rsidR="00DE3ED0">
        <w:t>promoting</w:t>
      </w:r>
      <w:r>
        <w:t xml:space="preserve"> resilience and contributing to a healthier future for Wales</w:t>
      </w:r>
      <w:r w:rsidR="009D24E1">
        <w:t xml:space="preserve"> </w:t>
      </w:r>
      <w:r w:rsidR="009D24E1" w:rsidRPr="009D24E1">
        <w:t>(Broome, 2016)</w:t>
      </w:r>
      <w:r>
        <w:t>.</w:t>
      </w:r>
    </w:p>
    <w:p w14:paraId="213CB414" w14:textId="634ECCF8" w:rsidR="0055380A" w:rsidRDefault="00557DC9" w:rsidP="009B4723">
      <w:pPr>
        <w:pStyle w:val="Heading2"/>
      </w:pPr>
      <w:r>
        <w:t xml:space="preserve">The role of </w:t>
      </w:r>
      <w:r w:rsidRPr="00D41CF6">
        <w:t xml:space="preserve">Public Service Boards (PSBs) and Local Authorities (LAs) </w:t>
      </w:r>
    </w:p>
    <w:p w14:paraId="3F84D553" w14:textId="0617E580" w:rsidR="00E90915" w:rsidRDefault="00E90915" w:rsidP="00C35DFB">
      <w:r>
        <w:t>The Well-being of Future Generations Act mandates the creation of Public Services Boards (PSBs) for each local authority area in Wales, including designated members and invited participants</w:t>
      </w:r>
      <w:r w:rsidR="00A05BF9">
        <w:t xml:space="preserve">. </w:t>
      </w:r>
      <w:r>
        <w:t xml:space="preserve">Public sector banks (PSBs) </w:t>
      </w:r>
      <w:r w:rsidR="00557DC9">
        <w:t>must</w:t>
      </w:r>
      <w:r>
        <w:t xml:space="preserve"> enhance </w:t>
      </w:r>
      <w:r w:rsidR="0065554F">
        <w:t xml:space="preserve">their specific regions' economic, social, environmental, and cultural welfare </w:t>
      </w:r>
      <w:r>
        <w:t>by striving to achieve well-being objectives. They accomplish this by</w:t>
      </w:r>
      <w:r w:rsidR="00C35DFB">
        <w:t xml:space="preserve"> e</w:t>
      </w:r>
      <w:r>
        <w:t xml:space="preserve">valuating economic, social, </w:t>
      </w:r>
      <w:r w:rsidR="00385DE0">
        <w:t>ecological,</w:t>
      </w:r>
      <w:r>
        <w:t xml:space="preserve"> and cultural well-being in a specific place</w:t>
      </w:r>
      <w:r w:rsidR="00DE3ED0">
        <w:t xml:space="preserve">, </w:t>
      </w:r>
      <w:r>
        <w:t>known as assessing well-being.</w:t>
      </w:r>
      <w:r w:rsidR="00C35DFB">
        <w:t xml:space="preserve"> In addition, </w:t>
      </w:r>
      <w:r w:rsidR="00DE3ED0">
        <w:t>goals should be set to optimise the PSB's impact on well-being objectives and Adhere</w:t>
      </w:r>
      <w:r>
        <w:t xml:space="preserve"> to sustainable development</w:t>
      </w:r>
      <w:r w:rsidR="00954D44">
        <w:t xml:space="preserve"> </w:t>
      </w:r>
      <w:r w:rsidR="00954D44" w:rsidRPr="00FB061F">
        <w:t>(Davies, 2016)</w:t>
      </w:r>
      <w:r>
        <w:t>.</w:t>
      </w:r>
    </w:p>
    <w:p w14:paraId="06BF45AD" w14:textId="1A8C0FD8" w:rsidR="00D41CF6" w:rsidRDefault="00557DC9" w:rsidP="00875950">
      <w:r w:rsidRPr="00D41CF6">
        <w:t xml:space="preserve">Public Service Boards (PSBs) and Local Authorities (LAs) in Wales are pivotal in supporting community health initiatives. PSBs, comprising representatives from health boards and LAs, strategically plan and coordinate efforts aligned with the Wellbeing of </w:t>
      </w:r>
      <w:r w:rsidR="009471F5">
        <w:t>Generations</w:t>
      </w:r>
      <w:r w:rsidRPr="00D41CF6">
        <w:t xml:space="preserve"> Act. LAs actively allocate resources, implement policies, and engage communities, ensuring inclusivity in projects promoting physical activity, sports accessibility, and wellbeing. </w:t>
      </w:r>
      <w:proofErr w:type="spellStart"/>
      <w:r w:rsidRPr="00D41CF6">
        <w:t>Twellbeing</w:t>
      </w:r>
      <w:proofErr w:type="spellEnd"/>
      <w:r w:rsidRPr="00D41CF6">
        <w:t xml:space="preserve"> extends to monitoring, evaluating, and advocating for initiatives, fostering collaboration with diverse stakeholders</w:t>
      </w:r>
      <w:r w:rsidR="005659BE">
        <w:t xml:space="preserve"> </w:t>
      </w:r>
      <w:r w:rsidR="005659BE" w:rsidRPr="00402F33">
        <w:t>(Jones,</w:t>
      </w:r>
      <w:r w:rsidR="00402F33" w:rsidRPr="00402F33">
        <w:t xml:space="preserve"> </w:t>
      </w:r>
      <w:r w:rsidR="005659BE" w:rsidRPr="00402F33">
        <w:t>2019</w:t>
      </w:r>
      <w:r w:rsidR="00402F33" w:rsidRPr="00402F33">
        <w:t>)</w:t>
      </w:r>
      <w:r w:rsidRPr="00402F33">
        <w:t xml:space="preserve">. </w:t>
      </w:r>
      <w:r w:rsidRPr="00D41CF6">
        <w:t xml:space="preserve">Through these collaborative efforts, PSBs and LAs contribute significantly to developing and sustaining community-focused programs </w:t>
      </w:r>
      <w:r w:rsidR="00DE3ED0">
        <w:t>promoting</w:t>
      </w:r>
      <w:r w:rsidRPr="00D41CF6">
        <w:t xml:space="preserve"> health, wellbeing, and sustainable development in Wales</w:t>
      </w:r>
      <w:r w:rsidR="00605033">
        <w:t xml:space="preserve"> (</w:t>
      </w:r>
      <w:proofErr w:type="spellStart"/>
      <w:r w:rsidR="00605033" w:rsidRPr="005C1B5F">
        <w:t>Nesom</w:t>
      </w:r>
      <w:proofErr w:type="spellEnd"/>
      <w:r w:rsidR="00605033">
        <w:t xml:space="preserve"> </w:t>
      </w:r>
      <w:r w:rsidR="00605033" w:rsidRPr="005C1B5F">
        <w:t xml:space="preserve">&amp; </w:t>
      </w:r>
      <w:proofErr w:type="spellStart"/>
      <w:r w:rsidR="00605033" w:rsidRPr="005C1B5F">
        <w:t>MacKillop</w:t>
      </w:r>
      <w:proofErr w:type="spellEnd"/>
      <w:r w:rsidR="00605033" w:rsidRPr="005C1B5F">
        <w:t>, 2021)</w:t>
      </w:r>
      <w:r w:rsidRPr="00D41CF6">
        <w:t>.</w:t>
      </w:r>
    </w:p>
    <w:p w14:paraId="03557930" w14:textId="77777777" w:rsidR="00E90915" w:rsidRDefault="00E90915" w:rsidP="00875950"/>
    <w:p w14:paraId="0F260E7B" w14:textId="10DE33FF" w:rsidR="006F3F4E" w:rsidRDefault="00557DC9" w:rsidP="006F3F4E">
      <w:pPr>
        <w:pStyle w:val="Heading2"/>
      </w:pPr>
      <w:r>
        <w:t>References</w:t>
      </w:r>
    </w:p>
    <w:p w14:paraId="0A5E3AF8" w14:textId="77777777" w:rsidR="006C22C3" w:rsidRPr="006C22C3" w:rsidRDefault="00721591" w:rsidP="006C22C3">
      <w:pPr>
        <w:shd w:val="clear" w:color="auto" w:fill="FFFFFF"/>
        <w:spacing w:before="100" w:beforeAutospacing="1" w:after="24" w:line="240" w:lineRule="auto"/>
        <w:ind w:left="567" w:hanging="567"/>
        <w:rPr>
          <w:rFonts w:cs="Times New Roman"/>
          <w:color w:val="202122"/>
          <w:szCs w:val="24"/>
          <w:lang w:eastAsia="en-ZA"/>
        </w:rPr>
      </w:pPr>
      <w:hyperlink r:id="rId5" w:history="1">
        <w:r w:rsidR="006C22C3" w:rsidRPr="006C22C3">
          <w:rPr>
            <w:rStyle w:val="Hyperlink"/>
            <w:rFonts w:cs="Times New Roman"/>
            <w:i/>
            <w:iCs/>
            <w:color w:val="3366CC"/>
            <w:szCs w:val="24"/>
          </w:rPr>
          <w:t>"Well-being, Wales"</w:t>
        </w:r>
      </w:hyperlink>
      <w:r w:rsidR="006C22C3" w:rsidRPr="006C22C3">
        <w:rPr>
          <w:rStyle w:val="HTMLCite"/>
          <w:rFonts w:cs="Times New Roman"/>
          <w:color w:val="202122"/>
          <w:szCs w:val="24"/>
        </w:rPr>
        <w:t>. The Gazette Official Public Record. 22 July 2016</w:t>
      </w:r>
      <w:r w:rsidR="006C22C3" w:rsidRPr="006C22C3">
        <w:rPr>
          <w:rStyle w:val="reference-accessdate"/>
          <w:rFonts w:cs="Times New Roman"/>
          <w:i/>
          <w:iCs/>
          <w:color w:val="202122"/>
          <w:szCs w:val="24"/>
        </w:rPr>
        <w:t>. Retrieved </w:t>
      </w:r>
      <w:r w:rsidR="006C22C3" w:rsidRPr="006C22C3">
        <w:rPr>
          <w:rStyle w:val="nowrap"/>
          <w:rFonts w:cs="Times New Roman"/>
          <w:i/>
          <w:iCs/>
          <w:color w:val="202122"/>
          <w:szCs w:val="24"/>
        </w:rPr>
        <w:t>31 November</w:t>
      </w:r>
      <w:r w:rsidR="006C22C3" w:rsidRPr="006C22C3">
        <w:rPr>
          <w:rStyle w:val="reference-accessdate"/>
          <w:rFonts w:cs="Times New Roman"/>
          <w:i/>
          <w:iCs/>
          <w:color w:val="202122"/>
          <w:szCs w:val="24"/>
        </w:rPr>
        <w:t> 2023</w:t>
      </w:r>
      <w:r w:rsidR="006C22C3" w:rsidRPr="006C22C3">
        <w:rPr>
          <w:rStyle w:val="HTMLCite"/>
          <w:rFonts w:cs="Times New Roman"/>
          <w:color w:val="202122"/>
          <w:szCs w:val="24"/>
        </w:rPr>
        <w:t>.</w:t>
      </w:r>
    </w:p>
    <w:p w14:paraId="5C08F124" w14:textId="77777777" w:rsidR="006C22C3" w:rsidRPr="006C22C3" w:rsidRDefault="00721591" w:rsidP="006C22C3">
      <w:pPr>
        <w:shd w:val="clear" w:color="auto" w:fill="FFFFFF"/>
        <w:spacing w:before="100" w:beforeAutospacing="1" w:after="24" w:line="240" w:lineRule="auto"/>
        <w:ind w:left="567" w:hanging="567"/>
        <w:rPr>
          <w:rFonts w:cs="Times New Roman"/>
          <w:color w:val="202122"/>
          <w:szCs w:val="24"/>
        </w:rPr>
      </w:pPr>
      <w:hyperlink r:id="rId6" w:anchor="cite_ref-futuregenerations_2-0" w:tooltip="Jump up" w:history="1">
        <w:r w:rsidR="006C22C3" w:rsidRPr="006C22C3">
          <w:rPr>
            <w:rStyle w:val="Hyperlink"/>
            <w:rFonts w:cs="Times New Roman"/>
            <w:b/>
            <w:bCs/>
            <w:color w:val="3366CC"/>
            <w:szCs w:val="24"/>
          </w:rPr>
          <w:t>^</w:t>
        </w:r>
      </w:hyperlink>
      <w:r w:rsidR="006C22C3" w:rsidRPr="006C22C3">
        <w:rPr>
          <w:rFonts w:cs="Times New Roman"/>
          <w:color w:val="202122"/>
          <w:szCs w:val="24"/>
        </w:rPr>
        <w:t> </w:t>
      </w:r>
      <w:hyperlink r:id="rId7" w:history="1">
        <w:r w:rsidR="006C22C3" w:rsidRPr="006C22C3">
          <w:rPr>
            <w:rStyle w:val="Hyperlink"/>
            <w:rFonts w:cs="Times New Roman"/>
            <w:i/>
            <w:iCs/>
            <w:color w:val="3366CC"/>
            <w:szCs w:val="24"/>
          </w:rPr>
          <w:t>"Well-being of Future Generations (Wales) Act 2015"</w:t>
        </w:r>
      </w:hyperlink>
      <w:r w:rsidR="006C22C3" w:rsidRPr="006C22C3">
        <w:rPr>
          <w:rStyle w:val="HTMLCite"/>
          <w:rFonts w:cs="Times New Roman"/>
          <w:color w:val="202122"/>
          <w:szCs w:val="24"/>
        </w:rPr>
        <w:t> </w:t>
      </w:r>
      <w:r w:rsidR="006C22C3" w:rsidRPr="006C22C3">
        <w:rPr>
          <w:rStyle w:val="cs1-format"/>
          <w:rFonts w:cs="Times New Roman"/>
          <w:i/>
          <w:iCs/>
          <w:color w:val="202122"/>
          <w:szCs w:val="24"/>
        </w:rPr>
        <w:t>(PDF)</w:t>
      </w:r>
      <w:r w:rsidR="006C22C3" w:rsidRPr="006C22C3">
        <w:rPr>
          <w:rStyle w:val="HTMLCite"/>
          <w:rFonts w:cs="Times New Roman"/>
          <w:color w:val="202122"/>
          <w:szCs w:val="24"/>
        </w:rPr>
        <w:t>. 17 June 2015</w:t>
      </w:r>
      <w:r w:rsidR="006C22C3" w:rsidRPr="006C22C3">
        <w:rPr>
          <w:rStyle w:val="reference-accessdate"/>
          <w:rFonts w:cs="Times New Roman"/>
          <w:i/>
          <w:iCs/>
          <w:color w:val="202122"/>
          <w:szCs w:val="24"/>
        </w:rPr>
        <w:t>. Retrieved </w:t>
      </w:r>
      <w:r w:rsidR="006C22C3" w:rsidRPr="006C22C3">
        <w:rPr>
          <w:rStyle w:val="nowrap"/>
          <w:rFonts w:cs="Times New Roman"/>
          <w:i/>
          <w:iCs/>
          <w:color w:val="202122"/>
          <w:szCs w:val="24"/>
        </w:rPr>
        <w:t>November</w:t>
      </w:r>
      <w:r w:rsidR="006C22C3" w:rsidRPr="006C22C3">
        <w:rPr>
          <w:rStyle w:val="reference-accessdate"/>
          <w:rFonts w:cs="Times New Roman"/>
          <w:i/>
          <w:iCs/>
          <w:color w:val="202122"/>
          <w:szCs w:val="24"/>
        </w:rPr>
        <w:t> 2023</w:t>
      </w:r>
      <w:r w:rsidR="006C22C3" w:rsidRPr="006C22C3">
        <w:rPr>
          <w:rStyle w:val="HTMLCite"/>
          <w:rFonts w:cs="Times New Roman"/>
          <w:color w:val="202122"/>
          <w:szCs w:val="24"/>
        </w:rPr>
        <w:t>.</w:t>
      </w:r>
    </w:p>
    <w:p w14:paraId="5E17E2FE" w14:textId="77777777" w:rsidR="006C22C3" w:rsidRPr="006C22C3" w:rsidRDefault="00721591" w:rsidP="006C22C3">
      <w:pPr>
        <w:shd w:val="clear" w:color="auto" w:fill="FFFFFF"/>
        <w:spacing w:before="100" w:beforeAutospacing="1" w:after="24" w:line="240" w:lineRule="auto"/>
        <w:ind w:left="567" w:hanging="567"/>
        <w:rPr>
          <w:rStyle w:val="reference-accessdate"/>
          <w:rFonts w:cs="Times New Roman"/>
          <w:color w:val="202122"/>
          <w:szCs w:val="24"/>
        </w:rPr>
      </w:pPr>
      <w:hyperlink r:id="rId8" w:anchor="cite_ref-Legislation_3-0" w:tooltip="Jump up" w:history="1">
        <w:r w:rsidR="006C22C3" w:rsidRPr="006C22C3">
          <w:rPr>
            <w:rStyle w:val="Hyperlink"/>
            <w:rFonts w:cs="Times New Roman"/>
            <w:b/>
            <w:bCs/>
            <w:color w:val="3366CC"/>
            <w:szCs w:val="24"/>
          </w:rPr>
          <w:t>^</w:t>
        </w:r>
      </w:hyperlink>
      <w:r w:rsidR="006C22C3" w:rsidRPr="006C22C3">
        <w:rPr>
          <w:rFonts w:cs="Times New Roman"/>
          <w:color w:val="202122"/>
          <w:szCs w:val="24"/>
        </w:rPr>
        <w:t> </w:t>
      </w:r>
      <w:hyperlink r:id="rId9" w:history="1">
        <w:r w:rsidR="006C22C3" w:rsidRPr="006C22C3">
          <w:rPr>
            <w:rStyle w:val="Hyperlink"/>
            <w:rFonts w:cs="Times New Roman"/>
            <w:i/>
            <w:iCs/>
            <w:color w:val="3366CC"/>
            <w:szCs w:val="24"/>
          </w:rPr>
          <w:t>"Well-being of Future Generations (Wales) Act 2015"</w:t>
        </w:r>
      </w:hyperlink>
      <w:r w:rsidR="006C22C3" w:rsidRPr="006C22C3">
        <w:rPr>
          <w:rStyle w:val="HTMLCite"/>
          <w:rFonts w:cs="Times New Roman"/>
          <w:color w:val="202122"/>
          <w:szCs w:val="24"/>
        </w:rPr>
        <w:t>. legislation.gov.uk. The National Archives</w:t>
      </w:r>
      <w:r w:rsidR="006C22C3" w:rsidRPr="006C22C3">
        <w:rPr>
          <w:rStyle w:val="reference-accessdate"/>
          <w:rFonts w:cs="Times New Roman"/>
          <w:i/>
          <w:iCs/>
          <w:color w:val="202122"/>
          <w:szCs w:val="24"/>
        </w:rPr>
        <w:t>. Retrieved </w:t>
      </w:r>
      <w:r w:rsidR="006C22C3" w:rsidRPr="006C22C3">
        <w:rPr>
          <w:rStyle w:val="nowrap"/>
          <w:rFonts w:cs="Times New Roman"/>
          <w:i/>
          <w:iCs/>
          <w:color w:val="202122"/>
          <w:szCs w:val="24"/>
        </w:rPr>
        <w:t>November</w:t>
      </w:r>
      <w:r w:rsidR="006C22C3" w:rsidRPr="006C22C3">
        <w:rPr>
          <w:rStyle w:val="reference-accessdate"/>
          <w:rFonts w:cs="Times New Roman"/>
          <w:i/>
          <w:iCs/>
          <w:color w:val="202122"/>
          <w:szCs w:val="24"/>
        </w:rPr>
        <w:t> 2023.</w:t>
      </w:r>
    </w:p>
    <w:p w14:paraId="556C2036" w14:textId="21944537" w:rsidR="006C22C3" w:rsidRPr="006C22C3" w:rsidRDefault="006C22C3" w:rsidP="006C22C3">
      <w:pPr>
        <w:pStyle w:val="NormalWeb"/>
        <w:ind w:left="567" w:hanging="567"/>
      </w:pPr>
      <w:r w:rsidRPr="006C22C3">
        <w:rPr>
          <w:i/>
          <w:iCs/>
        </w:rPr>
        <w:t xml:space="preserve">A healthier </w:t>
      </w:r>
      <w:r w:rsidR="003348F5">
        <w:rPr>
          <w:i/>
          <w:iCs/>
        </w:rPr>
        <w:t>Wales</w:t>
      </w:r>
      <w:r w:rsidRPr="006C22C3">
        <w:rPr>
          <w:i/>
          <w:iCs/>
        </w:rPr>
        <w:t xml:space="preserve">: </w:t>
      </w:r>
      <w:r w:rsidR="003348F5">
        <w:rPr>
          <w:i/>
          <w:iCs/>
        </w:rPr>
        <w:t>Long-term</w:t>
      </w:r>
      <w:r w:rsidRPr="006C22C3">
        <w:rPr>
          <w:i/>
          <w:iCs/>
        </w:rPr>
        <w:t xml:space="preserve"> plan for health and social care</w:t>
      </w:r>
      <w:r w:rsidRPr="006C22C3">
        <w:t xml:space="preserve"> (no date) </w:t>
      </w:r>
      <w:r w:rsidRPr="006C22C3">
        <w:rPr>
          <w:i/>
          <w:iCs/>
        </w:rPr>
        <w:t>GOV.WALES</w:t>
      </w:r>
      <w:r w:rsidRPr="006C22C3">
        <w:t xml:space="preserve">. Available at: https://www.gov.wales/healthier-wales-long-term-plan-health-and-social-care (Accessed: 04 December 2023). </w:t>
      </w:r>
    </w:p>
    <w:p w14:paraId="301C8DB6" w14:textId="77777777" w:rsidR="006C22C3" w:rsidRPr="006C22C3" w:rsidRDefault="006C22C3" w:rsidP="006C22C3">
      <w:pPr>
        <w:shd w:val="clear" w:color="auto" w:fill="FFFFFF"/>
        <w:spacing w:before="100" w:beforeAutospacing="1" w:after="24" w:line="240" w:lineRule="auto"/>
        <w:ind w:left="567" w:hanging="567"/>
        <w:rPr>
          <w:rFonts w:cs="Times New Roman"/>
          <w:color w:val="202122"/>
          <w:szCs w:val="24"/>
        </w:rPr>
      </w:pPr>
      <w:r w:rsidRPr="006C22C3">
        <w:rPr>
          <w:rFonts w:cs="Times New Roman"/>
          <w:color w:val="222222"/>
          <w:szCs w:val="24"/>
          <w:shd w:val="clear" w:color="auto" w:fill="FFFFFF"/>
        </w:rPr>
        <w:t>Broome, J. (2016). The well-being of future generations.</w:t>
      </w:r>
    </w:p>
    <w:p w14:paraId="52754DA4" w14:textId="3DC04C4B" w:rsidR="006C22C3" w:rsidRPr="006C22C3" w:rsidRDefault="006C22C3" w:rsidP="006C22C3">
      <w:pPr>
        <w:shd w:val="clear" w:color="auto" w:fill="FFFFFF"/>
        <w:spacing w:before="100" w:beforeAutospacing="1" w:after="24" w:line="240" w:lineRule="auto"/>
        <w:ind w:left="567" w:hanging="567"/>
        <w:rPr>
          <w:rFonts w:cs="Times New Roman"/>
          <w:color w:val="202122"/>
          <w:szCs w:val="24"/>
        </w:rPr>
      </w:pPr>
      <w:r w:rsidRPr="006C22C3">
        <w:rPr>
          <w:rFonts w:cs="Times New Roman"/>
          <w:color w:val="222222"/>
          <w:szCs w:val="24"/>
          <w:shd w:val="clear" w:color="auto" w:fill="FFFFFF"/>
        </w:rPr>
        <w:t>Davies, H. (2016). The well-being of future generations (Wales) act 2015: duties or aspirations</w:t>
      </w:r>
      <w:r w:rsidR="003348F5">
        <w:rPr>
          <w:rFonts w:cs="Times New Roman"/>
          <w:color w:val="222222"/>
          <w:szCs w:val="24"/>
          <w:shd w:val="clear" w:color="auto" w:fill="FFFFFF"/>
        </w:rPr>
        <w:t>?</w:t>
      </w:r>
      <w:r w:rsidRPr="006C22C3">
        <w:rPr>
          <w:rFonts w:cs="Times New Roman"/>
          <w:color w:val="222222"/>
          <w:szCs w:val="24"/>
          <w:shd w:val="clear" w:color="auto" w:fill="FFFFFF"/>
        </w:rPr>
        <w:t> </w:t>
      </w:r>
      <w:r w:rsidRPr="006C22C3">
        <w:rPr>
          <w:rFonts w:cs="Times New Roman"/>
          <w:i/>
          <w:iCs/>
          <w:color w:val="222222"/>
          <w:szCs w:val="24"/>
          <w:shd w:val="clear" w:color="auto" w:fill="FFFFFF"/>
        </w:rPr>
        <w:t>Environmental Law Review</w:t>
      </w:r>
      <w:r w:rsidRPr="006C22C3">
        <w:rPr>
          <w:rFonts w:cs="Times New Roman"/>
          <w:color w:val="222222"/>
          <w:szCs w:val="24"/>
          <w:shd w:val="clear" w:color="auto" w:fill="FFFFFF"/>
        </w:rPr>
        <w:t>, </w:t>
      </w:r>
      <w:r w:rsidRPr="006C22C3">
        <w:rPr>
          <w:rFonts w:cs="Times New Roman"/>
          <w:i/>
          <w:iCs/>
          <w:color w:val="222222"/>
          <w:szCs w:val="24"/>
          <w:shd w:val="clear" w:color="auto" w:fill="FFFFFF"/>
        </w:rPr>
        <w:t>18</w:t>
      </w:r>
      <w:r w:rsidRPr="006C22C3">
        <w:rPr>
          <w:rFonts w:cs="Times New Roman"/>
          <w:color w:val="222222"/>
          <w:szCs w:val="24"/>
          <w:shd w:val="clear" w:color="auto" w:fill="FFFFFF"/>
        </w:rPr>
        <w:t>(1), 41</w:t>
      </w:r>
      <w:r w:rsidR="003348F5">
        <w:rPr>
          <w:rFonts w:cs="Times New Roman"/>
          <w:color w:val="222222"/>
          <w:szCs w:val="24"/>
          <w:shd w:val="clear" w:color="auto" w:fill="FFFFFF"/>
        </w:rPr>
        <w:t>–</w:t>
      </w:r>
      <w:r w:rsidRPr="006C22C3">
        <w:rPr>
          <w:rFonts w:cs="Times New Roman"/>
          <w:color w:val="222222"/>
          <w:szCs w:val="24"/>
          <w:shd w:val="clear" w:color="auto" w:fill="FFFFFF"/>
        </w:rPr>
        <w:t>56.</w:t>
      </w:r>
    </w:p>
    <w:p w14:paraId="79307433" w14:textId="6C8B6A29" w:rsidR="006C22C3" w:rsidRPr="006C22C3" w:rsidRDefault="006C22C3" w:rsidP="006C22C3">
      <w:pPr>
        <w:shd w:val="clear" w:color="auto" w:fill="FFFFFF"/>
        <w:spacing w:before="100" w:beforeAutospacing="1" w:after="24" w:line="240" w:lineRule="auto"/>
        <w:ind w:left="567" w:hanging="567"/>
        <w:rPr>
          <w:rFonts w:cs="Times New Roman"/>
          <w:color w:val="202122"/>
          <w:szCs w:val="24"/>
        </w:rPr>
      </w:pPr>
      <w:r w:rsidRPr="006C22C3">
        <w:rPr>
          <w:rFonts w:cs="Times New Roman"/>
          <w:color w:val="222222"/>
          <w:szCs w:val="24"/>
          <w:shd w:val="clear" w:color="auto" w:fill="FFFFFF"/>
        </w:rPr>
        <w:t>Davies, H. (2017). The Well-being of Future Generations (Wales) Act 2015—A Step Change in the Legal Protection of the Interests of Future Generations</w:t>
      </w:r>
      <w:r w:rsidR="003348F5">
        <w:rPr>
          <w:rFonts w:cs="Times New Roman"/>
          <w:color w:val="222222"/>
          <w:szCs w:val="24"/>
          <w:shd w:val="clear" w:color="auto" w:fill="FFFFFF"/>
        </w:rPr>
        <w:t>.</w:t>
      </w:r>
      <w:r w:rsidRPr="006C22C3">
        <w:rPr>
          <w:rFonts w:cs="Times New Roman"/>
          <w:color w:val="222222"/>
          <w:szCs w:val="24"/>
          <w:shd w:val="clear" w:color="auto" w:fill="FFFFFF"/>
        </w:rPr>
        <w:t> </w:t>
      </w:r>
      <w:r w:rsidRPr="006C22C3">
        <w:rPr>
          <w:rFonts w:cs="Times New Roman"/>
          <w:i/>
          <w:iCs/>
          <w:color w:val="222222"/>
          <w:szCs w:val="24"/>
          <w:shd w:val="clear" w:color="auto" w:fill="FFFFFF"/>
        </w:rPr>
        <w:t>Journal of Environmental Law</w:t>
      </w:r>
      <w:r w:rsidRPr="006C22C3">
        <w:rPr>
          <w:rFonts w:cs="Times New Roman"/>
          <w:color w:val="222222"/>
          <w:szCs w:val="24"/>
          <w:shd w:val="clear" w:color="auto" w:fill="FFFFFF"/>
        </w:rPr>
        <w:t>, </w:t>
      </w:r>
      <w:r w:rsidRPr="006C22C3">
        <w:rPr>
          <w:rFonts w:cs="Times New Roman"/>
          <w:i/>
          <w:iCs/>
          <w:color w:val="222222"/>
          <w:szCs w:val="24"/>
          <w:shd w:val="clear" w:color="auto" w:fill="FFFFFF"/>
        </w:rPr>
        <w:t>29</w:t>
      </w:r>
      <w:r w:rsidRPr="006C22C3">
        <w:rPr>
          <w:rFonts w:cs="Times New Roman"/>
          <w:color w:val="222222"/>
          <w:szCs w:val="24"/>
          <w:shd w:val="clear" w:color="auto" w:fill="FFFFFF"/>
        </w:rPr>
        <w:t>(1), 165</w:t>
      </w:r>
      <w:r w:rsidR="003348F5">
        <w:rPr>
          <w:rFonts w:cs="Times New Roman"/>
          <w:color w:val="222222"/>
          <w:szCs w:val="24"/>
          <w:shd w:val="clear" w:color="auto" w:fill="FFFFFF"/>
        </w:rPr>
        <w:t>–</w:t>
      </w:r>
      <w:r w:rsidRPr="006C22C3">
        <w:rPr>
          <w:rFonts w:cs="Times New Roman"/>
          <w:color w:val="222222"/>
          <w:szCs w:val="24"/>
          <w:shd w:val="clear" w:color="auto" w:fill="FFFFFF"/>
        </w:rPr>
        <w:t>175.</w:t>
      </w:r>
    </w:p>
    <w:p w14:paraId="52E6D0BF" w14:textId="01EAFAF6" w:rsidR="006C22C3" w:rsidRPr="006C22C3" w:rsidRDefault="006C22C3" w:rsidP="006C22C3">
      <w:pPr>
        <w:shd w:val="clear" w:color="auto" w:fill="FFFFFF"/>
        <w:spacing w:before="100" w:beforeAutospacing="1" w:after="24" w:line="240" w:lineRule="auto"/>
        <w:ind w:left="567"/>
        <w:rPr>
          <w:rFonts w:cs="Times New Roman"/>
          <w:color w:val="202122"/>
          <w:szCs w:val="24"/>
          <w:lang w:val="en-GB" w:eastAsia="en-GB"/>
        </w:rPr>
      </w:pPr>
      <w:r w:rsidRPr="006C22C3">
        <w:rPr>
          <w:rFonts w:cs="Times New Roman"/>
          <w:i/>
          <w:iCs/>
          <w:szCs w:val="24"/>
        </w:rPr>
        <w:t>Gov.</w:t>
      </w:r>
      <w:r w:rsidR="003348F5">
        <w:rPr>
          <w:rFonts w:cs="Times New Roman"/>
          <w:i/>
          <w:iCs/>
          <w:szCs w:val="24"/>
        </w:rPr>
        <w:t xml:space="preserve"> Wales</w:t>
      </w:r>
      <w:r w:rsidRPr="006C22C3">
        <w:rPr>
          <w:rFonts w:cs="Times New Roman"/>
          <w:szCs w:val="24"/>
        </w:rPr>
        <w:t xml:space="preserve"> (1969)</w:t>
      </w:r>
      <w:r w:rsidR="003348F5">
        <w:rPr>
          <w:rFonts w:cs="Times New Roman"/>
          <w:szCs w:val="24"/>
        </w:rPr>
        <w:t>.</w:t>
      </w:r>
      <w:r w:rsidRPr="006C22C3">
        <w:rPr>
          <w:rFonts w:cs="Times New Roman"/>
          <w:szCs w:val="24"/>
        </w:rPr>
        <w:t xml:space="preserve"> </w:t>
      </w:r>
      <w:r w:rsidRPr="006C22C3">
        <w:rPr>
          <w:rFonts w:cs="Times New Roman"/>
          <w:i/>
          <w:iCs/>
          <w:szCs w:val="24"/>
        </w:rPr>
        <w:t>GOV.WALES</w:t>
      </w:r>
      <w:r w:rsidRPr="006C22C3">
        <w:rPr>
          <w:rFonts w:cs="Times New Roman"/>
          <w:szCs w:val="24"/>
        </w:rPr>
        <w:t xml:space="preserve">. Available at: https://www.gov.wales/ (Accessed: 14 December 2023). </w:t>
      </w:r>
    </w:p>
    <w:p w14:paraId="7BE311EA" w14:textId="74143FE9" w:rsidR="006C22C3" w:rsidRPr="006C22C3" w:rsidRDefault="006C22C3" w:rsidP="006C22C3">
      <w:pPr>
        <w:shd w:val="clear" w:color="auto" w:fill="FFFFFF"/>
        <w:spacing w:before="100" w:beforeAutospacing="1" w:after="24" w:line="240" w:lineRule="auto"/>
        <w:ind w:left="567" w:hanging="567"/>
        <w:rPr>
          <w:rFonts w:cs="Times New Roman"/>
          <w:color w:val="202122"/>
          <w:szCs w:val="24"/>
        </w:rPr>
      </w:pPr>
      <w:r w:rsidRPr="006C22C3">
        <w:rPr>
          <w:rFonts w:cs="Times New Roman"/>
          <w:color w:val="222222"/>
          <w:szCs w:val="24"/>
          <w:shd w:val="clear" w:color="auto" w:fill="FFFFFF"/>
        </w:rPr>
        <w:t>Jones, R. (2019). Governing the future and the search for spatial justice: Wales' Well-being of Future Generations Act. </w:t>
      </w:r>
      <w:proofErr w:type="spellStart"/>
      <w:r w:rsidRPr="006C22C3">
        <w:rPr>
          <w:rFonts w:cs="Times New Roman"/>
          <w:i/>
          <w:iCs/>
          <w:color w:val="222222"/>
          <w:szCs w:val="24"/>
          <w:shd w:val="clear" w:color="auto" w:fill="FFFFFF"/>
        </w:rPr>
        <w:t>Fennia</w:t>
      </w:r>
      <w:proofErr w:type="spellEnd"/>
      <w:r w:rsidRPr="006C22C3">
        <w:rPr>
          <w:rFonts w:cs="Times New Roman"/>
          <w:i/>
          <w:iCs/>
          <w:color w:val="222222"/>
          <w:szCs w:val="24"/>
          <w:shd w:val="clear" w:color="auto" w:fill="FFFFFF"/>
        </w:rPr>
        <w:t>: International Journal of Geography</w:t>
      </w:r>
      <w:r w:rsidRPr="006C22C3">
        <w:rPr>
          <w:rFonts w:cs="Times New Roman"/>
          <w:color w:val="222222"/>
          <w:szCs w:val="24"/>
          <w:shd w:val="clear" w:color="auto" w:fill="FFFFFF"/>
        </w:rPr>
        <w:t>, </w:t>
      </w:r>
      <w:r w:rsidRPr="006C22C3">
        <w:rPr>
          <w:rFonts w:cs="Times New Roman"/>
          <w:i/>
          <w:iCs/>
          <w:color w:val="222222"/>
          <w:szCs w:val="24"/>
          <w:shd w:val="clear" w:color="auto" w:fill="FFFFFF"/>
        </w:rPr>
        <w:t>197</w:t>
      </w:r>
      <w:r w:rsidRPr="006C22C3">
        <w:rPr>
          <w:rFonts w:cs="Times New Roman"/>
          <w:color w:val="222222"/>
          <w:szCs w:val="24"/>
          <w:shd w:val="clear" w:color="auto" w:fill="FFFFFF"/>
        </w:rPr>
        <w:t>(1), 7</w:t>
      </w:r>
      <w:r w:rsidR="003348F5">
        <w:rPr>
          <w:rFonts w:cs="Times New Roman"/>
          <w:color w:val="222222"/>
          <w:szCs w:val="24"/>
          <w:shd w:val="clear" w:color="auto" w:fill="FFFFFF"/>
        </w:rPr>
        <w:t>–</w:t>
      </w:r>
      <w:r w:rsidRPr="006C22C3">
        <w:rPr>
          <w:rFonts w:cs="Times New Roman"/>
          <w:color w:val="222222"/>
          <w:szCs w:val="24"/>
          <w:shd w:val="clear" w:color="auto" w:fill="FFFFFF"/>
        </w:rPr>
        <w:t>23.</w:t>
      </w:r>
    </w:p>
    <w:p w14:paraId="513338BD" w14:textId="1579EFA3" w:rsidR="006C22C3" w:rsidRPr="006C22C3" w:rsidRDefault="006C22C3" w:rsidP="006C22C3">
      <w:pPr>
        <w:shd w:val="clear" w:color="auto" w:fill="FFFFFF"/>
        <w:spacing w:before="100" w:beforeAutospacing="1" w:after="24" w:line="240" w:lineRule="auto"/>
        <w:ind w:left="567"/>
        <w:rPr>
          <w:rFonts w:cs="Times New Roman"/>
          <w:color w:val="202122"/>
          <w:szCs w:val="24"/>
        </w:rPr>
      </w:pPr>
      <w:proofErr w:type="spellStart"/>
      <w:r w:rsidRPr="006C22C3">
        <w:rPr>
          <w:rFonts w:cs="Times New Roman"/>
          <w:color w:val="222222"/>
          <w:szCs w:val="24"/>
          <w:shd w:val="clear" w:color="auto" w:fill="FFFFFF"/>
        </w:rPr>
        <w:t>Nesom</w:t>
      </w:r>
      <w:proofErr w:type="spellEnd"/>
      <w:r w:rsidRPr="006C22C3">
        <w:rPr>
          <w:rFonts w:cs="Times New Roman"/>
          <w:color w:val="222222"/>
          <w:szCs w:val="24"/>
          <w:shd w:val="clear" w:color="auto" w:fill="FFFFFF"/>
        </w:rPr>
        <w:t xml:space="preserve">, S., &amp; </w:t>
      </w:r>
      <w:proofErr w:type="spellStart"/>
      <w:r w:rsidRPr="006C22C3">
        <w:rPr>
          <w:rFonts w:cs="Times New Roman"/>
          <w:color w:val="222222"/>
          <w:szCs w:val="24"/>
          <w:shd w:val="clear" w:color="auto" w:fill="FFFFFF"/>
        </w:rPr>
        <w:t>MacKillop</w:t>
      </w:r>
      <w:proofErr w:type="spellEnd"/>
      <w:r w:rsidRPr="006C22C3">
        <w:rPr>
          <w:rFonts w:cs="Times New Roman"/>
          <w:color w:val="222222"/>
          <w:szCs w:val="24"/>
          <w:shd w:val="clear" w:color="auto" w:fill="FFFFFF"/>
        </w:rPr>
        <w:t>, E. (2021). What matters in the implementation of sustainable development policies? Findings from the Well-Being of Future Generations (Wales) Act, 2015. </w:t>
      </w:r>
      <w:r w:rsidRPr="006C22C3">
        <w:rPr>
          <w:rFonts w:cs="Times New Roman"/>
          <w:i/>
          <w:iCs/>
          <w:color w:val="222222"/>
          <w:szCs w:val="24"/>
          <w:shd w:val="clear" w:color="auto" w:fill="FFFFFF"/>
        </w:rPr>
        <w:t>Journal of Environmental Policy &amp; Planning</w:t>
      </w:r>
      <w:r w:rsidRPr="006C22C3">
        <w:rPr>
          <w:rFonts w:cs="Times New Roman"/>
          <w:color w:val="222222"/>
          <w:szCs w:val="24"/>
          <w:shd w:val="clear" w:color="auto" w:fill="FFFFFF"/>
        </w:rPr>
        <w:t>, </w:t>
      </w:r>
      <w:r w:rsidRPr="006C22C3">
        <w:rPr>
          <w:rFonts w:cs="Times New Roman"/>
          <w:i/>
          <w:iCs/>
          <w:color w:val="222222"/>
          <w:szCs w:val="24"/>
          <w:shd w:val="clear" w:color="auto" w:fill="FFFFFF"/>
        </w:rPr>
        <w:t>23</w:t>
      </w:r>
      <w:r w:rsidRPr="006C22C3">
        <w:rPr>
          <w:rFonts w:cs="Times New Roman"/>
          <w:color w:val="222222"/>
          <w:szCs w:val="24"/>
          <w:shd w:val="clear" w:color="auto" w:fill="FFFFFF"/>
        </w:rPr>
        <w:t>(4), 432</w:t>
      </w:r>
      <w:r w:rsidR="003348F5">
        <w:rPr>
          <w:rFonts w:cs="Times New Roman"/>
          <w:color w:val="222222"/>
          <w:szCs w:val="24"/>
          <w:shd w:val="clear" w:color="auto" w:fill="FFFFFF"/>
        </w:rPr>
        <w:t>–</w:t>
      </w:r>
      <w:r w:rsidRPr="006C22C3">
        <w:rPr>
          <w:rFonts w:cs="Times New Roman"/>
          <w:color w:val="222222"/>
          <w:szCs w:val="24"/>
          <w:shd w:val="clear" w:color="auto" w:fill="FFFFFF"/>
        </w:rPr>
        <w:t>445.</w:t>
      </w:r>
    </w:p>
    <w:p w14:paraId="351498E1" w14:textId="77777777" w:rsidR="006C22C3" w:rsidRPr="006C22C3" w:rsidRDefault="006C22C3" w:rsidP="006C22C3">
      <w:pPr>
        <w:pStyle w:val="NormalWeb"/>
        <w:ind w:left="567" w:hanging="567"/>
      </w:pPr>
      <w:r w:rsidRPr="006C22C3">
        <w:rPr>
          <w:i/>
          <w:iCs/>
        </w:rPr>
        <w:t>The well-being of future generations</w:t>
      </w:r>
      <w:r w:rsidRPr="006C22C3">
        <w:t xml:space="preserve"> (no date) </w:t>
      </w:r>
      <w:r w:rsidRPr="006C22C3">
        <w:rPr>
          <w:i/>
          <w:iCs/>
        </w:rPr>
        <w:t>GOV.WALES</w:t>
      </w:r>
      <w:r w:rsidRPr="006C22C3">
        <w:t xml:space="preserve">. Available at: https://www.gov.wales/well-being-of-future-generations-wales (Accessed: 04 December 2023). </w:t>
      </w:r>
    </w:p>
    <w:p w14:paraId="7239D0FE" w14:textId="77777777" w:rsidR="006C22C3" w:rsidRPr="006C22C3" w:rsidRDefault="006C22C3" w:rsidP="006C22C3">
      <w:pPr>
        <w:pStyle w:val="NormalWeb"/>
        <w:ind w:left="567" w:hanging="567"/>
      </w:pPr>
      <w:r w:rsidRPr="006C22C3">
        <w:rPr>
          <w:i/>
          <w:iCs/>
        </w:rPr>
        <w:t>Well-being of Future Generations (Wales) Act 2015: The essentials | gov</w:t>
      </w:r>
      <w:r w:rsidRPr="006C22C3">
        <w:t xml:space="preserve">. Available at: https://www.gov.wales/sites/default/files/pdf-versions/2023/7/2/1688462036/well-being-future-generations-act-essentials.pdf (Accessed: 04 December 2023). </w:t>
      </w:r>
    </w:p>
    <w:p w14:paraId="06BED3F0" w14:textId="77777777" w:rsidR="00645F37" w:rsidRPr="002966D7" w:rsidRDefault="00645F37" w:rsidP="00645F37">
      <w:pPr>
        <w:shd w:val="clear" w:color="auto" w:fill="FFFFFF"/>
        <w:spacing w:before="100" w:beforeAutospacing="1" w:after="24" w:line="240" w:lineRule="auto"/>
        <w:ind w:left="1488"/>
        <w:rPr>
          <w:rFonts w:cs="Times New Roman"/>
          <w:color w:val="202122"/>
          <w:sz w:val="22"/>
        </w:rPr>
      </w:pPr>
    </w:p>
    <w:p w14:paraId="61D54B5E" w14:textId="77777777" w:rsidR="00645F37" w:rsidRPr="002966D7" w:rsidRDefault="00645F37" w:rsidP="00645F37">
      <w:pPr>
        <w:ind w:left="567" w:hanging="567"/>
        <w:rPr>
          <w:rFonts w:cs="Times New Roman"/>
          <w:color w:val="222222"/>
          <w:sz w:val="22"/>
          <w:shd w:val="clear" w:color="auto" w:fill="FFFFFF"/>
        </w:rPr>
      </w:pPr>
    </w:p>
    <w:p w14:paraId="44C5659E" w14:textId="77777777" w:rsidR="00645F37" w:rsidRDefault="00645F37" w:rsidP="00FD4BA0">
      <w:pPr>
        <w:pStyle w:val="NormalWeb"/>
        <w:ind w:left="567" w:hanging="567"/>
      </w:pPr>
    </w:p>
    <w:p w14:paraId="2690C06E" w14:textId="77777777" w:rsidR="00FD4BA0" w:rsidRDefault="00FD4BA0" w:rsidP="00E538F6">
      <w:pPr>
        <w:pStyle w:val="NormalWeb"/>
        <w:ind w:left="567" w:hanging="567"/>
      </w:pPr>
    </w:p>
    <w:p w14:paraId="61DCCCDE" w14:textId="77777777" w:rsidR="00E538F6" w:rsidRDefault="00E538F6" w:rsidP="00BB03A1">
      <w:pPr>
        <w:pStyle w:val="NormalWeb"/>
        <w:ind w:left="567" w:hanging="567"/>
      </w:pPr>
    </w:p>
    <w:p w14:paraId="2AB3DE73" w14:textId="77777777" w:rsidR="00BB03A1" w:rsidRPr="00BB03A1" w:rsidRDefault="00BB03A1" w:rsidP="00BB03A1"/>
    <w:sectPr w:rsidR="00BB03A1" w:rsidRPr="00BB0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D5462"/>
    <w:multiLevelType w:val="multilevel"/>
    <w:tmpl w:val="D4382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43D0F"/>
    <w:multiLevelType w:val="hybridMultilevel"/>
    <w:tmpl w:val="427C02EA"/>
    <w:lvl w:ilvl="0" w:tplc="4080F8E4">
      <w:start w:val="1"/>
      <w:numFmt w:val="decimal"/>
      <w:pStyle w:val="Heading1"/>
      <w:lvlText w:val="%1."/>
      <w:lvlJc w:val="left"/>
      <w:pPr>
        <w:ind w:left="720" w:hanging="360"/>
      </w:pPr>
    </w:lvl>
    <w:lvl w:ilvl="1" w:tplc="C4F22BC6" w:tentative="1">
      <w:start w:val="1"/>
      <w:numFmt w:val="lowerLetter"/>
      <w:lvlText w:val="%2."/>
      <w:lvlJc w:val="left"/>
      <w:pPr>
        <w:ind w:left="1440" w:hanging="360"/>
      </w:pPr>
    </w:lvl>
    <w:lvl w:ilvl="2" w:tplc="CBD2E6E2" w:tentative="1">
      <w:start w:val="1"/>
      <w:numFmt w:val="lowerRoman"/>
      <w:lvlText w:val="%3."/>
      <w:lvlJc w:val="right"/>
      <w:pPr>
        <w:ind w:left="2160" w:hanging="180"/>
      </w:pPr>
    </w:lvl>
    <w:lvl w:ilvl="3" w:tplc="193C810C" w:tentative="1">
      <w:start w:val="1"/>
      <w:numFmt w:val="decimal"/>
      <w:lvlText w:val="%4."/>
      <w:lvlJc w:val="left"/>
      <w:pPr>
        <w:ind w:left="2880" w:hanging="360"/>
      </w:pPr>
    </w:lvl>
    <w:lvl w:ilvl="4" w:tplc="4F78270A" w:tentative="1">
      <w:start w:val="1"/>
      <w:numFmt w:val="lowerLetter"/>
      <w:lvlText w:val="%5."/>
      <w:lvlJc w:val="left"/>
      <w:pPr>
        <w:ind w:left="3600" w:hanging="360"/>
      </w:pPr>
    </w:lvl>
    <w:lvl w:ilvl="5" w:tplc="12A480C8" w:tentative="1">
      <w:start w:val="1"/>
      <w:numFmt w:val="lowerRoman"/>
      <w:lvlText w:val="%6."/>
      <w:lvlJc w:val="right"/>
      <w:pPr>
        <w:ind w:left="4320" w:hanging="180"/>
      </w:pPr>
    </w:lvl>
    <w:lvl w:ilvl="6" w:tplc="ED4AB564" w:tentative="1">
      <w:start w:val="1"/>
      <w:numFmt w:val="decimal"/>
      <w:lvlText w:val="%7."/>
      <w:lvlJc w:val="left"/>
      <w:pPr>
        <w:ind w:left="5040" w:hanging="360"/>
      </w:pPr>
    </w:lvl>
    <w:lvl w:ilvl="7" w:tplc="6D06E42E" w:tentative="1">
      <w:start w:val="1"/>
      <w:numFmt w:val="lowerLetter"/>
      <w:lvlText w:val="%8."/>
      <w:lvlJc w:val="left"/>
      <w:pPr>
        <w:ind w:left="5760" w:hanging="360"/>
      </w:pPr>
    </w:lvl>
    <w:lvl w:ilvl="8" w:tplc="5B7E6B64" w:tentative="1">
      <w:start w:val="1"/>
      <w:numFmt w:val="lowerRoman"/>
      <w:lvlText w:val="%9."/>
      <w:lvlJc w:val="right"/>
      <w:pPr>
        <w:ind w:left="6480" w:hanging="180"/>
      </w:pPr>
    </w:lvl>
  </w:abstractNum>
  <w:abstractNum w:abstractNumId="2" w15:restartNumberingAfterBreak="0">
    <w:nsid w:val="3DFE7B63"/>
    <w:multiLevelType w:val="hybridMultilevel"/>
    <w:tmpl w:val="6DAE184C"/>
    <w:lvl w:ilvl="0" w:tplc="92D0E0A6">
      <w:start w:val="1"/>
      <w:numFmt w:val="decimal"/>
      <w:lvlText w:val="%1."/>
      <w:lvlJc w:val="left"/>
      <w:pPr>
        <w:ind w:left="720" w:hanging="360"/>
      </w:pPr>
      <w:rPr>
        <w:rFonts w:hint="default"/>
      </w:rPr>
    </w:lvl>
    <w:lvl w:ilvl="1" w:tplc="DB862920" w:tentative="1">
      <w:start w:val="1"/>
      <w:numFmt w:val="lowerLetter"/>
      <w:lvlText w:val="%2."/>
      <w:lvlJc w:val="left"/>
      <w:pPr>
        <w:ind w:left="1440" w:hanging="360"/>
      </w:pPr>
    </w:lvl>
    <w:lvl w:ilvl="2" w:tplc="1840C200" w:tentative="1">
      <w:start w:val="1"/>
      <w:numFmt w:val="lowerRoman"/>
      <w:lvlText w:val="%3."/>
      <w:lvlJc w:val="right"/>
      <w:pPr>
        <w:ind w:left="2160" w:hanging="180"/>
      </w:pPr>
    </w:lvl>
    <w:lvl w:ilvl="3" w:tplc="096A76B2" w:tentative="1">
      <w:start w:val="1"/>
      <w:numFmt w:val="decimal"/>
      <w:lvlText w:val="%4."/>
      <w:lvlJc w:val="left"/>
      <w:pPr>
        <w:ind w:left="2880" w:hanging="360"/>
      </w:pPr>
    </w:lvl>
    <w:lvl w:ilvl="4" w:tplc="1E5C1C1A" w:tentative="1">
      <w:start w:val="1"/>
      <w:numFmt w:val="lowerLetter"/>
      <w:lvlText w:val="%5."/>
      <w:lvlJc w:val="left"/>
      <w:pPr>
        <w:ind w:left="3600" w:hanging="360"/>
      </w:pPr>
    </w:lvl>
    <w:lvl w:ilvl="5" w:tplc="6AEC6D32" w:tentative="1">
      <w:start w:val="1"/>
      <w:numFmt w:val="lowerRoman"/>
      <w:lvlText w:val="%6."/>
      <w:lvlJc w:val="right"/>
      <w:pPr>
        <w:ind w:left="4320" w:hanging="180"/>
      </w:pPr>
    </w:lvl>
    <w:lvl w:ilvl="6" w:tplc="7A966D20" w:tentative="1">
      <w:start w:val="1"/>
      <w:numFmt w:val="decimal"/>
      <w:lvlText w:val="%7."/>
      <w:lvlJc w:val="left"/>
      <w:pPr>
        <w:ind w:left="5040" w:hanging="360"/>
      </w:pPr>
    </w:lvl>
    <w:lvl w:ilvl="7" w:tplc="D1C4E824" w:tentative="1">
      <w:start w:val="1"/>
      <w:numFmt w:val="lowerLetter"/>
      <w:lvlText w:val="%8."/>
      <w:lvlJc w:val="left"/>
      <w:pPr>
        <w:ind w:left="5760" w:hanging="360"/>
      </w:pPr>
    </w:lvl>
    <w:lvl w:ilvl="8" w:tplc="5142E042" w:tentative="1">
      <w:start w:val="1"/>
      <w:numFmt w:val="lowerRoman"/>
      <w:lvlText w:val="%9."/>
      <w:lvlJc w:val="right"/>
      <w:pPr>
        <w:ind w:left="6480" w:hanging="180"/>
      </w:pPr>
    </w:lvl>
  </w:abstractNum>
  <w:abstractNum w:abstractNumId="3" w15:restartNumberingAfterBreak="0">
    <w:nsid w:val="5D5A0FAF"/>
    <w:multiLevelType w:val="hybridMultilevel"/>
    <w:tmpl w:val="AE58DD8C"/>
    <w:lvl w:ilvl="0" w:tplc="42C61186">
      <w:start w:val="1"/>
      <w:numFmt w:val="decimal"/>
      <w:lvlText w:val="%1.1"/>
      <w:lvlJc w:val="left"/>
      <w:pPr>
        <w:ind w:left="720" w:hanging="360"/>
      </w:pPr>
      <w:rPr>
        <w:rFonts w:hint="default"/>
      </w:rPr>
    </w:lvl>
    <w:lvl w:ilvl="1" w:tplc="A830ECE2" w:tentative="1">
      <w:start w:val="1"/>
      <w:numFmt w:val="lowerLetter"/>
      <w:lvlText w:val="%2."/>
      <w:lvlJc w:val="left"/>
      <w:pPr>
        <w:ind w:left="1440" w:hanging="360"/>
      </w:pPr>
    </w:lvl>
    <w:lvl w:ilvl="2" w:tplc="2884ACF8" w:tentative="1">
      <w:start w:val="1"/>
      <w:numFmt w:val="lowerRoman"/>
      <w:lvlText w:val="%3."/>
      <w:lvlJc w:val="right"/>
      <w:pPr>
        <w:ind w:left="2160" w:hanging="180"/>
      </w:pPr>
    </w:lvl>
    <w:lvl w:ilvl="3" w:tplc="4C4EA1C0" w:tentative="1">
      <w:start w:val="1"/>
      <w:numFmt w:val="decimal"/>
      <w:lvlText w:val="%4."/>
      <w:lvlJc w:val="left"/>
      <w:pPr>
        <w:ind w:left="2880" w:hanging="360"/>
      </w:pPr>
    </w:lvl>
    <w:lvl w:ilvl="4" w:tplc="C59C8F18" w:tentative="1">
      <w:start w:val="1"/>
      <w:numFmt w:val="lowerLetter"/>
      <w:lvlText w:val="%5."/>
      <w:lvlJc w:val="left"/>
      <w:pPr>
        <w:ind w:left="3600" w:hanging="360"/>
      </w:pPr>
    </w:lvl>
    <w:lvl w:ilvl="5" w:tplc="2274FDD2" w:tentative="1">
      <w:start w:val="1"/>
      <w:numFmt w:val="lowerRoman"/>
      <w:lvlText w:val="%6."/>
      <w:lvlJc w:val="right"/>
      <w:pPr>
        <w:ind w:left="4320" w:hanging="180"/>
      </w:pPr>
    </w:lvl>
    <w:lvl w:ilvl="6" w:tplc="EEF013EE" w:tentative="1">
      <w:start w:val="1"/>
      <w:numFmt w:val="decimal"/>
      <w:lvlText w:val="%7."/>
      <w:lvlJc w:val="left"/>
      <w:pPr>
        <w:ind w:left="5040" w:hanging="360"/>
      </w:pPr>
    </w:lvl>
    <w:lvl w:ilvl="7" w:tplc="107A53FA" w:tentative="1">
      <w:start w:val="1"/>
      <w:numFmt w:val="lowerLetter"/>
      <w:lvlText w:val="%8."/>
      <w:lvlJc w:val="left"/>
      <w:pPr>
        <w:ind w:left="5760" w:hanging="360"/>
      </w:pPr>
    </w:lvl>
    <w:lvl w:ilvl="8" w:tplc="0F44110E" w:tentative="1">
      <w:start w:val="1"/>
      <w:numFmt w:val="lowerRoman"/>
      <w:lvlText w:val="%9."/>
      <w:lvlJc w:val="right"/>
      <w:pPr>
        <w:ind w:left="6480" w:hanging="180"/>
      </w:pPr>
    </w:lvl>
  </w:abstractNum>
  <w:abstractNum w:abstractNumId="4" w15:restartNumberingAfterBreak="0">
    <w:nsid w:val="73641B28"/>
    <w:multiLevelType w:val="hybridMultilevel"/>
    <w:tmpl w:val="E750A2C2"/>
    <w:lvl w:ilvl="0" w:tplc="ABC4E7DC">
      <w:start w:val="1"/>
      <w:numFmt w:val="decimal"/>
      <w:lvlText w:val="%1.1.1"/>
      <w:lvlJc w:val="left"/>
      <w:pPr>
        <w:ind w:left="720" w:hanging="360"/>
      </w:pPr>
      <w:rPr>
        <w:rFonts w:hint="default"/>
      </w:rPr>
    </w:lvl>
    <w:lvl w:ilvl="1" w:tplc="7602BB32" w:tentative="1">
      <w:start w:val="1"/>
      <w:numFmt w:val="lowerLetter"/>
      <w:lvlText w:val="%2."/>
      <w:lvlJc w:val="left"/>
      <w:pPr>
        <w:ind w:left="1440" w:hanging="360"/>
      </w:pPr>
    </w:lvl>
    <w:lvl w:ilvl="2" w:tplc="E904E43E" w:tentative="1">
      <w:start w:val="1"/>
      <w:numFmt w:val="lowerRoman"/>
      <w:lvlText w:val="%3."/>
      <w:lvlJc w:val="right"/>
      <w:pPr>
        <w:ind w:left="2160" w:hanging="180"/>
      </w:pPr>
    </w:lvl>
    <w:lvl w:ilvl="3" w:tplc="A45832E6" w:tentative="1">
      <w:start w:val="1"/>
      <w:numFmt w:val="decimal"/>
      <w:lvlText w:val="%4."/>
      <w:lvlJc w:val="left"/>
      <w:pPr>
        <w:ind w:left="2880" w:hanging="360"/>
      </w:pPr>
    </w:lvl>
    <w:lvl w:ilvl="4" w:tplc="00342C02" w:tentative="1">
      <w:start w:val="1"/>
      <w:numFmt w:val="lowerLetter"/>
      <w:lvlText w:val="%5."/>
      <w:lvlJc w:val="left"/>
      <w:pPr>
        <w:ind w:left="3600" w:hanging="360"/>
      </w:pPr>
    </w:lvl>
    <w:lvl w:ilvl="5" w:tplc="D38E67F0" w:tentative="1">
      <w:start w:val="1"/>
      <w:numFmt w:val="lowerRoman"/>
      <w:lvlText w:val="%6."/>
      <w:lvlJc w:val="right"/>
      <w:pPr>
        <w:ind w:left="4320" w:hanging="180"/>
      </w:pPr>
    </w:lvl>
    <w:lvl w:ilvl="6" w:tplc="DA6860C6" w:tentative="1">
      <w:start w:val="1"/>
      <w:numFmt w:val="decimal"/>
      <w:lvlText w:val="%7."/>
      <w:lvlJc w:val="left"/>
      <w:pPr>
        <w:ind w:left="5040" w:hanging="360"/>
      </w:pPr>
    </w:lvl>
    <w:lvl w:ilvl="7" w:tplc="11CE6BB6" w:tentative="1">
      <w:start w:val="1"/>
      <w:numFmt w:val="lowerLetter"/>
      <w:lvlText w:val="%8."/>
      <w:lvlJc w:val="left"/>
      <w:pPr>
        <w:ind w:left="5760" w:hanging="360"/>
      </w:pPr>
    </w:lvl>
    <w:lvl w:ilvl="8" w:tplc="AA9CA9B2" w:tentative="1">
      <w:start w:val="1"/>
      <w:numFmt w:val="lowerRoman"/>
      <w:lvlText w:val="%9."/>
      <w:lvlJc w:val="right"/>
      <w:pPr>
        <w:ind w:left="6480" w:hanging="180"/>
      </w:pPr>
    </w:lvl>
  </w:abstractNum>
  <w:num w:numId="1" w16cid:durableId="594099977">
    <w:abstractNumId w:val="3"/>
  </w:num>
  <w:num w:numId="2" w16cid:durableId="1356073702">
    <w:abstractNumId w:val="1"/>
  </w:num>
  <w:num w:numId="3" w16cid:durableId="704907758">
    <w:abstractNumId w:val="4"/>
  </w:num>
  <w:num w:numId="4" w16cid:durableId="847986208">
    <w:abstractNumId w:val="2"/>
  </w:num>
  <w:num w:numId="5" w16cid:durableId="230048894">
    <w:abstractNumId w:val="1"/>
    <w:lvlOverride w:ilvl="0">
      <w:startOverride w:val="1"/>
    </w:lvlOverride>
  </w:num>
  <w:num w:numId="6" w16cid:durableId="1968199576">
    <w:abstractNumId w:val="1"/>
    <w:lvlOverride w:ilvl="0">
      <w:startOverride w:val="1"/>
    </w:lvlOverride>
  </w:num>
  <w:num w:numId="7" w16cid:durableId="399601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hideSpellingErrors/>
  <w:hideGrammaticalError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446"/>
    <w:rsid w:val="00011D48"/>
    <w:rsid w:val="00036A5B"/>
    <w:rsid w:val="000431F7"/>
    <w:rsid w:val="00050A5C"/>
    <w:rsid w:val="000A4446"/>
    <w:rsid w:val="000C23B1"/>
    <w:rsid w:val="000C294C"/>
    <w:rsid w:val="000D660A"/>
    <w:rsid w:val="000E5A69"/>
    <w:rsid w:val="000F1959"/>
    <w:rsid w:val="0012513F"/>
    <w:rsid w:val="00140676"/>
    <w:rsid w:val="001470D8"/>
    <w:rsid w:val="00180689"/>
    <w:rsid w:val="001B7319"/>
    <w:rsid w:val="001C0F38"/>
    <w:rsid w:val="001C6A4D"/>
    <w:rsid w:val="001E1267"/>
    <w:rsid w:val="001E3986"/>
    <w:rsid w:val="002151F3"/>
    <w:rsid w:val="00241126"/>
    <w:rsid w:val="00241B8E"/>
    <w:rsid w:val="00252575"/>
    <w:rsid w:val="002816F3"/>
    <w:rsid w:val="002A6B07"/>
    <w:rsid w:val="002D7799"/>
    <w:rsid w:val="0031403C"/>
    <w:rsid w:val="003348F5"/>
    <w:rsid w:val="00341AB7"/>
    <w:rsid w:val="00342380"/>
    <w:rsid w:val="003508CE"/>
    <w:rsid w:val="003608DB"/>
    <w:rsid w:val="00385DE0"/>
    <w:rsid w:val="003A3116"/>
    <w:rsid w:val="003A49DB"/>
    <w:rsid w:val="003A6237"/>
    <w:rsid w:val="003D31A9"/>
    <w:rsid w:val="003D76C5"/>
    <w:rsid w:val="00402F33"/>
    <w:rsid w:val="0046413E"/>
    <w:rsid w:val="005040AF"/>
    <w:rsid w:val="00524803"/>
    <w:rsid w:val="00542BA4"/>
    <w:rsid w:val="0055380A"/>
    <w:rsid w:val="00557DC9"/>
    <w:rsid w:val="00563CCD"/>
    <w:rsid w:val="005659BE"/>
    <w:rsid w:val="00580182"/>
    <w:rsid w:val="00591C93"/>
    <w:rsid w:val="005A0180"/>
    <w:rsid w:val="005B3A24"/>
    <w:rsid w:val="005C1B5F"/>
    <w:rsid w:val="005E07C6"/>
    <w:rsid w:val="00605033"/>
    <w:rsid w:val="00612762"/>
    <w:rsid w:val="006325D6"/>
    <w:rsid w:val="00634493"/>
    <w:rsid w:val="00645F37"/>
    <w:rsid w:val="0065554F"/>
    <w:rsid w:val="00661F3D"/>
    <w:rsid w:val="00681C16"/>
    <w:rsid w:val="00685E34"/>
    <w:rsid w:val="00692478"/>
    <w:rsid w:val="006C22C3"/>
    <w:rsid w:val="006E3F19"/>
    <w:rsid w:val="006E7CE5"/>
    <w:rsid w:val="006F3F4E"/>
    <w:rsid w:val="006F5955"/>
    <w:rsid w:val="006F64F3"/>
    <w:rsid w:val="0075731A"/>
    <w:rsid w:val="007A028C"/>
    <w:rsid w:val="007F1D40"/>
    <w:rsid w:val="00821414"/>
    <w:rsid w:val="00822C3F"/>
    <w:rsid w:val="008313EF"/>
    <w:rsid w:val="00832A47"/>
    <w:rsid w:val="0085320E"/>
    <w:rsid w:val="00873AA9"/>
    <w:rsid w:val="00875950"/>
    <w:rsid w:val="00887486"/>
    <w:rsid w:val="008B46C5"/>
    <w:rsid w:val="008C73C4"/>
    <w:rsid w:val="008D272D"/>
    <w:rsid w:val="008D33E2"/>
    <w:rsid w:val="008E0C00"/>
    <w:rsid w:val="009471F5"/>
    <w:rsid w:val="00954087"/>
    <w:rsid w:val="00954D44"/>
    <w:rsid w:val="00991588"/>
    <w:rsid w:val="009B07F4"/>
    <w:rsid w:val="009B4723"/>
    <w:rsid w:val="009C504B"/>
    <w:rsid w:val="009D24E1"/>
    <w:rsid w:val="00A05BF9"/>
    <w:rsid w:val="00A0667A"/>
    <w:rsid w:val="00A21C43"/>
    <w:rsid w:val="00A22F7A"/>
    <w:rsid w:val="00A30737"/>
    <w:rsid w:val="00A52D9D"/>
    <w:rsid w:val="00A664A5"/>
    <w:rsid w:val="00A70D7D"/>
    <w:rsid w:val="00AB5708"/>
    <w:rsid w:val="00AD10E0"/>
    <w:rsid w:val="00AD6ADA"/>
    <w:rsid w:val="00B20EAB"/>
    <w:rsid w:val="00B41606"/>
    <w:rsid w:val="00B45194"/>
    <w:rsid w:val="00B507D2"/>
    <w:rsid w:val="00B64C12"/>
    <w:rsid w:val="00B759CA"/>
    <w:rsid w:val="00B942B3"/>
    <w:rsid w:val="00BA32EE"/>
    <w:rsid w:val="00BA6880"/>
    <w:rsid w:val="00BB03A1"/>
    <w:rsid w:val="00BB4A07"/>
    <w:rsid w:val="00BC3080"/>
    <w:rsid w:val="00BE2DB7"/>
    <w:rsid w:val="00BE7EBA"/>
    <w:rsid w:val="00BF33BC"/>
    <w:rsid w:val="00C35DFB"/>
    <w:rsid w:val="00C74429"/>
    <w:rsid w:val="00C82197"/>
    <w:rsid w:val="00CB38FE"/>
    <w:rsid w:val="00CC6500"/>
    <w:rsid w:val="00CD07CE"/>
    <w:rsid w:val="00CE078A"/>
    <w:rsid w:val="00D067F1"/>
    <w:rsid w:val="00D40924"/>
    <w:rsid w:val="00D41CF6"/>
    <w:rsid w:val="00D647CA"/>
    <w:rsid w:val="00D6730A"/>
    <w:rsid w:val="00D77DE9"/>
    <w:rsid w:val="00DE3ED0"/>
    <w:rsid w:val="00DF6072"/>
    <w:rsid w:val="00E12B0F"/>
    <w:rsid w:val="00E2098A"/>
    <w:rsid w:val="00E538F6"/>
    <w:rsid w:val="00E56DCE"/>
    <w:rsid w:val="00E669E3"/>
    <w:rsid w:val="00E90915"/>
    <w:rsid w:val="00F05126"/>
    <w:rsid w:val="00F109CA"/>
    <w:rsid w:val="00F33EFB"/>
    <w:rsid w:val="00F81271"/>
    <w:rsid w:val="00F92E80"/>
    <w:rsid w:val="00FA1463"/>
    <w:rsid w:val="00FA47CE"/>
    <w:rsid w:val="00FB0651"/>
    <w:rsid w:val="00FD4BA0"/>
    <w:rsid w:val="00FE2B8D"/>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D0A657"/>
  <w15:chartTrackingRefBased/>
  <w15:docId w15:val="{1E776E13-4E57-4A3F-B85F-76325F8FB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9D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F64F3"/>
    <w:pPr>
      <w:keepNext/>
      <w:keepLines/>
      <w:numPr>
        <w:numId w:val="2"/>
      </w:numPr>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AD10E0"/>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887486"/>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4F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D10E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3A49DB"/>
    <w:rPr>
      <w:rFonts w:ascii="Times New Roman" w:eastAsiaTheme="majorEastAsia" w:hAnsi="Times New Roman" w:cstheme="majorBidi"/>
      <w:b/>
      <w:color w:val="1F3763" w:themeColor="accent1" w:themeShade="7F"/>
      <w:sz w:val="24"/>
      <w:szCs w:val="24"/>
    </w:rPr>
  </w:style>
  <w:style w:type="paragraph" w:styleId="NormalWeb">
    <w:name w:val="Normal (Web)"/>
    <w:basedOn w:val="Normal"/>
    <w:uiPriority w:val="99"/>
    <w:semiHidden/>
    <w:unhideWhenUsed/>
    <w:rsid w:val="00BB03A1"/>
    <w:pPr>
      <w:spacing w:before="100" w:beforeAutospacing="1" w:after="100" w:afterAutospacing="1" w:line="240" w:lineRule="auto"/>
      <w:jc w:val="left"/>
    </w:pPr>
    <w:rPr>
      <w:rFonts w:eastAsia="Times New Roman" w:cs="Times New Roman"/>
      <w:kern w:val="0"/>
      <w:szCs w:val="24"/>
      <w:lang w:eastAsia="en-ZA"/>
      <w14:ligatures w14:val="none"/>
    </w:rPr>
  </w:style>
  <w:style w:type="character" w:styleId="HTMLCite">
    <w:name w:val="HTML Cite"/>
    <w:basedOn w:val="DefaultParagraphFont"/>
    <w:uiPriority w:val="99"/>
    <w:semiHidden/>
    <w:unhideWhenUsed/>
    <w:rsid w:val="00645F37"/>
    <w:rPr>
      <w:i/>
      <w:iCs/>
    </w:rPr>
  </w:style>
  <w:style w:type="character" w:styleId="Hyperlink">
    <w:name w:val="Hyperlink"/>
    <w:basedOn w:val="DefaultParagraphFont"/>
    <w:uiPriority w:val="99"/>
    <w:unhideWhenUsed/>
    <w:rsid w:val="00645F37"/>
    <w:rPr>
      <w:color w:val="0000FF"/>
      <w:u w:val="single"/>
    </w:rPr>
  </w:style>
  <w:style w:type="character" w:customStyle="1" w:styleId="reference-accessdate">
    <w:name w:val="reference-accessdate"/>
    <w:basedOn w:val="DefaultParagraphFont"/>
    <w:rsid w:val="00645F37"/>
  </w:style>
  <w:style w:type="character" w:customStyle="1" w:styleId="nowrap">
    <w:name w:val="nowrap"/>
    <w:basedOn w:val="DefaultParagraphFont"/>
    <w:rsid w:val="00645F37"/>
  </w:style>
  <w:style w:type="character" w:customStyle="1" w:styleId="mw-cite-backlink">
    <w:name w:val="mw-cite-backlink"/>
    <w:basedOn w:val="DefaultParagraphFont"/>
    <w:rsid w:val="00645F37"/>
  </w:style>
  <w:style w:type="character" w:customStyle="1" w:styleId="cs1-format">
    <w:name w:val="cs1-format"/>
    <w:basedOn w:val="DefaultParagraphFont"/>
    <w:rsid w:val="00645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282725">
      <w:bodyDiv w:val="1"/>
      <w:marLeft w:val="0"/>
      <w:marRight w:val="0"/>
      <w:marTop w:val="0"/>
      <w:marBottom w:val="0"/>
      <w:divBdr>
        <w:top w:val="none" w:sz="0" w:space="0" w:color="auto"/>
        <w:left w:val="none" w:sz="0" w:space="0" w:color="auto"/>
        <w:bottom w:val="none" w:sz="0" w:space="0" w:color="auto"/>
        <w:right w:val="none" w:sz="0" w:space="0" w:color="auto"/>
      </w:divBdr>
    </w:div>
    <w:div w:id="537159045">
      <w:bodyDiv w:val="1"/>
      <w:marLeft w:val="0"/>
      <w:marRight w:val="0"/>
      <w:marTop w:val="0"/>
      <w:marBottom w:val="0"/>
      <w:divBdr>
        <w:top w:val="none" w:sz="0" w:space="0" w:color="auto"/>
        <w:left w:val="none" w:sz="0" w:space="0" w:color="auto"/>
        <w:bottom w:val="none" w:sz="0" w:space="0" w:color="auto"/>
        <w:right w:val="none" w:sz="0" w:space="0" w:color="auto"/>
      </w:divBdr>
    </w:div>
    <w:div w:id="2115664181">
      <w:bodyDiv w:val="1"/>
      <w:marLeft w:val="0"/>
      <w:marRight w:val="0"/>
      <w:marTop w:val="0"/>
      <w:marBottom w:val="0"/>
      <w:divBdr>
        <w:top w:val="none" w:sz="0" w:space="0" w:color="auto"/>
        <w:left w:val="none" w:sz="0" w:space="0" w:color="auto"/>
        <w:bottom w:val="none" w:sz="0" w:space="0" w:color="auto"/>
        <w:right w:val="none" w:sz="0" w:space="0" w:color="auto"/>
      </w:divBdr>
    </w:div>
    <w:div w:id="211936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ell-being_of_Future_Generations_(Wales)_Act_2015" TargetMode="External" /><Relationship Id="rId3" Type="http://schemas.openxmlformats.org/officeDocument/2006/relationships/settings" Target="settings.xml" /><Relationship Id="rId7" Type="http://schemas.openxmlformats.org/officeDocument/2006/relationships/hyperlink" Target="https://futuregenerations.wales/wp-content/uploads/2017/02/150623-guide-to-the-fg-act-en.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en.wikipedia.org/wiki/Well-being_of_Future_Generations_(Wales)_Act_2015" TargetMode="External" /><Relationship Id="rId11" Type="http://schemas.openxmlformats.org/officeDocument/2006/relationships/theme" Target="theme/theme1.xml" /><Relationship Id="rId5" Type="http://schemas.openxmlformats.org/officeDocument/2006/relationships/hyperlink" Target="https://www.thegazette.co.uk/London/issue/61653/supplement/138"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www.legislation.gov.uk/anaw/2015/2/contents/enacte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4498</Words>
  <Characters>29042</Characters>
  <Application>Microsoft Office Word</Application>
  <DocSecurity>0</DocSecurity>
  <Lines>242</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Science Doc</dc:creator>
  <cp:lastModifiedBy>yemisi adesuyan</cp:lastModifiedBy>
  <cp:revision>2</cp:revision>
  <dcterms:created xsi:type="dcterms:W3CDTF">2023-12-15T12:42:00Z</dcterms:created>
  <dcterms:modified xsi:type="dcterms:W3CDTF">2023-12-15T12:42:00Z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16202f11-419f-4949-9a93-4466c4f38a7a</vt:lpwstr>
  </property>
</Properties>
</file>