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5344A9" w14:textId="0546BC98" w:rsidR="005873B8" w:rsidRDefault="00C524A4" w:rsidP="00644C86">
      <w:pPr>
        <w:spacing w:line="360" w:lineRule="auto"/>
        <w:jc w:val="both"/>
        <w:rPr>
          <w:rFonts w:ascii="Arial" w:hAnsi="Arial" w:cs="Arial"/>
          <w:sz w:val="22"/>
          <w:szCs w:val="22"/>
        </w:rPr>
      </w:pPr>
      <w:proofErr w:type="spellStart"/>
      <w:r>
        <w:rPr>
          <w:rFonts w:ascii="Arial" w:hAnsi="Arial" w:cs="Arial"/>
          <w:sz w:val="22"/>
          <w:szCs w:val="22"/>
        </w:rPr>
        <w:t>Programme</w:t>
      </w:r>
      <w:proofErr w:type="spellEnd"/>
      <w:r>
        <w:rPr>
          <w:rFonts w:ascii="Arial" w:hAnsi="Arial" w:cs="Arial"/>
          <w:sz w:val="22"/>
          <w:szCs w:val="22"/>
        </w:rPr>
        <w:t>: BSc Health and Social Care</w:t>
      </w:r>
    </w:p>
    <w:p w14:paraId="6FF6C385" w14:textId="5A159330" w:rsidR="0078434B" w:rsidRDefault="0078434B" w:rsidP="00644C86">
      <w:pPr>
        <w:spacing w:line="360" w:lineRule="auto"/>
        <w:jc w:val="both"/>
        <w:rPr>
          <w:rFonts w:ascii="Arial" w:hAnsi="Arial" w:cs="Arial"/>
          <w:sz w:val="22"/>
          <w:szCs w:val="22"/>
        </w:rPr>
      </w:pPr>
      <w:r>
        <w:rPr>
          <w:rFonts w:ascii="Arial" w:hAnsi="Arial" w:cs="Arial"/>
          <w:sz w:val="22"/>
          <w:szCs w:val="22"/>
        </w:rPr>
        <w:t>Module: Protecting and Supporting Families in Health and Care</w:t>
      </w:r>
    </w:p>
    <w:p w14:paraId="5E035ABF" w14:textId="4E6801ED" w:rsidR="00C524A4" w:rsidRDefault="00C524A4" w:rsidP="00644C86">
      <w:pPr>
        <w:spacing w:line="360" w:lineRule="auto"/>
        <w:jc w:val="both"/>
        <w:rPr>
          <w:rFonts w:ascii="Arial" w:hAnsi="Arial" w:cs="Arial"/>
          <w:sz w:val="22"/>
          <w:szCs w:val="22"/>
        </w:rPr>
      </w:pPr>
      <w:r>
        <w:rPr>
          <w:rFonts w:ascii="Arial" w:hAnsi="Arial" w:cs="Arial"/>
          <w:sz w:val="22"/>
          <w:szCs w:val="22"/>
        </w:rPr>
        <w:t>Module code: BMHP5021</w:t>
      </w:r>
    </w:p>
    <w:p w14:paraId="17448C9A" w14:textId="6CF0AA86" w:rsidR="00C524A4" w:rsidRDefault="00C524A4" w:rsidP="00644C86">
      <w:pPr>
        <w:spacing w:line="360" w:lineRule="auto"/>
        <w:jc w:val="both"/>
        <w:rPr>
          <w:rFonts w:ascii="Arial" w:hAnsi="Arial" w:cs="Arial"/>
          <w:sz w:val="22"/>
          <w:szCs w:val="22"/>
        </w:rPr>
      </w:pPr>
      <w:r>
        <w:rPr>
          <w:rFonts w:ascii="Arial" w:hAnsi="Arial" w:cs="Arial"/>
          <w:sz w:val="22"/>
          <w:szCs w:val="22"/>
        </w:rPr>
        <w:t>Lecturer: Philip Jones</w:t>
      </w:r>
    </w:p>
    <w:p w14:paraId="6C0B64A1" w14:textId="53C77A09" w:rsidR="00C524A4" w:rsidRDefault="00C524A4" w:rsidP="00644C86">
      <w:pPr>
        <w:spacing w:line="360" w:lineRule="auto"/>
        <w:jc w:val="both"/>
        <w:rPr>
          <w:rFonts w:ascii="Arial" w:hAnsi="Arial" w:cs="Arial"/>
          <w:sz w:val="22"/>
          <w:szCs w:val="22"/>
        </w:rPr>
      </w:pPr>
      <w:r>
        <w:rPr>
          <w:rFonts w:ascii="Arial" w:hAnsi="Arial" w:cs="Arial"/>
          <w:sz w:val="22"/>
          <w:szCs w:val="22"/>
        </w:rPr>
        <w:t>Assignment Title: Component 2: Written Report</w:t>
      </w:r>
    </w:p>
    <w:p w14:paraId="0F1DAC6E" w14:textId="24CAF5DC" w:rsidR="00C524A4" w:rsidRDefault="00C524A4" w:rsidP="00644C86">
      <w:pPr>
        <w:spacing w:line="360" w:lineRule="auto"/>
        <w:jc w:val="both"/>
        <w:rPr>
          <w:rFonts w:ascii="Arial" w:hAnsi="Arial" w:cs="Arial"/>
          <w:sz w:val="22"/>
          <w:szCs w:val="22"/>
        </w:rPr>
      </w:pPr>
      <w:r>
        <w:rPr>
          <w:rFonts w:ascii="Arial" w:hAnsi="Arial" w:cs="Arial"/>
          <w:sz w:val="22"/>
          <w:szCs w:val="22"/>
        </w:rPr>
        <w:t>Student: Lucie Dunkova</w:t>
      </w:r>
    </w:p>
    <w:p w14:paraId="1FD7F9B0" w14:textId="6F6DE423" w:rsidR="00C524A4" w:rsidRPr="00644C86" w:rsidRDefault="00C524A4" w:rsidP="00644C86">
      <w:pPr>
        <w:spacing w:line="360" w:lineRule="auto"/>
        <w:jc w:val="both"/>
        <w:rPr>
          <w:rFonts w:ascii="Arial" w:hAnsi="Arial" w:cs="Arial"/>
          <w:sz w:val="22"/>
          <w:szCs w:val="22"/>
        </w:rPr>
      </w:pPr>
      <w:r>
        <w:rPr>
          <w:rFonts w:ascii="Arial" w:hAnsi="Arial" w:cs="Arial"/>
          <w:sz w:val="22"/>
          <w:szCs w:val="22"/>
        </w:rPr>
        <w:t>Student number: 2241882</w:t>
      </w:r>
    </w:p>
    <w:p w14:paraId="747DF503" w14:textId="77777777" w:rsidR="00644C86" w:rsidRPr="00644C86" w:rsidRDefault="00644C86" w:rsidP="00644C86">
      <w:pPr>
        <w:spacing w:line="360" w:lineRule="auto"/>
        <w:jc w:val="both"/>
        <w:rPr>
          <w:rFonts w:ascii="Arial" w:hAnsi="Arial" w:cs="Arial"/>
          <w:sz w:val="22"/>
          <w:szCs w:val="22"/>
        </w:rPr>
      </w:pPr>
      <w:r w:rsidRPr="00644C86">
        <w:rPr>
          <w:rFonts w:ascii="Arial" w:hAnsi="Arial" w:cs="Arial"/>
          <w:sz w:val="22"/>
          <w:szCs w:val="22"/>
        </w:rPr>
        <w:br w:type="page"/>
      </w:r>
    </w:p>
    <w:sdt>
      <w:sdtPr>
        <w:rPr>
          <w:rFonts w:ascii="Arial" w:eastAsiaTheme="minorHAnsi" w:hAnsi="Arial" w:cs="Arial"/>
          <w:noProof/>
          <w:color w:val="auto"/>
          <w:kern w:val="2"/>
          <w:sz w:val="24"/>
          <w:szCs w:val="24"/>
          <w14:ligatures w14:val="standardContextual"/>
        </w:rPr>
        <w:id w:val="-1488398835"/>
        <w:docPartObj>
          <w:docPartGallery w:val="Table of Contents"/>
          <w:docPartUnique/>
        </w:docPartObj>
      </w:sdtPr>
      <w:sdtEndPr>
        <w:rPr>
          <w:b/>
          <w:bCs/>
        </w:rPr>
      </w:sdtEndPr>
      <w:sdtContent>
        <w:p w14:paraId="1F2D6A67" w14:textId="77777777" w:rsidR="00F76C93" w:rsidRPr="00F76C93" w:rsidRDefault="00F76C93" w:rsidP="00F76C93">
          <w:pPr>
            <w:pStyle w:val="TOCHeading"/>
            <w:spacing w:line="360" w:lineRule="auto"/>
            <w:rPr>
              <w:b/>
              <w:bCs/>
              <w:color w:val="auto"/>
            </w:rPr>
          </w:pPr>
          <w:r w:rsidRPr="00F76C93">
            <w:rPr>
              <w:b/>
              <w:bCs/>
              <w:color w:val="auto"/>
            </w:rPr>
            <w:t>Table of Contents</w:t>
          </w:r>
        </w:p>
        <w:p w14:paraId="2C57C411" w14:textId="77777777" w:rsidR="0045252D" w:rsidRPr="0045252D" w:rsidRDefault="00F76C93">
          <w:pPr>
            <w:pStyle w:val="TOC1"/>
            <w:rPr>
              <w:rFonts w:eastAsiaTheme="minorEastAsia"/>
              <w:sz w:val="22"/>
              <w:szCs w:val="22"/>
            </w:rPr>
          </w:pPr>
          <w:r>
            <w:fldChar w:fldCharType="begin"/>
          </w:r>
          <w:r>
            <w:instrText xml:space="preserve"> TOC \o "1-3" \h \z \u </w:instrText>
          </w:r>
          <w:r>
            <w:fldChar w:fldCharType="separate"/>
          </w:r>
          <w:hyperlink w:anchor="_Toc214687687" w:history="1">
            <w:r w:rsidR="0045252D" w:rsidRPr="0045252D">
              <w:rPr>
                <w:rStyle w:val="Hyperlink"/>
                <w:sz w:val="22"/>
                <w:szCs w:val="22"/>
              </w:rPr>
              <w:t>1.</w:t>
            </w:r>
            <w:r w:rsidR="0045252D" w:rsidRPr="0045252D">
              <w:rPr>
                <w:rFonts w:eastAsiaTheme="minorEastAsia"/>
                <w:sz w:val="22"/>
                <w:szCs w:val="22"/>
              </w:rPr>
              <w:tab/>
            </w:r>
            <w:r w:rsidR="0045252D" w:rsidRPr="0045252D">
              <w:rPr>
                <w:rStyle w:val="Hyperlink"/>
                <w:sz w:val="22"/>
                <w:szCs w:val="22"/>
              </w:rPr>
              <w:t>Introduction</w:t>
            </w:r>
            <w:r w:rsidR="0045252D" w:rsidRPr="0045252D">
              <w:rPr>
                <w:webHidden/>
                <w:sz w:val="22"/>
                <w:szCs w:val="22"/>
              </w:rPr>
              <w:tab/>
            </w:r>
            <w:r w:rsidR="0045252D" w:rsidRPr="0045252D">
              <w:rPr>
                <w:webHidden/>
                <w:sz w:val="22"/>
                <w:szCs w:val="22"/>
              </w:rPr>
              <w:fldChar w:fldCharType="begin"/>
            </w:r>
            <w:r w:rsidR="0045252D" w:rsidRPr="0045252D">
              <w:rPr>
                <w:webHidden/>
                <w:sz w:val="22"/>
                <w:szCs w:val="22"/>
              </w:rPr>
              <w:instrText xml:space="preserve"> PAGEREF _Toc214687687 \h </w:instrText>
            </w:r>
            <w:r w:rsidR="0045252D" w:rsidRPr="0045252D">
              <w:rPr>
                <w:webHidden/>
                <w:sz w:val="22"/>
                <w:szCs w:val="22"/>
              </w:rPr>
            </w:r>
            <w:r w:rsidR="0045252D" w:rsidRPr="0045252D">
              <w:rPr>
                <w:webHidden/>
                <w:sz w:val="22"/>
                <w:szCs w:val="22"/>
              </w:rPr>
              <w:fldChar w:fldCharType="separate"/>
            </w:r>
            <w:r w:rsidR="00907E22">
              <w:rPr>
                <w:webHidden/>
                <w:sz w:val="22"/>
                <w:szCs w:val="22"/>
              </w:rPr>
              <w:t>3</w:t>
            </w:r>
            <w:r w:rsidR="0045252D" w:rsidRPr="0045252D">
              <w:rPr>
                <w:webHidden/>
                <w:sz w:val="22"/>
                <w:szCs w:val="22"/>
              </w:rPr>
              <w:fldChar w:fldCharType="end"/>
            </w:r>
          </w:hyperlink>
        </w:p>
        <w:p w14:paraId="3E098110" w14:textId="77777777" w:rsidR="0045252D" w:rsidRPr="0045252D" w:rsidRDefault="0045252D">
          <w:pPr>
            <w:pStyle w:val="TOC1"/>
            <w:rPr>
              <w:rFonts w:eastAsiaTheme="minorEastAsia"/>
              <w:sz w:val="22"/>
              <w:szCs w:val="22"/>
            </w:rPr>
          </w:pPr>
          <w:hyperlink w:anchor="_Toc214687688" w:history="1">
            <w:r w:rsidRPr="0045252D">
              <w:rPr>
                <w:rStyle w:val="Hyperlink"/>
                <w:sz w:val="22"/>
                <w:szCs w:val="22"/>
              </w:rPr>
              <w:t>2.</w:t>
            </w:r>
            <w:r w:rsidRPr="0045252D">
              <w:rPr>
                <w:rFonts w:eastAsiaTheme="minorEastAsia"/>
                <w:sz w:val="22"/>
                <w:szCs w:val="22"/>
              </w:rPr>
              <w:tab/>
            </w:r>
            <w:r w:rsidRPr="0045252D">
              <w:rPr>
                <w:rStyle w:val="Hyperlink"/>
                <w:sz w:val="22"/>
                <w:szCs w:val="22"/>
              </w:rPr>
              <w:t>Early Help System</w:t>
            </w:r>
            <w:r w:rsidRPr="0045252D">
              <w:rPr>
                <w:webHidden/>
                <w:sz w:val="22"/>
                <w:szCs w:val="22"/>
              </w:rPr>
              <w:tab/>
            </w:r>
            <w:r w:rsidRPr="0045252D">
              <w:rPr>
                <w:webHidden/>
                <w:sz w:val="22"/>
                <w:szCs w:val="22"/>
              </w:rPr>
              <w:fldChar w:fldCharType="begin"/>
            </w:r>
            <w:r w:rsidRPr="0045252D">
              <w:rPr>
                <w:webHidden/>
                <w:sz w:val="22"/>
                <w:szCs w:val="22"/>
              </w:rPr>
              <w:instrText xml:space="preserve"> PAGEREF _Toc214687688 \h </w:instrText>
            </w:r>
            <w:r w:rsidRPr="0045252D">
              <w:rPr>
                <w:webHidden/>
                <w:sz w:val="22"/>
                <w:szCs w:val="22"/>
              </w:rPr>
            </w:r>
            <w:r w:rsidRPr="0045252D">
              <w:rPr>
                <w:webHidden/>
                <w:sz w:val="22"/>
                <w:szCs w:val="22"/>
              </w:rPr>
              <w:fldChar w:fldCharType="separate"/>
            </w:r>
            <w:r w:rsidR="00907E22">
              <w:rPr>
                <w:webHidden/>
                <w:sz w:val="22"/>
                <w:szCs w:val="22"/>
              </w:rPr>
              <w:t>3</w:t>
            </w:r>
            <w:r w:rsidRPr="0045252D">
              <w:rPr>
                <w:webHidden/>
                <w:sz w:val="22"/>
                <w:szCs w:val="22"/>
              </w:rPr>
              <w:fldChar w:fldCharType="end"/>
            </w:r>
          </w:hyperlink>
        </w:p>
        <w:p w14:paraId="0DA92832" w14:textId="77777777" w:rsidR="0045252D" w:rsidRPr="0045252D" w:rsidRDefault="0045252D">
          <w:pPr>
            <w:pStyle w:val="TOC1"/>
            <w:rPr>
              <w:rFonts w:eastAsiaTheme="minorEastAsia"/>
              <w:sz w:val="22"/>
              <w:szCs w:val="22"/>
            </w:rPr>
          </w:pPr>
          <w:hyperlink w:anchor="_Toc214687689" w:history="1">
            <w:r w:rsidRPr="0045252D">
              <w:rPr>
                <w:rStyle w:val="Hyperlink"/>
                <w:sz w:val="22"/>
                <w:szCs w:val="22"/>
              </w:rPr>
              <w:t>3.</w:t>
            </w:r>
            <w:r w:rsidRPr="0045252D">
              <w:rPr>
                <w:rFonts w:eastAsiaTheme="minorEastAsia"/>
                <w:sz w:val="22"/>
                <w:szCs w:val="22"/>
              </w:rPr>
              <w:tab/>
            </w:r>
            <w:r w:rsidRPr="0045252D">
              <w:rPr>
                <w:rStyle w:val="Hyperlink"/>
                <w:sz w:val="22"/>
                <w:szCs w:val="22"/>
              </w:rPr>
              <w:t>Multi-Agency Working</w:t>
            </w:r>
            <w:r w:rsidRPr="0045252D">
              <w:rPr>
                <w:webHidden/>
                <w:sz w:val="22"/>
                <w:szCs w:val="22"/>
              </w:rPr>
              <w:tab/>
            </w:r>
            <w:r w:rsidRPr="0045252D">
              <w:rPr>
                <w:webHidden/>
                <w:sz w:val="22"/>
                <w:szCs w:val="22"/>
              </w:rPr>
              <w:fldChar w:fldCharType="begin"/>
            </w:r>
            <w:r w:rsidRPr="0045252D">
              <w:rPr>
                <w:webHidden/>
                <w:sz w:val="22"/>
                <w:szCs w:val="22"/>
              </w:rPr>
              <w:instrText xml:space="preserve"> PAGEREF _Toc214687689 \h </w:instrText>
            </w:r>
            <w:r w:rsidRPr="0045252D">
              <w:rPr>
                <w:webHidden/>
                <w:sz w:val="22"/>
                <w:szCs w:val="22"/>
              </w:rPr>
            </w:r>
            <w:r w:rsidRPr="0045252D">
              <w:rPr>
                <w:webHidden/>
                <w:sz w:val="22"/>
                <w:szCs w:val="22"/>
              </w:rPr>
              <w:fldChar w:fldCharType="separate"/>
            </w:r>
            <w:r w:rsidR="00907E22">
              <w:rPr>
                <w:webHidden/>
                <w:sz w:val="22"/>
                <w:szCs w:val="22"/>
              </w:rPr>
              <w:t>4</w:t>
            </w:r>
            <w:r w:rsidRPr="0045252D">
              <w:rPr>
                <w:webHidden/>
                <w:sz w:val="22"/>
                <w:szCs w:val="22"/>
              </w:rPr>
              <w:fldChar w:fldCharType="end"/>
            </w:r>
          </w:hyperlink>
        </w:p>
        <w:p w14:paraId="2D77B06D" w14:textId="77777777" w:rsidR="0045252D" w:rsidRPr="0045252D" w:rsidRDefault="0045252D">
          <w:pPr>
            <w:pStyle w:val="TOC1"/>
            <w:rPr>
              <w:rFonts w:eastAsiaTheme="minorEastAsia"/>
              <w:sz w:val="22"/>
              <w:szCs w:val="22"/>
            </w:rPr>
          </w:pPr>
          <w:hyperlink w:anchor="_Toc214687690" w:history="1">
            <w:r w:rsidRPr="0045252D">
              <w:rPr>
                <w:rStyle w:val="Hyperlink"/>
                <w:sz w:val="22"/>
                <w:szCs w:val="22"/>
              </w:rPr>
              <w:t>4.</w:t>
            </w:r>
            <w:r w:rsidRPr="0045252D">
              <w:rPr>
                <w:rFonts w:eastAsiaTheme="minorEastAsia"/>
                <w:sz w:val="22"/>
                <w:szCs w:val="22"/>
              </w:rPr>
              <w:tab/>
            </w:r>
            <w:r w:rsidRPr="0045252D">
              <w:rPr>
                <w:rStyle w:val="Hyperlink"/>
                <w:sz w:val="22"/>
                <w:szCs w:val="22"/>
              </w:rPr>
              <w:t>Website Evaluation</w:t>
            </w:r>
            <w:r w:rsidRPr="0045252D">
              <w:rPr>
                <w:webHidden/>
                <w:sz w:val="22"/>
                <w:szCs w:val="22"/>
              </w:rPr>
              <w:tab/>
            </w:r>
            <w:r w:rsidRPr="0045252D">
              <w:rPr>
                <w:webHidden/>
                <w:sz w:val="22"/>
                <w:szCs w:val="22"/>
              </w:rPr>
              <w:fldChar w:fldCharType="begin"/>
            </w:r>
            <w:r w:rsidRPr="0045252D">
              <w:rPr>
                <w:webHidden/>
                <w:sz w:val="22"/>
                <w:szCs w:val="22"/>
              </w:rPr>
              <w:instrText xml:space="preserve"> PAGEREF _Toc214687690 \h </w:instrText>
            </w:r>
            <w:r w:rsidRPr="0045252D">
              <w:rPr>
                <w:webHidden/>
                <w:sz w:val="22"/>
                <w:szCs w:val="22"/>
              </w:rPr>
            </w:r>
            <w:r w:rsidRPr="0045252D">
              <w:rPr>
                <w:webHidden/>
                <w:sz w:val="22"/>
                <w:szCs w:val="22"/>
              </w:rPr>
              <w:fldChar w:fldCharType="separate"/>
            </w:r>
            <w:r w:rsidR="00907E22">
              <w:rPr>
                <w:webHidden/>
                <w:sz w:val="22"/>
                <w:szCs w:val="22"/>
              </w:rPr>
              <w:t>4</w:t>
            </w:r>
            <w:r w:rsidRPr="0045252D">
              <w:rPr>
                <w:webHidden/>
                <w:sz w:val="22"/>
                <w:szCs w:val="22"/>
              </w:rPr>
              <w:fldChar w:fldCharType="end"/>
            </w:r>
          </w:hyperlink>
        </w:p>
        <w:p w14:paraId="63B80A28" w14:textId="77777777" w:rsidR="0045252D" w:rsidRPr="0045252D" w:rsidRDefault="0045252D">
          <w:pPr>
            <w:pStyle w:val="TOC2"/>
            <w:tabs>
              <w:tab w:val="left" w:pos="960"/>
              <w:tab w:val="right" w:leader="dot" w:pos="9350"/>
            </w:tabs>
            <w:rPr>
              <w:rFonts w:ascii="Arial" w:eastAsiaTheme="minorEastAsia" w:hAnsi="Arial" w:cs="Arial"/>
              <w:noProof/>
              <w:sz w:val="22"/>
              <w:szCs w:val="22"/>
            </w:rPr>
          </w:pPr>
          <w:hyperlink w:anchor="_Toc214687691" w:history="1">
            <w:r w:rsidRPr="0045252D">
              <w:rPr>
                <w:rStyle w:val="Hyperlink"/>
                <w:rFonts w:ascii="Arial" w:hAnsi="Arial" w:cs="Arial"/>
                <w:noProof/>
                <w:sz w:val="22"/>
                <w:szCs w:val="22"/>
              </w:rPr>
              <w:t>4.1.</w:t>
            </w:r>
            <w:r w:rsidRPr="0045252D">
              <w:rPr>
                <w:rFonts w:ascii="Arial" w:eastAsiaTheme="minorEastAsia" w:hAnsi="Arial" w:cs="Arial"/>
                <w:noProof/>
                <w:sz w:val="22"/>
                <w:szCs w:val="22"/>
              </w:rPr>
              <w:tab/>
            </w:r>
            <w:r w:rsidRPr="0045252D">
              <w:rPr>
                <w:rStyle w:val="Hyperlink"/>
                <w:rFonts w:ascii="Arial" w:hAnsi="Arial" w:cs="Arial"/>
                <w:noProof/>
                <w:sz w:val="22"/>
                <w:szCs w:val="22"/>
              </w:rPr>
              <w:t>Staffordshire County Council</w:t>
            </w:r>
            <w:r w:rsidRPr="0045252D">
              <w:rPr>
                <w:rFonts w:ascii="Arial" w:hAnsi="Arial" w:cs="Arial"/>
                <w:noProof/>
                <w:webHidden/>
                <w:sz w:val="22"/>
                <w:szCs w:val="22"/>
              </w:rPr>
              <w:tab/>
            </w:r>
            <w:r w:rsidRPr="0045252D">
              <w:rPr>
                <w:rFonts w:ascii="Arial" w:hAnsi="Arial" w:cs="Arial"/>
                <w:noProof/>
                <w:webHidden/>
                <w:sz w:val="22"/>
                <w:szCs w:val="22"/>
              </w:rPr>
              <w:fldChar w:fldCharType="begin"/>
            </w:r>
            <w:r w:rsidRPr="0045252D">
              <w:rPr>
                <w:rFonts w:ascii="Arial" w:hAnsi="Arial" w:cs="Arial"/>
                <w:noProof/>
                <w:webHidden/>
                <w:sz w:val="22"/>
                <w:szCs w:val="22"/>
              </w:rPr>
              <w:instrText xml:space="preserve"> PAGEREF _Toc214687691 \h </w:instrText>
            </w:r>
            <w:r w:rsidRPr="0045252D">
              <w:rPr>
                <w:rFonts w:ascii="Arial" w:hAnsi="Arial" w:cs="Arial"/>
                <w:noProof/>
                <w:webHidden/>
                <w:sz w:val="22"/>
                <w:szCs w:val="22"/>
              </w:rPr>
            </w:r>
            <w:r w:rsidRPr="0045252D">
              <w:rPr>
                <w:rFonts w:ascii="Arial" w:hAnsi="Arial" w:cs="Arial"/>
                <w:noProof/>
                <w:webHidden/>
                <w:sz w:val="22"/>
                <w:szCs w:val="22"/>
              </w:rPr>
              <w:fldChar w:fldCharType="separate"/>
            </w:r>
            <w:r w:rsidR="00907E22">
              <w:rPr>
                <w:rFonts w:ascii="Arial" w:hAnsi="Arial" w:cs="Arial"/>
                <w:noProof/>
                <w:webHidden/>
                <w:sz w:val="22"/>
                <w:szCs w:val="22"/>
              </w:rPr>
              <w:t>4</w:t>
            </w:r>
            <w:r w:rsidRPr="0045252D">
              <w:rPr>
                <w:rFonts w:ascii="Arial" w:hAnsi="Arial" w:cs="Arial"/>
                <w:noProof/>
                <w:webHidden/>
                <w:sz w:val="22"/>
                <w:szCs w:val="22"/>
              </w:rPr>
              <w:fldChar w:fldCharType="end"/>
            </w:r>
          </w:hyperlink>
        </w:p>
        <w:p w14:paraId="266A8217" w14:textId="77777777" w:rsidR="0045252D" w:rsidRPr="0045252D" w:rsidRDefault="0045252D">
          <w:pPr>
            <w:pStyle w:val="TOC2"/>
            <w:tabs>
              <w:tab w:val="left" w:pos="960"/>
              <w:tab w:val="right" w:leader="dot" w:pos="9350"/>
            </w:tabs>
            <w:rPr>
              <w:rFonts w:ascii="Arial" w:eastAsiaTheme="minorEastAsia" w:hAnsi="Arial" w:cs="Arial"/>
              <w:noProof/>
              <w:sz w:val="22"/>
              <w:szCs w:val="22"/>
            </w:rPr>
          </w:pPr>
          <w:hyperlink w:anchor="_Toc214687692" w:history="1">
            <w:r w:rsidRPr="0045252D">
              <w:rPr>
                <w:rStyle w:val="Hyperlink"/>
                <w:rFonts w:ascii="Arial" w:hAnsi="Arial" w:cs="Arial"/>
                <w:noProof/>
                <w:sz w:val="22"/>
                <w:szCs w:val="22"/>
              </w:rPr>
              <w:t>4.2.</w:t>
            </w:r>
            <w:r w:rsidRPr="0045252D">
              <w:rPr>
                <w:rFonts w:ascii="Arial" w:eastAsiaTheme="minorEastAsia" w:hAnsi="Arial" w:cs="Arial"/>
                <w:noProof/>
                <w:sz w:val="22"/>
                <w:szCs w:val="22"/>
              </w:rPr>
              <w:tab/>
            </w:r>
            <w:r w:rsidRPr="0045252D">
              <w:rPr>
                <w:rStyle w:val="Hyperlink"/>
                <w:rFonts w:ascii="Arial" w:hAnsi="Arial" w:cs="Arial"/>
                <w:noProof/>
                <w:sz w:val="22"/>
                <w:szCs w:val="22"/>
              </w:rPr>
              <w:t>Tower Hamlets Council</w:t>
            </w:r>
            <w:r w:rsidRPr="0045252D">
              <w:rPr>
                <w:rFonts w:ascii="Arial" w:hAnsi="Arial" w:cs="Arial"/>
                <w:noProof/>
                <w:webHidden/>
                <w:sz w:val="22"/>
                <w:szCs w:val="22"/>
              </w:rPr>
              <w:tab/>
            </w:r>
            <w:r w:rsidRPr="0045252D">
              <w:rPr>
                <w:rFonts w:ascii="Arial" w:hAnsi="Arial" w:cs="Arial"/>
                <w:noProof/>
                <w:webHidden/>
                <w:sz w:val="22"/>
                <w:szCs w:val="22"/>
              </w:rPr>
              <w:fldChar w:fldCharType="begin"/>
            </w:r>
            <w:r w:rsidRPr="0045252D">
              <w:rPr>
                <w:rFonts w:ascii="Arial" w:hAnsi="Arial" w:cs="Arial"/>
                <w:noProof/>
                <w:webHidden/>
                <w:sz w:val="22"/>
                <w:szCs w:val="22"/>
              </w:rPr>
              <w:instrText xml:space="preserve"> PAGEREF _Toc214687692 \h </w:instrText>
            </w:r>
            <w:r w:rsidRPr="0045252D">
              <w:rPr>
                <w:rFonts w:ascii="Arial" w:hAnsi="Arial" w:cs="Arial"/>
                <w:noProof/>
                <w:webHidden/>
                <w:sz w:val="22"/>
                <w:szCs w:val="22"/>
              </w:rPr>
            </w:r>
            <w:r w:rsidRPr="0045252D">
              <w:rPr>
                <w:rFonts w:ascii="Arial" w:hAnsi="Arial" w:cs="Arial"/>
                <w:noProof/>
                <w:webHidden/>
                <w:sz w:val="22"/>
                <w:szCs w:val="22"/>
              </w:rPr>
              <w:fldChar w:fldCharType="separate"/>
            </w:r>
            <w:r w:rsidR="00907E22">
              <w:rPr>
                <w:rFonts w:ascii="Arial" w:hAnsi="Arial" w:cs="Arial"/>
                <w:noProof/>
                <w:webHidden/>
                <w:sz w:val="22"/>
                <w:szCs w:val="22"/>
              </w:rPr>
              <w:t>5</w:t>
            </w:r>
            <w:r w:rsidRPr="0045252D">
              <w:rPr>
                <w:rFonts w:ascii="Arial" w:hAnsi="Arial" w:cs="Arial"/>
                <w:noProof/>
                <w:webHidden/>
                <w:sz w:val="22"/>
                <w:szCs w:val="22"/>
              </w:rPr>
              <w:fldChar w:fldCharType="end"/>
            </w:r>
          </w:hyperlink>
        </w:p>
        <w:p w14:paraId="5F0D72DD" w14:textId="77777777" w:rsidR="0045252D" w:rsidRPr="0045252D" w:rsidRDefault="0045252D">
          <w:pPr>
            <w:pStyle w:val="TOC2"/>
            <w:tabs>
              <w:tab w:val="left" w:pos="960"/>
              <w:tab w:val="right" w:leader="dot" w:pos="9350"/>
            </w:tabs>
            <w:rPr>
              <w:rFonts w:ascii="Arial" w:eastAsiaTheme="minorEastAsia" w:hAnsi="Arial" w:cs="Arial"/>
              <w:noProof/>
              <w:sz w:val="22"/>
              <w:szCs w:val="22"/>
            </w:rPr>
          </w:pPr>
          <w:hyperlink w:anchor="_Toc214687693" w:history="1">
            <w:r w:rsidRPr="0045252D">
              <w:rPr>
                <w:rStyle w:val="Hyperlink"/>
                <w:rFonts w:ascii="Arial" w:hAnsi="Arial" w:cs="Arial"/>
                <w:noProof/>
                <w:sz w:val="22"/>
                <w:szCs w:val="22"/>
              </w:rPr>
              <w:t>4.3.</w:t>
            </w:r>
            <w:r w:rsidRPr="0045252D">
              <w:rPr>
                <w:rFonts w:ascii="Arial" w:eastAsiaTheme="minorEastAsia" w:hAnsi="Arial" w:cs="Arial"/>
                <w:noProof/>
                <w:sz w:val="22"/>
                <w:szCs w:val="22"/>
              </w:rPr>
              <w:tab/>
            </w:r>
            <w:r w:rsidRPr="0045252D">
              <w:rPr>
                <w:rStyle w:val="Hyperlink"/>
                <w:rFonts w:ascii="Arial" w:hAnsi="Arial" w:cs="Arial"/>
                <w:noProof/>
                <w:sz w:val="22"/>
                <w:szCs w:val="22"/>
              </w:rPr>
              <w:t>Nottinghamshire County Council</w:t>
            </w:r>
            <w:r w:rsidRPr="0045252D">
              <w:rPr>
                <w:rFonts w:ascii="Arial" w:hAnsi="Arial" w:cs="Arial"/>
                <w:noProof/>
                <w:webHidden/>
                <w:sz w:val="22"/>
                <w:szCs w:val="22"/>
              </w:rPr>
              <w:tab/>
            </w:r>
            <w:r w:rsidRPr="0045252D">
              <w:rPr>
                <w:rFonts w:ascii="Arial" w:hAnsi="Arial" w:cs="Arial"/>
                <w:noProof/>
                <w:webHidden/>
                <w:sz w:val="22"/>
                <w:szCs w:val="22"/>
              </w:rPr>
              <w:fldChar w:fldCharType="begin"/>
            </w:r>
            <w:r w:rsidRPr="0045252D">
              <w:rPr>
                <w:rFonts w:ascii="Arial" w:hAnsi="Arial" w:cs="Arial"/>
                <w:noProof/>
                <w:webHidden/>
                <w:sz w:val="22"/>
                <w:szCs w:val="22"/>
              </w:rPr>
              <w:instrText xml:space="preserve"> PAGEREF _Toc214687693 \h </w:instrText>
            </w:r>
            <w:r w:rsidRPr="0045252D">
              <w:rPr>
                <w:rFonts w:ascii="Arial" w:hAnsi="Arial" w:cs="Arial"/>
                <w:noProof/>
                <w:webHidden/>
                <w:sz w:val="22"/>
                <w:szCs w:val="22"/>
              </w:rPr>
            </w:r>
            <w:r w:rsidRPr="0045252D">
              <w:rPr>
                <w:rFonts w:ascii="Arial" w:hAnsi="Arial" w:cs="Arial"/>
                <w:noProof/>
                <w:webHidden/>
                <w:sz w:val="22"/>
                <w:szCs w:val="22"/>
              </w:rPr>
              <w:fldChar w:fldCharType="separate"/>
            </w:r>
            <w:r w:rsidR="00907E22">
              <w:rPr>
                <w:rFonts w:ascii="Arial" w:hAnsi="Arial" w:cs="Arial"/>
                <w:noProof/>
                <w:webHidden/>
                <w:sz w:val="22"/>
                <w:szCs w:val="22"/>
              </w:rPr>
              <w:t>5</w:t>
            </w:r>
            <w:r w:rsidRPr="0045252D">
              <w:rPr>
                <w:rFonts w:ascii="Arial" w:hAnsi="Arial" w:cs="Arial"/>
                <w:noProof/>
                <w:webHidden/>
                <w:sz w:val="22"/>
                <w:szCs w:val="22"/>
              </w:rPr>
              <w:fldChar w:fldCharType="end"/>
            </w:r>
          </w:hyperlink>
        </w:p>
        <w:p w14:paraId="21FC5F34" w14:textId="77777777" w:rsidR="0045252D" w:rsidRPr="0045252D" w:rsidRDefault="0045252D">
          <w:pPr>
            <w:pStyle w:val="TOC1"/>
            <w:rPr>
              <w:rFonts w:eastAsiaTheme="minorEastAsia"/>
              <w:sz w:val="22"/>
              <w:szCs w:val="22"/>
            </w:rPr>
          </w:pPr>
          <w:hyperlink w:anchor="_Toc214687694" w:history="1">
            <w:r w:rsidRPr="0045252D">
              <w:rPr>
                <w:rStyle w:val="Hyperlink"/>
                <w:sz w:val="22"/>
                <w:szCs w:val="22"/>
              </w:rPr>
              <w:t>5.</w:t>
            </w:r>
            <w:r w:rsidRPr="0045252D">
              <w:rPr>
                <w:rFonts w:eastAsiaTheme="minorEastAsia"/>
                <w:sz w:val="22"/>
                <w:szCs w:val="22"/>
              </w:rPr>
              <w:tab/>
            </w:r>
            <w:r w:rsidRPr="0045252D">
              <w:rPr>
                <w:rStyle w:val="Hyperlink"/>
                <w:sz w:val="22"/>
                <w:szCs w:val="22"/>
              </w:rPr>
              <w:t>Comparative Analysis</w:t>
            </w:r>
            <w:r w:rsidRPr="0045252D">
              <w:rPr>
                <w:webHidden/>
                <w:sz w:val="22"/>
                <w:szCs w:val="22"/>
              </w:rPr>
              <w:tab/>
            </w:r>
            <w:r w:rsidRPr="0045252D">
              <w:rPr>
                <w:webHidden/>
                <w:sz w:val="22"/>
                <w:szCs w:val="22"/>
              </w:rPr>
              <w:fldChar w:fldCharType="begin"/>
            </w:r>
            <w:r w:rsidRPr="0045252D">
              <w:rPr>
                <w:webHidden/>
                <w:sz w:val="22"/>
                <w:szCs w:val="22"/>
              </w:rPr>
              <w:instrText xml:space="preserve"> PAGEREF _Toc214687694 \h </w:instrText>
            </w:r>
            <w:r w:rsidRPr="0045252D">
              <w:rPr>
                <w:webHidden/>
                <w:sz w:val="22"/>
                <w:szCs w:val="22"/>
              </w:rPr>
            </w:r>
            <w:r w:rsidRPr="0045252D">
              <w:rPr>
                <w:webHidden/>
                <w:sz w:val="22"/>
                <w:szCs w:val="22"/>
              </w:rPr>
              <w:fldChar w:fldCharType="separate"/>
            </w:r>
            <w:r w:rsidR="00907E22">
              <w:rPr>
                <w:webHidden/>
                <w:sz w:val="22"/>
                <w:szCs w:val="22"/>
              </w:rPr>
              <w:t>6</w:t>
            </w:r>
            <w:r w:rsidRPr="0045252D">
              <w:rPr>
                <w:webHidden/>
                <w:sz w:val="22"/>
                <w:szCs w:val="22"/>
              </w:rPr>
              <w:fldChar w:fldCharType="end"/>
            </w:r>
          </w:hyperlink>
        </w:p>
        <w:p w14:paraId="69DD1C57" w14:textId="77777777" w:rsidR="0045252D" w:rsidRPr="0045252D" w:rsidRDefault="0045252D">
          <w:pPr>
            <w:pStyle w:val="TOC1"/>
            <w:rPr>
              <w:rFonts w:eastAsiaTheme="minorEastAsia"/>
              <w:sz w:val="22"/>
              <w:szCs w:val="22"/>
            </w:rPr>
          </w:pPr>
          <w:hyperlink w:anchor="_Toc214687695" w:history="1">
            <w:r w:rsidRPr="0045252D">
              <w:rPr>
                <w:rStyle w:val="Hyperlink"/>
                <w:sz w:val="22"/>
                <w:szCs w:val="22"/>
              </w:rPr>
              <w:t>6.</w:t>
            </w:r>
            <w:r w:rsidRPr="0045252D">
              <w:rPr>
                <w:rFonts w:eastAsiaTheme="minorEastAsia"/>
                <w:sz w:val="22"/>
                <w:szCs w:val="22"/>
              </w:rPr>
              <w:tab/>
            </w:r>
            <w:r w:rsidRPr="0045252D">
              <w:rPr>
                <w:rStyle w:val="Hyperlink"/>
                <w:sz w:val="22"/>
                <w:szCs w:val="22"/>
              </w:rPr>
              <w:t>Conclusion</w:t>
            </w:r>
            <w:r w:rsidRPr="0045252D">
              <w:rPr>
                <w:webHidden/>
                <w:sz w:val="22"/>
                <w:szCs w:val="22"/>
              </w:rPr>
              <w:tab/>
            </w:r>
            <w:r w:rsidRPr="0045252D">
              <w:rPr>
                <w:webHidden/>
                <w:sz w:val="22"/>
                <w:szCs w:val="22"/>
              </w:rPr>
              <w:fldChar w:fldCharType="begin"/>
            </w:r>
            <w:r w:rsidRPr="0045252D">
              <w:rPr>
                <w:webHidden/>
                <w:sz w:val="22"/>
                <w:szCs w:val="22"/>
              </w:rPr>
              <w:instrText xml:space="preserve"> PAGEREF _Toc214687695 \h </w:instrText>
            </w:r>
            <w:r w:rsidRPr="0045252D">
              <w:rPr>
                <w:webHidden/>
                <w:sz w:val="22"/>
                <w:szCs w:val="22"/>
              </w:rPr>
            </w:r>
            <w:r w:rsidRPr="0045252D">
              <w:rPr>
                <w:webHidden/>
                <w:sz w:val="22"/>
                <w:szCs w:val="22"/>
              </w:rPr>
              <w:fldChar w:fldCharType="separate"/>
            </w:r>
            <w:r w:rsidR="00907E22">
              <w:rPr>
                <w:webHidden/>
                <w:sz w:val="22"/>
                <w:szCs w:val="22"/>
              </w:rPr>
              <w:t>7</w:t>
            </w:r>
            <w:r w:rsidRPr="0045252D">
              <w:rPr>
                <w:webHidden/>
                <w:sz w:val="22"/>
                <w:szCs w:val="22"/>
              </w:rPr>
              <w:fldChar w:fldCharType="end"/>
            </w:r>
          </w:hyperlink>
        </w:p>
        <w:p w14:paraId="62951643" w14:textId="77777777" w:rsidR="0045252D" w:rsidRPr="0045252D" w:rsidRDefault="0045252D">
          <w:pPr>
            <w:pStyle w:val="TOC1"/>
            <w:rPr>
              <w:rFonts w:eastAsiaTheme="minorEastAsia"/>
              <w:sz w:val="22"/>
              <w:szCs w:val="22"/>
            </w:rPr>
          </w:pPr>
          <w:hyperlink w:anchor="_Toc214687696" w:history="1">
            <w:r w:rsidRPr="0045252D">
              <w:rPr>
                <w:rStyle w:val="Hyperlink"/>
                <w:sz w:val="22"/>
                <w:szCs w:val="22"/>
              </w:rPr>
              <w:t>7.</w:t>
            </w:r>
            <w:r w:rsidRPr="0045252D">
              <w:rPr>
                <w:rFonts w:eastAsiaTheme="minorEastAsia"/>
                <w:sz w:val="22"/>
                <w:szCs w:val="22"/>
              </w:rPr>
              <w:tab/>
            </w:r>
            <w:r w:rsidRPr="0045252D">
              <w:rPr>
                <w:rStyle w:val="Hyperlink"/>
                <w:sz w:val="22"/>
                <w:szCs w:val="22"/>
              </w:rPr>
              <w:t>Recommendations</w:t>
            </w:r>
            <w:r w:rsidRPr="0045252D">
              <w:rPr>
                <w:webHidden/>
                <w:sz w:val="22"/>
                <w:szCs w:val="22"/>
              </w:rPr>
              <w:tab/>
            </w:r>
            <w:r w:rsidRPr="0045252D">
              <w:rPr>
                <w:webHidden/>
                <w:sz w:val="22"/>
                <w:szCs w:val="22"/>
              </w:rPr>
              <w:fldChar w:fldCharType="begin"/>
            </w:r>
            <w:r w:rsidRPr="0045252D">
              <w:rPr>
                <w:webHidden/>
                <w:sz w:val="22"/>
                <w:szCs w:val="22"/>
              </w:rPr>
              <w:instrText xml:space="preserve"> PAGEREF _Toc214687696 \h </w:instrText>
            </w:r>
            <w:r w:rsidRPr="0045252D">
              <w:rPr>
                <w:webHidden/>
                <w:sz w:val="22"/>
                <w:szCs w:val="22"/>
              </w:rPr>
            </w:r>
            <w:r w:rsidRPr="0045252D">
              <w:rPr>
                <w:webHidden/>
                <w:sz w:val="22"/>
                <w:szCs w:val="22"/>
              </w:rPr>
              <w:fldChar w:fldCharType="separate"/>
            </w:r>
            <w:r w:rsidR="00907E22">
              <w:rPr>
                <w:webHidden/>
                <w:sz w:val="22"/>
                <w:szCs w:val="22"/>
              </w:rPr>
              <w:t>7</w:t>
            </w:r>
            <w:r w:rsidRPr="0045252D">
              <w:rPr>
                <w:webHidden/>
                <w:sz w:val="22"/>
                <w:szCs w:val="22"/>
              </w:rPr>
              <w:fldChar w:fldCharType="end"/>
            </w:r>
          </w:hyperlink>
        </w:p>
        <w:p w14:paraId="0C83EE52" w14:textId="77777777" w:rsidR="00F76C93" w:rsidRDefault="0045252D" w:rsidP="00F76C93">
          <w:pPr>
            <w:pStyle w:val="TOC1"/>
          </w:pPr>
          <w:hyperlink w:anchor="_Toc214687697" w:history="1">
            <w:r w:rsidRPr="0045252D">
              <w:rPr>
                <w:rStyle w:val="Hyperlink"/>
                <w:sz w:val="22"/>
                <w:szCs w:val="22"/>
              </w:rPr>
              <w:t>References</w:t>
            </w:r>
            <w:r w:rsidRPr="0045252D">
              <w:rPr>
                <w:webHidden/>
                <w:sz w:val="22"/>
                <w:szCs w:val="22"/>
              </w:rPr>
              <w:tab/>
            </w:r>
            <w:r w:rsidRPr="0045252D">
              <w:rPr>
                <w:webHidden/>
                <w:sz w:val="22"/>
                <w:szCs w:val="22"/>
              </w:rPr>
              <w:fldChar w:fldCharType="begin"/>
            </w:r>
            <w:r w:rsidRPr="0045252D">
              <w:rPr>
                <w:webHidden/>
                <w:sz w:val="22"/>
                <w:szCs w:val="22"/>
              </w:rPr>
              <w:instrText xml:space="preserve"> PAGEREF _Toc214687697 \h </w:instrText>
            </w:r>
            <w:r w:rsidRPr="0045252D">
              <w:rPr>
                <w:webHidden/>
                <w:sz w:val="22"/>
                <w:szCs w:val="22"/>
              </w:rPr>
            </w:r>
            <w:r w:rsidRPr="0045252D">
              <w:rPr>
                <w:webHidden/>
                <w:sz w:val="22"/>
                <w:szCs w:val="22"/>
              </w:rPr>
              <w:fldChar w:fldCharType="separate"/>
            </w:r>
            <w:r w:rsidR="00907E22">
              <w:rPr>
                <w:webHidden/>
                <w:sz w:val="22"/>
                <w:szCs w:val="22"/>
              </w:rPr>
              <w:t>9</w:t>
            </w:r>
            <w:r w:rsidRPr="0045252D">
              <w:rPr>
                <w:webHidden/>
                <w:sz w:val="22"/>
                <w:szCs w:val="22"/>
              </w:rPr>
              <w:fldChar w:fldCharType="end"/>
            </w:r>
          </w:hyperlink>
          <w:r w:rsidR="00F76C93">
            <w:rPr>
              <w:b/>
              <w:bCs/>
            </w:rPr>
            <w:fldChar w:fldCharType="end"/>
          </w:r>
        </w:p>
      </w:sdtContent>
    </w:sdt>
    <w:p w14:paraId="3C5A7B6F" w14:textId="77777777" w:rsidR="00644C86" w:rsidRPr="00644C86" w:rsidRDefault="00644C86" w:rsidP="00644C86">
      <w:pPr>
        <w:spacing w:line="360" w:lineRule="auto"/>
        <w:jc w:val="both"/>
        <w:rPr>
          <w:rFonts w:ascii="Arial" w:hAnsi="Arial" w:cs="Arial"/>
          <w:sz w:val="22"/>
          <w:szCs w:val="22"/>
        </w:rPr>
      </w:pPr>
    </w:p>
    <w:p w14:paraId="763E1B47" w14:textId="77777777" w:rsidR="00644C86" w:rsidRPr="00644C86" w:rsidRDefault="00644C86" w:rsidP="00644C86">
      <w:pPr>
        <w:spacing w:line="360" w:lineRule="auto"/>
        <w:jc w:val="both"/>
        <w:rPr>
          <w:rFonts w:ascii="Arial" w:hAnsi="Arial" w:cs="Arial"/>
          <w:sz w:val="22"/>
          <w:szCs w:val="22"/>
        </w:rPr>
      </w:pPr>
      <w:r w:rsidRPr="00644C86">
        <w:rPr>
          <w:rFonts w:ascii="Arial" w:hAnsi="Arial" w:cs="Arial"/>
          <w:sz w:val="22"/>
          <w:szCs w:val="22"/>
        </w:rPr>
        <w:br w:type="page"/>
      </w:r>
    </w:p>
    <w:p w14:paraId="47A95759" w14:textId="77777777" w:rsidR="00644C86" w:rsidRPr="00870A78" w:rsidRDefault="00644C86" w:rsidP="00870A78">
      <w:pPr>
        <w:pStyle w:val="ListParagraph"/>
        <w:numPr>
          <w:ilvl w:val="0"/>
          <w:numId w:val="1"/>
        </w:numPr>
        <w:spacing w:line="360" w:lineRule="auto"/>
        <w:jc w:val="both"/>
        <w:outlineLvl w:val="0"/>
        <w:rPr>
          <w:rFonts w:ascii="Arial" w:hAnsi="Arial" w:cs="Arial"/>
          <w:b/>
          <w:bCs/>
          <w:sz w:val="22"/>
          <w:szCs w:val="22"/>
        </w:rPr>
      </w:pPr>
      <w:bookmarkStart w:id="0" w:name="_Toc214687687"/>
      <w:r w:rsidRPr="00870A78">
        <w:rPr>
          <w:rFonts w:ascii="Arial" w:hAnsi="Arial" w:cs="Arial"/>
          <w:b/>
          <w:bCs/>
          <w:sz w:val="22"/>
          <w:szCs w:val="22"/>
        </w:rPr>
        <w:lastRenderedPageBreak/>
        <w:t>Introduction</w:t>
      </w:r>
      <w:bookmarkEnd w:id="0"/>
    </w:p>
    <w:p w14:paraId="4688C22E" w14:textId="77777777" w:rsidR="00644C86" w:rsidRPr="00644C86" w:rsidRDefault="003E22AB" w:rsidP="00644C86">
      <w:pPr>
        <w:spacing w:line="360" w:lineRule="auto"/>
        <w:jc w:val="both"/>
        <w:rPr>
          <w:rFonts w:ascii="Arial" w:hAnsi="Arial" w:cs="Arial"/>
          <w:sz w:val="22"/>
          <w:szCs w:val="22"/>
        </w:rPr>
      </w:pPr>
      <w:r w:rsidRPr="003E22AB">
        <w:rPr>
          <w:rFonts w:ascii="Arial" w:hAnsi="Arial" w:cs="Arial"/>
          <w:sz w:val="22"/>
          <w:szCs w:val="22"/>
        </w:rPr>
        <w:t>An integral part of the UK safeguarding system is the provision of Effective Early Help, which is aimed at making sure that the children, youth, and families receive the necessary help in time before the difficulties are subject to statutory intervention</w:t>
      </w:r>
      <w:r w:rsidR="00D90816">
        <w:rPr>
          <w:rFonts w:ascii="Arial" w:hAnsi="Arial" w:cs="Arial"/>
          <w:sz w:val="22"/>
          <w:szCs w:val="22"/>
        </w:rPr>
        <w:t xml:space="preserve"> (Buckler, 2023)</w:t>
      </w:r>
      <w:r w:rsidRPr="003E22AB">
        <w:rPr>
          <w:rFonts w:ascii="Arial" w:hAnsi="Arial" w:cs="Arial"/>
          <w:sz w:val="22"/>
          <w:szCs w:val="22"/>
        </w:rPr>
        <w:t>. Working Together to Safeguard Children (2023) underlines the role of local authorities and strategic safeguarding partnership in the provision of clear and accessible routes with which to seek assistance, whereas the Early Help System Guide includes the ideas of a multi-agency approach. This report analyses the information sharing of three local authorities in their public-facing websites in terms of communication about Early Help and the family support services associated to Early Help in the following local authorities: Staffordshire County Council, Tower Hamlets Council and Nottinghamshire County Council. Through an examination of the roles of support signposts used by each authority, as well as the aspects of eligibility, and directions provided to families toward referral pathways, the report confirms what strengths and weaknesses are prevalent in digital accessibility and understanding. A comparative analysis will be carried out based on the aspects of layout, language and ease of use taking into account in which aspects each site meets the requirements provided in the national guidance. This report ends by establishing the local authority that offers the best and most available Early Help information to families.</w:t>
      </w:r>
    </w:p>
    <w:p w14:paraId="078E382E" w14:textId="77777777" w:rsidR="00644C86" w:rsidRPr="00870A78" w:rsidRDefault="00644C86" w:rsidP="00870A78">
      <w:pPr>
        <w:pStyle w:val="ListParagraph"/>
        <w:numPr>
          <w:ilvl w:val="0"/>
          <w:numId w:val="1"/>
        </w:numPr>
        <w:spacing w:line="360" w:lineRule="auto"/>
        <w:jc w:val="both"/>
        <w:outlineLvl w:val="0"/>
        <w:rPr>
          <w:rFonts w:ascii="Arial" w:hAnsi="Arial" w:cs="Arial"/>
          <w:b/>
          <w:bCs/>
          <w:sz w:val="22"/>
          <w:szCs w:val="22"/>
        </w:rPr>
      </w:pPr>
      <w:bookmarkStart w:id="1" w:name="_Toc214687688"/>
      <w:r w:rsidRPr="00870A78">
        <w:rPr>
          <w:rFonts w:ascii="Arial" w:hAnsi="Arial" w:cs="Arial"/>
          <w:b/>
          <w:bCs/>
          <w:sz w:val="22"/>
          <w:szCs w:val="22"/>
        </w:rPr>
        <w:t>Early Help System</w:t>
      </w:r>
      <w:bookmarkEnd w:id="1"/>
    </w:p>
    <w:p w14:paraId="760DEB8A" w14:textId="77777777" w:rsidR="00644C86" w:rsidRDefault="003E22AB" w:rsidP="003E22AB">
      <w:pPr>
        <w:spacing w:line="360" w:lineRule="auto"/>
        <w:jc w:val="both"/>
        <w:rPr>
          <w:rFonts w:ascii="Arial" w:hAnsi="Arial" w:cs="Arial"/>
          <w:sz w:val="22"/>
          <w:szCs w:val="22"/>
        </w:rPr>
      </w:pPr>
      <w:r w:rsidRPr="003E22AB">
        <w:rPr>
          <w:rFonts w:ascii="Arial" w:hAnsi="Arial" w:cs="Arial"/>
          <w:sz w:val="22"/>
          <w:szCs w:val="22"/>
        </w:rPr>
        <w:t xml:space="preserve">Early Help System in England is the system that aims at supporting children, young people, and families once the need starts being </w:t>
      </w:r>
      <w:proofErr w:type="spellStart"/>
      <w:r w:rsidRPr="003E22AB">
        <w:rPr>
          <w:rFonts w:ascii="Arial" w:hAnsi="Arial" w:cs="Arial"/>
          <w:sz w:val="22"/>
          <w:szCs w:val="22"/>
        </w:rPr>
        <w:t>recognised</w:t>
      </w:r>
      <w:proofErr w:type="spellEnd"/>
      <w:r w:rsidRPr="003E22AB">
        <w:rPr>
          <w:rFonts w:ascii="Arial" w:hAnsi="Arial" w:cs="Arial"/>
          <w:sz w:val="22"/>
          <w:szCs w:val="22"/>
        </w:rPr>
        <w:t xml:space="preserve"> before the issues grow into more serious problems that will need the intervention of statutory social care. The Early Help System Guide describes Early Help as a multi-agency method of collaboration which involves integration of health, education, housing, and voluntary sector </w:t>
      </w:r>
      <w:proofErr w:type="spellStart"/>
      <w:r w:rsidRPr="003E22AB">
        <w:rPr>
          <w:rFonts w:ascii="Arial" w:hAnsi="Arial" w:cs="Arial"/>
          <w:sz w:val="22"/>
          <w:szCs w:val="22"/>
        </w:rPr>
        <w:t>organisation</w:t>
      </w:r>
      <w:proofErr w:type="spellEnd"/>
      <w:r w:rsidRPr="003E22AB">
        <w:rPr>
          <w:rFonts w:ascii="Arial" w:hAnsi="Arial" w:cs="Arial"/>
          <w:sz w:val="22"/>
          <w:szCs w:val="22"/>
        </w:rPr>
        <w:t xml:space="preserve"> services</w:t>
      </w:r>
      <w:r w:rsidR="00D90816">
        <w:rPr>
          <w:rFonts w:ascii="Arial" w:hAnsi="Arial" w:cs="Arial"/>
          <w:sz w:val="22"/>
          <w:szCs w:val="22"/>
        </w:rPr>
        <w:t xml:space="preserve"> (Duncan, 2023)</w:t>
      </w:r>
      <w:r w:rsidRPr="003E22AB">
        <w:rPr>
          <w:rFonts w:ascii="Arial" w:hAnsi="Arial" w:cs="Arial"/>
          <w:sz w:val="22"/>
          <w:szCs w:val="22"/>
        </w:rPr>
        <w:t>. Its goal is to enhance family strengths, encourage resiliency, and meet the challenges at an early stage using the coordinated and proportionate support.</w:t>
      </w:r>
      <w:r>
        <w:rPr>
          <w:rFonts w:ascii="Arial" w:hAnsi="Arial" w:cs="Arial"/>
          <w:sz w:val="22"/>
          <w:szCs w:val="22"/>
        </w:rPr>
        <w:t xml:space="preserve"> </w:t>
      </w:r>
      <w:r w:rsidRPr="003E22AB">
        <w:rPr>
          <w:rFonts w:ascii="Arial" w:hAnsi="Arial" w:cs="Arial"/>
          <w:sz w:val="22"/>
          <w:szCs w:val="22"/>
        </w:rPr>
        <w:t xml:space="preserve">According to Working Together, in terms of the architecture of safeguarding, the idea of Early Help (2023) serves as the key element of the system. According to it, the local authorities and safeguarding partnerships are supposed to make sure that there are visible and available referral routes on the family and </w:t>
      </w:r>
      <w:r w:rsidR="00D90816" w:rsidRPr="003E22AB">
        <w:rPr>
          <w:rFonts w:ascii="Arial" w:hAnsi="Arial" w:cs="Arial"/>
          <w:sz w:val="22"/>
          <w:szCs w:val="22"/>
        </w:rPr>
        <w:t>professionals’</w:t>
      </w:r>
      <w:r w:rsidRPr="003E22AB">
        <w:rPr>
          <w:rFonts w:ascii="Arial" w:hAnsi="Arial" w:cs="Arial"/>
          <w:sz w:val="22"/>
          <w:szCs w:val="22"/>
        </w:rPr>
        <w:t xml:space="preserve"> level with an efficient Early Help assessment process</w:t>
      </w:r>
      <w:r w:rsidR="00D90816">
        <w:rPr>
          <w:rFonts w:ascii="Arial" w:hAnsi="Arial" w:cs="Arial"/>
          <w:sz w:val="22"/>
          <w:szCs w:val="22"/>
        </w:rPr>
        <w:t xml:space="preserve"> (Policy, 2024)</w:t>
      </w:r>
      <w:r w:rsidRPr="003E22AB">
        <w:rPr>
          <w:rFonts w:ascii="Arial" w:hAnsi="Arial" w:cs="Arial"/>
          <w:sz w:val="22"/>
          <w:szCs w:val="22"/>
        </w:rPr>
        <w:t xml:space="preserve">. This usually involves the use of common tools, e.g. Early Help assessments, Team Around the Family (TAF) meetings and family plans to </w:t>
      </w:r>
      <w:proofErr w:type="spellStart"/>
      <w:r w:rsidRPr="003E22AB">
        <w:rPr>
          <w:rFonts w:ascii="Arial" w:hAnsi="Arial" w:cs="Arial"/>
          <w:sz w:val="22"/>
          <w:szCs w:val="22"/>
        </w:rPr>
        <w:t>organise</w:t>
      </w:r>
      <w:proofErr w:type="spellEnd"/>
      <w:r w:rsidRPr="003E22AB">
        <w:rPr>
          <w:rFonts w:ascii="Arial" w:hAnsi="Arial" w:cs="Arial"/>
          <w:sz w:val="22"/>
          <w:szCs w:val="22"/>
        </w:rPr>
        <w:t xml:space="preserve"> support.</w:t>
      </w:r>
      <w:r>
        <w:rPr>
          <w:rFonts w:ascii="Arial" w:hAnsi="Arial" w:cs="Arial"/>
          <w:sz w:val="22"/>
          <w:szCs w:val="22"/>
        </w:rPr>
        <w:t xml:space="preserve"> </w:t>
      </w:r>
      <w:r w:rsidRPr="003E22AB">
        <w:rPr>
          <w:rFonts w:ascii="Arial" w:hAnsi="Arial" w:cs="Arial"/>
          <w:sz w:val="22"/>
          <w:szCs w:val="22"/>
        </w:rPr>
        <w:t xml:space="preserve">At the heart of the Early Help system is the idea, that the right support, at the right time, can make a great difference to the outcomes of children, through risk reduction, family circumstance </w:t>
      </w:r>
      <w:proofErr w:type="spellStart"/>
      <w:r w:rsidRPr="003E22AB">
        <w:rPr>
          <w:rFonts w:ascii="Arial" w:hAnsi="Arial" w:cs="Arial"/>
          <w:sz w:val="22"/>
          <w:szCs w:val="22"/>
        </w:rPr>
        <w:t>stabilisation</w:t>
      </w:r>
      <w:proofErr w:type="spellEnd"/>
      <w:r w:rsidRPr="003E22AB">
        <w:rPr>
          <w:rFonts w:ascii="Arial" w:hAnsi="Arial" w:cs="Arial"/>
          <w:sz w:val="22"/>
          <w:szCs w:val="22"/>
        </w:rPr>
        <w:t xml:space="preserve"> and the promotion of wellbeing</w:t>
      </w:r>
      <w:r w:rsidR="00D90816">
        <w:rPr>
          <w:rFonts w:ascii="Arial" w:hAnsi="Arial" w:cs="Arial"/>
          <w:sz w:val="22"/>
          <w:szCs w:val="22"/>
        </w:rPr>
        <w:t xml:space="preserve"> (Roy, 2022)</w:t>
      </w:r>
      <w:r w:rsidRPr="003E22AB">
        <w:rPr>
          <w:rFonts w:ascii="Arial" w:hAnsi="Arial" w:cs="Arial"/>
          <w:sz w:val="22"/>
          <w:szCs w:val="22"/>
        </w:rPr>
        <w:t xml:space="preserve">. Early Help can thus </w:t>
      </w:r>
      <w:r w:rsidRPr="003E22AB">
        <w:rPr>
          <w:rFonts w:ascii="Arial" w:hAnsi="Arial" w:cs="Arial"/>
          <w:sz w:val="22"/>
          <w:szCs w:val="22"/>
        </w:rPr>
        <w:lastRenderedPageBreak/>
        <w:t>be said to serve as a preventative process as well as facilitating the empowerment of the family towards a sustainable positive change.</w:t>
      </w:r>
    </w:p>
    <w:p w14:paraId="0F11FB21" w14:textId="77777777" w:rsidR="00644C86" w:rsidRPr="00870A78" w:rsidRDefault="00644C86" w:rsidP="00870A78">
      <w:pPr>
        <w:pStyle w:val="ListParagraph"/>
        <w:numPr>
          <w:ilvl w:val="0"/>
          <w:numId w:val="1"/>
        </w:numPr>
        <w:spacing w:line="360" w:lineRule="auto"/>
        <w:jc w:val="both"/>
        <w:outlineLvl w:val="0"/>
        <w:rPr>
          <w:rFonts w:ascii="Arial" w:hAnsi="Arial" w:cs="Arial"/>
          <w:b/>
          <w:bCs/>
          <w:sz w:val="22"/>
          <w:szCs w:val="22"/>
        </w:rPr>
      </w:pPr>
      <w:bookmarkStart w:id="2" w:name="_Toc214687689"/>
      <w:r w:rsidRPr="00870A78">
        <w:rPr>
          <w:rFonts w:ascii="Arial" w:hAnsi="Arial" w:cs="Arial"/>
          <w:b/>
          <w:bCs/>
          <w:sz w:val="22"/>
          <w:szCs w:val="22"/>
        </w:rPr>
        <w:t>Multi-Agency Working</w:t>
      </w:r>
      <w:bookmarkEnd w:id="2"/>
    </w:p>
    <w:p w14:paraId="3FDBED57" w14:textId="77777777" w:rsidR="00644C86" w:rsidRDefault="003E22AB" w:rsidP="00644C86">
      <w:pPr>
        <w:spacing w:line="360" w:lineRule="auto"/>
        <w:jc w:val="both"/>
        <w:rPr>
          <w:rFonts w:ascii="Arial" w:hAnsi="Arial" w:cs="Arial"/>
          <w:sz w:val="22"/>
          <w:szCs w:val="22"/>
        </w:rPr>
      </w:pPr>
      <w:r w:rsidRPr="003E22AB">
        <w:rPr>
          <w:rFonts w:ascii="Arial" w:hAnsi="Arial" w:cs="Arial"/>
          <w:sz w:val="22"/>
          <w:szCs w:val="22"/>
        </w:rPr>
        <w:t xml:space="preserve">The concept of multi-agency working is a fundamental one in the UK framework of safeguarding and Early Help as it highlights the importance of interprofessional collaboration among the representatives of various sectors to address the specific needs of children and families. Working Together to Safeguard Children (2023) emphasizes that no single organization can ever comprehend or completely respond to the complicated aspects of a child life independently and that to successfully protect a child, employee collaboration among education, health, social care, police, early year settings, voluntary </w:t>
      </w:r>
      <w:proofErr w:type="spellStart"/>
      <w:r w:rsidRPr="003E22AB">
        <w:rPr>
          <w:rFonts w:ascii="Arial" w:hAnsi="Arial" w:cs="Arial"/>
          <w:sz w:val="22"/>
          <w:szCs w:val="22"/>
        </w:rPr>
        <w:t>organisations</w:t>
      </w:r>
      <w:proofErr w:type="spellEnd"/>
      <w:r w:rsidRPr="003E22AB">
        <w:rPr>
          <w:rFonts w:ascii="Arial" w:hAnsi="Arial" w:cs="Arial"/>
          <w:sz w:val="22"/>
          <w:szCs w:val="22"/>
        </w:rPr>
        <w:t xml:space="preserve">, and community services would be a successful strategy. In a common responsibility, the agencies may notice issues earlier, </w:t>
      </w:r>
      <w:proofErr w:type="spellStart"/>
      <w:r w:rsidRPr="003E22AB">
        <w:rPr>
          <w:rFonts w:ascii="Arial" w:hAnsi="Arial" w:cs="Arial"/>
          <w:sz w:val="22"/>
          <w:szCs w:val="22"/>
        </w:rPr>
        <w:t>minimise</w:t>
      </w:r>
      <w:proofErr w:type="spellEnd"/>
      <w:r w:rsidRPr="003E22AB">
        <w:rPr>
          <w:rFonts w:ascii="Arial" w:hAnsi="Arial" w:cs="Arial"/>
          <w:sz w:val="22"/>
          <w:szCs w:val="22"/>
        </w:rPr>
        <w:t xml:space="preserve"> duplication, and provide families with coherent and coordinated assistance</w:t>
      </w:r>
      <w:r w:rsidR="00533B2C">
        <w:rPr>
          <w:rFonts w:ascii="Arial" w:hAnsi="Arial" w:cs="Arial"/>
          <w:sz w:val="22"/>
          <w:szCs w:val="22"/>
        </w:rPr>
        <w:t xml:space="preserve"> (Garcia et al., 2024)</w:t>
      </w:r>
      <w:r w:rsidRPr="003E22AB">
        <w:rPr>
          <w:rFonts w:ascii="Arial" w:hAnsi="Arial" w:cs="Arial"/>
          <w:sz w:val="22"/>
          <w:szCs w:val="22"/>
        </w:rPr>
        <w:t>. In the Early Help context, the Early Help System Guide establishes the significance of collaboration on a whole system basis in curbing the escalation of problems. The common processes that multi-agency working uses are shared assessment, joint planning, and Team Around the Family (TAF) meetings, in which professionals bring their expertise to develop a single plan of assistance. This would make sure that the strengths and needs of the family are considered as a complete unit and the support is given in an appropriate manner which is proportionate and at the right time</w:t>
      </w:r>
      <w:r w:rsidR="00D90816">
        <w:rPr>
          <w:rFonts w:ascii="Arial" w:hAnsi="Arial" w:cs="Arial"/>
          <w:sz w:val="22"/>
          <w:szCs w:val="22"/>
        </w:rPr>
        <w:t xml:space="preserve"> (</w:t>
      </w:r>
      <w:proofErr w:type="spellStart"/>
      <w:r w:rsidR="00D90816">
        <w:rPr>
          <w:rFonts w:ascii="Arial" w:hAnsi="Arial" w:cs="Arial"/>
          <w:sz w:val="22"/>
          <w:szCs w:val="22"/>
        </w:rPr>
        <w:t>Majebi</w:t>
      </w:r>
      <w:proofErr w:type="spellEnd"/>
      <w:r w:rsidR="00D90816">
        <w:rPr>
          <w:rFonts w:ascii="Arial" w:hAnsi="Arial" w:cs="Arial"/>
          <w:sz w:val="22"/>
          <w:szCs w:val="22"/>
        </w:rPr>
        <w:t xml:space="preserve"> et al., 2024)</w:t>
      </w:r>
      <w:r w:rsidRPr="003E22AB">
        <w:rPr>
          <w:rFonts w:ascii="Arial" w:hAnsi="Arial" w:cs="Arial"/>
          <w:sz w:val="22"/>
          <w:szCs w:val="22"/>
        </w:rPr>
        <w:t>. The multi-agency working depends on the communication and the information sharing rules, along with the common understanding of the intervention thresholds.</w:t>
      </w:r>
    </w:p>
    <w:p w14:paraId="732CFFF7" w14:textId="77777777" w:rsidR="00644C86" w:rsidRPr="00870A78" w:rsidRDefault="00644C86" w:rsidP="00870A78">
      <w:pPr>
        <w:pStyle w:val="ListParagraph"/>
        <w:numPr>
          <w:ilvl w:val="0"/>
          <w:numId w:val="1"/>
        </w:numPr>
        <w:spacing w:line="360" w:lineRule="auto"/>
        <w:jc w:val="both"/>
        <w:outlineLvl w:val="0"/>
        <w:rPr>
          <w:rFonts w:ascii="Arial" w:hAnsi="Arial" w:cs="Arial"/>
          <w:b/>
          <w:bCs/>
          <w:sz w:val="22"/>
          <w:szCs w:val="22"/>
        </w:rPr>
      </w:pPr>
      <w:bookmarkStart w:id="3" w:name="_Toc214687690"/>
      <w:r w:rsidRPr="00870A78">
        <w:rPr>
          <w:rFonts w:ascii="Arial" w:hAnsi="Arial" w:cs="Arial"/>
          <w:b/>
          <w:bCs/>
          <w:sz w:val="22"/>
          <w:szCs w:val="22"/>
        </w:rPr>
        <w:t>Website Evaluation</w:t>
      </w:r>
      <w:bookmarkEnd w:id="3"/>
    </w:p>
    <w:p w14:paraId="20648D03" w14:textId="77777777" w:rsidR="00644C86" w:rsidRPr="00870A78" w:rsidRDefault="003E22AB" w:rsidP="00870A78">
      <w:pPr>
        <w:pStyle w:val="ListParagraph"/>
        <w:numPr>
          <w:ilvl w:val="1"/>
          <w:numId w:val="1"/>
        </w:numPr>
        <w:spacing w:line="360" w:lineRule="auto"/>
        <w:jc w:val="both"/>
        <w:outlineLvl w:val="1"/>
        <w:rPr>
          <w:rFonts w:ascii="Arial" w:hAnsi="Arial" w:cs="Arial"/>
          <w:b/>
          <w:bCs/>
          <w:sz w:val="22"/>
          <w:szCs w:val="22"/>
        </w:rPr>
      </w:pPr>
      <w:bookmarkStart w:id="4" w:name="_Toc214687691"/>
      <w:r w:rsidRPr="003E22AB">
        <w:rPr>
          <w:rFonts w:ascii="Arial" w:hAnsi="Arial" w:cs="Arial"/>
          <w:b/>
          <w:bCs/>
          <w:sz w:val="22"/>
          <w:szCs w:val="22"/>
        </w:rPr>
        <w:t>Staffordshire County Council</w:t>
      </w:r>
      <w:bookmarkEnd w:id="4"/>
    </w:p>
    <w:p w14:paraId="4C825D51" w14:textId="77777777" w:rsidR="00644C86" w:rsidRDefault="003E22AB" w:rsidP="003E22AB">
      <w:pPr>
        <w:spacing w:line="360" w:lineRule="auto"/>
        <w:jc w:val="both"/>
        <w:rPr>
          <w:rFonts w:ascii="Arial" w:hAnsi="Arial" w:cs="Arial"/>
          <w:sz w:val="22"/>
          <w:szCs w:val="22"/>
        </w:rPr>
      </w:pPr>
      <w:r w:rsidRPr="003E22AB">
        <w:rPr>
          <w:rFonts w:ascii="Arial" w:hAnsi="Arial" w:cs="Arial"/>
          <w:sz w:val="22"/>
          <w:szCs w:val="22"/>
        </w:rPr>
        <w:t xml:space="preserve">Staffordshire County Council has its Early Help information offered within the confines of the larger Fam 1st approach. The site layout is logical and the families can access the Early Help information by changing to kids and families’ section. The description of the delivery of support in the area is one of the strong aspects of this site. Staffordshire coordinates its Early Help activity by geographical regions and this assists the family to </w:t>
      </w:r>
      <w:proofErr w:type="spellStart"/>
      <w:r w:rsidRPr="003E22AB">
        <w:rPr>
          <w:rFonts w:ascii="Arial" w:hAnsi="Arial" w:cs="Arial"/>
          <w:sz w:val="22"/>
          <w:szCs w:val="22"/>
        </w:rPr>
        <w:t>realise</w:t>
      </w:r>
      <w:proofErr w:type="spellEnd"/>
      <w:r w:rsidRPr="003E22AB">
        <w:rPr>
          <w:rFonts w:ascii="Arial" w:hAnsi="Arial" w:cs="Arial"/>
          <w:sz w:val="22"/>
          <w:szCs w:val="22"/>
        </w:rPr>
        <w:t xml:space="preserve"> that the support is done according to their community, and not centrally. The cooperation between Early Help teams, safeguarding services, disability support, and education is also </w:t>
      </w:r>
      <w:proofErr w:type="spellStart"/>
      <w:r w:rsidRPr="003E22AB">
        <w:rPr>
          <w:rFonts w:ascii="Arial" w:hAnsi="Arial" w:cs="Arial"/>
          <w:sz w:val="22"/>
          <w:szCs w:val="22"/>
        </w:rPr>
        <w:t>emphasised</w:t>
      </w:r>
      <w:proofErr w:type="spellEnd"/>
      <w:r w:rsidRPr="003E22AB">
        <w:rPr>
          <w:rFonts w:ascii="Arial" w:hAnsi="Arial" w:cs="Arial"/>
          <w:sz w:val="22"/>
          <w:szCs w:val="22"/>
        </w:rPr>
        <w:t xml:space="preserve"> on the site which indicates the definite multi-agency approach.</w:t>
      </w:r>
      <w:r>
        <w:rPr>
          <w:rFonts w:ascii="Arial" w:hAnsi="Arial" w:cs="Arial"/>
          <w:sz w:val="22"/>
          <w:szCs w:val="22"/>
        </w:rPr>
        <w:t xml:space="preserve"> </w:t>
      </w:r>
      <w:r w:rsidRPr="003E22AB">
        <w:rPr>
          <w:rFonts w:ascii="Arial" w:hAnsi="Arial" w:cs="Arial"/>
          <w:sz w:val="22"/>
          <w:szCs w:val="22"/>
        </w:rPr>
        <w:t>The site has clear contact ingredients to families in need of support which includes a special advice line</w:t>
      </w:r>
      <w:r w:rsidR="00D90816">
        <w:rPr>
          <w:rFonts w:ascii="Arial" w:hAnsi="Arial" w:cs="Arial"/>
          <w:sz w:val="22"/>
          <w:szCs w:val="22"/>
        </w:rPr>
        <w:t xml:space="preserve"> </w:t>
      </w:r>
      <w:r w:rsidR="00D90816" w:rsidRPr="00D90816">
        <w:rPr>
          <w:rFonts w:ascii="Arial" w:hAnsi="Arial" w:cs="Arial"/>
          <w:sz w:val="22"/>
          <w:szCs w:val="22"/>
        </w:rPr>
        <w:t>(Staffordshire, 2023)</w:t>
      </w:r>
      <w:r w:rsidRPr="003E22AB">
        <w:rPr>
          <w:rFonts w:ascii="Arial" w:hAnsi="Arial" w:cs="Arial"/>
          <w:sz w:val="22"/>
          <w:szCs w:val="22"/>
        </w:rPr>
        <w:t xml:space="preserve">. It describes the distinction </w:t>
      </w:r>
      <w:r w:rsidRPr="003E22AB">
        <w:rPr>
          <w:rFonts w:ascii="Arial" w:hAnsi="Arial" w:cs="Arial"/>
          <w:sz w:val="22"/>
          <w:szCs w:val="22"/>
        </w:rPr>
        <w:lastRenderedPageBreak/>
        <w:t>between general wellbeing issues and more immediate safeguarding issues, which helps family members follow the right path. This is also in pace with the requirements of national policy that families need to know thresholds and referral procedures.</w:t>
      </w:r>
      <w:r w:rsidR="00901D04">
        <w:rPr>
          <w:rFonts w:ascii="Arial" w:hAnsi="Arial" w:cs="Arial"/>
          <w:sz w:val="22"/>
          <w:szCs w:val="22"/>
        </w:rPr>
        <w:t xml:space="preserve"> </w:t>
      </w:r>
      <w:r w:rsidRPr="003E22AB">
        <w:rPr>
          <w:rFonts w:ascii="Arial" w:hAnsi="Arial" w:cs="Arial"/>
          <w:sz w:val="22"/>
          <w:szCs w:val="22"/>
        </w:rPr>
        <w:t>The site however is too much inclined towards professional jargon including; levels of need, patch teams, and allocated worker. Although the terms are common among the professionals, other families might be confused by the language or be too technical. Resources that are parent-friendly, including plain-language handbooks, diagrams, or leaflets of what Early Help is about, are few in number.</w:t>
      </w:r>
    </w:p>
    <w:p w14:paraId="4042D33A" w14:textId="77777777" w:rsidR="00644C86" w:rsidRPr="00870A78" w:rsidRDefault="003E22AB" w:rsidP="00870A78">
      <w:pPr>
        <w:pStyle w:val="ListParagraph"/>
        <w:numPr>
          <w:ilvl w:val="1"/>
          <w:numId w:val="1"/>
        </w:numPr>
        <w:spacing w:line="360" w:lineRule="auto"/>
        <w:jc w:val="both"/>
        <w:outlineLvl w:val="1"/>
        <w:rPr>
          <w:rFonts w:ascii="Arial" w:hAnsi="Arial" w:cs="Arial"/>
          <w:b/>
          <w:bCs/>
          <w:sz w:val="22"/>
          <w:szCs w:val="22"/>
        </w:rPr>
      </w:pPr>
      <w:bookmarkStart w:id="5" w:name="_Toc214687692"/>
      <w:r>
        <w:rPr>
          <w:rFonts w:ascii="Arial" w:hAnsi="Arial" w:cs="Arial"/>
          <w:b/>
          <w:bCs/>
          <w:sz w:val="22"/>
          <w:szCs w:val="22"/>
        </w:rPr>
        <w:t>Tower Hamlets</w:t>
      </w:r>
      <w:r w:rsidR="00D31EB5" w:rsidRPr="00870A78">
        <w:rPr>
          <w:rFonts w:ascii="Arial" w:hAnsi="Arial" w:cs="Arial"/>
          <w:b/>
          <w:bCs/>
          <w:sz w:val="22"/>
          <w:szCs w:val="22"/>
        </w:rPr>
        <w:t xml:space="preserve"> Council</w:t>
      </w:r>
      <w:bookmarkEnd w:id="5"/>
    </w:p>
    <w:p w14:paraId="5EAE3A00" w14:textId="77777777" w:rsidR="00D31EB5" w:rsidRDefault="003E22AB" w:rsidP="003E22AB">
      <w:pPr>
        <w:spacing w:line="360" w:lineRule="auto"/>
        <w:jc w:val="both"/>
        <w:rPr>
          <w:rFonts w:ascii="Arial" w:hAnsi="Arial" w:cs="Arial"/>
          <w:sz w:val="22"/>
          <w:szCs w:val="22"/>
        </w:rPr>
      </w:pPr>
      <w:r w:rsidRPr="003E22AB">
        <w:rPr>
          <w:rFonts w:ascii="Arial" w:hAnsi="Arial" w:cs="Arial"/>
          <w:sz w:val="22"/>
          <w:szCs w:val="22"/>
        </w:rPr>
        <w:t>Tower Hamlets has one of the most accessible and comprehensive Early Help webpages in the local authorities. The information is well-marked and easy to find as well as it is written in a parent-friendly style. The site has a simple definition of the Early Help and its target clients and the process through which families can get it. The language used is uncomplicated, friendly and does not contain any unneeded terminologies, which is easier to comprehend by the family on the intent of the service.</w:t>
      </w:r>
      <w:r>
        <w:rPr>
          <w:rFonts w:ascii="Arial" w:hAnsi="Arial" w:cs="Arial"/>
          <w:sz w:val="22"/>
          <w:szCs w:val="22"/>
        </w:rPr>
        <w:t xml:space="preserve"> </w:t>
      </w:r>
      <w:r w:rsidRPr="003E22AB">
        <w:rPr>
          <w:rFonts w:ascii="Arial" w:hAnsi="Arial" w:cs="Arial"/>
          <w:sz w:val="22"/>
          <w:szCs w:val="22"/>
        </w:rPr>
        <w:t xml:space="preserve">One of the strong points of the site of Tower Hamlets is its </w:t>
      </w:r>
      <w:proofErr w:type="spellStart"/>
      <w:r w:rsidRPr="003E22AB">
        <w:rPr>
          <w:rFonts w:ascii="Arial" w:hAnsi="Arial" w:cs="Arial"/>
          <w:sz w:val="22"/>
          <w:szCs w:val="22"/>
        </w:rPr>
        <w:t>organisation</w:t>
      </w:r>
      <w:proofErr w:type="spellEnd"/>
      <w:r w:rsidRPr="003E22AB">
        <w:rPr>
          <w:rFonts w:ascii="Arial" w:hAnsi="Arial" w:cs="Arial"/>
          <w:sz w:val="22"/>
          <w:szCs w:val="22"/>
        </w:rPr>
        <w:t xml:space="preserve"> of the Early Help process. It presents information on the way issues are discussed, what an Early Help assessment takes, and how a plan is created with the family</w:t>
      </w:r>
      <w:r w:rsidR="00D90816">
        <w:rPr>
          <w:rFonts w:ascii="Arial" w:hAnsi="Arial" w:cs="Arial"/>
          <w:sz w:val="22"/>
          <w:szCs w:val="22"/>
        </w:rPr>
        <w:t xml:space="preserve"> </w:t>
      </w:r>
      <w:r w:rsidR="00D90816" w:rsidRPr="00D90816">
        <w:rPr>
          <w:rFonts w:ascii="Arial" w:hAnsi="Arial" w:cs="Arial"/>
          <w:sz w:val="22"/>
          <w:szCs w:val="22"/>
        </w:rPr>
        <w:t>(Tower Hamlets, 2025)</w:t>
      </w:r>
      <w:r w:rsidRPr="003E22AB">
        <w:rPr>
          <w:rFonts w:ascii="Arial" w:hAnsi="Arial" w:cs="Arial"/>
          <w:sz w:val="22"/>
          <w:szCs w:val="22"/>
        </w:rPr>
        <w:t>. This openness is used to assure parents of what is going to happen in case they seek assistance. The site also includes extensive information regarding the multi-agency approach in the borough, which is explained by the fact that specialists of various services collaborate to assist the child and family.</w:t>
      </w:r>
      <w:r w:rsidR="00901D04">
        <w:rPr>
          <w:rFonts w:ascii="Arial" w:hAnsi="Arial" w:cs="Arial"/>
          <w:sz w:val="22"/>
          <w:szCs w:val="22"/>
        </w:rPr>
        <w:t xml:space="preserve"> </w:t>
      </w:r>
      <w:r w:rsidRPr="003E22AB">
        <w:rPr>
          <w:rFonts w:ascii="Arial" w:hAnsi="Arial" w:cs="Arial"/>
          <w:sz w:val="22"/>
          <w:szCs w:val="22"/>
        </w:rPr>
        <w:t xml:space="preserve">The other excellent attribute is the presence of Family Hubs. The site illustrates how hubs serve as a convenient community </w:t>
      </w:r>
      <w:proofErr w:type="spellStart"/>
      <w:r w:rsidRPr="003E22AB">
        <w:rPr>
          <w:rFonts w:ascii="Arial" w:hAnsi="Arial" w:cs="Arial"/>
          <w:sz w:val="22"/>
          <w:szCs w:val="22"/>
        </w:rPr>
        <w:t>centre</w:t>
      </w:r>
      <w:proofErr w:type="spellEnd"/>
      <w:r w:rsidRPr="003E22AB">
        <w:rPr>
          <w:rFonts w:ascii="Arial" w:hAnsi="Arial" w:cs="Arial"/>
          <w:sz w:val="22"/>
          <w:szCs w:val="22"/>
        </w:rPr>
        <w:t xml:space="preserve"> in parenting, health, and financial guidance, and other practical services. The description of the offer, as well as the examples of the support that is available, and the description of including make the offer easy to grasp.</w:t>
      </w:r>
    </w:p>
    <w:p w14:paraId="5CF3FB59" w14:textId="77777777" w:rsidR="00D31EB5" w:rsidRPr="00870A78" w:rsidRDefault="003E22AB" w:rsidP="00870A78">
      <w:pPr>
        <w:pStyle w:val="ListParagraph"/>
        <w:numPr>
          <w:ilvl w:val="1"/>
          <w:numId w:val="1"/>
        </w:numPr>
        <w:spacing w:line="360" w:lineRule="auto"/>
        <w:jc w:val="both"/>
        <w:outlineLvl w:val="1"/>
        <w:rPr>
          <w:rFonts w:ascii="Arial" w:hAnsi="Arial" w:cs="Arial"/>
          <w:b/>
          <w:bCs/>
          <w:sz w:val="22"/>
          <w:szCs w:val="22"/>
        </w:rPr>
      </w:pPr>
      <w:bookmarkStart w:id="6" w:name="_Toc214687693"/>
      <w:r w:rsidRPr="003E22AB">
        <w:rPr>
          <w:rFonts w:ascii="Arial" w:hAnsi="Arial" w:cs="Arial"/>
          <w:b/>
          <w:bCs/>
          <w:sz w:val="22"/>
          <w:szCs w:val="22"/>
        </w:rPr>
        <w:t>Nottinghamshire County Council</w:t>
      </w:r>
      <w:bookmarkEnd w:id="6"/>
    </w:p>
    <w:p w14:paraId="16FE6E02" w14:textId="77777777" w:rsidR="00D31EB5" w:rsidRDefault="003E22AB" w:rsidP="003E22AB">
      <w:pPr>
        <w:spacing w:line="360" w:lineRule="auto"/>
        <w:jc w:val="both"/>
        <w:rPr>
          <w:rFonts w:ascii="Arial" w:hAnsi="Arial" w:cs="Arial"/>
          <w:sz w:val="22"/>
          <w:szCs w:val="22"/>
        </w:rPr>
      </w:pPr>
      <w:r w:rsidRPr="003E22AB">
        <w:rPr>
          <w:rFonts w:ascii="Arial" w:hAnsi="Arial" w:cs="Arial"/>
          <w:sz w:val="22"/>
          <w:szCs w:val="22"/>
        </w:rPr>
        <w:t>The Early Help in Nottinghamshire County Council is shown in the framework of in-community-based support and family hubs. The site provides a description of universal and focused services that could be offered to children and families and it also stresses a community-based delivery model</w:t>
      </w:r>
      <w:r w:rsidR="00D90816">
        <w:rPr>
          <w:rFonts w:ascii="Arial" w:hAnsi="Arial" w:cs="Arial"/>
          <w:sz w:val="22"/>
          <w:szCs w:val="22"/>
        </w:rPr>
        <w:t xml:space="preserve"> </w:t>
      </w:r>
      <w:r w:rsidR="00D90816" w:rsidRPr="00D90816">
        <w:rPr>
          <w:rFonts w:ascii="Arial" w:hAnsi="Arial" w:cs="Arial"/>
          <w:sz w:val="22"/>
          <w:szCs w:val="22"/>
        </w:rPr>
        <w:t>(Nottinghamshire, 2025)</w:t>
      </w:r>
      <w:r w:rsidRPr="003E22AB">
        <w:rPr>
          <w:rFonts w:ascii="Arial" w:hAnsi="Arial" w:cs="Arial"/>
          <w:sz w:val="22"/>
          <w:szCs w:val="22"/>
        </w:rPr>
        <w:t>. The information on the Early Help can be followed in most cases easily and the site offers multiple pages describing the local support networks, including family hubs, early years services, and community partnerships.</w:t>
      </w:r>
      <w:r>
        <w:rPr>
          <w:rFonts w:ascii="Arial" w:hAnsi="Arial" w:cs="Arial"/>
          <w:sz w:val="22"/>
          <w:szCs w:val="22"/>
        </w:rPr>
        <w:t xml:space="preserve"> </w:t>
      </w:r>
      <w:r w:rsidRPr="003E22AB">
        <w:rPr>
          <w:rFonts w:ascii="Arial" w:hAnsi="Arial" w:cs="Arial"/>
          <w:sz w:val="22"/>
          <w:szCs w:val="22"/>
        </w:rPr>
        <w:t xml:space="preserve">Among the strengths is the fact that Nottinghamshire releases strategic information regarding the Early Help and plans of development as well as frameworks applied throughout the county. This is very transparent and </w:t>
      </w:r>
      <w:r w:rsidRPr="003E22AB">
        <w:rPr>
          <w:rFonts w:ascii="Arial" w:hAnsi="Arial" w:cs="Arial"/>
          <w:sz w:val="22"/>
          <w:szCs w:val="22"/>
        </w:rPr>
        <w:lastRenderedPageBreak/>
        <w:t>indicates how Early Help can be incorporated into a broader, coordinated, multi-agency system. Families may also use a downloadable Early Help Offer document which helps to consolidate major services and contact details in one document which fits well and is informative.</w:t>
      </w:r>
      <w:r w:rsidR="00901D04">
        <w:rPr>
          <w:rFonts w:ascii="Arial" w:hAnsi="Arial" w:cs="Arial"/>
          <w:sz w:val="22"/>
          <w:szCs w:val="22"/>
        </w:rPr>
        <w:t xml:space="preserve"> </w:t>
      </w:r>
      <w:r w:rsidRPr="003E22AB">
        <w:rPr>
          <w:rFonts w:ascii="Arial" w:hAnsi="Arial" w:cs="Arial"/>
          <w:sz w:val="22"/>
          <w:szCs w:val="22"/>
        </w:rPr>
        <w:t>Nevertheless, the families might have a harder time defining the course of action they need to undergo to receive Early Help. Although the site outlines the support teams and hubs, it lacks a clear, easy to understand parent friendly description of the Early Help referral process. The language presented on certain pages is rather professional-oriented than family-oriented and contains system-specific words and terms that are not described in detail.</w:t>
      </w:r>
      <w:r>
        <w:rPr>
          <w:rFonts w:ascii="Arial" w:hAnsi="Arial" w:cs="Arial"/>
          <w:sz w:val="22"/>
          <w:szCs w:val="22"/>
        </w:rPr>
        <w:t xml:space="preserve"> </w:t>
      </w:r>
      <w:r w:rsidRPr="003E22AB">
        <w:rPr>
          <w:rFonts w:ascii="Arial" w:hAnsi="Arial" w:cs="Arial"/>
          <w:sz w:val="22"/>
          <w:szCs w:val="22"/>
        </w:rPr>
        <w:t>Also</w:t>
      </w:r>
      <w:r>
        <w:rPr>
          <w:rFonts w:ascii="Arial" w:hAnsi="Arial" w:cs="Arial"/>
          <w:sz w:val="22"/>
          <w:szCs w:val="22"/>
        </w:rPr>
        <w:t>,</w:t>
      </w:r>
      <w:r w:rsidRPr="003E22AB">
        <w:rPr>
          <w:rFonts w:ascii="Arial" w:hAnsi="Arial" w:cs="Arial"/>
          <w:sz w:val="22"/>
          <w:szCs w:val="22"/>
        </w:rPr>
        <w:t xml:space="preserve"> there is scanty information about what an Early Help assessment entails, how families can expect the process to take and how long the support can take.</w:t>
      </w:r>
    </w:p>
    <w:p w14:paraId="39CF130D" w14:textId="77777777" w:rsidR="00D31EB5" w:rsidRPr="00870A78" w:rsidRDefault="00D31EB5" w:rsidP="00870A78">
      <w:pPr>
        <w:pStyle w:val="ListParagraph"/>
        <w:numPr>
          <w:ilvl w:val="0"/>
          <w:numId w:val="1"/>
        </w:numPr>
        <w:spacing w:line="360" w:lineRule="auto"/>
        <w:jc w:val="both"/>
        <w:outlineLvl w:val="0"/>
        <w:rPr>
          <w:rFonts w:ascii="Arial" w:hAnsi="Arial" w:cs="Arial"/>
          <w:b/>
          <w:bCs/>
          <w:sz w:val="22"/>
          <w:szCs w:val="22"/>
        </w:rPr>
      </w:pPr>
      <w:bookmarkStart w:id="7" w:name="_Toc214687694"/>
      <w:r w:rsidRPr="00870A78">
        <w:rPr>
          <w:rFonts w:ascii="Arial" w:hAnsi="Arial" w:cs="Arial"/>
          <w:b/>
          <w:bCs/>
          <w:sz w:val="22"/>
          <w:szCs w:val="22"/>
        </w:rPr>
        <w:t>Comparative Analysis</w:t>
      </w:r>
      <w:bookmarkEnd w:id="7"/>
    </w:p>
    <w:p w14:paraId="581AA8C5" w14:textId="77777777" w:rsidR="003E22AB" w:rsidRPr="003E22AB" w:rsidRDefault="003E22AB" w:rsidP="003E22AB">
      <w:pPr>
        <w:spacing w:line="360" w:lineRule="auto"/>
        <w:jc w:val="both"/>
        <w:rPr>
          <w:rFonts w:ascii="Arial" w:hAnsi="Arial" w:cs="Arial"/>
          <w:sz w:val="22"/>
          <w:szCs w:val="22"/>
        </w:rPr>
      </w:pPr>
      <w:r w:rsidRPr="003E22AB">
        <w:rPr>
          <w:rFonts w:ascii="Arial" w:hAnsi="Arial" w:cs="Arial"/>
          <w:sz w:val="22"/>
          <w:szCs w:val="22"/>
        </w:rPr>
        <w:t>On the three websites of local authorities (Staffordshire, Tower Hamlets and Nottinghamshire) critical variations in the clarity and effectiveness of communicating Early Help information to families can be found. Although all authorities have the necessary information on the services, the accessibility, clarity, and convenience of the content are rather different.</w:t>
      </w:r>
    </w:p>
    <w:p w14:paraId="11C97F9C" w14:textId="77777777" w:rsidR="003E22AB" w:rsidRPr="003E22AB" w:rsidRDefault="003E22AB" w:rsidP="003E22AB">
      <w:pPr>
        <w:spacing w:line="360" w:lineRule="auto"/>
        <w:jc w:val="both"/>
        <w:rPr>
          <w:rFonts w:ascii="Arial" w:hAnsi="Arial" w:cs="Arial"/>
          <w:sz w:val="22"/>
          <w:szCs w:val="22"/>
        </w:rPr>
      </w:pPr>
      <w:r w:rsidRPr="003E22AB">
        <w:rPr>
          <w:rFonts w:ascii="Arial" w:hAnsi="Arial" w:cs="Arial"/>
          <w:sz w:val="22"/>
          <w:szCs w:val="22"/>
        </w:rPr>
        <w:t xml:space="preserve">Tower Hamlets has the best overall approach. The information on Early Help is presented in easily understandable language and it is </w:t>
      </w:r>
      <w:proofErr w:type="spellStart"/>
      <w:r w:rsidRPr="003E22AB">
        <w:rPr>
          <w:rFonts w:ascii="Arial" w:hAnsi="Arial" w:cs="Arial"/>
          <w:sz w:val="22"/>
          <w:szCs w:val="22"/>
        </w:rPr>
        <w:t>organised</w:t>
      </w:r>
      <w:proofErr w:type="spellEnd"/>
      <w:r w:rsidRPr="003E22AB">
        <w:rPr>
          <w:rFonts w:ascii="Arial" w:hAnsi="Arial" w:cs="Arial"/>
          <w:sz w:val="22"/>
          <w:szCs w:val="22"/>
        </w:rPr>
        <w:t xml:space="preserve"> in a manner that enables the families to comprehend what Early Help is, how it operates and the way they can find support. The fact that the assessments have parent-friendly explanations, voluntary participation, confidentiality, and the nature of support as a multi-agency demonstrates major strength. Family Hubs are also a very visible entrusted passage to help in the site, offering viable example of services</w:t>
      </w:r>
      <w:r w:rsidR="00D90816">
        <w:rPr>
          <w:rFonts w:ascii="Arial" w:hAnsi="Arial" w:cs="Arial"/>
          <w:sz w:val="22"/>
          <w:szCs w:val="22"/>
        </w:rPr>
        <w:t xml:space="preserve"> </w:t>
      </w:r>
      <w:r w:rsidR="00D90816" w:rsidRPr="00D90816">
        <w:rPr>
          <w:rFonts w:ascii="Arial" w:hAnsi="Arial" w:cs="Arial"/>
          <w:sz w:val="22"/>
          <w:szCs w:val="22"/>
        </w:rPr>
        <w:t>(Tower Hamlets, 2025)</w:t>
      </w:r>
      <w:r w:rsidRPr="003E22AB">
        <w:rPr>
          <w:rFonts w:ascii="Arial" w:hAnsi="Arial" w:cs="Arial"/>
          <w:sz w:val="22"/>
          <w:szCs w:val="22"/>
        </w:rPr>
        <w:t>. Freer interchangeable leaflets and other materials support the interpretation of accessibility. The primary weakness is that with the amount of information, which is useful, might be a little overwhelming to families who need a quick answer, but it is not that bad given its overall strengths.</w:t>
      </w:r>
    </w:p>
    <w:p w14:paraId="7A3148AD" w14:textId="77777777" w:rsidR="003E22AB" w:rsidRPr="003E22AB" w:rsidRDefault="003E22AB" w:rsidP="003E22AB">
      <w:pPr>
        <w:spacing w:line="360" w:lineRule="auto"/>
        <w:jc w:val="both"/>
        <w:rPr>
          <w:rFonts w:ascii="Arial" w:hAnsi="Arial" w:cs="Arial"/>
          <w:sz w:val="22"/>
          <w:szCs w:val="22"/>
        </w:rPr>
      </w:pPr>
      <w:r w:rsidRPr="003E22AB">
        <w:rPr>
          <w:rFonts w:ascii="Arial" w:hAnsi="Arial" w:cs="Arial"/>
          <w:sz w:val="22"/>
          <w:szCs w:val="22"/>
        </w:rPr>
        <w:t xml:space="preserve">Staffordshire has good structural clarity; the structure of its Early Help service is well described, and local areas, teams, and contact routes are listed. This assists families to know how assistance is </w:t>
      </w:r>
      <w:proofErr w:type="spellStart"/>
      <w:r w:rsidRPr="003E22AB">
        <w:rPr>
          <w:rFonts w:ascii="Arial" w:hAnsi="Arial" w:cs="Arial"/>
          <w:sz w:val="22"/>
          <w:szCs w:val="22"/>
        </w:rPr>
        <w:t>organised</w:t>
      </w:r>
      <w:proofErr w:type="spellEnd"/>
      <w:r w:rsidRPr="003E22AB">
        <w:rPr>
          <w:rFonts w:ascii="Arial" w:hAnsi="Arial" w:cs="Arial"/>
          <w:sz w:val="22"/>
          <w:szCs w:val="22"/>
        </w:rPr>
        <w:t xml:space="preserve"> geographically. The site is effective in separating the concepts of Early Help and statutory safeguarding as per the expectations across the country. Nonetheless, Staffordshire places much emphasis on terminology specific to certain systems including levels of need and patch teams, which might be hard to comprehend by the families</w:t>
      </w:r>
      <w:r w:rsidR="00D90816">
        <w:rPr>
          <w:rFonts w:ascii="Arial" w:hAnsi="Arial" w:cs="Arial"/>
          <w:sz w:val="22"/>
          <w:szCs w:val="22"/>
        </w:rPr>
        <w:t xml:space="preserve"> </w:t>
      </w:r>
      <w:r w:rsidR="00D90816" w:rsidRPr="00D90816">
        <w:rPr>
          <w:rFonts w:ascii="Arial" w:hAnsi="Arial" w:cs="Arial"/>
          <w:sz w:val="22"/>
          <w:szCs w:val="22"/>
        </w:rPr>
        <w:t>(Staffordshire, 2023)</w:t>
      </w:r>
      <w:r w:rsidRPr="003E22AB">
        <w:rPr>
          <w:rFonts w:ascii="Arial" w:hAnsi="Arial" w:cs="Arial"/>
          <w:sz w:val="22"/>
          <w:szCs w:val="22"/>
        </w:rPr>
        <w:t xml:space="preserve">. The site </w:t>
      </w:r>
      <w:r w:rsidRPr="003E22AB">
        <w:rPr>
          <w:rFonts w:ascii="Arial" w:hAnsi="Arial" w:cs="Arial"/>
          <w:sz w:val="22"/>
          <w:szCs w:val="22"/>
        </w:rPr>
        <w:lastRenderedPageBreak/>
        <w:t>also lacks parent-friendly instructions or images, which is also a weakness in terms of accessibility by people who are not knowledgeable about professional terms.</w:t>
      </w:r>
    </w:p>
    <w:p w14:paraId="4FBE2037" w14:textId="77777777" w:rsidR="003E22AB" w:rsidRPr="003E22AB" w:rsidRDefault="003E22AB" w:rsidP="003E22AB">
      <w:pPr>
        <w:spacing w:line="360" w:lineRule="auto"/>
        <w:jc w:val="both"/>
        <w:rPr>
          <w:rFonts w:ascii="Arial" w:hAnsi="Arial" w:cs="Arial"/>
          <w:sz w:val="22"/>
          <w:szCs w:val="22"/>
        </w:rPr>
      </w:pPr>
      <w:r w:rsidRPr="003E22AB">
        <w:rPr>
          <w:rFonts w:ascii="Arial" w:hAnsi="Arial" w:cs="Arial"/>
          <w:sz w:val="22"/>
          <w:szCs w:val="22"/>
        </w:rPr>
        <w:t>Nottinghamshire has detailed strategic information such as development plans and frameworks that demonstrate how Early Help works among partner agencies. It is convenient that it has a downloadable offer document and that family hubs are described in a helpful way</w:t>
      </w:r>
      <w:r w:rsidR="00D90816">
        <w:rPr>
          <w:rFonts w:ascii="Arial" w:hAnsi="Arial" w:cs="Arial"/>
          <w:sz w:val="22"/>
          <w:szCs w:val="22"/>
        </w:rPr>
        <w:t xml:space="preserve"> </w:t>
      </w:r>
      <w:r w:rsidR="00D90816" w:rsidRPr="00D90816">
        <w:rPr>
          <w:rFonts w:ascii="Arial" w:hAnsi="Arial" w:cs="Arial"/>
          <w:sz w:val="22"/>
          <w:szCs w:val="22"/>
        </w:rPr>
        <w:t>(Nottinghamshire, 2025)</w:t>
      </w:r>
      <w:r w:rsidRPr="003E22AB">
        <w:rPr>
          <w:rFonts w:ascii="Arial" w:hAnsi="Arial" w:cs="Arial"/>
          <w:sz w:val="22"/>
          <w:szCs w:val="22"/>
        </w:rPr>
        <w:t>. Nottinghamshire however, is the lowest in making practical referral process explicable in straightforward terms. Little information is provided on what families should expect during an Early Help assessment, and the language on some of the pages is more based on professional terms as opposed to family-oriented communication. Consequently, the families can find it difficult to know how to get Early Help or what it entails.</w:t>
      </w:r>
    </w:p>
    <w:p w14:paraId="4BE6B220" w14:textId="77777777" w:rsidR="00D31EB5" w:rsidRDefault="003E22AB" w:rsidP="003E22AB">
      <w:pPr>
        <w:spacing w:line="360" w:lineRule="auto"/>
        <w:jc w:val="both"/>
        <w:rPr>
          <w:rFonts w:ascii="Arial" w:hAnsi="Arial" w:cs="Arial"/>
          <w:sz w:val="22"/>
          <w:szCs w:val="22"/>
        </w:rPr>
      </w:pPr>
      <w:r w:rsidRPr="003E22AB">
        <w:rPr>
          <w:rFonts w:ascii="Arial" w:hAnsi="Arial" w:cs="Arial"/>
          <w:sz w:val="22"/>
          <w:szCs w:val="22"/>
        </w:rPr>
        <w:t>All in all, Tower Hamlets is the most approachable and friendly to the families, Staffordshire is structurally clear but a bit too technical, and Nottinghamshire is strategically explained but not so effective at explaining how to take practical steps with the families.</w:t>
      </w:r>
    </w:p>
    <w:p w14:paraId="6C4C4ECA" w14:textId="77777777" w:rsidR="00D31EB5" w:rsidRPr="00870A78" w:rsidRDefault="00D31EB5" w:rsidP="00870A78">
      <w:pPr>
        <w:pStyle w:val="ListParagraph"/>
        <w:numPr>
          <w:ilvl w:val="0"/>
          <w:numId w:val="1"/>
        </w:numPr>
        <w:spacing w:line="360" w:lineRule="auto"/>
        <w:jc w:val="both"/>
        <w:outlineLvl w:val="0"/>
        <w:rPr>
          <w:rFonts w:ascii="Arial" w:hAnsi="Arial" w:cs="Arial"/>
          <w:b/>
          <w:bCs/>
          <w:sz w:val="22"/>
          <w:szCs w:val="22"/>
        </w:rPr>
      </w:pPr>
      <w:bookmarkStart w:id="8" w:name="_Toc214687695"/>
      <w:r w:rsidRPr="00870A78">
        <w:rPr>
          <w:rFonts w:ascii="Arial" w:hAnsi="Arial" w:cs="Arial"/>
          <w:b/>
          <w:bCs/>
          <w:sz w:val="22"/>
          <w:szCs w:val="22"/>
        </w:rPr>
        <w:t>Conclusion</w:t>
      </w:r>
      <w:bookmarkEnd w:id="8"/>
    </w:p>
    <w:p w14:paraId="46777B11" w14:textId="77777777" w:rsidR="00D31EB5" w:rsidRPr="00D31EB5" w:rsidRDefault="00901D04" w:rsidP="00901D04">
      <w:pPr>
        <w:spacing w:line="360" w:lineRule="auto"/>
        <w:jc w:val="both"/>
        <w:rPr>
          <w:rFonts w:ascii="Arial" w:hAnsi="Arial" w:cs="Arial"/>
          <w:sz w:val="22"/>
          <w:szCs w:val="22"/>
        </w:rPr>
      </w:pPr>
      <w:r w:rsidRPr="00901D04">
        <w:rPr>
          <w:rFonts w:ascii="Arial" w:hAnsi="Arial" w:cs="Arial"/>
          <w:sz w:val="22"/>
          <w:szCs w:val="22"/>
        </w:rPr>
        <w:t>An analysis of Staffordshire, Tower Hamlets, and Nottinghamshire displaying Early Help information on their respective public websites show differences in the level of clarity, accessibility and the overall experience of the user. Although each of the three authorities shows a desire to engage with the Early Help and multi-agency working, they all differ in the effectiveness to which the information is relayed to families.</w:t>
      </w:r>
      <w:r>
        <w:rPr>
          <w:rFonts w:ascii="Arial" w:hAnsi="Arial" w:cs="Arial"/>
          <w:sz w:val="22"/>
          <w:szCs w:val="22"/>
        </w:rPr>
        <w:t xml:space="preserve"> </w:t>
      </w:r>
      <w:r w:rsidRPr="00901D04">
        <w:rPr>
          <w:rFonts w:ascii="Arial" w:hAnsi="Arial" w:cs="Arial"/>
          <w:sz w:val="22"/>
          <w:szCs w:val="22"/>
        </w:rPr>
        <w:t>Tower Hamlets is the most accessible and informative of the three in terms of information on Early Help. Its web site is written in simple non</w:t>
      </w:r>
      <w:r>
        <w:rPr>
          <w:rFonts w:ascii="Arial" w:hAnsi="Arial" w:cs="Arial"/>
          <w:sz w:val="22"/>
          <w:szCs w:val="22"/>
        </w:rPr>
        <w:t>-</w:t>
      </w:r>
      <w:r w:rsidRPr="00901D04">
        <w:rPr>
          <w:rFonts w:ascii="Arial" w:hAnsi="Arial" w:cs="Arial"/>
          <w:sz w:val="22"/>
          <w:szCs w:val="22"/>
        </w:rPr>
        <w:t xml:space="preserve">technical language, gives processes in a friendly way understood by any family, and provides practical examples in its Family Hubs model. It is also easier to comprehend the support and how to access the services because of the inclusion of downloadable guides and clear explanations of assessments. The approach is very much in line with the national requirements of early intervention and responsive safeguarding </w:t>
      </w:r>
      <w:proofErr w:type="spellStart"/>
      <w:r w:rsidRPr="00901D04">
        <w:rPr>
          <w:rFonts w:ascii="Arial" w:hAnsi="Arial" w:cs="Arial"/>
          <w:sz w:val="22"/>
          <w:szCs w:val="22"/>
        </w:rPr>
        <w:t>practise</w:t>
      </w:r>
      <w:proofErr w:type="spellEnd"/>
      <w:r w:rsidRPr="00901D04">
        <w:rPr>
          <w:rFonts w:ascii="Arial" w:hAnsi="Arial" w:cs="Arial"/>
          <w:sz w:val="22"/>
          <w:szCs w:val="22"/>
        </w:rPr>
        <w:t>.</w:t>
      </w:r>
    </w:p>
    <w:p w14:paraId="70B9135D" w14:textId="77777777" w:rsidR="00D31EB5" w:rsidRPr="00870A78" w:rsidRDefault="00D31EB5" w:rsidP="00870A78">
      <w:pPr>
        <w:pStyle w:val="ListParagraph"/>
        <w:numPr>
          <w:ilvl w:val="0"/>
          <w:numId w:val="1"/>
        </w:numPr>
        <w:spacing w:line="360" w:lineRule="auto"/>
        <w:jc w:val="both"/>
        <w:outlineLvl w:val="0"/>
        <w:rPr>
          <w:rFonts w:ascii="Arial" w:hAnsi="Arial" w:cs="Arial"/>
          <w:b/>
          <w:bCs/>
          <w:sz w:val="22"/>
          <w:szCs w:val="22"/>
        </w:rPr>
      </w:pPr>
      <w:bookmarkStart w:id="9" w:name="_Toc214687696"/>
      <w:r w:rsidRPr="00870A78">
        <w:rPr>
          <w:rFonts w:ascii="Arial" w:hAnsi="Arial" w:cs="Arial"/>
          <w:b/>
          <w:bCs/>
          <w:sz w:val="22"/>
          <w:szCs w:val="22"/>
        </w:rPr>
        <w:t>Recommendations</w:t>
      </w:r>
      <w:bookmarkEnd w:id="9"/>
    </w:p>
    <w:p w14:paraId="0728CEF9" w14:textId="77777777" w:rsidR="00901D04" w:rsidRPr="00901D04" w:rsidRDefault="00901D04" w:rsidP="00901D04">
      <w:pPr>
        <w:pStyle w:val="ListParagraph"/>
        <w:numPr>
          <w:ilvl w:val="0"/>
          <w:numId w:val="2"/>
        </w:numPr>
        <w:spacing w:line="360" w:lineRule="auto"/>
        <w:jc w:val="both"/>
        <w:rPr>
          <w:rFonts w:ascii="Arial" w:hAnsi="Arial" w:cs="Arial"/>
          <w:sz w:val="22"/>
          <w:szCs w:val="22"/>
        </w:rPr>
      </w:pPr>
      <w:r w:rsidRPr="00901D04">
        <w:rPr>
          <w:rFonts w:ascii="Arial" w:hAnsi="Arial" w:cs="Arial"/>
          <w:sz w:val="22"/>
          <w:szCs w:val="22"/>
        </w:rPr>
        <w:t>Staffordshire and Nottinghamshire need to use simpler language, in everyday terms instead of technical ones, and need to give short explanations where professional terminology is needed.</w:t>
      </w:r>
    </w:p>
    <w:p w14:paraId="4398E76C" w14:textId="77777777" w:rsidR="00901D04" w:rsidRPr="00901D04" w:rsidRDefault="00901D04" w:rsidP="00901D04">
      <w:pPr>
        <w:pStyle w:val="ListParagraph"/>
        <w:numPr>
          <w:ilvl w:val="0"/>
          <w:numId w:val="2"/>
        </w:numPr>
        <w:spacing w:line="360" w:lineRule="auto"/>
        <w:jc w:val="both"/>
        <w:rPr>
          <w:rFonts w:ascii="Arial" w:hAnsi="Arial" w:cs="Arial"/>
          <w:sz w:val="22"/>
          <w:szCs w:val="22"/>
        </w:rPr>
      </w:pPr>
      <w:r w:rsidRPr="00901D04">
        <w:rPr>
          <w:rFonts w:ascii="Arial" w:hAnsi="Arial" w:cs="Arial"/>
          <w:sz w:val="22"/>
          <w:szCs w:val="22"/>
        </w:rPr>
        <w:t>Every site must have an instructional stepwise outline of how families can consult Early Help, the evaluation procedure, and the duration of aid, etc.</w:t>
      </w:r>
    </w:p>
    <w:p w14:paraId="5BF2E037" w14:textId="77777777" w:rsidR="00901D04" w:rsidRPr="00901D04" w:rsidRDefault="00901D04" w:rsidP="00901D04">
      <w:pPr>
        <w:pStyle w:val="ListParagraph"/>
        <w:numPr>
          <w:ilvl w:val="0"/>
          <w:numId w:val="2"/>
        </w:numPr>
        <w:spacing w:line="360" w:lineRule="auto"/>
        <w:jc w:val="both"/>
        <w:rPr>
          <w:rFonts w:ascii="Arial" w:hAnsi="Arial" w:cs="Arial"/>
          <w:sz w:val="22"/>
          <w:szCs w:val="22"/>
        </w:rPr>
      </w:pPr>
      <w:r w:rsidRPr="00901D04">
        <w:rPr>
          <w:rFonts w:ascii="Arial" w:hAnsi="Arial" w:cs="Arial"/>
          <w:sz w:val="22"/>
          <w:szCs w:val="22"/>
        </w:rPr>
        <w:lastRenderedPageBreak/>
        <w:t>Visual aids, minor videos, frequently used questions, and downloadable flyers could facilitate the obtaining of information more</w:t>
      </w:r>
      <w:r w:rsidR="008A5CBA">
        <w:rPr>
          <w:rFonts w:ascii="Arial" w:hAnsi="Arial" w:cs="Arial"/>
          <w:sz w:val="22"/>
          <w:szCs w:val="22"/>
        </w:rPr>
        <w:t xml:space="preserve"> (Batz and Yadav, 2024)</w:t>
      </w:r>
      <w:r w:rsidRPr="00901D04">
        <w:rPr>
          <w:rFonts w:ascii="Arial" w:hAnsi="Arial" w:cs="Arial"/>
          <w:sz w:val="22"/>
          <w:szCs w:val="22"/>
        </w:rPr>
        <w:t>.</w:t>
      </w:r>
    </w:p>
    <w:p w14:paraId="0F9090D9" w14:textId="77777777" w:rsidR="00901D04" w:rsidRPr="00901D04" w:rsidRDefault="00901D04" w:rsidP="00901D04">
      <w:pPr>
        <w:pStyle w:val="ListParagraph"/>
        <w:numPr>
          <w:ilvl w:val="0"/>
          <w:numId w:val="2"/>
        </w:numPr>
        <w:spacing w:line="360" w:lineRule="auto"/>
        <w:jc w:val="both"/>
        <w:rPr>
          <w:rFonts w:ascii="Arial" w:hAnsi="Arial" w:cs="Arial"/>
          <w:sz w:val="22"/>
          <w:szCs w:val="22"/>
        </w:rPr>
      </w:pPr>
      <w:r w:rsidRPr="00901D04">
        <w:rPr>
          <w:rFonts w:ascii="Arial" w:hAnsi="Arial" w:cs="Arial"/>
          <w:sz w:val="22"/>
          <w:szCs w:val="22"/>
        </w:rPr>
        <w:t xml:space="preserve">Checking the usual cases of Early Help will help the families to </w:t>
      </w:r>
      <w:proofErr w:type="spellStart"/>
      <w:r w:rsidRPr="00901D04">
        <w:rPr>
          <w:rFonts w:ascii="Arial" w:hAnsi="Arial" w:cs="Arial"/>
          <w:sz w:val="22"/>
          <w:szCs w:val="22"/>
        </w:rPr>
        <w:t>realise</w:t>
      </w:r>
      <w:proofErr w:type="spellEnd"/>
      <w:r w:rsidRPr="00901D04">
        <w:rPr>
          <w:rFonts w:ascii="Arial" w:hAnsi="Arial" w:cs="Arial"/>
          <w:sz w:val="22"/>
          <w:szCs w:val="22"/>
        </w:rPr>
        <w:t xml:space="preserve"> how services can be relevant to their case.</w:t>
      </w:r>
    </w:p>
    <w:p w14:paraId="381199C4" w14:textId="77777777" w:rsidR="00D31EB5" w:rsidRPr="00870A78" w:rsidRDefault="00901D04" w:rsidP="00901D04">
      <w:pPr>
        <w:pStyle w:val="ListParagraph"/>
        <w:numPr>
          <w:ilvl w:val="0"/>
          <w:numId w:val="2"/>
        </w:numPr>
        <w:spacing w:line="360" w:lineRule="auto"/>
        <w:jc w:val="both"/>
        <w:rPr>
          <w:rFonts w:ascii="Arial" w:hAnsi="Arial" w:cs="Arial"/>
          <w:sz w:val="22"/>
          <w:szCs w:val="22"/>
        </w:rPr>
      </w:pPr>
      <w:r w:rsidRPr="00901D04">
        <w:rPr>
          <w:rFonts w:ascii="Arial" w:hAnsi="Arial" w:cs="Arial"/>
          <w:sz w:val="22"/>
          <w:szCs w:val="22"/>
        </w:rPr>
        <w:t xml:space="preserve">A </w:t>
      </w:r>
      <w:proofErr w:type="spellStart"/>
      <w:r w:rsidRPr="00901D04">
        <w:rPr>
          <w:rFonts w:ascii="Arial" w:hAnsi="Arial" w:cs="Arial"/>
          <w:sz w:val="22"/>
          <w:szCs w:val="22"/>
        </w:rPr>
        <w:t>centralised</w:t>
      </w:r>
      <w:proofErr w:type="spellEnd"/>
      <w:r w:rsidRPr="00901D04">
        <w:rPr>
          <w:rFonts w:ascii="Arial" w:hAnsi="Arial" w:cs="Arial"/>
          <w:sz w:val="22"/>
          <w:szCs w:val="22"/>
        </w:rPr>
        <w:t xml:space="preserve"> Early Help landing page that is well-defined will help de-conflict and increase the ease of accessibility.</w:t>
      </w:r>
    </w:p>
    <w:p w14:paraId="1644D23E" w14:textId="77777777" w:rsidR="00D31EB5" w:rsidRDefault="00901D04" w:rsidP="00D31EB5">
      <w:pPr>
        <w:spacing w:line="360" w:lineRule="auto"/>
        <w:jc w:val="both"/>
        <w:rPr>
          <w:rFonts w:ascii="Arial" w:hAnsi="Arial" w:cs="Arial"/>
          <w:sz w:val="22"/>
          <w:szCs w:val="22"/>
        </w:rPr>
      </w:pPr>
      <w:r w:rsidRPr="00901D04">
        <w:rPr>
          <w:rFonts w:ascii="Arial" w:hAnsi="Arial" w:cs="Arial"/>
          <w:sz w:val="22"/>
          <w:szCs w:val="22"/>
        </w:rPr>
        <w:t>On the whole, the implementation of these optimizations would contribute to the full accessibility of the Early Help information to the families, which in turn would facilitate the earlier intervention and improved results.</w:t>
      </w:r>
    </w:p>
    <w:p w14:paraId="6942466C" w14:textId="77777777" w:rsidR="009B3AC9" w:rsidRDefault="009B3AC9">
      <w:pPr>
        <w:rPr>
          <w:rFonts w:ascii="Arial" w:hAnsi="Arial" w:cs="Arial"/>
          <w:sz w:val="22"/>
          <w:szCs w:val="22"/>
        </w:rPr>
      </w:pPr>
      <w:r>
        <w:rPr>
          <w:rFonts w:ascii="Arial" w:hAnsi="Arial" w:cs="Arial"/>
          <w:sz w:val="22"/>
          <w:szCs w:val="22"/>
        </w:rPr>
        <w:br w:type="page"/>
      </w:r>
    </w:p>
    <w:p w14:paraId="2E949C64" w14:textId="77777777" w:rsidR="009B3AC9" w:rsidRPr="00C04893" w:rsidRDefault="009B3AC9" w:rsidP="00C04893">
      <w:pPr>
        <w:pStyle w:val="Heading1"/>
        <w:spacing w:line="360" w:lineRule="auto"/>
        <w:rPr>
          <w:rFonts w:ascii="Arial" w:hAnsi="Arial" w:cs="Arial"/>
          <w:b/>
          <w:bCs/>
          <w:color w:val="auto"/>
          <w:sz w:val="22"/>
          <w:szCs w:val="22"/>
        </w:rPr>
      </w:pPr>
      <w:bookmarkStart w:id="10" w:name="_Toc214687697"/>
      <w:r w:rsidRPr="00C04893">
        <w:rPr>
          <w:rFonts w:ascii="Arial" w:hAnsi="Arial" w:cs="Arial"/>
          <w:b/>
          <w:bCs/>
          <w:color w:val="auto"/>
          <w:sz w:val="22"/>
          <w:szCs w:val="22"/>
        </w:rPr>
        <w:lastRenderedPageBreak/>
        <w:t>References</w:t>
      </w:r>
      <w:bookmarkEnd w:id="10"/>
    </w:p>
    <w:p w14:paraId="1640652C" w14:textId="77777777" w:rsidR="00533B2C" w:rsidRDefault="00533B2C" w:rsidP="00533B2C">
      <w:pPr>
        <w:spacing w:line="360" w:lineRule="auto"/>
        <w:jc w:val="both"/>
        <w:rPr>
          <w:rFonts w:ascii="Arial" w:hAnsi="Arial" w:cs="Arial"/>
          <w:sz w:val="22"/>
          <w:szCs w:val="22"/>
        </w:rPr>
      </w:pPr>
      <w:r w:rsidRPr="00533B2C">
        <w:rPr>
          <w:rFonts w:ascii="Arial" w:hAnsi="Arial" w:cs="Arial"/>
          <w:sz w:val="22"/>
          <w:szCs w:val="22"/>
        </w:rPr>
        <w:t xml:space="preserve">Batz, R. and Yadav, A., </w:t>
      </w:r>
      <w:r>
        <w:rPr>
          <w:rFonts w:ascii="Arial" w:hAnsi="Arial" w:cs="Arial"/>
          <w:sz w:val="22"/>
          <w:szCs w:val="22"/>
        </w:rPr>
        <w:t>(</w:t>
      </w:r>
      <w:r w:rsidRPr="00533B2C">
        <w:rPr>
          <w:rFonts w:ascii="Arial" w:hAnsi="Arial" w:cs="Arial"/>
          <w:sz w:val="22"/>
          <w:szCs w:val="22"/>
        </w:rPr>
        <w:t>2024</w:t>
      </w:r>
      <w:r>
        <w:rPr>
          <w:rFonts w:ascii="Arial" w:hAnsi="Arial" w:cs="Arial"/>
          <w:sz w:val="22"/>
          <w:szCs w:val="22"/>
        </w:rPr>
        <w:t>)</w:t>
      </w:r>
      <w:r w:rsidRPr="00533B2C">
        <w:rPr>
          <w:rFonts w:ascii="Arial" w:hAnsi="Arial" w:cs="Arial"/>
          <w:sz w:val="22"/>
          <w:szCs w:val="22"/>
        </w:rPr>
        <w:t xml:space="preserve">. Parents’ experiences navigating early intervention and early childhood special education services: A qualitative </w:t>
      </w:r>
      <w:proofErr w:type="spellStart"/>
      <w:r w:rsidRPr="00533B2C">
        <w:rPr>
          <w:rFonts w:ascii="Arial" w:hAnsi="Arial" w:cs="Arial"/>
          <w:sz w:val="22"/>
          <w:szCs w:val="22"/>
        </w:rPr>
        <w:t>metasynthesis</w:t>
      </w:r>
      <w:proofErr w:type="spellEnd"/>
      <w:r w:rsidRPr="00533B2C">
        <w:rPr>
          <w:rFonts w:ascii="Arial" w:hAnsi="Arial" w:cs="Arial"/>
          <w:sz w:val="22"/>
          <w:szCs w:val="22"/>
        </w:rPr>
        <w:t>. </w:t>
      </w:r>
      <w:r w:rsidRPr="00533B2C">
        <w:rPr>
          <w:rFonts w:ascii="Arial" w:hAnsi="Arial" w:cs="Arial"/>
          <w:i/>
          <w:iCs/>
          <w:sz w:val="22"/>
          <w:szCs w:val="22"/>
        </w:rPr>
        <w:t>Journal of Early Intervention</w:t>
      </w:r>
      <w:r w:rsidRPr="00533B2C">
        <w:rPr>
          <w:rFonts w:ascii="Arial" w:hAnsi="Arial" w:cs="Arial"/>
          <w:sz w:val="22"/>
          <w:szCs w:val="22"/>
        </w:rPr>
        <w:t>, </w:t>
      </w:r>
      <w:r w:rsidRPr="00533B2C">
        <w:rPr>
          <w:rFonts w:ascii="Arial" w:hAnsi="Arial" w:cs="Arial"/>
          <w:i/>
          <w:iCs/>
          <w:sz w:val="22"/>
          <w:szCs w:val="22"/>
        </w:rPr>
        <w:t>46</w:t>
      </w:r>
      <w:r w:rsidRPr="00533B2C">
        <w:rPr>
          <w:rFonts w:ascii="Arial" w:hAnsi="Arial" w:cs="Arial"/>
          <w:sz w:val="22"/>
          <w:szCs w:val="22"/>
        </w:rPr>
        <w:t>(1), pp.19-38.</w:t>
      </w:r>
    </w:p>
    <w:p w14:paraId="3F760F58" w14:textId="77777777" w:rsidR="00533B2C" w:rsidRPr="00533B2C" w:rsidRDefault="00533B2C" w:rsidP="00533B2C">
      <w:pPr>
        <w:spacing w:line="360" w:lineRule="auto"/>
        <w:jc w:val="both"/>
        <w:rPr>
          <w:rFonts w:ascii="Arial" w:hAnsi="Arial" w:cs="Arial"/>
          <w:sz w:val="22"/>
          <w:szCs w:val="22"/>
        </w:rPr>
      </w:pPr>
      <w:r w:rsidRPr="00533B2C">
        <w:rPr>
          <w:rFonts w:ascii="Arial" w:hAnsi="Arial" w:cs="Arial"/>
          <w:sz w:val="22"/>
          <w:szCs w:val="22"/>
        </w:rPr>
        <w:t xml:space="preserve">Buckler, R., </w:t>
      </w:r>
      <w:r>
        <w:rPr>
          <w:rFonts w:ascii="Arial" w:hAnsi="Arial" w:cs="Arial"/>
          <w:sz w:val="22"/>
          <w:szCs w:val="22"/>
        </w:rPr>
        <w:t>(</w:t>
      </w:r>
      <w:r w:rsidRPr="00533B2C">
        <w:rPr>
          <w:rFonts w:ascii="Arial" w:hAnsi="Arial" w:cs="Arial"/>
          <w:sz w:val="22"/>
          <w:szCs w:val="22"/>
        </w:rPr>
        <w:t>2023</w:t>
      </w:r>
      <w:r>
        <w:rPr>
          <w:rFonts w:ascii="Arial" w:hAnsi="Arial" w:cs="Arial"/>
          <w:sz w:val="22"/>
          <w:szCs w:val="22"/>
        </w:rPr>
        <w:t>)</w:t>
      </w:r>
      <w:r w:rsidRPr="00533B2C">
        <w:rPr>
          <w:rFonts w:ascii="Arial" w:hAnsi="Arial" w:cs="Arial"/>
          <w:sz w:val="22"/>
          <w:szCs w:val="22"/>
        </w:rPr>
        <w:t>. </w:t>
      </w:r>
      <w:r w:rsidRPr="00533B2C">
        <w:rPr>
          <w:rFonts w:ascii="Arial" w:hAnsi="Arial" w:cs="Arial"/>
          <w:i/>
          <w:iCs/>
          <w:sz w:val="22"/>
          <w:szCs w:val="22"/>
        </w:rPr>
        <w:t>Developing Child-</w:t>
      </w:r>
      <w:proofErr w:type="spellStart"/>
      <w:r w:rsidRPr="00533B2C">
        <w:rPr>
          <w:rFonts w:ascii="Arial" w:hAnsi="Arial" w:cs="Arial"/>
          <w:i/>
          <w:iCs/>
          <w:sz w:val="22"/>
          <w:szCs w:val="22"/>
        </w:rPr>
        <w:t>centred</w:t>
      </w:r>
      <w:proofErr w:type="spellEnd"/>
      <w:r w:rsidRPr="00533B2C">
        <w:rPr>
          <w:rFonts w:ascii="Arial" w:hAnsi="Arial" w:cs="Arial"/>
          <w:i/>
          <w:iCs/>
          <w:sz w:val="22"/>
          <w:szCs w:val="22"/>
        </w:rPr>
        <w:t xml:space="preserve"> Practice for Safeguarding and Child Protection: Strategies for Every Early Years Setting</w:t>
      </w:r>
      <w:r w:rsidRPr="00533B2C">
        <w:rPr>
          <w:rFonts w:ascii="Arial" w:hAnsi="Arial" w:cs="Arial"/>
          <w:sz w:val="22"/>
          <w:szCs w:val="22"/>
        </w:rPr>
        <w:t>. Routledge.</w:t>
      </w:r>
    </w:p>
    <w:p w14:paraId="2F376BF3" w14:textId="77777777" w:rsidR="00533B2C" w:rsidRPr="00533B2C" w:rsidRDefault="00533B2C" w:rsidP="00533B2C">
      <w:pPr>
        <w:spacing w:line="360" w:lineRule="auto"/>
        <w:jc w:val="both"/>
        <w:rPr>
          <w:rFonts w:ascii="Arial" w:hAnsi="Arial" w:cs="Arial"/>
          <w:sz w:val="22"/>
          <w:szCs w:val="22"/>
        </w:rPr>
      </w:pPr>
      <w:r w:rsidRPr="00533B2C">
        <w:rPr>
          <w:rFonts w:ascii="Arial" w:hAnsi="Arial" w:cs="Arial"/>
          <w:sz w:val="22"/>
          <w:szCs w:val="22"/>
        </w:rPr>
        <w:t xml:space="preserve">Duncan, M., </w:t>
      </w:r>
      <w:r>
        <w:rPr>
          <w:rFonts w:ascii="Arial" w:hAnsi="Arial" w:cs="Arial"/>
          <w:sz w:val="22"/>
          <w:szCs w:val="22"/>
        </w:rPr>
        <w:t>(</w:t>
      </w:r>
      <w:r w:rsidRPr="00533B2C">
        <w:rPr>
          <w:rFonts w:ascii="Arial" w:hAnsi="Arial" w:cs="Arial"/>
          <w:sz w:val="22"/>
          <w:szCs w:val="22"/>
        </w:rPr>
        <w:t>2023</w:t>
      </w:r>
      <w:r>
        <w:rPr>
          <w:rFonts w:ascii="Arial" w:hAnsi="Arial" w:cs="Arial"/>
          <w:sz w:val="22"/>
          <w:szCs w:val="22"/>
        </w:rPr>
        <w:t>)</w:t>
      </w:r>
      <w:r w:rsidRPr="00533B2C">
        <w:rPr>
          <w:rFonts w:ascii="Arial" w:hAnsi="Arial" w:cs="Arial"/>
          <w:sz w:val="22"/>
          <w:szCs w:val="22"/>
        </w:rPr>
        <w:t>. Safeguarding practices. In </w:t>
      </w:r>
      <w:r w:rsidRPr="00533B2C">
        <w:rPr>
          <w:rFonts w:ascii="Arial" w:hAnsi="Arial" w:cs="Arial"/>
          <w:i/>
          <w:iCs/>
          <w:sz w:val="22"/>
          <w:szCs w:val="22"/>
        </w:rPr>
        <w:t>The Early Years Handbook for Students and Practitioners</w:t>
      </w:r>
      <w:r w:rsidRPr="00533B2C">
        <w:rPr>
          <w:rFonts w:ascii="Arial" w:hAnsi="Arial" w:cs="Arial"/>
          <w:sz w:val="22"/>
          <w:szCs w:val="22"/>
        </w:rPr>
        <w:t> (pp. 411-426). Routledge.</w:t>
      </w:r>
    </w:p>
    <w:p w14:paraId="7C351FF7" w14:textId="77777777" w:rsidR="00533B2C" w:rsidRPr="00533B2C" w:rsidRDefault="00533B2C" w:rsidP="00533B2C">
      <w:pPr>
        <w:spacing w:line="360" w:lineRule="auto"/>
        <w:jc w:val="both"/>
        <w:rPr>
          <w:rFonts w:ascii="Arial" w:hAnsi="Arial" w:cs="Arial"/>
          <w:sz w:val="22"/>
          <w:szCs w:val="22"/>
        </w:rPr>
      </w:pPr>
      <w:r w:rsidRPr="00533B2C">
        <w:rPr>
          <w:rFonts w:ascii="Arial" w:hAnsi="Arial" w:cs="Arial"/>
          <w:sz w:val="22"/>
          <w:szCs w:val="22"/>
        </w:rPr>
        <w:t>Garcia, A.R., Berrick, J.D., Jonson</w:t>
      </w:r>
      <w:r w:rsidRPr="00533B2C">
        <w:rPr>
          <w:rFonts w:ascii="Cambria Math" w:hAnsi="Cambria Math" w:cs="Cambria Math"/>
          <w:sz w:val="22"/>
          <w:szCs w:val="22"/>
        </w:rPr>
        <w:t>‐</w:t>
      </w:r>
      <w:r w:rsidRPr="00533B2C">
        <w:rPr>
          <w:rFonts w:ascii="Arial" w:hAnsi="Arial" w:cs="Arial"/>
          <w:sz w:val="22"/>
          <w:szCs w:val="22"/>
        </w:rPr>
        <w:t xml:space="preserve">Reid, M., Barth, R.P., </w:t>
      </w:r>
      <w:proofErr w:type="spellStart"/>
      <w:r w:rsidRPr="00533B2C">
        <w:rPr>
          <w:rFonts w:ascii="Arial" w:hAnsi="Arial" w:cs="Arial"/>
          <w:sz w:val="22"/>
          <w:szCs w:val="22"/>
        </w:rPr>
        <w:t>Gyourko</w:t>
      </w:r>
      <w:proofErr w:type="spellEnd"/>
      <w:r w:rsidRPr="00533B2C">
        <w:rPr>
          <w:rFonts w:ascii="Arial" w:hAnsi="Arial" w:cs="Arial"/>
          <w:sz w:val="22"/>
          <w:szCs w:val="22"/>
        </w:rPr>
        <w:t xml:space="preserve">, J.R., Kohl, P., Greeson, J.K., Drake, B. and Cook, V., </w:t>
      </w:r>
      <w:r>
        <w:rPr>
          <w:rFonts w:ascii="Arial" w:hAnsi="Arial" w:cs="Arial"/>
          <w:sz w:val="22"/>
          <w:szCs w:val="22"/>
        </w:rPr>
        <w:t>(</w:t>
      </w:r>
      <w:r w:rsidRPr="00533B2C">
        <w:rPr>
          <w:rFonts w:ascii="Arial" w:hAnsi="Arial" w:cs="Arial"/>
          <w:sz w:val="22"/>
          <w:szCs w:val="22"/>
        </w:rPr>
        <w:t>2024</w:t>
      </w:r>
      <w:r>
        <w:rPr>
          <w:rFonts w:ascii="Arial" w:hAnsi="Arial" w:cs="Arial"/>
          <w:sz w:val="22"/>
          <w:szCs w:val="22"/>
        </w:rPr>
        <w:t>)</w:t>
      </w:r>
      <w:r w:rsidRPr="00533B2C">
        <w:rPr>
          <w:rFonts w:ascii="Arial" w:hAnsi="Arial" w:cs="Arial"/>
          <w:sz w:val="22"/>
          <w:szCs w:val="22"/>
        </w:rPr>
        <w:t>. The stark implications of abolishing child welfare: An alternative path towards support and safety. </w:t>
      </w:r>
      <w:r w:rsidRPr="00533B2C">
        <w:rPr>
          <w:rFonts w:ascii="Arial" w:hAnsi="Arial" w:cs="Arial"/>
          <w:i/>
          <w:iCs/>
          <w:sz w:val="22"/>
          <w:szCs w:val="22"/>
        </w:rPr>
        <w:t>Child &amp; Family Social Work</w:t>
      </w:r>
      <w:r w:rsidRPr="00533B2C">
        <w:rPr>
          <w:rFonts w:ascii="Arial" w:hAnsi="Arial" w:cs="Arial"/>
          <w:sz w:val="22"/>
          <w:szCs w:val="22"/>
        </w:rPr>
        <w:t>, </w:t>
      </w:r>
      <w:r w:rsidRPr="00533B2C">
        <w:rPr>
          <w:rFonts w:ascii="Arial" w:hAnsi="Arial" w:cs="Arial"/>
          <w:i/>
          <w:iCs/>
          <w:sz w:val="22"/>
          <w:szCs w:val="22"/>
        </w:rPr>
        <w:t>29</w:t>
      </w:r>
      <w:r w:rsidRPr="00533B2C">
        <w:rPr>
          <w:rFonts w:ascii="Arial" w:hAnsi="Arial" w:cs="Arial"/>
          <w:sz w:val="22"/>
          <w:szCs w:val="22"/>
        </w:rPr>
        <w:t>(4), pp.896-908.</w:t>
      </w:r>
    </w:p>
    <w:p w14:paraId="1D184D01" w14:textId="77777777" w:rsidR="00533B2C" w:rsidRPr="00533B2C" w:rsidRDefault="00533B2C" w:rsidP="00533B2C">
      <w:pPr>
        <w:spacing w:line="360" w:lineRule="auto"/>
        <w:jc w:val="both"/>
        <w:rPr>
          <w:rFonts w:ascii="Arial" w:hAnsi="Arial" w:cs="Arial"/>
          <w:sz w:val="22"/>
          <w:szCs w:val="22"/>
        </w:rPr>
      </w:pPr>
      <w:proofErr w:type="spellStart"/>
      <w:r w:rsidRPr="00533B2C">
        <w:rPr>
          <w:rFonts w:ascii="Arial" w:hAnsi="Arial" w:cs="Arial"/>
          <w:sz w:val="22"/>
          <w:szCs w:val="22"/>
        </w:rPr>
        <w:t>Majebi</w:t>
      </w:r>
      <w:proofErr w:type="spellEnd"/>
      <w:r w:rsidRPr="00533B2C">
        <w:rPr>
          <w:rFonts w:ascii="Arial" w:hAnsi="Arial" w:cs="Arial"/>
          <w:sz w:val="22"/>
          <w:szCs w:val="22"/>
        </w:rPr>
        <w:t xml:space="preserve">, N.L., </w:t>
      </w:r>
      <w:proofErr w:type="spellStart"/>
      <w:r w:rsidRPr="00533B2C">
        <w:rPr>
          <w:rFonts w:ascii="Arial" w:hAnsi="Arial" w:cs="Arial"/>
          <w:sz w:val="22"/>
          <w:szCs w:val="22"/>
        </w:rPr>
        <w:t>Adelodun</w:t>
      </w:r>
      <w:proofErr w:type="spellEnd"/>
      <w:r w:rsidRPr="00533B2C">
        <w:rPr>
          <w:rFonts w:ascii="Arial" w:hAnsi="Arial" w:cs="Arial"/>
          <w:sz w:val="22"/>
          <w:szCs w:val="22"/>
        </w:rPr>
        <w:t xml:space="preserve">, M.O. and Anyanwu, E.C., </w:t>
      </w:r>
      <w:r>
        <w:rPr>
          <w:rFonts w:ascii="Arial" w:hAnsi="Arial" w:cs="Arial"/>
          <w:sz w:val="22"/>
          <w:szCs w:val="22"/>
        </w:rPr>
        <w:t>(</w:t>
      </w:r>
      <w:r w:rsidRPr="00533B2C">
        <w:rPr>
          <w:rFonts w:ascii="Arial" w:hAnsi="Arial" w:cs="Arial"/>
          <w:sz w:val="22"/>
          <w:szCs w:val="22"/>
        </w:rPr>
        <w:t>2024</w:t>
      </w:r>
      <w:r>
        <w:rPr>
          <w:rFonts w:ascii="Arial" w:hAnsi="Arial" w:cs="Arial"/>
          <w:sz w:val="22"/>
          <w:szCs w:val="22"/>
        </w:rPr>
        <w:t>)</w:t>
      </w:r>
      <w:r w:rsidRPr="00533B2C">
        <w:rPr>
          <w:rFonts w:ascii="Arial" w:hAnsi="Arial" w:cs="Arial"/>
          <w:sz w:val="22"/>
          <w:szCs w:val="22"/>
        </w:rPr>
        <w:t>. Community-based interventions to prevent child abuse and neglect: A policy perspective. </w:t>
      </w:r>
      <w:r w:rsidRPr="00533B2C">
        <w:rPr>
          <w:rFonts w:ascii="Arial" w:hAnsi="Arial" w:cs="Arial"/>
          <w:i/>
          <w:iCs/>
          <w:sz w:val="22"/>
          <w:szCs w:val="22"/>
        </w:rPr>
        <w:t>International Journal of Engineering Inventions</w:t>
      </w:r>
      <w:r w:rsidRPr="00533B2C">
        <w:rPr>
          <w:rFonts w:ascii="Arial" w:hAnsi="Arial" w:cs="Arial"/>
          <w:sz w:val="22"/>
          <w:szCs w:val="22"/>
        </w:rPr>
        <w:t>, </w:t>
      </w:r>
      <w:r w:rsidRPr="00533B2C">
        <w:rPr>
          <w:rFonts w:ascii="Arial" w:hAnsi="Arial" w:cs="Arial"/>
          <w:i/>
          <w:iCs/>
          <w:sz w:val="22"/>
          <w:szCs w:val="22"/>
        </w:rPr>
        <w:t>13</w:t>
      </w:r>
      <w:r w:rsidRPr="00533B2C">
        <w:rPr>
          <w:rFonts w:ascii="Arial" w:hAnsi="Arial" w:cs="Arial"/>
          <w:sz w:val="22"/>
          <w:szCs w:val="22"/>
        </w:rPr>
        <w:t>(9), pp.367-374.</w:t>
      </w:r>
    </w:p>
    <w:p w14:paraId="484EE605" w14:textId="77777777" w:rsidR="00533B2C" w:rsidRPr="00533B2C" w:rsidRDefault="00533B2C" w:rsidP="00533B2C">
      <w:pPr>
        <w:spacing w:line="360" w:lineRule="auto"/>
        <w:jc w:val="both"/>
        <w:rPr>
          <w:rFonts w:ascii="Arial" w:hAnsi="Arial" w:cs="Arial"/>
          <w:sz w:val="22"/>
          <w:szCs w:val="22"/>
        </w:rPr>
      </w:pPr>
      <w:r w:rsidRPr="00533B2C">
        <w:rPr>
          <w:rFonts w:ascii="Arial" w:hAnsi="Arial" w:cs="Arial"/>
          <w:sz w:val="22"/>
          <w:szCs w:val="22"/>
        </w:rPr>
        <w:t xml:space="preserve">Nottinghamshire (2025). </w:t>
      </w:r>
      <w:r w:rsidRPr="00533B2C">
        <w:rPr>
          <w:rFonts w:ascii="Arial" w:hAnsi="Arial" w:cs="Arial"/>
          <w:i/>
          <w:iCs/>
          <w:sz w:val="22"/>
          <w:szCs w:val="22"/>
        </w:rPr>
        <w:t>Early years and family hubs</w:t>
      </w:r>
      <w:r w:rsidRPr="00533B2C">
        <w:rPr>
          <w:rFonts w:ascii="Arial" w:hAnsi="Arial" w:cs="Arial"/>
          <w:sz w:val="22"/>
          <w:szCs w:val="22"/>
        </w:rPr>
        <w:t>. [online] Nottinghamshire County Council. Available at: https://www.nottinghamshire.gov.uk/care/early-years-and-childcare/early-years-and-family-hubs [Accessed 22 Nov. 2025].</w:t>
      </w:r>
    </w:p>
    <w:p w14:paraId="15DB32AC" w14:textId="77777777" w:rsidR="00533B2C" w:rsidRPr="00533B2C" w:rsidRDefault="00533B2C" w:rsidP="00533B2C">
      <w:pPr>
        <w:spacing w:line="360" w:lineRule="auto"/>
        <w:jc w:val="both"/>
        <w:rPr>
          <w:rFonts w:ascii="Arial" w:hAnsi="Arial" w:cs="Arial"/>
          <w:sz w:val="22"/>
          <w:szCs w:val="22"/>
        </w:rPr>
      </w:pPr>
      <w:r w:rsidRPr="00533B2C">
        <w:rPr>
          <w:rFonts w:ascii="Arial" w:hAnsi="Arial" w:cs="Arial"/>
          <w:sz w:val="22"/>
          <w:szCs w:val="22"/>
        </w:rPr>
        <w:t xml:space="preserve">Policy, S., </w:t>
      </w:r>
      <w:r>
        <w:rPr>
          <w:rFonts w:ascii="Arial" w:hAnsi="Arial" w:cs="Arial"/>
          <w:sz w:val="22"/>
          <w:szCs w:val="22"/>
        </w:rPr>
        <w:t>(</w:t>
      </w:r>
      <w:r w:rsidRPr="00533B2C">
        <w:rPr>
          <w:rFonts w:ascii="Arial" w:hAnsi="Arial" w:cs="Arial"/>
          <w:sz w:val="22"/>
          <w:szCs w:val="22"/>
        </w:rPr>
        <w:t>2024</w:t>
      </w:r>
      <w:r>
        <w:rPr>
          <w:rFonts w:ascii="Arial" w:hAnsi="Arial" w:cs="Arial"/>
          <w:sz w:val="22"/>
          <w:szCs w:val="22"/>
        </w:rPr>
        <w:t>)</w:t>
      </w:r>
      <w:r w:rsidRPr="00533B2C">
        <w:rPr>
          <w:rFonts w:ascii="Arial" w:hAnsi="Arial" w:cs="Arial"/>
          <w:sz w:val="22"/>
          <w:szCs w:val="22"/>
        </w:rPr>
        <w:t>. Child Protection &amp; Safeguarding Policy. </w:t>
      </w:r>
      <w:r w:rsidRPr="00533B2C">
        <w:rPr>
          <w:rFonts w:ascii="Arial" w:hAnsi="Arial" w:cs="Arial"/>
          <w:i/>
          <w:iCs/>
          <w:sz w:val="22"/>
          <w:szCs w:val="22"/>
        </w:rPr>
        <w:t xml:space="preserve">URL: http://downloads. </w:t>
      </w:r>
      <w:proofErr w:type="spellStart"/>
      <w:r w:rsidRPr="00533B2C">
        <w:rPr>
          <w:rFonts w:ascii="Arial" w:hAnsi="Arial" w:cs="Arial"/>
          <w:i/>
          <w:iCs/>
          <w:sz w:val="22"/>
          <w:szCs w:val="22"/>
        </w:rPr>
        <w:t>bbc</w:t>
      </w:r>
      <w:proofErr w:type="spellEnd"/>
      <w:r w:rsidRPr="00533B2C">
        <w:rPr>
          <w:rFonts w:ascii="Arial" w:hAnsi="Arial" w:cs="Arial"/>
          <w:i/>
          <w:iCs/>
          <w:sz w:val="22"/>
          <w:szCs w:val="22"/>
        </w:rPr>
        <w:t>. co. uk/aboutthebbc/insidethebbc/howwework/policiesandguidelines/childprotection/pdf/bbc_child_protection_policy_2019. pdf</w:t>
      </w:r>
      <w:r w:rsidRPr="00533B2C">
        <w:rPr>
          <w:rFonts w:ascii="Arial" w:hAnsi="Arial" w:cs="Arial"/>
          <w:sz w:val="22"/>
          <w:szCs w:val="22"/>
        </w:rPr>
        <w:t>.</w:t>
      </w:r>
    </w:p>
    <w:p w14:paraId="1533B6B2" w14:textId="77777777" w:rsidR="00533B2C" w:rsidRPr="00533B2C" w:rsidRDefault="00533B2C" w:rsidP="00533B2C">
      <w:pPr>
        <w:spacing w:line="360" w:lineRule="auto"/>
        <w:jc w:val="both"/>
        <w:rPr>
          <w:rFonts w:ascii="Arial" w:hAnsi="Arial" w:cs="Arial"/>
          <w:sz w:val="22"/>
          <w:szCs w:val="22"/>
        </w:rPr>
      </w:pPr>
      <w:r w:rsidRPr="00533B2C">
        <w:rPr>
          <w:rFonts w:ascii="Arial" w:hAnsi="Arial" w:cs="Arial"/>
          <w:sz w:val="22"/>
          <w:szCs w:val="22"/>
        </w:rPr>
        <w:t xml:space="preserve">Roy, J., </w:t>
      </w:r>
      <w:r>
        <w:rPr>
          <w:rFonts w:ascii="Arial" w:hAnsi="Arial" w:cs="Arial"/>
          <w:sz w:val="22"/>
          <w:szCs w:val="22"/>
        </w:rPr>
        <w:t>(</w:t>
      </w:r>
      <w:r w:rsidRPr="00533B2C">
        <w:rPr>
          <w:rFonts w:ascii="Arial" w:hAnsi="Arial" w:cs="Arial"/>
          <w:sz w:val="22"/>
          <w:szCs w:val="22"/>
        </w:rPr>
        <w:t>2022</w:t>
      </w:r>
      <w:r>
        <w:rPr>
          <w:rFonts w:ascii="Arial" w:hAnsi="Arial" w:cs="Arial"/>
          <w:sz w:val="22"/>
          <w:szCs w:val="22"/>
        </w:rPr>
        <w:t>)</w:t>
      </w:r>
      <w:r w:rsidRPr="00533B2C">
        <w:rPr>
          <w:rFonts w:ascii="Arial" w:hAnsi="Arial" w:cs="Arial"/>
          <w:sz w:val="22"/>
          <w:szCs w:val="22"/>
        </w:rPr>
        <w:t>. Signs of safety: The view from early help. </w:t>
      </w:r>
      <w:r w:rsidRPr="00533B2C">
        <w:rPr>
          <w:rFonts w:ascii="Arial" w:hAnsi="Arial" w:cs="Arial"/>
          <w:i/>
          <w:iCs/>
          <w:sz w:val="22"/>
          <w:szCs w:val="22"/>
        </w:rPr>
        <w:t>Child Care in Practice</w:t>
      </w:r>
      <w:r w:rsidRPr="00533B2C">
        <w:rPr>
          <w:rFonts w:ascii="Arial" w:hAnsi="Arial" w:cs="Arial"/>
          <w:sz w:val="22"/>
          <w:szCs w:val="22"/>
        </w:rPr>
        <w:t>, </w:t>
      </w:r>
      <w:r w:rsidRPr="00533B2C">
        <w:rPr>
          <w:rFonts w:ascii="Arial" w:hAnsi="Arial" w:cs="Arial"/>
          <w:i/>
          <w:iCs/>
          <w:sz w:val="22"/>
          <w:szCs w:val="22"/>
        </w:rPr>
        <w:t>28</w:t>
      </w:r>
      <w:r w:rsidRPr="00533B2C">
        <w:rPr>
          <w:rFonts w:ascii="Arial" w:hAnsi="Arial" w:cs="Arial"/>
          <w:sz w:val="22"/>
          <w:szCs w:val="22"/>
        </w:rPr>
        <w:t>(3), pp.482-498.</w:t>
      </w:r>
    </w:p>
    <w:p w14:paraId="7BF485B4" w14:textId="77777777" w:rsidR="00533B2C" w:rsidRPr="00533B2C" w:rsidRDefault="00533B2C" w:rsidP="00533B2C">
      <w:pPr>
        <w:spacing w:line="360" w:lineRule="auto"/>
        <w:jc w:val="both"/>
        <w:rPr>
          <w:rFonts w:ascii="Arial" w:hAnsi="Arial" w:cs="Arial"/>
          <w:sz w:val="22"/>
          <w:szCs w:val="22"/>
        </w:rPr>
      </w:pPr>
      <w:r w:rsidRPr="00533B2C">
        <w:rPr>
          <w:rFonts w:ascii="Arial" w:hAnsi="Arial" w:cs="Arial"/>
          <w:sz w:val="22"/>
          <w:szCs w:val="22"/>
        </w:rPr>
        <w:t xml:space="preserve">Staffordshire (2023). </w:t>
      </w:r>
      <w:r w:rsidRPr="00533B2C">
        <w:rPr>
          <w:rFonts w:ascii="Arial" w:hAnsi="Arial" w:cs="Arial"/>
          <w:i/>
          <w:iCs/>
          <w:sz w:val="22"/>
          <w:szCs w:val="22"/>
        </w:rPr>
        <w:t>Safeguarding Guidance for Early Years Settings - Staffordshire County Council</w:t>
      </w:r>
      <w:r w:rsidRPr="00533B2C">
        <w:rPr>
          <w:rFonts w:ascii="Arial" w:hAnsi="Arial" w:cs="Arial"/>
          <w:sz w:val="22"/>
          <w:szCs w:val="22"/>
        </w:rPr>
        <w:t>. [online] Staffordshire.gov.uk. Available at: https://www.staffordshire.gov.uk/Children-and-early-years/Childcare-providers-and-professionals/Safeguarding-Guidance-for-Early-Years-Settings.aspx.</w:t>
      </w:r>
    </w:p>
    <w:p w14:paraId="6EBA4FAF" w14:textId="77777777" w:rsidR="00E365AF" w:rsidRPr="00D31EB5" w:rsidRDefault="00533B2C" w:rsidP="00533B2C">
      <w:pPr>
        <w:spacing w:line="360" w:lineRule="auto"/>
        <w:jc w:val="both"/>
        <w:rPr>
          <w:rFonts w:ascii="Arial" w:hAnsi="Arial" w:cs="Arial"/>
          <w:sz w:val="22"/>
          <w:szCs w:val="22"/>
        </w:rPr>
      </w:pPr>
      <w:r w:rsidRPr="00533B2C">
        <w:rPr>
          <w:rFonts w:ascii="Arial" w:hAnsi="Arial" w:cs="Arial"/>
          <w:sz w:val="22"/>
          <w:szCs w:val="22"/>
        </w:rPr>
        <w:t xml:space="preserve">Tower Hamlets (2025). </w:t>
      </w:r>
      <w:r w:rsidRPr="00533B2C">
        <w:rPr>
          <w:rFonts w:ascii="Arial" w:hAnsi="Arial" w:cs="Arial"/>
          <w:i/>
          <w:iCs/>
          <w:sz w:val="22"/>
          <w:szCs w:val="22"/>
        </w:rPr>
        <w:t>Children and family care</w:t>
      </w:r>
      <w:r w:rsidRPr="00533B2C">
        <w:rPr>
          <w:rFonts w:ascii="Arial" w:hAnsi="Arial" w:cs="Arial"/>
          <w:sz w:val="22"/>
          <w:szCs w:val="22"/>
        </w:rPr>
        <w:t>. [online] www.towerhamlets.gov.uk. Available at: https://www.towerhamlets.gov.uk/lgnl/health__social_care/children_and_family_care/children_and_family_care.aspx.</w:t>
      </w:r>
    </w:p>
    <w:sectPr w:rsidR="00E365AF" w:rsidRPr="00D31EB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280B71"/>
    <w:multiLevelType w:val="multilevel"/>
    <w:tmpl w:val="EC24C404"/>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625B0D37"/>
    <w:multiLevelType w:val="hybridMultilevel"/>
    <w:tmpl w:val="39DC2D2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263153374">
    <w:abstractNumId w:val="0"/>
  </w:num>
  <w:num w:numId="2" w16cid:durableId="4054946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C86"/>
    <w:rsid w:val="00142505"/>
    <w:rsid w:val="001A38E6"/>
    <w:rsid w:val="003E22AB"/>
    <w:rsid w:val="0045252D"/>
    <w:rsid w:val="004B4380"/>
    <w:rsid w:val="00533B2C"/>
    <w:rsid w:val="00567AD9"/>
    <w:rsid w:val="005873B8"/>
    <w:rsid w:val="00644C86"/>
    <w:rsid w:val="006E5965"/>
    <w:rsid w:val="00767288"/>
    <w:rsid w:val="0078434B"/>
    <w:rsid w:val="007F1D34"/>
    <w:rsid w:val="00870A78"/>
    <w:rsid w:val="008A5CBA"/>
    <w:rsid w:val="00901D04"/>
    <w:rsid w:val="00907E22"/>
    <w:rsid w:val="009B3AC9"/>
    <w:rsid w:val="00B82A4F"/>
    <w:rsid w:val="00C04893"/>
    <w:rsid w:val="00C524A4"/>
    <w:rsid w:val="00D31EB5"/>
    <w:rsid w:val="00D90816"/>
    <w:rsid w:val="00DB593C"/>
    <w:rsid w:val="00E365AF"/>
    <w:rsid w:val="00E7153D"/>
    <w:rsid w:val="00F76C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D2BDA"/>
  <w15:chartTrackingRefBased/>
  <w15:docId w15:val="{48C39F54-B5B6-43EC-B092-0F0536E0D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4C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4C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4C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4C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4C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4C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4C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4C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4C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C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4C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4C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4C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4C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4C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4C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4C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4C86"/>
    <w:rPr>
      <w:rFonts w:eastAsiaTheme="majorEastAsia" w:cstheme="majorBidi"/>
      <w:color w:val="272727" w:themeColor="text1" w:themeTint="D8"/>
    </w:rPr>
  </w:style>
  <w:style w:type="paragraph" w:styleId="Title">
    <w:name w:val="Title"/>
    <w:basedOn w:val="Normal"/>
    <w:next w:val="Normal"/>
    <w:link w:val="TitleChar"/>
    <w:uiPriority w:val="10"/>
    <w:qFormat/>
    <w:rsid w:val="00644C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4C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4C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4C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4C86"/>
    <w:pPr>
      <w:spacing w:before="160"/>
      <w:jc w:val="center"/>
    </w:pPr>
    <w:rPr>
      <w:i/>
      <w:iCs/>
      <w:color w:val="404040" w:themeColor="text1" w:themeTint="BF"/>
    </w:rPr>
  </w:style>
  <w:style w:type="character" w:customStyle="1" w:styleId="QuoteChar">
    <w:name w:val="Quote Char"/>
    <w:basedOn w:val="DefaultParagraphFont"/>
    <w:link w:val="Quote"/>
    <w:uiPriority w:val="29"/>
    <w:rsid w:val="00644C86"/>
    <w:rPr>
      <w:i/>
      <w:iCs/>
      <w:color w:val="404040" w:themeColor="text1" w:themeTint="BF"/>
    </w:rPr>
  </w:style>
  <w:style w:type="paragraph" w:styleId="ListParagraph">
    <w:name w:val="List Paragraph"/>
    <w:basedOn w:val="Normal"/>
    <w:uiPriority w:val="34"/>
    <w:qFormat/>
    <w:rsid w:val="00644C86"/>
    <w:pPr>
      <w:ind w:left="720"/>
      <w:contextualSpacing/>
    </w:pPr>
  </w:style>
  <w:style w:type="character" w:styleId="IntenseEmphasis">
    <w:name w:val="Intense Emphasis"/>
    <w:basedOn w:val="DefaultParagraphFont"/>
    <w:uiPriority w:val="21"/>
    <w:qFormat/>
    <w:rsid w:val="00644C86"/>
    <w:rPr>
      <w:i/>
      <w:iCs/>
      <w:color w:val="0F4761" w:themeColor="accent1" w:themeShade="BF"/>
    </w:rPr>
  </w:style>
  <w:style w:type="paragraph" w:styleId="IntenseQuote">
    <w:name w:val="Intense Quote"/>
    <w:basedOn w:val="Normal"/>
    <w:next w:val="Normal"/>
    <w:link w:val="IntenseQuoteChar"/>
    <w:uiPriority w:val="30"/>
    <w:qFormat/>
    <w:rsid w:val="00644C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4C86"/>
    <w:rPr>
      <w:i/>
      <w:iCs/>
      <w:color w:val="0F4761" w:themeColor="accent1" w:themeShade="BF"/>
    </w:rPr>
  </w:style>
  <w:style w:type="character" w:styleId="IntenseReference">
    <w:name w:val="Intense Reference"/>
    <w:basedOn w:val="DefaultParagraphFont"/>
    <w:uiPriority w:val="32"/>
    <w:qFormat/>
    <w:rsid w:val="00644C86"/>
    <w:rPr>
      <w:b/>
      <w:bCs/>
      <w:smallCaps/>
      <w:color w:val="0F4761" w:themeColor="accent1" w:themeShade="BF"/>
      <w:spacing w:val="5"/>
    </w:rPr>
  </w:style>
  <w:style w:type="paragraph" w:styleId="TOCHeading">
    <w:name w:val="TOC Heading"/>
    <w:basedOn w:val="Heading1"/>
    <w:next w:val="Normal"/>
    <w:uiPriority w:val="39"/>
    <w:unhideWhenUsed/>
    <w:qFormat/>
    <w:rsid w:val="00F76C9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F76C93"/>
    <w:pPr>
      <w:tabs>
        <w:tab w:val="left" w:pos="480"/>
        <w:tab w:val="right" w:leader="dot" w:pos="9350"/>
      </w:tabs>
      <w:spacing w:after="100"/>
    </w:pPr>
    <w:rPr>
      <w:rFonts w:ascii="Arial" w:hAnsi="Arial" w:cs="Arial"/>
      <w:noProof/>
    </w:rPr>
  </w:style>
  <w:style w:type="paragraph" w:styleId="TOC2">
    <w:name w:val="toc 2"/>
    <w:basedOn w:val="Normal"/>
    <w:next w:val="Normal"/>
    <w:autoRedefine/>
    <w:uiPriority w:val="39"/>
    <w:unhideWhenUsed/>
    <w:rsid w:val="00F76C93"/>
    <w:pPr>
      <w:spacing w:after="100"/>
      <w:ind w:left="240"/>
    </w:pPr>
  </w:style>
  <w:style w:type="character" w:styleId="Hyperlink">
    <w:name w:val="Hyperlink"/>
    <w:basedOn w:val="DefaultParagraphFont"/>
    <w:uiPriority w:val="99"/>
    <w:unhideWhenUsed/>
    <w:rsid w:val="00F76C9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4105890">
      <w:bodyDiv w:val="1"/>
      <w:marLeft w:val="0"/>
      <w:marRight w:val="0"/>
      <w:marTop w:val="0"/>
      <w:marBottom w:val="0"/>
      <w:divBdr>
        <w:top w:val="none" w:sz="0" w:space="0" w:color="auto"/>
        <w:left w:val="none" w:sz="0" w:space="0" w:color="auto"/>
        <w:bottom w:val="none" w:sz="0" w:space="0" w:color="auto"/>
        <w:right w:val="none" w:sz="0" w:space="0" w:color="auto"/>
      </w:divBdr>
      <w:divsChild>
        <w:div w:id="1756597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597AFF-F90B-4434-B60E-3777AA72E5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9</Pages>
  <Words>2634</Words>
  <Characters>15019</Characters>
  <Application>Microsoft Office Word</Application>
  <DocSecurity>0</DocSecurity>
  <Lines>125</Lines>
  <Paragraphs>35</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Introduction</vt:lpstr>
      <vt:lpstr>Early Help System</vt:lpstr>
      <vt:lpstr>Multi-Agency Working</vt:lpstr>
      <vt:lpstr>Website Evaluation</vt:lpstr>
      <vt:lpstr>    Norfolk County Council</vt:lpstr>
      <vt:lpstr>    Leeds City Council</vt:lpstr>
      <vt:lpstr>    Southwark Council</vt:lpstr>
      <vt:lpstr>Comparative Analysis</vt:lpstr>
      <vt:lpstr>Conclusion</vt:lpstr>
      <vt:lpstr>Recommendations</vt:lpstr>
    </vt:vector>
  </TitlesOfParts>
  <Company/>
  <LinksUpToDate>false</LinksUpToDate>
  <CharactersWithSpaces>17618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IRFAN</dc:creator>
  <cp:keywords/>
  <dc:description/>
  <cp:lastModifiedBy>roman dunka</cp:lastModifiedBy>
  <cp:revision>10</cp:revision>
  <dcterms:created xsi:type="dcterms:W3CDTF">2025-11-22T01:51:00Z</dcterms:created>
  <dcterms:modified xsi:type="dcterms:W3CDTF">2025-11-25T01:30:00Z</dcterms:modified>
</cp:coreProperties>
</file>