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3F1" w:rsidRPr="001F721E" w:rsidRDefault="001F721E">
      <w:pPr>
        <w:rPr>
          <w:rFonts w:ascii="Times New Roman" w:hAnsi="Times New Roman" w:cs="Times New Roman"/>
          <w:b/>
          <w:sz w:val="32"/>
          <w:szCs w:val="32"/>
        </w:rPr>
      </w:pPr>
      <w:r>
        <w:rPr>
          <w:rFonts w:ascii="Times New Roman" w:hAnsi="Times New Roman" w:cs="Times New Roman"/>
          <w:b/>
          <w:sz w:val="32"/>
          <w:szCs w:val="32"/>
        </w:rPr>
        <w:t>FRS 100</w:t>
      </w:r>
      <w:r>
        <w:rPr>
          <w:rFonts w:ascii="Times New Roman" w:hAnsi="Times New Roman" w:cs="Times New Roman"/>
          <w:b/>
          <w:sz w:val="32"/>
          <w:szCs w:val="32"/>
        </w:rPr>
        <w:tab/>
      </w:r>
      <w:proofErr w:type="gramStart"/>
      <w:r w:rsidRPr="001F721E">
        <w:rPr>
          <w:rFonts w:ascii="Times New Roman" w:hAnsi="Times New Roman" w:cs="Times New Roman"/>
          <w:b/>
          <w:sz w:val="32"/>
          <w:szCs w:val="32"/>
        </w:rPr>
        <w:t>APPLICATION</w:t>
      </w:r>
      <w:proofErr w:type="gramEnd"/>
      <w:r w:rsidRPr="001F721E">
        <w:rPr>
          <w:rFonts w:ascii="Times New Roman" w:hAnsi="Times New Roman" w:cs="Times New Roman"/>
          <w:b/>
          <w:sz w:val="32"/>
          <w:szCs w:val="32"/>
        </w:rPr>
        <w:t xml:space="preserve"> OF FINANCIAL REPORTING REQUIREMENTS</w:t>
      </w:r>
    </w:p>
    <w:p w:rsidR="001F721E" w:rsidRDefault="001F721E"/>
    <w:p w:rsidR="001F721E" w:rsidRPr="001F721E" w:rsidRDefault="001F721E" w:rsidP="001F721E">
      <w:pPr>
        <w:pStyle w:val="first"/>
        <w:rPr>
          <w:color w:val="4A4441"/>
          <w:lang/>
        </w:rPr>
      </w:pPr>
      <w:r w:rsidRPr="001F721E">
        <w:rPr>
          <w:color w:val="4A4441"/>
          <w:lang/>
        </w:rPr>
        <w:t>This is the standard that sets the scene for new UK GAAP and tells companies and other relevant entities, such as LLPs, which set of standards they may or must follow.</w:t>
      </w:r>
    </w:p>
    <w:p w:rsidR="001F721E" w:rsidRPr="001F721E" w:rsidRDefault="001F721E" w:rsidP="001F721E">
      <w:pPr>
        <w:pStyle w:val="NormalWeb"/>
        <w:rPr>
          <w:color w:val="4A4441"/>
          <w:lang/>
        </w:rPr>
      </w:pPr>
      <w:r w:rsidRPr="001F721E">
        <w:rPr>
          <w:color w:val="4A4441"/>
          <w:lang/>
        </w:rPr>
        <w:t xml:space="preserve">This means that </w:t>
      </w:r>
      <w:r w:rsidRPr="001F721E">
        <w:rPr>
          <w:rStyle w:val="Emphasis"/>
          <w:i w:val="0"/>
          <w:color w:val="4A4441"/>
          <w:lang/>
        </w:rPr>
        <w:t>at present in 2015</w:t>
      </w:r>
      <w:r w:rsidRPr="001F721E">
        <w:rPr>
          <w:i/>
          <w:color w:val="4A4441"/>
          <w:lang/>
        </w:rPr>
        <w:t>:</w:t>
      </w:r>
    </w:p>
    <w:p w:rsidR="001F721E" w:rsidRDefault="001F721E" w:rsidP="001F721E">
      <w:pPr>
        <w:pStyle w:val="NormalWeb"/>
        <w:rPr>
          <w:color w:val="4A4441"/>
          <w:lang/>
        </w:rPr>
      </w:pPr>
      <w:r w:rsidRPr="001F721E">
        <w:rPr>
          <w:rStyle w:val="Strong"/>
          <w:color w:val="4A4441"/>
          <w:sz w:val="28"/>
          <w:szCs w:val="28"/>
          <w:lang/>
        </w:rPr>
        <w:t>Listed and AIM companies</w:t>
      </w:r>
      <w:r w:rsidRPr="001F721E">
        <w:rPr>
          <w:color w:val="4A4441"/>
          <w:lang/>
        </w:rPr>
        <w:t xml:space="preserve"> must use IFRS in their group</w:t>
      </w:r>
      <w:r>
        <w:rPr>
          <w:color w:val="4A4441"/>
          <w:lang/>
        </w:rPr>
        <w:t xml:space="preserve"> </w:t>
      </w:r>
      <w:r w:rsidRPr="001F721E">
        <w:rPr>
          <w:color w:val="4A4441"/>
          <w:lang/>
        </w:rPr>
        <w:t>accounts</w:t>
      </w:r>
      <w:r>
        <w:rPr>
          <w:rFonts w:ascii="Arial" w:hAnsi="Arial" w:cs="Arial"/>
          <w:color w:val="000000"/>
          <w:sz w:val="18"/>
          <w:szCs w:val="18"/>
          <w:lang/>
        </w:rPr>
        <w:t>. (</w:t>
      </w:r>
      <w:r w:rsidRPr="001F721E">
        <w:rPr>
          <w:color w:val="4A4441"/>
          <w:lang/>
        </w:rPr>
        <w:t>AIM companies because the AIM rules require it, and fully listed companies because regulations require that all companies listed on an EU regulated market use IFRS, as adopted in the EU, in their group accounts.)</w:t>
      </w:r>
    </w:p>
    <w:p w:rsidR="001F721E" w:rsidRDefault="001F721E" w:rsidP="001F721E">
      <w:pPr>
        <w:pStyle w:val="NormalWeb"/>
        <w:rPr>
          <w:color w:val="000000"/>
          <w:lang/>
        </w:rPr>
      </w:pPr>
      <w:r w:rsidRPr="001F721E">
        <w:rPr>
          <w:color w:val="4A4441"/>
          <w:lang/>
        </w:rPr>
        <w:t>N.B</w:t>
      </w:r>
      <w:r w:rsidRPr="001F721E">
        <w:rPr>
          <w:color w:val="4A4441"/>
          <w:lang/>
        </w:rPr>
        <w:tab/>
      </w:r>
      <w:r w:rsidRPr="001F721E">
        <w:rPr>
          <w:color w:val="000000"/>
          <w:lang/>
        </w:rPr>
        <w:t>AIM is the London Stock Exchange’s international market for smaller growing companies</w:t>
      </w:r>
    </w:p>
    <w:p w:rsidR="001F721E" w:rsidRPr="001F721E" w:rsidRDefault="001F721E" w:rsidP="001F721E">
      <w:pPr>
        <w:pStyle w:val="NormalWeb"/>
        <w:rPr>
          <w:color w:val="4A4441"/>
          <w:lang/>
        </w:rPr>
      </w:pPr>
    </w:p>
    <w:p w:rsidR="001F721E" w:rsidRPr="001F721E" w:rsidRDefault="001F721E" w:rsidP="001F721E">
      <w:pPr>
        <w:pStyle w:val="NormalWeb"/>
        <w:rPr>
          <w:color w:val="4A4441"/>
          <w:lang/>
        </w:rPr>
      </w:pPr>
      <w:r w:rsidRPr="001F721E">
        <w:rPr>
          <w:rStyle w:val="Strong"/>
          <w:color w:val="4A4441"/>
          <w:sz w:val="28"/>
          <w:szCs w:val="28"/>
          <w:lang/>
        </w:rPr>
        <w:t>"Small" companies/groups</w:t>
      </w:r>
      <w:r w:rsidRPr="001F721E">
        <w:rPr>
          <w:color w:val="4A4441"/>
          <w:lang/>
        </w:rPr>
        <w:t xml:space="preserve"> as defined by the </w:t>
      </w:r>
      <w:r>
        <w:rPr>
          <w:color w:val="4A4441"/>
          <w:lang/>
        </w:rPr>
        <w:t>Companies Act may use the FRSSE (Financial Reporting Standard for Smaller Entities)</w:t>
      </w:r>
      <w:r w:rsidRPr="001F721E">
        <w:rPr>
          <w:color w:val="4A4441"/>
          <w:lang/>
        </w:rPr>
        <w:t>. As before the FRSSE is not mandatory and a small company could instead use FRS 102 or indeed IFRS if it so desired.</w:t>
      </w:r>
    </w:p>
    <w:p w:rsidR="001F721E" w:rsidRDefault="001F721E" w:rsidP="001F721E">
      <w:pPr>
        <w:pStyle w:val="NormalWeb"/>
        <w:rPr>
          <w:color w:val="4A4441"/>
          <w:lang/>
        </w:rPr>
      </w:pPr>
      <w:r w:rsidRPr="001F721E">
        <w:rPr>
          <w:color w:val="4A4441"/>
          <w:lang/>
        </w:rPr>
        <w:t>(Note that the definition of a small company will be increasing in mid-2015 as a trickle down of the new EU Accounting Directive: the turnover threshold will increase to £10.2m and the balance sheet threshold to £5.1m.)</w:t>
      </w:r>
    </w:p>
    <w:p w:rsidR="001F721E" w:rsidRPr="001F721E" w:rsidRDefault="001F721E" w:rsidP="001F721E">
      <w:pPr>
        <w:pStyle w:val="NormalWeb"/>
        <w:rPr>
          <w:color w:val="4A4441"/>
          <w:lang/>
        </w:rPr>
      </w:pPr>
    </w:p>
    <w:p w:rsidR="001F721E" w:rsidRPr="001F721E" w:rsidRDefault="001F721E" w:rsidP="001F721E">
      <w:pPr>
        <w:spacing w:after="225" w:line="240" w:lineRule="auto"/>
        <w:rPr>
          <w:rFonts w:ascii="Times New Roman" w:eastAsia="Times New Roman" w:hAnsi="Times New Roman" w:cs="Times New Roman"/>
          <w:color w:val="4A4441"/>
          <w:sz w:val="24"/>
          <w:szCs w:val="24"/>
          <w:lang w:eastAsia="en-GB"/>
        </w:rPr>
      </w:pPr>
      <w:r w:rsidRPr="001F721E">
        <w:rPr>
          <w:rFonts w:ascii="Times New Roman" w:eastAsia="Times New Roman" w:hAnsi="Times New Roman" w:cs="Times New Roman"/>
          <w:b/>
          <w:bCs/>
          <w:color w:val="4A4441"/>
          <w:sz w:val="28"/>
          <w:szCs w:val="28"/>
          <w:lang w:eastAsia="en-GB"/>
        </w:rPr>
        <w:t>Other entities</w:t>
      </w:r>
      <w:r w:rsidRPr="001F721E">
        <w:rPr>
          <w:rFonts w:ascii="Times New Roman" w:eastAsia="Times New Roman" w:hAnsi="Times New Roman" w:cs="Times New Roman"/>
          <w:color w:val="4A4441"/>
          <w:sz w:val="24"/>
          <w:szCs w:val="24"/>
          <w:lang w:eastAsia="en-GB"/>
        </w:rPr>
        <w:t xml:space="preserve"> that are not "small" and are not required to use IFRS end up with various choices, depending on their situation:</w:t>
      </w:r>
    </w:p>
    <w:p w:rsidR="001F721E" w:rsidRPr="001F721E" w:rsidRDefault="001F721E" w:rsidP="001F721E">
      <w:pPr>
        <w:numPr>
          <w:ilvl w:val="0"/>
          <w:numId w:val="1"/>
        </w:numPr>
        <w:spacing w:before="100" w:beforeAutospacing="1" w:after="100" w:afterAutospacing="1" w:line="240" w:lineRule="auto"/>
        <w:rPr>
          <w:rFonts w:ascii="Times New Roman" w:eastAsia="Times New Roman" w:hAnsi="Times New Roman" w:cs="Times New Roman"/>
          <w:color w:val="4A4441"/>
          <w:sz w:val="24"/>
          <w:szCs w:val="24"/>
          <w:lang w:eastAsia="en-GB"/>
        </w:rPr>
      </w:pPr>
      <w:r w:rsidRPr="001F721E">
        <w:rPr>
          <w:rFonts w:ascii="Times New Roman" w:eastAsia="Times New Roman" w:hAnsi="Times New Roman" w:cs="Times New Roman"/>
          <w:color w:val="4A4441"/>
          <w:sz w:val="24"/>
          <w:szCs w:val="24"/>
          <w:lang w:eastAsia="en-GB"/>
        </w:rPr>
        <w:t>FRS 102 - the main new UK GAAP standard;</w:t>
      </w:r>
    </w:p>
    <w:p w:rsidR="001F721E" w:rsidRPr="001F721E" w:rsidRDefault="001F721E" w:rsidP="001F721E">
      <w:pPr>
        <w:numPr>
          <w:ilvl w:val="0"/>
          <w:numId w:val="1"/>
        </w:numPr>
        <w:spacing w:before="100" w:beforeAutospacing="1" w:after="100" w:afterAutospacing="1" w:line="240" w:lineRule="auto"/>
        <w:rPr>
          <w:rFonts w:ascii="Times New Roman" w:eastAsia="Times New Roman" w:hAnsi="Times New Roman" w:cs="Times New Roman"/>
          <w:color w:val="4A4441"/>
          <w:sz w:val="24"/>
          <w:szCs w:val="24"/>
          <w:lang w:eastAsia="en-GB"/>
        </w:rPr>
      </w:pPr>
      <w:r w:rsidRPr="001F721E">
        <w:rPr>
          <w:rFonts w:ascii="Times New Roman" w:eastAsia="Times New Roman" w:hAnsi="Times New Roman" w:cs="Times New Roman"/>
          <w:color w:val="4A4441"/>
          <w:sz w:val="24"/>
          <w:szCs w:val="24"/>
          <w:lang w:eastAsia="en-GB"/>
        </w:rPr>
        <w:t xml:space="preserve">FRS 101 - the Reduced Disclosure Framework - this is only available to subsidiary or parent entities and it allows them to adopt IFRS but with reduced disclosures; </w:t>
      </w:r>
    </w:p>
    <w:p w:rsidR="001F721E" w:rsidRPr="001F721E" w:rsidRDefault="001F721E" w:rsidP="001F721E">
      <w:pPr>
        <w:numPr>
          <w:ilvl w:val="0"/>
          <w:numId w:val="1"/>
        </w:numPr>
        <w:spacing w:before="100" w:beforeAutospacing="1" w:after="100" w:afterAutospacing="1" w:line="240" w:lineRule="auto"/>
        <w:rPr>
          <w:rFonts w:ascii="Times New Roman" w:eastAsia="Times New Roman" w:hAnsi="Times New Roman" w:cs="Times New Roman"/>
          <w:color w:val="4A4441"/>
          <w:sz w:val="24"/>
          <w:szCs w:val="24"/>
          <w:lang w:eastAsia="en-GB"/>
        </w:rPr>
      </w:pPr>
      <w:proofErr w:type="gramStart"/>
      <w:r w:rsidRPr="001F721E">
        <w:rPr>
          <w:rFonts w:ascii="Times New Roman" w:eastAsia="Times New Roman" w:hAnsi="Times New Roman" w:cs="Times New Roman"/>
          <w:color w:val="4A4441"/>
          <w:sz w:val="24"/>
          <w:szCs w:val="24"/>
          <w:lang w:eastAsia="en-GB"/>
        </w:rPr>
        <w:t>full</w:t>
      </w:r>
      <w:proofErr w:type="gramEnd"/>
      <w:r w:rsidRPr="001F721E">
        <w:rPr>
          <w:rFonts w:ascii="Times New Roman" w:eastAsia="Times New Roman" w:hAnsi="Times New Roman" w:cs="Times New Roman"/>
          <w:color w:val="4A4441"/>
          <w:sz w:val="24"/>
          <w:szCs w:val="24"/>
          <w:lang w:eastAsia="en-GB"/>
        </w:rPr>
        <w:t xml:space="preserve"> IFRS  - any entity, except a charitable one,</w:t>
      </w:r>
      <w:r>
        <w:rPr>
          <w:rFonts w:ascii="Times New Roman" w:eastAsia="Times New Roman" w:hAnsi="Times New Roman" w:cs="Times New Roman"/>
          <w:color w:val="4A4441"/>
          <w:sz w:val="24"/>
          <w:szCs w:val="24"/>
          <w:lang w:eastAsia="en-GB"/>
        </w:rPr>
        <w:t xml:space="preserve"> </w:t>
      </w:r>
      <w:r w:rsidRPr="001F721E">
        <w:rPr>
          <w:rFonts w:ascii="Times New Roman" w:eastAsia="Times New Roman" w:hAnsi="Times New Roman" w:cs="Times New Roman"/>
          <w:color w:val="4A4441"/>
          <w:sz w:val="24"/>
          <w:szCs w:val="24"/>
          <w:lang w:eastAsia="en-GB"/>
        </w:rPr>
        <w:t>can adopt IFRS if they wish.</w:t>
      </w:r>
    </w:p>
    <w:p w:rsidR="001F721E" w:rsidRPr="001F721E" w:rsidRDefault="001F721E" w:rsidP="001F721E">
      <w:pPr>
        <w:spacing w:after="225" w:line="240" w:lineRule="auto"/>
        <w:rPr>
          <w:rFonts w:ascii="Trebuchet MS" w:eastAsia="Times New Roman" w:hAnsi="Trebuchet MS" w:cs="Times New Roman"/>
          <w:color w:val="4A4441"/>
          <w:sz w:val="24"/>
          <w:szCs w:val="24"/>
          <w:lang w:eastAsia="en-GB"/>
        </w:rPr>
      </w:pPr>
      <w:r w:rsidRPr="001F721E">
        <w:rPr>
          <w:rFonts w:ascii="Times New Roman" w:eastAsia="Times New Roman" w:hAnsi="Times New Roman" w:cs="Times New Roman"/>
          <w:color w:val="4A4441"/>
          <w:sz w:val="24"/>
          <w:szCs w:val="24"/>
          <w:lang w:eastAsia="en-GB"/>
        </w:rPr>
        <w:t>Overall this means that companies currently using SSAPs and FRSs are most likely to end up using FRS 102, although they may choose to move to the reduced disclosure framework from FRS 101 if they are part of a listed group, for instance. Companies currently using IFRS voluntarily will be able to make the move to either FRS 102 or FRS 101. Previously a move "back" to UK GAAP from IFRS was only permitted if there was a "good reason", such as a group delisting or a subsidiary leaving a listed group</w:t>
      </w:r>
      <w:r w:rsidRPr="001F721E">
        <w:rPr>
          <w:rFonts w:ascii="Trebuchet MS" w:eastAsia="Times New Roman" w:hAnsi="Trebuchet MS" w:cs="Times New Roman"/>
          <w:color w:val="4A4441"/>
          <w:sz w:val="24"/>
          <w:szCs w:val="24"/>
          <w:lang w:eastAsia="en-GB"/>
        </w:rPr>
        <w:t>.</w:t>
      </w:r>
    </w:p>
    <w:p w:rsidR="001F721E" w:rsidRDefault="001F721E"/>
    <w:sectPr w:rsidR="001F721E" w:rsidSect="008F43F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EE2F56"/>
    <w:multiLevelType w:val="multilevel"/>
    <w:tmpl w:val="DB8A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F721E"/>
    <w:rsid w:val="001F721E"/>
    <w:rsid w:val="008F43F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3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F721E"/>
    <w:rPr>
      <w:b/>
      <w:bCs/>
    </w:rPr>
  </w:style>
  <w:style w:type="paragraph" w:styleId="NormalWeb">
    <w:name w:val="Normal (Web)"/>
    <w:basedOn w:val="Normal"/>
    <w:uiPriority w:val="99"/>
    <w:semiHidden/>
    <w:unhideWhenUsed/>
    <w:rsid w:val="001F721E"/>
    <w:pPr>
      <w:spacing w:after="225" w:line="240" w:lineRule="auto"/>
    </w:pPr>
    <w:rPr>
      <w:rFonts w:ascii="Times New Roman" w:eastAsia="Times New Roman" w:hAnsi="Times New Roman" w:cs="Times New Roman"/>
      <w:sz w:val="24"/>
      <w:szCs w:val="24"/>
      <w:lang w:eastAsia="en-GB"/>
    </w:rPr>
  </w:style>
  <w:style w:type="paragraph" w:customStyle="1" w:styleId="first">
    <w:name w:val="first"/>
    <w:basedOn w:val="Normal"/>
    <w:rsid w:val="001F721E"/>
    <w:pPr>
      <w:spacing w:after="225"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F721E"/>
    <w:rPr>
      <w:i/>
      <w:iCs/>
    </w:rPr>
  </w:style>
  <w:style w:type="character" w:customStyle="1" w:styleId="bulleted-list">
    <w:name w:val="bulleted-list"/>
    <w:basedOn w:val="DefaultParagraphFont"/>
    <w:rsid w:val="001F721E"/>
  </w:style>
</w:styles>
</file>

<file path=word/webSettings.xml><?xml version="1.0" encoding="utf-8"?>
<w:webSettings xmlns:r="http://schemas.openxmlformats.org/officeDocument/2006/relationships" xmlns:w="http://schemas.openxmlformats.org/wordprocessingml/2006/main">
  <w:divs>
    <w:div w:id="221866892">
      <w:bodyDiv w:val="1"/>
      <w:marLeft w:val="0"/>
      <w:marRight w:val="0"/>
      <w:marTop w:val="0"/>
      <w:marBottom w:val="0"/>
      <w:divBdr>
        <w:top w:val="none" w:sz="0" w:space="0" w:color="auto"/>
        <w:left w:val="none" w:sz="0" w:space="0" w:color="auto"/>
        <w:bottom w:val="none" w:sz="0" w:space="0" w:color="auto"/>
        <w:right w:val="none" w:sz="0" w:space="0" w:color="auto"/>
      </w:divBdr>
      <w:divsChild>
        <w:div w:id="244144688">
          <w:marLeft w:val="0"/>
          <w:marRight w:val="0"/>
          <w:marTop w:val="0"/>
          <w:marBottom w:val="0"/>
          <w:divBdr>
            <w:top w:val="none" w:sz="0" w:space="0" w:color="auto"/>
            <w:left w:val="none" w:sz="0" w:space="0" w:color="auto"/>
            <w:bottom w:val="none" w:sz="0" w:space="0" w:color="auto"/>
            <w:right w:val="none" w:sz="0" w:space="0" w:color="auto"/>
          </w:divBdr>
        </w:div>
      </w:divsChild>
    </w:div>
    <w:div w:id="622199062">
      <w:bodyDiv w:val="1"/>
      <w:marLeft w:val="0"/>
      <w:marRight w:val="0"/>
      <w:marTop w:val="0"/>
      <w:marBottom w:val="0"/>
      <w:divBdr>
        <w:top w:val="none" w:sz="0" w:space="0" w:color="auto"/>
        <w:left w:val="none" w:sz="0" w:space="0" w:color="auto"/>
        <w:bottom w:val="none" w:sz="0" w:space="0" w:color="auto"/>
        <w:right w:val="none" w:sz="0" w:space="0" w:color="auto"/>
      </w:divBdr>
      <w:divsChild>
        <w:div w:id="439031574">
          <w:marLeft w:val="0"/>
          <w:marRight w:val="0"/>
          <w:marTop w:val="0"/>
          <w:marBottom w:val="0"/>
          <w:divBdr>
            <w:top w:val="none" w:sz="0" w:space="0" w:color="auto"/>
            <w:left w:val="none" w:sz="0" w:space="0" w:color="auto"/>
            <w:bottom w:val="none" w:sz="0" w:space="0" w:color="auto"/>
            <w:right w:val="none" w:sz="0" w:space="0" w:color="auto"/>
          </w:divBdr>
          <w:divsChild>
            <w:div w:id="182978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17949">
      <w:bodyDiv w:val="1"/>
      <w:marLeft w:val="0"/>
      <w:marRight w:val="0"/>
      <w:marTop w:val="0"/>
      <w:marBottom w:val="0"/>
      <w:divBdr>
        <w:top w:val="none" w:sz="0" w:space="0" w:color="auto"/>
        <w:left w:val="none" w:sz="0" w:space="0" w:color="auto"/>
        <w:bottom w:val="none" w:sz="0" w:space="0" w:color="auto"/>
        <w:right w:val="none" w:sz="0" w:space="0" w:color="auto"/>
      </w:divBdr>
      <w:divsChild>
        <w:div w:id="153767891">
          <w:marLeft w:val="0"/>
          <w:marRight w:val="0"/>
          <w:marTop w:val="0"/>
          <w:marBottom w:val="0"/>
          <w:divBdr>
            <w:top w:val="none" w:sz="0" w:space="0" w:color="auto"/>
            <w:left w:val="none" w:sz="0" w:space="0" w:color="auto"/>
            <w:bottom w:val="none" w:sz="0" w:space="0" w:color="auto"/>
            <w:right w:val="none" w:sz="0" w:space="0" w:color="auto"/>
          </w:divBdr>
          <w:divsChild>
            <w:div w:id="168736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83197">
      <w:bodyDiv w:val="1"/>
      <w:marLeft w:val="0"/>
      <w:marRight w:val="0"/>
      <w:marTop w:val="0"/>
      <w:marBottom w:val="0"/>
      <w:divBdr>
        <w:top w:val="none" w:sz="0" w:space="0" w:color="auto"/>
        <w:left w:val="none" w:sz="0" w:space="0" w:color="auto"/>
        <w:bottom w:val="none" w:sz="0" w:space="0" w:color="auto"/>
        <w:right w:val="none" w:sz="0" w:space="0" w:color="auto"/>
      </w:divBdr>
      <w:divsChild>
        <w:div w:id="1256134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300</Words>
  <Characters>1711</Characters>
  <Application>Microsoft Office Word</Application>
  <DocSecurity>0</DocSecurity>
  <Lines>14</Lines>
  <Paragraphs>4</Paragraphs>
  <ScaleCrop>false</ScaleCrop>
  <Company>Swansea Metropolitan University</Company>
  <LinksUpToDate>false</LinksUpToDate>
  <CharactersWithSpaces>2007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2015-10-06T14:22:00Z</dcterms:created>
  <dcterms:modified xsi:type="dcterms:W3CDTF">2015-10-06T14:31:00Z</dcterms:modified>
</cp:coreProperties>
</file>