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ACC96" w14:textId="2C5AE286" w:rsidR="00BD3BF6" w:rsidRDefault="00BD3BF6" w:rsidP="00C106BA">
      <w:pPr>
        <w:spacing w:line="360" w:lineRule="auto"/>
        <w:jc w:val="center"/>
        <w:rPr>
          <w:rFonts w:ascii="Arial" w:hAnsi="Arial" w:cs="Arial"/>
          <w:b/>
          <w:bCs/>
          <w:sz w:val="22"/>
          <w:szCs w:val="22"/>
        </w:rPr>
      </w:pPr>
      <w:r w:rsidRPr="00BD3BF6">
        <w:rPr>
          <w:rFonts w:ascii="Arial" w:hAnsi="Arial" w:cs="Arial"/>
          <w:b/>
          <w:bCs/>
          <w:noProof/>
          <w:sz w:val="22"/>
          <w:szCs w:val="22"/>
        </w:rPr>
        <w:drawing>
          <wp:inline distT="0" distB="0" distL="0" distR="0" wp14:anchorId="35B0F4E3" wp14:editId="4A0A2D41">
            <wp:extent cx="2734057" cy="1038370"/>
            <wp:effectExtent l="0" t="0" r="9525" b="9525"/>
            <wp:docPr id="191860797" name="Picture 1"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60797" name="Picture 1" descr="Black text on a white background&#10;&#10;AI-generated content may be incorrect."/>
                    <pic:cNvPicPr/>
                  </pic:nvPicPr>
                  <pic:blipFill>
                    <a:blip r:embed="rId6"/>
                    <a:stretch>
                      <a:fillRect/>
                    </a:stretch>
                  </pic:blipFill>
                  <pic:spPr>
                    <a:xfrm>
                      <a:off x="0" y="0"/>
                      <a:ext cx="2734057" cy="1038370"/>
                    </a:xfrm>
                    <a:prstGeom prst="rect">
                      <a:avLst/>
                    </a:prstGeom>
                  </pic:spPr>
                </pic:pic>
              </a:graphicData>
            </a:graphic>
          </wp:inline>
        </w:drawing>
      </w:r>
    </w:p>
    <w:p w14:paraId="644F7CAF" w14:textId="77777777" w:rsidR="00BD3BF6" w:rsidRDefault="00BD3BF6" w:rsidP="00C106BA">
      <w:pPr>
        <w:spacing w:line="360" w:lineRule="auto"/>
        <w:jc w:val="center"/>
        <w:rPr>
          <w:rFonts w:ascii="Arial" w:hAnsi="Arial" w:cs="Arial"/>
          <w:b/>
          <w:bCs/>
          <w:sz w:val="22"/>
          <w:szCs w:val="22"/>
        </w:rPr>
      </w:pPr>
    </w:p>
    <w:p w14:paraId="3A2EE17B" w14:textId="77777777" w:rsidR="00BD3BF6" w:rsidRDefault="00BD3BF6" w:rsidP="00C106BA">
      <w:pPr>
        <w:spacing w:line="360" w:lineRule="auto"/>
        <w:jc w:val="center"/>
        <w:rPr>
          <w:rFonts w:ascii="Arial" w:hAnsi="Arial" w:cs="Arial"/>
          <w:b/>
          <w:bCs/>
          <w:sz w:val="22"/>
          <w:szCs w:val="22"/>
        </w:rPr>
      </w:pPr>
    </w:p>
    <w:p w14:paraId="3C31A260" w14:textId="6A34A2B9" w:rsidR="00C106BA" w:rsidRDefault="00A637A7" w:rsidP="00C106BA">
      <w:pPr>
        <w:spacing w:line="360" w:lineRule="auto"/>
        <w:jc w:val="center"/>
        <w:rPr>
          <w:rFonts w:ascii="Arial" w:hAnsi="Arial" w:cs="Arial"/>
          <w:b/>
          <w:bCs/>
          <w:sz w:val="22"/>
          <w:szCs w:val="22"/>
        </w:rPr>
      </w:pPr>
      <w:r w:rsidRPr="00A637A7">
        <w:rPr>
          <w:rFonts w:ascii="Arial" w:hAnsi="Arial" w:cs="Arial"/>
          <w:b/>
          <w:bCs/>
          <w:sz w:val="22"/>
          <w:szCs w:val="22"/>
        </w:rPr>
        <w:t>Professional Development within Health and Social Care A</w:t>
      </w:r>
      <w:r w:rsidR="004E3501">
        <w:rPr>
          <w:rFonts w:ascii="Arial" w:hAnsi="Arial" w:cs="Arial"/>
          <w:b/>
          <w:bCs/>
          <w:sz w:val="22"/>
          <w:szCs w:val="22"/>
        </w:rPr>
        <w:t xml:space="preserve">ssignment </w:t>
      </w:r>
      <w:r w:rsidRPr="00A637A7">
        <w:rPr>
          <w:rFonts w:ascii="Arial" w:hAnsi="Arial" w:cs="Arial"/>
          <w:b/>
          <w:bCs/>
          <w:sz w:val="22"/>
          <w:szCs w:val="22"/>
        </w:rPr>
        <w:t>2</w:t>
      </w:r>
    </w:p>
    <w:p w14:paraId="097B25D5" w14:textId="77777777" w:rsidR="00A637A7" w:rsidRDefault="00A637A7" w:rsidP="00C106BA">
      <w:pPr>
        <w:spacing w:line="360" w:lineRule="auto"/>
        <w:jc w:val="center"/>
        <w:rPr>
          <w:rFonts w:ascii="Arial" w:hAnsi="Arial" w:cs="Arial"/>
          <w:b/>
          <w:bCs/>
          <w:sz w:val="22"/>
          <w:szCs w:val="22"/>
        </w:rPr>
      </w:pPr>
    </w:p>
    <w:p w14:paraId="1225873B" w14:textId="4122B0AA" w:rsidR="00A637A7" w:rsidRDefault="00A637A7" w:rsidP="00C106BA">
      <w:pPr>
        <w:spacing w:line="360" w:lineRule="auto"/>
        <w:jc w:val="center"/>
        <w:rPr>
          <w:rFonts w:ascii="Arial" w:hAnsi="Arial" w:cs="Arial"/>
          <w:sz w:val="22"/>
          <w:szCs w:val="22"/>
        </w:rPr>
      </w:pPr>
      <w:r>
        <w:rPr>
          <w:rFonts w:ascii="Arial" w:hAnsi="Arial" w:cs="Arial"/>
          <w:b/>
          <w:bCs/>
          <w:sz w:val="22"/>
          <w:szCs w:val="22"/>
        </w:rPr>
        <w:t>Name:</w:t>
      </w:r>
      <w:r w:rsidR="00A46477">
        <w:rPr>
          <w:rFonts w:ascii="Arial" w:hAnsi="Arial" w:cs="Arial"/>
          <w:b/>
          <w:bCs/>
          <w:sz w:val="22"/>
          <w:szCs w:val="22"/>
        </w:rPr>
        <w:t xml:space="preserve"> JANAT KICONCO</w:t>
      </w:r>
    </w:p>
    <w:p w14:paraId="728FF6CE" w14:textId="1CF48EF4" w:rsidR="00C106BA" w:rsidRPr="00D86A64" w:rsidRDefault="00934D8F" w:rsidP="00C106BA">
      <w:pPr>
        <w:spacing w:line="360" w:lineRule="auto"/>
        <w:jc w:val="center"/>
        <w:rPr>
          <w:rFonts w:ascii="Arial" w:hAnsi="Arial" w:cs="Arial"/>
          <w:sz w:val="22"/>
          <w:szCs w:val="22"/>
        </w:rPr>
      </w:pPr>
      <w:r>
        <w:rPr>
          <w:rFonts w:ascii="Arial" w:hAnsi="Arial" w:cs="Arial"/>
          <w:sz w:val="22"/>
          <w:szCs w:val="22"/>
        </w:rPr>
        <w:t>STUDENT NUMBER</w:t>
      </w:r>
      <w:proofErr w:type="gramStart"/>
      <w:r w:rsidR="005C293E">
        <w:rPr>
          <w:rFonts w:ascii="Arial" w:hAnsi="Arial" w:cs="Arial"/>
          <w:sz w:val="22"/>
          <w:szCs w:val="22"/>
        </w:rPr>
        <w:t xml:space="preserve">: </w:t>
      </w:r>
      <w:r w:rsidR="00A46477">
        <w:rPr>
          <w:rFonts w:ascii="Arial" w:hAnsi="Arial" w:cs="Arial"/>
          <w:sz w:val="22"/>
          <w:szCs w:val="22"/>
        </w:rPr>
        <w:t xml:space="preserve"> 2426595</w:t>
      </w:r>
      <w:proofErr w:type="gramEnd"/>
      <w:r w:rsidR="00A709C5">
        <w:rPr>
          <w:rFonts w:ascii="Arial" w:hAnsi="Arial" w:cs="Arial"/>
          <w:sz w:val="22"/>
          <w:szCs w:val="22"/>
        </w:rPr>
        <w:t>.</w:t>
      </w:r>
    </w:p>
    <w:p w14:paraId="77891F49" w14:textId="1C29659C" w:rsidR="009C2AAA" w:rsidRPr="00D86A64" w:rsidRDefault="006A03F0" w:rsidP="00D86A64">
      <w:pPr>
        <w:spacing w:line="360" w:lineRule="auto"/>
        <w:jc w:val="both"/>
        <w:rPr>
          <w:rFonts w:ascii="Arial" w:hAnsi="Arial" w:cs="Arial"/>
          <w:sz w:val="22"/>
          <w:szCs w:val="22"/>
        </w:rPr>
      </w:pPr>
      <w:r w:rsidRPr="00D86A64">
        <w:rPr>
          <w:rFonts w:ascii="Arial" w:hAnsi="Arial" w:cs="Arial"/>
          <w:sz w:val="22"/>
          <w:szCs w:val="22"/>
        </w:rPr>
        <w:br w:type="page"/>
      </w:r>
    </w:p>
    <w:p w14:paraId="3C6FDFDB" w14:textId="0779009C" w:rsidR="008A1372" w:rsidRPr="00D86A64" w:rsidRDefault="008A1372" w:rsidP="00D86A64">
      <w:pPr>
        <w:pStyle w:val="Heading1"/>
      </w:pPr>
      <w:r w:rsidRPr="00D86A64">
        <w:lastRenderedPageBreak/>
        <w:t xml:space="preserve">Introduction </w:t>
      </w:r>
    </w:p>
    <w:p w14:paraId="5BE8C2F8" w14:textId="77777777" w:rsidR="00D86A64" w:rsidRPr="00D86A64" w:rsidRDefault="00D86A64" w:rsidP="00D86A64">
      <w:pPr>
        <w:spacing w:line="360" w:lineRule="auto"/>
        <w:jc w:val="both"/>
        <w:rPr>
          <w:rFonts w:ascii="Arial" w:hAnsi="Arial" w:cs="Arial"/>
          <w:sz w:val="22"/>
          <w:szCs w:val="22"/>
        </w:rPr>
      </w:pPr>
      <w:r w:rsidRPr="00D86A64">
        <w:rPr>
          <w:rFonts w:ascii="Arial" w:hAnsi="Arial" w:cs="Arial"/>
          <w:sz w:val="22"/>
          <w:szCs w:val="22"/>
        </w:rPr>
        <w:t>This assignment analyzes the main skills required of a Children’s Residential Support Worker and determines how I can apply my current abilities to meet these requirements. It also points out the areas that can be improved and provides steps that can be taken in practical way. I would like to increase my preparedness to work in health and social care with the help of analysis, reflection, and planning.</w:t>
      </w:r>
    </w:p>
    <w:p w14:paraId="3624A148" w14:textId="41DC532E" w:rsidR="009C2AAA" w:rsidRPr="00D86A64" w:rsidRDefault="009C2AAA" w:rsidP="00D86A64">
      <w:pPr>
        <w:pStyle w:val="Heading1"/>
      </w:pPr>
      <w:r w:rsidRPr="00D86A64">
        <w:t>TASK 1</w:t>
      </w:r>
      <w:r w:rsidR="006A03F0" w:rsidRPr="00D86A64">
        <w:t>: Job Advert</w:t>
      </w:r>
      <w:r w:rsidRPr="00D86A64">
        <w:t xml:space="preserve"> </w:t>
      </w:r>
    </w:p>
    <w:p w14:paraId="54C59D72" w14:textId="0E1F48EB"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Children Residential Support Worker position requires good communication skills, awareness of safety, team spirit, and strength. This assignment will assess the role competencies, and how I can meet them, the competencies that I still need to fill in, and the activities that will help my growth as I prepare to work in health and social care (Together Trust, 2025).</w:t>
      </w:r>
    </w:p>
    <w:p w14:paraId="3C3608BD" w14:textId="29483424" w:rsidR="009C2AAA" w:rsidRPr="00D86A64" w:rsidRDefault="009C2AAA" w:rsidP="00D86A64">
      <w:pPr>
        <w:pStyle w:val="Heading2"/>
      </w:pPr>
      <w:r w:rsidRPr="00D86A64">
        <w:t xml:space="preserve">Core Competencies Necessary </w:t>
      </w:r>
    </w:p>
    <w:p w14:paraId="367E74DB" w14:textId="29084F55" w:rsidR="009C2AAA" w:rsidRPr="00D86A64" w:rsidRDefault="009C2AAA" w:rsidP="00D86A64">
      <w:pPr>
        <w:pStyle w:val="Heading3"/>
      </w:pPr>
      <w:r w:rsidRPr="00D86A64">
        <w:t xml:space="preserve">Communication </w:t>
      </w:r>
    </w:p>
    <w:p w14:paraId="722217D0" w14:textId="61CA7946"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 xml:space="preserve">The keys to young people, colleagues, and a clear-cut documentation are effective communication. The position involves steady, confident, and gentle communication in various settings </w:t>
      </w:r>
      <w:proofErr w:type="gramStart"/>
      <w:r w:rsidRPr="00D86A64">
        <w:rPr>
          <w:rFonts w:ascii="Arial" w:hAnsi="Arial" w:cs="Arial"/>
          <w:sz w:val="22"/>
          <w:szCs w:val="22"/>
        </w:rPr>
        <w:t>( Together</w:t>
      </w:r>
      <w:proofErr w:type="gramEnd"/>
      <w:r w:rsidRPr="00D86A64">
        <w:rPr>
          <w:rFonts w:ascii="Arial" w:hAnsi="Arial" w:cs="Arial"/>
          <w:sz w:val="22"/>
          <w:szCs w:val="22"/>
        </w:rPr>
        <w:t xml:space="preserve"> Trust, 2025). I address this competency by listening actively, speaking clearly, and being able to adapt my behavior, which is reinforced by facts that communication enhances teamwork and trust (Dunworth, 2017).</w:t>
      </w:r>
    </w:p>
    <w:p w14:paraId="75B388D9" w14:textId="05EDBEEE" w:rsidR="009C2AAA" w:rsidRPr="00D86A64" w:rsidRDefault="009C2AAA" w:rsidP="00D86A64">
      <w:pPr>
        <w:pStyle w:val="Heading3"/>
      </w:pPr>
      <w:r w:rsidRPr="00D86A64">
        <w:t xml:space="preserve">Protecting Awareness </w:t>
      </w:r>
    </w:p>
    <w:p w14:paraId="298DE5C6" w14:textId="2F9B6C6A"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 xml:space="preserve">The role entails the identification of risks, upholding boundaries, and acting appropriately on the issues to ensure that children are safe (Together Trust, 2025). I have found this in a sense of understanding on safeguarding principles, capacity to observe changes in </w:t>
      </w:r>
      <w:proofErr w:type="spellStart"/>
      <w:r w:rsidRPr="00D86A64">
        <w:rPr>
          <w:rFonts w:ascii="Arial" w:hAnsi="Arial" w:cs="Arial"/>
          <w:sz w:val="22"/>
          <w:szCs w:val="22"/>
        </w:rPr>
        <w:t>behaviour</w:t>
      </w:r>
      <w:proofErr w:type="spellEnd"/>
      <w:r w:rsidRPr="00D86A64">
        <w:rPr>
          <w:rFonts w:ascii="Arial" w:hAnsi="Arial" w:cs="Arial"/>
          <w:sz w:val="22"/>
          <w:szCs w:val="22"/>
        </w:rPr>
        <w:t xml:space="preserve"> and my willingness to act on short notice. Protection is one of the fundamental aspects of professional responsibility advocated by studies in decision making about child welfare practice (Testa and Poertner, 2010).</w:t>
      </w:r>
    </w:p>
    <w:p w14:paraId="0561A5ED" w14:textId="1A890874" w:rsidR="009C2AAA" w:rsidRPr="00D86A64" w:rsidRDefault="009C2AAA" w:rsidP="00D86A64">
      <w:pPr>
        <w:pStyle w:val="Heading3"/>
      </w:pPr>
      <w:r w:rsidRPr="00D86A64">
        <w:t xml:space="preserve">Teamwork </w:t>
      </w:r>
    </w:p>
    <w:p w14:paraId="0E694B4B" w14:textId="789AED41"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 xml:space="preserve">The collaboration in a residential team is also critical due to the fact that youngsters are dependent on the routine care schedule and coordinated reaction (Together Trust, 2025). I fulfill this competence with my capacity to cooperate, distribute responsibilities, and encourage others. In </w:t>
      </w:r>
      <w:r w:rsidRPr="00D86A64">
        <w:rPr>
          <w:rFonts w:ascii="Arial" w:hAnsi="Arial" w:cs="Arial"/>
          <w:sz w:val="22"/>
          <w:szCs w:val="22"/>
        </w:rPr>
        <w:lastRenderedPageBreak/>
        <w:t>health and social care, teamwork is emphasized on as a key competency to enhance service delivery (Hussain and Ashcroft, 2020).</w:t>
      </w:r>
    </w:p>
    <w:p w14:paraId="05401E75" w14:textId="6A8CD324" w:rsidR="009C2AAA" w:rsidRPr="00D86A64" w:rsidRDefault="009C2AAA" w:rsidP="00A069CE">
      <w:pPr>
        <w:pStyle w:val="Heading3"/>
      </w:pPr>
      <w:r w:rsidRPr="00D86A64">
        <w:t>Emotional Resilience</w:t>
      </w:r>
    </w:p>
    <w:p w14:paraId="48C6B35B" w14:textId="7223220F" w:rsidR="009C2AAA" w:rsidRDefault="009C2AAA" w:rsidP="00D86A64">
      <w:pPr>
        <w:spacing w:line="360" w:lineRule="auto"/>
        <w:jc w:val="both"/>
        <w:rPr>
          <w:rFonts w:ascii="Arial" w:hAnsi="Arial" w:cs="Arial"/>
          <w:sz w:val="22"/>
          <w:szCs w:val="22"/>
        </w:rPr>
      </w:pPr>
      <w:r w:rsidRPr="00D86A64">
        <w:rPr>
          <w:rFonts w:ascii="Arial" w:hAnsi="Arial" w:cs="Arial"/>
          <w:sz w:val="22"/>
          <w:szCs w:val="22"/>
        </w:rPr>
        <w:t xml:space="preserve">The work will include confronting </w:t>
      </w:r>
      <w:proofErr w:type="spellStart"/>
      <w:r w:rsidRPr="00D86A64">
        <w:rPr>
          <w:rFonts w:ascii="Arial" w:hAnsi="Arial" w:cs="Arial"/>
          <w:sz w:val="22"/>
          <w:szCs w:val="22"/>
        </w:rPr>
        <w:t>behaviour</w:t>
      </w:r>
      <w:proofErr w:type="spellEnd"/>
      <w:r w:rsidRPr="00D86A64">
        <w:rPr>
          <w:rFonts w:ascii="Arial" w:hAnsi="Arial" w:cs="Arial"/>
          <w:sz w:val="22"/>
          <w:szCs w:val="22"/>
        </w:rPr>
        <w:t xml:space="preserve"> and emotionally charged circumstances, which will necessitate resiliency and steady reactions (Together Trust, 2025). I overcome this through stress management techniques, being introspective and being calm when under pressure. They have been found to be useful in complex care settings because of emotional resilience and cognitive flexibility (Abildgren et al., 2025).</w:t>
      </w:r>
    </w:p>
    <w:p w14:paraId="624A8918" w14:textId="77777777" w:rsidR="008F0B8C" w:rsidRDefault="008F0B8C" w:rsidP="00D86A64">
      <w:pPr>
        <w:spacing w:line="360" w:lineRule="auto"/>
        <w:jc w:val="both"/>
        <w:rPr>
          <w:rFonts w:ascii="Arial" w:hAnsi="Arial" w:cs="Arial"/>
          <w:sz w:val="22"/>
          <w:szCs w:val="22"/>
        </w:rPr>
      </w:pPr>
    </w:p>
    <w:p w14:paraId="4D86C58A" w14:textId="77777777" w:rsidR="008F0B8C" w:rsidRDefault="008F0B8C" w:rsidP="00D86A64">
      <w:pPr>
        <w:spacing w:line="360" w:lineRule="auto"/>
        <w:jc w:val="both"/>
        <w:rPr>
          <w:rFonts w:ascii="Arial" w:hAnsi="Arial" w:cs="Arial"/>
          <w:sz w:val="22"/>
          <w:szCs w:val="22"/>
        </w:rPr>
      </w:pPr>
    </w:p>
    <w:p w14:paraId="4C6C1A72" w14:textId="1A9D0225" w:rsidR="008F0B8C" w:rsidRDefault="008F0B8C" w:rsidP="00D86A64">
      <w:pPr>
        <w:spacing w:line="360" w:lineRule="auto"/>
        <w:jc w:val="both"/>
        <w:rPr>
          <w:rFonts w:ascii="Arial" w:hAnsi="Arial" w:cs="Arial"/>
          <w:sz w:val="22"/>
          <w:szCs w:val="22"/>
        </w:rPr>
      </w:pPr>
      <w:r>
        <w:rPr>
          <w:rFonts w:ascii="Arial" w:hAnsi="Arial" w:cs="Arial"/>
          <w:noProof/>
          <w:sz w:val="22"/>
          <w:szCs w:val="22"/>
        </w:rPr>
        <w:drawing>
          <wp:inline distT="0" distB="0" distL="0" distR="0" wp14:anchorId="1467FE64" wp14:editId="584E9F72">
            <wp:extent cx="5906770" cy="2799844"/>
            <wp:effectExtent l="0" t="0" r="0" b="19685"/>
            <wp:docPr id="54627603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C7E3A94" w14:textId="4587516C" w:rsidR="008F0B8C" w:rsidRPr="00D86A64" w:rsidRDefault="008F0B8C" w:rsidP="008F0B8C">
      <w:pPr>
        <w:spacing w:line="360" w:lineRule="auto"/>
        <w:jc w:val="center"/>
        <w:rPr>
          <w:rFonts w:ascii="Arial" w:hAnsi="Arial" w:cs="Arial"/>
          <w:sz w:val="22"/>
          <w:szCs w:val="22"/>
        </w:rPr>
      </w:pPr>
      <w:r>
        <w:rPr>
          <w:rFonts w:ascii="Arial" w:hAnsi="Arial" w:cs="Arial"/>
          <w:sz w:val="22"/>
          <w:szCs w:val="22"/>
        </w:rPr>
        <w:t>Figure 1</w:t>
      </w:r>
      <w:proofErr w:type="gramStart"/>
      <w:r>
        <w:rPr>
          <w:rFonts w:ascii="Arial" w:hAnsi="Arial" w:cs="Arial"/>
          <w:sz w:val="22"/>
          <w:szCs w:val="22"/>
        </w:rPr>
        <w:t>:  Key</w:t>
      </w:r>
      <w:proofErr w:type="gramEnd"/>
      <w:r>
        <w:rPr>
          <w:rFonts w:ascii="Arial" w:hAnsi="Arial" w:cs="Arial"/>
          <w:sz w:val="22"/>
          <w:szCs w:val="22"/>
        </w:rPr>
        <w:t xml:space="preserve"> competencies for the advertised </w:t>
      </w:r>
      <w:proofErr w:type="gramStart"/>
      <w:r>
        <w:rPr>
          <w:rFonts w:ascii="Arial" w:hAnsi="Arial" w:cs="Arial"/>
          <w:sz w:val="22"/>
          <w:szCs w:val="22"/>
        </w:rPr>
        <w:t>post</w:t>
      </w:r>
      <w:r w:rsidRPr="008F0B8C">
        <w:rPr>
          <w:rFonts w:ascii="Arial" w:hAnsi="Arial" w:cs="Arial"/>
          <w:sz w:val="22"/>
          <w:szCs w:val="22"/>
        </w:rPr>
        <w:t>(</w:t>
      </w:r>
      <w:proofErr w:type="gramEnd"/>
      <w:r w:rsidRPr="008F0B8C">
        <w:rPr>
          <w:rFonts w:ascii="Arial" w:hAnsi="Arial" w:cs="Arial"/>
          <w:sz w:val="22"/>
          <w:szCs w:val="22"/>
        </w:rPr>
        <w:t>Together Trust, 2025)</w:t>
      </w:r>
    </w:p>
    <w:p w14:paraId="09DB8C4B" w14:textId="60E2345A" w:rsidR="009C2AAA" w:rsidRPr="00D86A64" w:rsidRDefault="009C2AAA" w:rsidP="00D86A64">
      <w:pPr>
        <w:pStyle w:val="Heading2"/>
      </w:pPr>
      <w:r w:rsidRPr="00D86A64">
        <w:t xml:space="preserve">Skill Gaps and What I will do to address the gaps </w:t>
      </w:r>
    </w:p>
    <w:p w14:paraId="48F83E37" w14:textId="44FDF74A" w:rsidR="009C2AAA" w:rsidRPr="00D86A64" w:rsidRDefault="009C2AAA" w:rsidP="00D86A64">
      <w:pPr>
        <w:pStyle w:val="Heading3"/>
      </w:pPr>
      <w:r w:rsidRPr="00D86A64">
        <w:t>Poor Residential Childcare Experience.</w:t>
      </w:r>
    </w:p>
    <w:p w14:paraId="64BAC0CC" w14:textId="48DE9C93"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Even though I have general care experience, I do not have experience working in residential childcare. I will tackle it by trying to find shadowing opportunities, volunteer in residential facilities, and participate in simulation training that facilitates the transfer of cognitive and communication skills in complicated situations (</w:t>
      </w:r>
      <w:proofErr w:type="spellStart"/>
      <w:r w:rsidRPr="00D86A64">
        <w:rPr>
          <w:rFonts w:ascii="Arial" w:hAnsi="Arial" w:cs="Arial"/>
          <w:sz w:val="22"/>
          <w:szCs w:val="22"/>
        </w:rPr>
        <w:t>Chernjahovskaya</w:t>
      </w:r>
      <w:proofErr w:type="spellEnd"/>
      <w:r w:rsidRPr="00D86A64">
        <w:rPr>
          <w:rFonts w:ascii="Arial" w:hAnsi="Arial" w:cs="Arial"/>
          <w:sz w:val="22"/>
          <w:szCs w:val="22"/>
        </w:rPr>
        <w:t xml:space="preserve"> et al., 2024).</w:t>
      </w:r>
    </w:p>
    <w:p w14:paraId="2502BAE1" w14:textId="379EB8B4" w:rsidR="009C2AAA" w:rsidRPr="00D86A64" w:rsidRDefault="009C2AAA" w:rsidP="00D86A64">
      <w:pPr>
        <w:pStyle w:val="Heading3"/>
      </w:pPr>
      <w:r w:rsidRPr="00D86A64">
        <w:t>Advanced Safeguarding Decision Making.</w:t>
      </w:r>
    </w:p>
    <w:p w14:paraId="394F6160" w14:textId="1F298873"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lastRenderedPageBreak/>
        <w:t xml:space="preserve">I know how to protect </w:t>
      </w:r>
      <w:proofErr w:type="gramStart"/>
      <w:r w:rsidRPr="00D86A64">
        <w:rPr>
          <w:rFonts w:ascii="Arial" w:hAnsi="Arial" w:cs="Arial"/>
          <w:sz w:val="22"/>
          <w:szCs w:val="22"/>
        </w:rPr>
        <w:t>principles,</w:t>
      </w:r>
      <w:proofErr w:type="gramEnd"/>
      <w:r w:rsidRPr="00D86A64">
        <w:rPr>
          <w:rFonts w:ascii="Arial" w:hAnsi="Arial" w:cs="Arial"/>
          <w:sz w:val="22"/>
          <w:szCs w:val="22"/>
        </w:rPr>
        <w:t xml:space="preserve"> however, I require more confidence in making complex choices. My response to this will be by undertaking upper level safeguarding training, participating in multiagency training, and </w:t>
      </w:r>
      <w:proofErr w:type="gramStart"/>
      <w:r w:rsidRPr="00D86A64">
        <w:rPr>
          <w:rFonts w:ascii="Arial" w:hAnsi="Arial" w:cs="Arial"/>
          <w:sz w:val="22"/>
          <w:szCs w:val="22"/>
        </w:rPr>
        <w:t>scenario based</w:t>
      </w:r>
      <w:proofErr w:type="gramEnd"/>
      <w:r w:rsidRPr="00D86A64">
        <w:rPr>
          <w:rFonts w:ascii="Arial" w:hAnsi="Arial" w:cs="Arial"/>
          <w:sz w:val="22"/>
          <w:szCs w:val="22"/>
        </w:rPr>
        <w:t xml:space="preserve"> decision making. It has been demonstrated that professional judgement can be enhanced with structured communication and learning in a scenario (Testa and Poertner, 2010).</w:t>
      </w:r>
    </w:p>
    <w:p w14:paraId="75EB49E9" w14:textId="7FD21095" w:rsidR="009C2AAA" w:rsidRPr="00D86A64" w:rsidRDefault="009C2AAA" w:rsidP="00D86A64">
      <w:pPr>
        <w:pStyle w:val="Heading3"/>
      </w:pPr>
      <w:r w:rsidRPr="00D86A64">
        <w:t xml:space="preserve"> </w:t>
      </w:r>
      <w:proofErr w:type="spellStart"/>
      <w:r w:rsidRPr="00D86A64">
        <w:t>Behaviour</w:t>
      </w:r>
      <w:proofErr w:type="spellEnd"/>
      <w:r w:rsidRPr="00D86A64">
        <w:t xml:space="preserve"> Management Confidence</w:t>
      </w:r>
    </w:p>
    <w:p w14:paraId="58F73E34" w14:textId="0FC552B2" w:rsidR="009C2AAA" w:rsidRPr="00D86A64" w:rsidRDefault="009C2AAA" w:rsidP="008F0B8C">
      <w:pPr>
        <w:spacing w:line="360" w:lineRule="auto"/>
        <w:jc w:val="both"/>
        <w:rPr>
          <w:rFonts w:ascii="Arial" w:hAnsi="Arial" w:cs="Arial"/>
          <w:sz w:val="22"/>
          <w:szCs w:val="22"/>
        </w:rPr>
      </w:pPr>
      <w:r w:rsidRPr="00D86A64">
        <w:rPr>
          <w:rFonts w:ascii="Arial" w:hAnsi="Arial" w:cs="Arial"/>
          <w:sz w:val="22"/>
          <w:szCs w:val="22"/>
        </w:rPr>
        <w:t xml:space="preserve">I lack the experience of dealing with difficult </w:t>
      </w:r>
      <w:proofErr w:type="spellStart"/>
      <w:r w:rsidRPr="00D86A64">
        <w:rPr>
          <w:rFonts w:ascii="Arial" w:hAnsi="Arial" w:cs="Arial"/>
          <w:sz w:val="22"/>
          <w:szCs w:val="22"/>
        </w:rPr>
        <w:t>behaviour</w:t>
      </w:r>
      <w:proofErr w:type="spellEnd"/>
      <w:r w:rsidRPr="00D86A64">
        <w:rPr>
          <w:rFonts w:ascii="Arial" w:hAnsi="Arial" w:cs="Arial"/>
          <w:sz w:val="22"/>
          <w:szCs w:val="22"/>
        </w:rPr>
        <w:t xml:space="preserve"> in residential homes. I will enhance this by de-escalation training and practice. Studies point to the fact that assertive communication and emotional control help to respond to safe </w:t>
      </w:r>
      <w:proofErr w:type="spellStart"/>
      <w:r w:rsidRPr="00D86A64">
        <w:rPr>
          <w:rFonts w:ascii="Arial" w:hAnsi="Arial" w:cs="Arial"/>
          <w:sz w:val="22"/>
          <w:szCs w:val="22"/>
        </w:rPr>
        <w:t>behaviour</w:t>
      </w:r>
      <w:proofErr w:type="spellEnd"/>
      <w:r w:rsidRPr="00D86A64">
        <w:rPr>
          <w:rFonts w:ascii="Arial" w:hAnsi="Arial" w:cs="Arial"/>
          <w:sz w:val="22"/>
          <w:szCs w:val="22"/>
        </w:rPr>
        <w:t xml:space="preserve"> (Krstić and </w:t>
      </w:r>
      <w:proofErr w:type="spellStart"/>
      <w:r w:rsidRPr="00D86A64">
        <w:rPr>
          <w:rFonts w:ascii="Arial" w:hAnsi="Arial" w:cs="Arial"/>
          <w:sz w:val="22"/>
          <w:szCs w:val="22"/>
        </w:rPr>
        <w:t>Kekuš</w:t>
      </w:r>
      <w:proofErr w:type="spellEnd"/>
      <w:r w:rsidRPr="00D86A64">
        <w:rPr>
          <w:rFonts w:ascii="Arial" w:hAnsi="Arial" w:cs="Arial"/>
          <w:sz w:val="22"/>
          <w:szCs w:val="22"/>
        </w:rPr>
        <w:t>, 2023).</w:t>
      </w:r>
    </w:p>
    <w:p w14:paraId="0A861D08" w14:textId="446C00E9" w:rsidR="009C2AAA" w:rsidRPr="00D86A64" w:rsidRDefault="009C2AAA" w:rsidP="00D86A64">
      <w:pPr>
        <w:pStyle w:val="Heading2"/>
      </w:pPr>
      <w:r w:rsidRPr="00D86A64">
        <w:t xml:space="preserve">Personal Development Plan </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12"/>
        <w:gridCol w:w="3323"/>
        <w:gridCol w:w="1530"/>
        <w:gridCol w:w="1350"/>
        <w:gridCol w:w="1440"/>
      </w:tblGrid>
      <w:tr w:rsidR="009C2AAA" w:rsidRPr="00D86A64" w14:paraId="622F7EF0" w14:textId="77777777" w:rsidTr="008F0B8C">
        <w:tc>
          <w:tcPr>
            <w:tcW w:w="1712" w:type="dxa"/>
            <w:shd w:val="clear" w:color="auto" w:fill="C1E4F5" w:themeFill="accent1" w:themeFillTint="33"/>
          </w:tcPr>
          <w:p w14:paraId="2F1EEDBA" w14:textId="77777777" w:rsidR="009C2AAA" w:rsidRPr="00D86A64" w:rsidRDefault="009C2AAA" w:rsidP="00D86A64">
            <w:pPr>
              <w:spacing w:line="360" w:lineRule="auto"/>
              <w:jc w:val="both"/>
              <w:rPr>
                <w:rFonts w:ascii="Arial" w:hAnsi="Arial" w:cs="Arial"/>
                <w:b/>
                <w:bCs/>
                <w:sz w:val="22"/>
                <w:szCs w:val="22"/>
              </w:rPr>
            </w:pPr>
            <w:r w:rsidRPr="00D86A64">
              <w:rPr>
                <w:rFonts w:ascii="Arial" w:hAnsi="Arial" w:cs="Arial"/>
                <w:b/>
                <w:bCs/>
                <w:sz w:val="22"/>
                <w:szCs w:val="22"/>
              </w:rPr>
              <w:t>Skill Gap</w:t>
            </w:r>
          </w:p>
        </w:tc>
        <w:tc>
          <w:tcPr>
            <w:tcW w:w="3323" w:type="dxa"/>
            <w:shd w:val="clear" w:color="auto" w:fill="C1E4F5" w:themeFill="accent1" w:themeFillTint="33"/>
          </w:tcPr>
          <w:p w14:paraId="5092C5AC" w14:textId="77777777" w:rsidR="009C2AAA" w:rsidRPr="00D86A64" w:rsidRDefault="009C2AAA" w:rsidP="00D86A64">
            <w:pPr>
              <w:spacing w:line="360" w:lineRule="auto"/>
              <w:jc w:val="both"/>
              <w:rPr>
                <w:rFonts w:ascii="Arial" w:hAnsi="Arial" w:cs="Arial"/>
                <w:b/>
                <w:bCs/>
                <w:sz w:val="22"/>
                <w:szCs w:val="22"/>
              </w:rPr>
            </w:pPr>
            <w:r w:rsidRPr="00D86A64">
              <w:rPr>
                <w:rFonts w:ascii="Arial" w:hAnsi="Arial" w:cs="Arial"/>
                <w:b/>
                <w:bCs/>
                <w:sz w:val="22"/>
                <w:szCs w:val="22"/>
              </w:rPr>
              <w:t>Action Steps</w:t>
            </w:r>
          </w:p>
        </w:tc>
        <w:tc>
          <w:tcPr>
            <w:tcW w:w="1530" w:type="dxa"/>
            <w:shd w:val="clear" w:color="auto" w:fill="C1E4F5" w:themeFill="accent1" w:themeFillTint="33"/>
          </w:tcPr>
          <w:p w14:paraId="29B644CE" w14:textId="77777777" w:rsidR="009C2AAA" w:rsidRPr="00D86A64" w:rsidRDefault="009C2AAA" w:rsidP="00D86A64">
            <w:pPr>
              <w:spacing w:line="360" w:lineRule="auto"/>
              <w:jc w:val="both"/>
              <w:rPr>
                <w:rFonts w:ascii="Arial" w:hAnsi="Arial" w:cs="Arial"/>
                <w:b/>
                <w:bCs/>
                <w:sz w:val="22"/>
                <w:szCs w:val="22"/>
              </w:rPr>
            </w:pPr>
            <w:r w:rsidRPr="00D86A64">
              <w:rPr>
                <w:rFonts w:ascii="Arial" w:hAnsi="Arial" w:cs="Arial"/>
                <w:b/>
                <w:bCs/>
                <w:sz w:val="22"/>
                <w:szCs w:val="22"/>
              </w:rPr>
              <w:t>Resources Needed</w:t>
            </w:r>
          </w:p>
        </w:tc>
        <w:tc>
          <w:tcPr>
            <w:tcW w:w="1350" w:type="dxa"/>
            <w:shd w:val="clear" w:color="auto" w:fill="C1E4F5" w:themeFill="accent1" w:themeFillTint="33"/>
          </w:tcPr>
          <w:p w14:paraId="507A6D33" w14:textId="77777777" w:rsidR="009C2AAA" w:rsidRPr="00D86A64" w:rsidRDefault="009C2AAA" w:rsidP="00D86A64">
            <w:pPr>
              <w:spacing w:line="360" w:lineRule="auto"/>
              <w:jc w:val="both"/>
              <w:rPr>
                <w:rFonts w:ascii="Arial" w:hAnsi="Arial" w:cs="Arial"/>
                <w:b/>
                <w:bCs/>
                <w:sz w:val="22"/>
                <w:szCs w:val="22"/>
              </w:rPr>
            </w:pPr>
            <w:r w:rsidRPr="00D86A64">
              <w:rPr>
                <w:rFonts w:ascii="Arial" w:hAnsi="Arial" w:cs="Arial"/>
                <w:b/>
                <w:bCs/>
                <w:sz w:val="22"/>
                <w:szCs w:val="22"/>
              </w:rPr>
              <w:t>Timeframe</w:t>
            </w:r>
          </w:p>
        </w:tc>
        <w:tc>
          <w:tcPr>
            <w:tcW w:w="1440" w:type="dxa"/>
            <w:shd w:val="clear" w:color="auto" w:fill="C1E4F5" w:themeFill="accent1" w:themeFillTint="33"/>
          </w:tcPr>
          <w:p w14:paraId="03BC199E" w14:textId="77777777" w:rsidR="009C2AAA" w:rsidRPr="00D86A64" w:rsidRDefault="009C2AAA" w:rsidP="00D86A64">
            <w:pPr>
              <w:spacing w:line="360" w:lineRule="auto"/>
              <w:jc w:val="both"/>
              <w:rPr>
                <w:rFonts w:ascii="Arial" w:hAnsi="Arial" w:cs="Arial"/>
                <w:b/>
                <w:bCs/>
                <w:sz w:val="22"/>
                <w:szCs w:val="22"/>
              </w:rPr>
            </w:pPr>
            <w:r w:rsidRPr="00D86A64">
              <w:rPr>
                <w:rFonts w:ascii="Arial" w:hAnsi="Arial" w:cs="Arial"/>
                <w:b/>
                <w:bCs/>
                <w:sz w:val="22"/>
                <w:szCs w:val="22"/>
              </w:rPr>
              <w:t>Success Indicator</w:t>
            </w:r>
          </w:p>
        </w:tc>
      </w:tr>
      <w:tr w:rsidR="009C2AAA" w:rsidRPr="00D86A64" w14:paraId="7C2648AF" w14:textId="77777777" w:rsidTr="008F0B8C">
        <w:tc>
          <w:tcPr>
            <w:tcW w:w="1712" w:type="dxa"/>
            <w:shd w:val="clear" w:color="auto" w:fill="DAE9F7" w:themeFill="text2" w:themeFillTint="1A"/>
          </w:tcPr>
          <w:p w14:paraId="3DD866A5"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Limited residential childcare experience</w:t>
            </w:r>
          </w:p>
        </w:tc>
        <w:tc>
          <w:tcPr>
            <w:tcW w:w="3323" w:type="dxa"/>
            <w:shd w:val="clear" w:color="auto" w:fill="DAE9F7" w:themeFill="text2" w:themeFillTint="1A"/>
          </w:tcPr>
          <w:p w14:paraId="31E69A70" w14:textId="77777777" w:rsidR="009C2AAA" w:rsidRPr="00D86A64" w:rsidRDefault="009C2AAA" w:rsidP="008F0B8C">
            <w:pPr>
              <w:spacing w:line="360" w:lineRule="auto"/>
              <w:rPr>
                <w:rFonts w:ascii="Arial" w:hAnsi="Arial" w:cs="Arial"/>
                <w:sz w:val="22"/>
                <w:szCs w:val="22"/>
              </w:rPr>
            </w:pPr>
            <w:r w:rsidRPr="00D86A64">
              <w:rPr>
                <w:rFonts w:ascii="Arial" w:hAnsi="Arial" w:cs="Arial"/>
                <w:sz w:val="22"/>
                <w:szCs w:val="22"/>
              </w:rPr>
              <w:t>Shadow staff, volunteer, observe routines</w:t>
            </w:r>
          </w:p>
        </w:tc>
        <w:tc>
          <w:tcPr>
            <w:tcW w:w="1530" w:type="dxa"/>
            <w:shd w:val="clear" w:color="auto" w:fill="DAE9F7" w:themeFill="text2" w:themeFillTint="1A"/>
          </w:tcPr>
          <w:p w14:paraId="76BF9400"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Manager support, supervision</w:t>
            </w:r>
          </w:p>
        </w:tc>
        <w:tc>
          <w:tcPr>
            <w:tcW w:w="1350" w:type="dxa"/>
            <w:shd w:val="clear" w:color="auto" w:fill="DAE9F7" w:themeFill="text2" w:themeFillTint="1A"/>
          </w:tcPr>
          <w:p w14:paraId="2E9DB19F"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3 months</w:t>
            </w:r>
          </w:p>
        </w:tc>
        <w:tc>
          <w:tcPr>
            <w:tcW w:w="1440" w:type="dxa"/>
            <w:shd w:val="clear" w:color="auto" w:fill="DAE9F7" w:themeFill="text2" w:themeFillTint="1A"/>
          </w:tcPr>
          <w:p w14:paraId="72B3F0B5"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Confidence recorded in supervision</w:t>
            </w:r>
          </w:p>
        </w:tc>
      </w:tr>
      <w:tr w:rsidR="009C2AAA" w:rsidRPr="00D86A64" w14:paraId="2761755F" w14:textId="77777777" w:rsidTr="008F0B8C">
        <w:tc>
          <w:tcPr>
            <w:tcW w:w="1712" w:type="dxa"/>
            <w:shd w:val="clear" w:color="auto" w:fill="DAE9F7" w:themeFill="text2" w:themeFillTint="1A"/>
          </w:tcPr>
          <w:p w14:paraId="63BF685E"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Safeguarding decision making</w:t>
            </w:r>
          </w:p>
        </w:tc>
        <w:tc>
          <w:tcPr>
            <w:tcW w:w="3323" w:type="dxa"/>
            <w:shd w:val="clear" w:color="auto" w:fill="DAE9F7" w:themeFill="text2" w:themeFillTint="1A"/>
          </w:tcPr>
          <w:p w14:paraId="4113D5A9" w14:textId="77777777" w:rsidR="009C2AAA" w:rsidRPr="00D86A64" w:rsidRDefault="009C2AAA" w:rsidP="008F0B8C">
            <w:pPr>
              <w:spacing w:line="360" w:lineRule="auto"/>
              <w:rPr>
                <w:rFonts w:ascii="Arial" w:hAnsi="Arial" w:cs="Arial"/>
                <w:sz w:val="22"/>
                <w:szCs w:val="22"/>
              </w:rPr>
            </w:pPr>
            <w:r w:rsidRPr="00D86A64">
              <w:rPr>
                <w:rFonts w:ascii="Arial" w:hAnsi="Arial" w:cs="Arial"/>
                <w:sz w:val="22"/>
                <w:szCs w:val="22"/>
              </w:rPr>
              <w:t>Safeguarding training, case discussions</w:t>
            </w:r>
          </w:p>
        </w:tc>
        <w:tc>
          <w:tcPr>
            <w:tcW w:w="1530" w:type="dxa"/>
            <w:shd w:val="clear" w:color="auto" w:fill="DAE9F7" w:themeFill="text2" w:themeFillTint="1A"/>
          </w:tcPr>
          <w:p w14:paraId="30F8835F"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Training department</w:t>
            </w:r>
          </w:p>
        </w:tc>
        <w:tc>
          <w:tcPr>
            <w:tcW w:w="1350" w:type="dxa"/>
            <w:shd w:val="clear" w:color="auto" w:fill="DAE9F7" w:themeFill="text2" w:themeFillTint="1A"/>
          </w:tcPr>
          <w:p w14:paraId="48D49839"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6–8 weeks</w:t>
            </w:r>
          </w:p>
        </w:tc>
        <w:tc>
          <w:tcPr>
            <w:tcW w:w="1440" w:type="dxa"/>
            <w:shd w:val="clear" w:color="auto" w:fill="DAE9F7" w:themeFill="text2" w:themeFillTint="1A"/>
          </w:tcPr>
          <w:p w14:paraId="1EE08BD7"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Confident use in scenarios</w:t>
            </w:r>
          </w:p>
        </w:tc>
      </w:tr>
      <w:tr w:rsidR="009C2AAA" w:rsidRPr="00D86A64" w14:paraId="0204970B" w14:textId="77777777" w:rsidTr="008F0B8C">
        <w:tc>
          <w:tcPr>
            <w:tcW w:w="1712" w:type="dxa"/>
            <w:shd w:val="clear" w:color="auto" w:fill="DAE9F7" w:themeFill="text2" w:themeFillTint="1A"/>
          </w:tcPr>
          <w:p w14:paraId="60E0952D" w14:textId="77777777" w:rsidR="009C2AAA" w:rsidRPr="00D86A64" w:rsidRDefault="009C2AAA" w:rsidP="00D86A64">
            <w:pPr>
              <w:spacing w:line="360" w:lineRule="auto"/>
              <w:jc w:val="both"/>
              <w:rPr>
                <w:rFonts w:ascii="Arial" w:hAnsi="Arial" w:cs="Arial"/>
                <w:sz w:val="22"/>
                <w:szCs w:val="22"/>
              </w:rPr>
            </w:pPr>
            <w:proofErr w:type="spellStart"/>
            <w:r w:rsidRPr="00D86A64">
              <w:rPr>
                <w:rFonts w:ascii="Arial" w:hAnsi="Arial" w:cs="Arial"/>
                <w:sz w:val="22"/>
                <w:szCs w:val="22"/>
              </w:rPr>
              <w:t>Behaviour</w:t>
            </w:r>
            <w:proofErr w:type="spellEnd"/>
            <w:r w:rsidRPr="00D86A64">
              <w:rPr>
                <w:rFonts w:ascii="Arial" w:hAnsi="Arial" w:cs="Arial"/>
                <w:sz w:val="22"/>
                <w:szCs w:val="22"/>
              </w:rPr>
              <w:t xml:space="preserve"> management</w:t>
            </w:r>
          </w:p>
        </w:tc>
        <w:tc>
          <w:tcPr>
            <w:tcW w:w="3323" w:type="dxa"/>
            <w:shd w:val="clear" w:color="auto" w:fill="DAE9F7" w:themeFill="text2" w:themeFillTint="1A"/>
          </w:tcPr>
          <w:p w14:paraId="22C7CD1F" w14:textId="73E740A3" w:rsidR="009C2AAA" w:rsidRPr="00D86A64" w:rsidRDefault="009C2AAA" w:rsidP="008F0B8C">
            <w:pPr>
              <w:spacing w:line="360" w:lineRule="auto"/>
              <w:rPr>
                <w:rFonts w:ascii="Arial" w:hAnsi="Arial" w:cs="Arial"/>
                <w:sz w:val="22"/>
                <w:szCs w:val="22"/>
              </w:rPr>
            </w:pPr>
            <w:r w:rsidRPr="00D86A64">
              <w:rPr>
                <w:rFonts w:ascii="Arial" w:hAnsi="Arial" w:cs="Arial"/>
                <w:sz w:val="22"/>
                <w:szCs w:val="22"/>
              </w:rPr>
              <w:t xml:space="preserve">Attend </w:t>
            </w:r>
            <w:r w:rsidR="00A069CE" w:rsidRPr="00A069CE">
              <w:rPr>
                <w:rFonts w:ascii="Arial" w:hAnsi="Arial" w:cs="Arial"/>
                <w:sz w:val="22"/>
                <w:szCs w:val="22"/>
              </w:rPr>
              <w:t>Scientific Communication Improvement Program</w:t>
            </w:r>
            <w:r w:rsidRPr="00D86A64">
              <w:rPr>
                <w:rFonts w:ascii="Arial" w:hAnsi="Arial" w:cs="Arial"/>
                <w:sz w:val="22"/>
                <w:szCs w:val="22"/>
              </w:rPr>
              <w:t xml:space="preserve"> training, </w:t>
            </w:r>
            <w:proofErr w:type="spellStart"/>
            <w:r w:rsidRPr="00D86A64">
              <w:rPr>
                <w:rFonts w:ascii="Arial" w:hAnsi="Arial" w:cs="Arial"/>
                <w:sz w:val="22"/>
                <w:szCs w:val="22"/>
              </w:rPr>
              <w:t>practise</w:t>
            </w:r>
            <w:proofErr w:type="spellEnd"/>
            <w:r w:rsidRPr="00D86A64">
              <w:rPr>
                <w:rFonts w:ascii="Arial" w:hAnsi="Arial" w:cs="Arial"/>
                <w:sz w:val="22"/>
                <w:szCs w:val="22"/>
              </w:rPr>
              <w:t xml:space="preserve"> de-escalation</w:t>
            </w:r>
          </w:p>
        </w:tc>
        <w:tc>
          <w:tcPr>
            <w:tcW w:w="1530" w:type="dxa"/>
            <w:shd w:val="clear" w:color="auto" w:fill="DAE9F7" w:themeFill="text2" w:themeFillTint="1A"/>
          </w:tcPr>
          <w:p w14:paraId="6614D5B5"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Training team</w:t>
            </w:r>
          </w:p>
        </w:tc>
        <w:tc>
          <w:tcPr>
            <w:tcW w:w="1350" w:type="dxa"/>
            <w:shd w:val="clear" w:color="auto" w:fill="DAE9F7" w:themeFill="text2" w:themeFillTint="1A"/>
          </w:tcPr>
          <w:p w14:paraId="48576A7A"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2 months</w:t>
            </w:r>
          </w:p>
        </w:tc>
        <w:tc>
          <w:tcPr>
            <w:tcW w:w="1440" w:type="dxa"/>
            <w:shd w:val="clear" w:color="auto" w:fill="DAE9F7" w:themeFill="text2" w:themeFillTint="1A"/>
          </w:tcPr>
          <w:p w14:paraId="5C9CAF79"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Improved observed responses</w:t>
            </w:r>
          </w:p>
        </w:tc>
      </w:tr>
    </w:tbl>
    <w:p w14:paraId="412E9784" w14:textId="02FC964E"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w:t>
      </w:r>
    </w:p>
    <w:p w14:paraId="337767BD" w14:textId="2155DCEB" w:rsidR="009C2AAA" w:rsidRPr="00D86A64" w:rsidRDefault="009C2AAA" w:rsidP="00D86A64">
      <w:pPr>
        <w:pStyle w:val="Heading2"/>
      </w:pPr>
      <w:r w:rsidRPr="00D86A64">
        <w:t xml:space="preserve">d. Three Interview Question and Answer </w:t>
      </w:r>
    </w:p>
    <w:p w14:paraId="7CF22BFB" w14:textId="7608F138" w:rsidR="009C2AAA" w:rsidRPr="00D86A64" w:rsidRDefault="009C2AAA" w:rsidP="00D86A64">
      <w:pPr>
        <w:pStyle w:val="Heading3"/>
      </w:pPr>
      <w:r w:rsidRPr="00D86A64">
        <w:t>1. What would you do to protect a child?</w:t>
      </w:r>
    </w:p>
    <w:p w14:paraId="786A76D0" w14:textId="0D37740C"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I would monitor the changes, document issues, use procedures, and report in real-time limits and collaborate with team members to safeguard the child through uniform and safe practice (Jabri et al., 2021).</w:t>
      </w:r>
    </w:p>
    <w:p w14:paraId="35DC8681" w14:textId="236B95D3" w:rsidR="009C2AAA" w:rsidRPr="00D86A64" w:rsidRDefault="009C2AAA" w:rsidP="00D86A64">
      <w:pPr>
        <w:pStyle w:val="Heading3"/>
      </w:pPr>
      <w:r w:rsidRPr="00D86A64">
        <w:lastRenderedPageBreak/>
        <w:t xml:space="preserve">2. How do you react with challenging </w:t>
      </w:r>
      <w:proofErr w:type="spellStart"/>
      <w:r w:rsidRPr="00D86A64">
        <w:t>behaviour</w:t>
      </w:r>
      <w:proofErr w:type="spellEnd"/>
      <w:r w:rsidRPr="00D86A64">
        <w:t>?</w:t>
      </w:r>
    </w:p>
    <w:p w14:paraId="4F49DC5D" w14:textId="715F9298"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 xml:space="preserve">I remain composed, apply de-escalation, communicate in an assertive manner and I know the emotional needs of the child. I am interested in safety, empathy and structure and I use evidence-based </w:t>
      </w:r>
      <w:proofErr w:type="spellStart"/>
      <w:r w:rsidRPr="00D86A64">
        <w:rPr>
          <w:rFonts w:ascii="Arial" w:hAnsi="Arial" w:cs="Arial"/>
          <w:sz w:val="22"/>
          <w:szCs w:val="22"/>
        </w:rPr>
        <w:t>behaviour</w:t>
      </w:r>
      <w:proofErr w:type="spellEnd"/>
      <w:r w:rsidRPr="00D86A64">
        <w:rPr>
          <w:rFonts w:ascii="Arial" w:hAnsi="Arial" w:cs="Arial"/>
          <w:sz w:val="22"/>
          <w:szCs w:val="22"/>
        </w:rPr>
        <w:t xml:space="preserve"> approaches (Krstić and </w:t>
      </w:r>
      <w:proofErr w:type="spellStart"/>
      <w:r w:rsidRPr="00D86A64">
        <w:rPr>
          <w:rFonts w:ascii="Arial" w:hAnsi="Arial" w:cs="Arial"/>
          <w:sz w:val="22"/>
          <w:szCs w:val="22"/>
        </w:rPr>
        <w:t>Kekuš</w:t>
      </w:r>
      <w:proofErr w:type="spellEnd"/>
      <w:r w:rsidRPr="00D86A64">
        <w:rPr>
          <w:rFonts w:ascii="Arial" w:hAnsi="Arial" w:cs="Arial"/>
          <w:sz w:val="22"/>
          <w:szCs w:val="22"/>
        </w:rPr>
        <w:t>, 2023).</w:t>
      </w:r>
    </w:p>
    <w:p w14:paraId="5C6152CD" w14:textId="544FBBFD" w:rsidR="009C2AAA" w:rsidRPr="00D86A64" w:rsidRDefault="009C2AAA" w:rsidP="00D86A64">
      <w:pPr>
        <w:pStyle w:val="Heading3"/>
      </w:pPr>
      <w:r w:rsidRPr="00D86A64">
        <w:t>3. Why do you want this role?</w:t>
      </w:r>
    </w:p>
    <w:p w14:paraId="03D3C07C" w14:textId="47EA0903"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My strengths include the importance of meaningful relationships, collaboration, strength, and helping vulnerable children. The position has been matched with my competencies, training objectives, and adherence to safe and nurturing practice (Together Trust, 2025).</w:t>
      </w:r>
    </w:p>
    <w:p w14:paraId="6D8C0F7D" w14:textId="6BFC7728" w:rsidR="009C2AAA" w:rsidRPr="00D86A64" w:rsidRDefault="009C2AAA" w:rsidP="00D86A64">
      <w:pPr>
        <w:pStyle w:val="Heading1"/>
      </w:pPr>
      <w:r w:rsidRPr="00D86A64">
        <w:t xml:space="preserve">TASK 2: Communication </w:t>
      </w:r>
      <w:r w:rsidR="006A03F0" w:rsidRPr="00D86A64">
        <w:t>Report</w:t>
      </w:r>
    </w:p>
    <w:p w14:paraId="44A0A3FE" w14:textId="5FA49E45" w:rsidR="009C2AAA" w:rsidRPr="00D86A64" w:rsidRDefault="009C2AAA" w:rsidP="00D86A64">
      <w:pPr>
        <w:pStyle w:val="Heading2"/>
      </w:pPr>
      <w:r w:rsidRPr="00D86A64">
        <w:t>Introduction</w:t>
      </w:r>
    </w:p>
    <w:p w14:paraId="61C018F2"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Communication has been demonstrated to be one of the most crucial skills in the health and social care as it influences the safety, collaboration, protection, and the experience of the person receiving assistance (Dunworth, 2017). In this report, the author explains why communication skills in care environments are vital and why the Children Residential Support Worker position is relevant here (Together Trust, 2025).</w:t>
      </w:r>
    </w:p>
    <w:p w14:paraId="2189D54E" w14:textId="2C40AAB6" w:rsidR="009C2AAA" w:rsidRPr="00D86A64" w:rsidRDefault="006A03F0" w:rsidP="00D86A64">
      <w:pPr>
        <w:pStyle w:val="Heading2"/>
      </w:pPr>
      <w:r w:rsidRPr="00D86A64">
        <w:t xml:space="preserve">Analysis of Communication in Health care </w:t>
      </w:r>
    </w:p>
    <w:p w14:paraId="18356311" w14:textId="55396D9C" w:rsidR="009C2AAA" w:rsidRPr="00D86A64" w:rsidRDefault="009C2AAA" w:rsidP="00D86A64">
      <w:pPr>
        <w:pStyle w:val="Heading3"/>
        <w:rPr>
          <w:rStyle w:val="Heading3Char"/>
          <w:i/>
          <w:iCs/>
        </w:rPr>
      </w:pPr>
      <w:r w:rsidRPr="00D86A64">
        <w:rPr>
          <w:rStyle w:val="Heading3Char"/>
          <w:i/>
          <w:iCs/>
        </w:rPr>
        <w:t>Effective and Safe Care.</w:t>
      </w:r>
    </w:p>
    <w:p w14:paraId="7FB76C0C" w14:textId="66741605"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Communication determines the professional process of coordination, the establishment of trust, and clarity among professionals when supporting each other. The studies indicate that communication enhances accuracy and collaborative decision making as well as information sharing in the course of care (Ammentorp et al., 2022). Team coordination that comes as a result of effective communication enhances service reliability and minimizes errors (Apker et al., 2006). In the residential childcare, communication plays a vital role in writing records, updating, and regular routines that make the young people feel safe (Together Trust, 2025). Clearly communicating to staff helps to eliminate uncertainty and they generate predictable environments that help in emotional stability.</w:t>
      </w:r>
    </w:p>
    <w:p w14:paraId="66BE372A" w14:textId="47E1C08A" w:rsidR="009C2AAA" w:rsidRPr="00D86A64" w:rsidRDefault="009C2AAA" w:rsidP="00D86A64">
      <w:pPr>
        <w:pStyle w:val="Heading3"/>
      </w:pPr>
      <w:r w:rsidRPr="00D86A64">
        <w:t>Protection, Sympathy and Emotions.</w:t>
      </w:r>
    </w:p>
    <w:p w14:paraId="6F00A804" w14:textId="07406AE4"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 xml:space="preserve">The key to safeguarding lies in communication since the identification of concerns, information gathering and reporting risk requires clarity and confidence. Empathy contributes significantly to </w:t>
      </w:r>
      <w:r w:rsidRPr="00D86A64">
        <w:rPr>
          <w:rFonts w:ascii="Arial" w:hAnsi="Arial" w:cs="Arial"/>
          <w:sz w:val="22"/>
          <w:szCs w:val="22"/>
        </w:rPr>
        <w:lastRenderedPageBreak/>
        <w:t>the better relations and health and social care results (</w:t>
      </w:r>
      <w:proofErr w:type="spellStart"/>
      <w:r w:rsidRPr="00D86A64">
        <w:rPr>
          <w:rFonts w:ascii="Arial" w:hAnsi="Arial" w:cs="Arial"/>
          <w:sz w:val="22"/>
          <w:szCs w:val="22"/>
        </w:rPr>
        <w:t>Moudatsou</w:t>
      </w:r>
      <w:proofErr w:type="spellEnd"/>
      <w:r w:rsidRPr="00D86A64">
        <w:rPr>
          <w:rFonts w:ascii="Arial" w:hAnsi="Arial" w:cs="Arial"/>
          <w:sz w:val="22"/>
          <w:szCs w:val="22"/>
        </w:rPr>
        <w:t xml:space="preserve"> et al., 2020). Assertive communication assists in ensuring professional limits are maintained and the conflict is avoided in emotionally charged scenarios (</w:t>
      </w:r>
      <w:proofErr w:type="spellStart"/>
      <w:r w:rsidRPr="00D86A64">
        <w:rPr>
          <w:rFonts w:ascii="Arial" w:hAnsi="Arial" w:cs="Arial"/>
          <w:sz w:val="22"/>
          <w:szCs w:val="22"/>
        </w:rPr>
        <w:t>Krstica</w:t>
      </w:r>
      <w:proofErr w:type="spellEnd"/>
      <w:r w:rsidRPr="00D86A64">
        <w:rPr>
          <w:rFonts w:ascii="Arial" w:hAnsi="Arial" w:cs="Arial"/>
          <w:sz w:val="22"/>
          <w:szCs w:val="22"/>
        </w:rPr>
        <w:t xml:space="preserve"> and </w:t>
      </w:r>
      <w:proofErr w:type="spellStart"/>
      <w:r w:rsidRPr="00D86A64">
        <w:rPr>
          <w:rFonts w:ascii="Arial" w:hAnsi="Arial" w:cs="Arial"/>
          <w:sz w:val="22"/>
          <w:szCs w:val="22"/>
        </w:rPr>
        <w:t>Kekuš</w:t>
      </w:r>
      <w:proofErr w:type="spellEnd"/>
      <w:r w:rsidRPr="00D86A64">
        <w:rPr>
          <w:rFonts w:ascii="Arial" w:hAnsi="Arial" w:cs="Arial"/>
          <w:sz w:val="22"/>
          <w:szCs w:val="22"/>
        </w:rPr>
        <w:t>, 2023). This is particularly critical in addressing troubled or needy youths. It is also noted that effective communication skills assist professionals working in the environment of emergency and urgent care to better address the emotional and behavioural needs of children (</w:t>
      </w:r>
      <w:proofErr w:type="spellStart"/>
      <w:r w:rsidRPr="00D86A64">
        <w:rPr>
          <w:rFonts w:ascii="Arial" w:hAnsi="Arial" w:cs="Arial"/>
          <w:sz w:val="22"/>
          <w:szCs w:val="22"/>
        </w:rPr>
        <w:t>Chernjahovskaya</w:t>
      </w:r>
      <w:proofErr w:type="spellEnd"/>
      <w:r w:rsidRPr="00D86A64">
        <w:rPr>
          <w:rFonts w:ascii="Arial" w:hAnsi="Arial" w:cs="Arial"/>
          <w:sz w:val="22"/>
          <w:szCs w:val="22"/>
        </w:rPr>
        <w:t xml:space="preserve"> et al., 2024). Communication thus facilitates emotional health as well as safety.</w:t>
      </w:r>
    </w:p>
    <w:p w14:paraId="6A7613F5" w14:textId="3AA43F5B" w:rsidR="009C2AAA" w:rsidRPr="00D86A64" w:rsidRDefault="009C2AAA" w:rsidP="00D86A64">
      <w:pPr>
        <w:pStyle w:val="Heading3"/>
      </w:pPr>
      <w:r w:rsidRPr="00D86A64">
        <w:t>Team Collaboration and Professional Competence.</w:t>
      </w:r>
    </w:p>
    <w:p w14:paraId="4B695BAD" w14:textId="490D3EA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One of the competencies thought to be necessary in health and social care roles is communication (Jabri et al., 2021). It facilitates good working relationships, builds decision making and creates the understanding. Effective communication also facilitates the ability to transfer social and cognitive skills across contexts, which is critical in professionals that have to work with complex needs (Abildgren et al., 2025). Communication in interprofessional and community teams is also associated with positive results in service users and enhanced collaboration among staff (</w:t>
      </w:r>
      <w:proofErr w:type="spellStart"/>
      <w:r w:rsidRPr="00D86A64">
        <w:rPr>
          <w:rFonts w:ascii="Arial" w:hAnsi="Arial" w:cs="Arial"/>
          <w:sz w:val="22"/>
          <w:szCs w:val="22"/>
        </w:rPr>
        <w:t>Giardulli</w:t>
      </w:r>
      <w:proofErr w:type="spellEnd"/>
      <w:r w:rsidRPr="00D86A64">
        <w:rPr>
          <w:rFonts w:ascii="Arial" w:hAnsi="Arial" w:cs="Arial"/>
          <w:sz w:val="22"/>
          <w:szCs w:val="22"/>
        </w:rPr>
        <w:t xml:space="preserve"> et al., 2025). Interagency contact is also a key component of professional ability in residential support work and thus communication is an important aspect of it (Testa and Poertner, 2010).</w:t>
      </w:r>
    </w:p>
    <w:p w14:paraId="1FC74D3D" w14:textId="3B375D4B" w:rsidR="009C2AAA" w:rsidRPr="00D86A64" w:rsidRDefault="006A03F0" w:rsidP="00D86A64">
      <w:pPr>
        <w:pStyle w:val="Heading3"/>
      </w:pPr>
      <w:r w:rsidRPr="00D86A64">
        <w:t>Way Forward</w:t>
      </w:r>
    </w:p>
    <w:p w14:paraId="39FF72A3" w14:textId="6552426E"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 xml:space="preserve">Structured training </w:t>
      </w:r>
      <w:proofErr w:type="spellStart"/>
      <w:r w:rsidRPr="00D86A64">
        <w:rPr>
          <w:rFonts w:ascii="Arial" w:hAnsi="Arial" w:cs="Arial"/>
          <w:sz w:val="22"/>
          <w:szCs w:val="22"/>
        </w:rPr>
        <w:t>programme</w:t>
      </w:r>
      <w:proofErr w:type="spellEnd"/>
      <w:r w:rsidRPr="00D86A64">
        <w:rPr>
          <w:rFonts w:ascii="Arial" w:hAnsi="Arial" w:cs="Arial"/>
          <w:sz w:val="22"/>
          <w:szCs w:val="22"/>
        </w:rPr>
        <w:t>, reflective practice and providing the professionals with the opportunity to practice the responses in real life are recommended to strengthen communication skills. It is also proven that the training of communication skills at the advanced level enhances confidence and professional performance (Coad et al., 2018). The simulation exercises may be used to train the staff in emotionally tricky childcare scenarios (</w:t>
      </w:r>
      <w:proofErr w:type="spellStart"/>
      <w:r w:rsidRPr="00D86A64">
        <w:rPr>
          <w:rFonts w:ascii="Arial" w:hAnsi="Arial" w:cs="Arial"/>
          <w:sz w:val="22"/>
          <w:szCs w:val="22"/>
        </w:rPr>
        <w:t>Chernjahovskaya</w:t>
      </w:r>
      <w:proofErr w:type="spellEnd"/>
      <w:r w:rsidRPr="00D86A64">
        <w:rPr>
          <w:rFonts w:ascii="Arial" w:hAnsi="Arial" w:cs="Arial"/>
          <w:sz w:val="22"/>
          <w:szCs w:val="22"/>
        </w:rPr>
        <w:t xml:space="preserve"> et al., 2024). The shared understanding and collaborative working are also supported by the interprofessional learning activities (</w:t>
      </w:r>
      <w:proofErr w:type="spellStart"/>
      <w:r w:rsidRPr="00D86A64">
        <w:rPr>
          <w:rFonts w:ascii="Arial" w:hAnsi="Arial" w:cs="Arial"/>
          <w:sz w:val="22"/>
          <w:szCs w:val="22"/>
        </w:rPr>
        <w:t>Giardulli</w:t>
      </w:r>
      <w:proofErr w:type="spellEnd"/>
      <w:r w:rsidRPr="00D86A64">
        <w:rPr>
          <w:rFonts w:ascii="Arial" w:hAnsi="Arial" w:cs="Arial"/>
          <w:sz w:val="22"/>
          <w:szCs w:val="22"/>
        </w:rPr>
        <w:t xml:space="preserve"> et al., 2025). Communication skills can be maintained and changed in response to new challenges by providing regular supervision and refresher workshops.</w:t>
      </w:r>
    </w:p>
    <w:p w14:paraId="2F7690E8" w14:textId="5602DE10" w:rsidR="009C2AAA" w:rsidRPr="00D86A64" w:rsidRDefault="009C2AAA" w:rsidP="00D86A64">
      <w:pPr>
        <w:pStyle w:val="Heading3"/>
      </w:pPr>
      <w:r w:rsidRPr="00D86A64">
        <w:t>Conclusion</w:t>
      </w:r>
    </w:p>
    <w:p w14:paraId="452B3B9F" w14:textId="470DE128"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Communication plays a crucial role in protection, collaboration and good support within the health and social care. It promotes safety, relationship building and aids in professional decision making. In the case of Children Residential Support Worker, communication plays a vital role in maintaining continuous care and good results among the youths (Together Trust, 2025).</w:t>
      </w:r>
    </w:p>
    <w:p w14:paraId="269B13C3" w14:textId="7A839119" w:rsidR="009C2AAA" w:rsidRPr="00D86A64" w:rsidRDefault="009C2AAA" w:rsidP="00D86A64">
      <w:pPr>
        <w:pStyle w:val="Heading1"/>
      </w:pPr>
      <w:r w:rsidRPr="00D86A64">
        <w:t xml:space="preserve">TASK 3- ERA Reflective Model </w:t>
      </w:r>
    </w:p>
    <w:p w14:paraId="2E2CE4B1" w14:textId="2462568F" w:rsidR="009C2AAA" w:rsidRPr="00D86A64" w:rsidRDefault="009C2AAA" w:rsidP="00D86A64">
      <w:pPr>
        <w:pStyle w:val="Heading2"/>
      </w:pPr>
      <w:r w:rsidRPr="00D86A64">
        <w:lastRenderedPageBreak/>
        <w:t>Introduction</w:t>
      </w:r>
    </w:p>
    <w:p w14:paraId="4F9558E2" w14:textId="6B9F63C5"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In this reflection, I assess my experience in doing my presentation under Component 1. This reflection is structured using the ERA model as it is helpful in supporting the process of learning by analyzing experience, reflecting on performance, and developing clear action steps to improve upon it (University of Hull Library, 2025).</w:t>
      </w:r>
    </w:p>
    <w:p w14:paraId="301952F4" w14:textId="260EA659" w:rsidR="006A03F0" w:rsidRPr="00D86A64" w:rsidRDefault="00496403" w:rsidP="008F0B8C">
      <w:pPr>
        <w:spacing w:line="360" w:lineRule="auto"/>
        <w:jc w:val="center"/>
        <w:rPr>
          <w:rFonts w:ascii="Arial" w:hAnsi="Arial" w:cs="Arial"/>
          <w:sz w:val="22"/>
          <w:szCs w:val="22"/>
        </w:rPr>
      </w:pPr>
      <w:r w:rsidRPr="00D86A64">
        <w:rPr>
          <w:rFonts w:ascii="Arial" w:hAnsi="Arial" w:cs="Arial"/>
          <w:noProof/>
          <w:sz w:val="22"/>
          <w:szCs w:val="22"/>
        </w:rPr>
        <w:drawing>
          <wp:inline distT="0" distB="0" distL="0" distR="0" wp14:anchorId="1B10763B" wp14:editId="1758F6DA">
            <wp:extent cx="3343910" cy="2459979"/>
            <wp:effectExtent l="0" t="0" r="0" b="0"/>
            <wp:docPr id="869831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831338" name="Picture 869831338"/>
                    <pic:cNvPicPr/>
                  </pic:nvPicPr>
                  <pic:blipFill>
                    <a:blip r:embed="rId12">
                      <a:extLst>
                        <a:ext uri="{28A0092B-C50C-407E-A947-70E740481C1C}">
                          <a14:useLocalDpi xmlns:a14="http://schemas.microsoft.com/office/drawing/2010/main" val="0"/>
                        </a:ext>
                      </a:extLst>
                    </a:blip>
                    <a:stretch>
                      <a:fillRect/>
                    </a:stretch>
                  </pic:blipFill>
                  <pic:spPr>
                    <a:xfrm>
                      <a:off x="0" y="0"/>
                      <a:ext cx="3358967" cy="2471056"/>
                    </a:xfrm>
                    <a:prstGeom prst="rect">
                      <a:avLst/>
                    </a:prstGeom>
                  </pic:spPr>
                </pic:pic>
              </a:graphicData>
            </a:graphic>
          </wp:inline>
        </w:drawing>
      </w:r>
    </w:p>
    <w:p w14:paraId="674CE98A" w14:textId="0C76AB81" w:rsidR="00496403" w:rsidRPr="00D86A64" w:rsidRDefault="00496403" w:rsidP="008F0B8C">
      <w:pPr>
        <w:spacing w:line="360" w:lineRule="auto"/>
        <w:jc w:val="center"/>
        <w:rPr>
          <w:rFonts w:ascii="Arial" w:hAnsi="Arial" w:cs="Arial"/>
          <w:sz w:val="22"/>
          <w:szCs w:val="22"/>
        </w:rPr>
      </w:pPr>
      <w:r w:rsidRPr="00D86A64">
        <w:rPr>
          <w:rFonts w:ascii="Arial" w:hAnsi="Arial" w:cs="Arial"/>
          <w:sz w:val="22"/>
          <w:szCs w:val="22"/>
        </w:rPr>
        <w:t xml:space="preserve">Figure </w:t>
      </w:r>
      <w:r w:rsidR="008F0B8C">
        <w:rPr>
          <w:rFonts w:ascii="Arial" w:hAnsi="Arial" w:cs="Arial"/>
          <w:sz w:val="22"/>
          <w:szCs w:val="22"/>
        </w:rPr>
        <w:t>2</w:t>
      </w:r>
      <w:r w:rsidRPr="00D86A64">
        <w:rPr>
          <w:rFonts w:ascii="Arial" w:hAnsi="Arial" w:cs="Arial"/>
          <w:sz w:val="22"/>
          <w:szCs w:val="22"/>
        </w:rPr>
        <w:t>. (University of Hull Library, 2025</w:t>
      </w:r>
      <w:proofErr w:type="gramStart"/>
      <w:r w:rsidRPr="00D86A64">
        <w:rPr>
          <w:rFonts w:ascii="Arial" w:hAnsi="Arial" w:cs="Arial"/>
          <w:sz w:val="22"/>
          <w:szCs w:val="22"/>
        </w:rPr>
        <w:t>).ERA</w:t>
      </w:r>
      <w:proofErr w:type="gramEnd"/>
      <w:r w:rsidRPr="00D86A64">
        <w:rPr>
          <w:rFonts w:ascii="Arial" w:hAnsi="Arial" w:cs="Arial"/>
          <w:sz w:val="22"/>
          <w:szCs w:val="22"/>
        </w:rPr>
        <w:t xml:space="preserve"> model</w:t>
      </w:r>
    </w:p>
    <w:p w14:paraId="50A7610F" w14:textId="5CC362C4" w:rsidR="009C2AAA" w:rsidRPr="00D86A64" w:rsidRDefault="009C2AAA" w:rsidP="00D86A64">
      <w:pPr>
        <w:pStyle w:val="Heading2"/>
      </w:pPr>
      <w:r w:rsidRPr="00D86A64">
        <w:t>Experience</w:t>
      </w:r>
    </w:p>
    <w:p w14:paraId="7271C521" w14:textId="2CDC1331" w:rsidR="009C2AAA" w:rsidRDefault="009C2AAA" w:rsidP="00D86A64">
      <w:pPr>
        <w:spacing w:line="360" w:lineRule="auto"/>
        <w:jc w:val="both"/>
        <w:rPr>
          <w:rFonts w:ascii="Arial" w:hAnsi="Arial" w:cs="Arial"/>
          <w:sz w:val="22"/>
          <w:szCs w:val="22"/>
        </w:rPr>
      </w:pPr>
      <w:r w:rsidRPr="00D86A64">
        <w:rPr>
          <w:rFonts w:ascii="Arial" w:hAnsi="Arial" w:cs="Arial"/>
          <w:sz w:val="22"/>
          <w:szCs w:val="22"/>
        </w:rPr>
        <w:t xml:space="preserve">The presentation was devoted to my SWOT analysis in order to evaluate my preparedness to work as a Healthcare Assistant. I talked about my strengths, weaknesses, opportunities, and threats, and how these findings can benefit my growth. The presentation demanded effective communication skills and a feeling of confidence when addressing a group of people. I was ready with my </w:t>
      </w:r>
      <w:proofErr w:type="gramStart"/>
      <w:r w:rsidRPr="00D86A64">
        <w:rPr>
          <w:rFonts w:ascii="Arial" w:hAnsi="Arial" w:cs="Arial"/>
          <w:sz w:val="22"/>
          <w:szCs w:val="22"/>
        </w:rPr>
        <w:t>slides,</w:t>
      </w:r>
      <w:proofErr w:type="gramEnd"/>
      <w:r w:rsidRPr="00D86A64">
        <w:rPr>
          <w:rFonts w:ascii="Arial" w:hAnsi="Arial" w:cs="Arial"/>
          <w:sz w:val="22"/>
          <w:szCs w:val="22"/>
        </w:rPr>
        <w:t xml:space="preserve"> I was also under </w:t>
      </w:r>
      <w:proofErr w:type="gramStart"/>
      <w:r w:rsidRPr="00D86A64">
        <w:rPr>
          <w:rFonts w:ascii="Arial" w:hAnsi="Arial" w:cs="Arial"/>
          <w:sz w:val="22"/>
          <w:szCs w:val="22"/>
        </w:rPr>
        <w:t>the strong</w:t>
      </w:r>
      <w:proofErr w:type="gramEnd"/>
      <w:r w:rsidRPr="00D86A64">
        <w:rPr>
          <w:rFonts w:ascii="Arial" w:hAnsi="Arial" w:cs="Arial"/>
          <w:sz w:val="22"/>
          <w:szCs w:val="22"/>
        </w:rPr>
        <w:t xml:space="preserve"> pressure to keep the pace normal and not to exceed the time limit. In the delivery, I attempted maintaining eye contact, organizing my explanation and involving listeners by relating the SWOT points to actual situations. There was also a sense of nervousness, particularly when switching between the slides or presenting more specific points. On the whole, the experience helped me to see how I can cope with pressure and the way my preparation influences my performance.</w:t>
      </w:r>
    </w:p>
    <w:p w14:paraId="5CB50C41" w14:textId="77777777" w:rsidR="008F0B8C" w:rsidRDefault="008F0B8C" w:rsidP="00D86A64">
      <w:pPr>
        <w:spacing w:line="360" w:lineRule="auto"/>
        <w:jc w:val="both"/>
        <w:rPr>
          <w:rFonts w:ascii="Arial" w:hAnsi="Arial" w:cs="Arial"/>
          <w:sz w:val="22"/>
          <w:szCs w:val="22"/>
        </w:rPr>
      </w:pPr>
    </w:p>
    <w:p w14:paraId="38181446" w14:textId="1969E4DE" w:rsidR="008F0B8C" w:rsidRDefault="008F0B8C" w:rsidP="008F0B8C">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2704F94B" wp14:editId="16733596">
            <wp:extent cx="4370155" cy="2457956"/>
            <wp:effectExtent l="0" t="0" r="0" b="0"/>
            <wp:docPr id="970730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80197" cy="2463604"/>
                    </a:xfrm>
                    <a:prstGeom prst="rect">
                      <a:avLst/>
                    </a:prstGeom>
                    <a:noFill/>
                  </pic:spPr>
                </pic:pic>
              </a:graphicData>
            </a:graphic>
          </wp:inline>
        </w:drawing>
      </w:r>
    </w:p>
    <w:p w14:paraId="66511355" w14:textId="3496C0E7" w:rsidR="008F0B8C" w:rsidRPr="00D86A64" w:rsidRDefault="008F0B8C" w:rsidP="008F0B8C">
      <w:pPr>
        <w:spacing w:line="360" w:lineRule="auto"/>
        <w:jc w:val="center"/>
        <w:rPr>
          <w:rFonts w:ascii="Arial" w:hAnsi="Arial" w:cs="Arial"/>
          <w:sz w:val="22"/>
          <w:szCs w:val="22"/>
        </w:rPr>
      </w:pPr>
      <w:r>
        <w:rPr>
          <w:rFonts w:ascii="Arial" w:hAnsi="Arial" w:cs="Arial"/>
          <w:sz w:val="22"/>
          <w:szCs w:val="22"/>
        </w:rPr>
        <w:t>Figure 3: My SWOT Analysis from CW1</w:t>
      </w:r>
    </w:p>
    <w:p w14:paraId="6E2D2D46" w14:textId="4EB0F01D" w:rsidR="009C2AAA" w:rsidRPr="00D86A64" w:rsidRDefault="009C2AAA" w:rsidP="00D86A64">
      <w:pPr>
        <w:pStyle w:val="Heading2"/>
      </w:pPr>
      <w:r w:rsidRPr="00D86A64">
        <w:t>Reflection</w:t>
      </w:r>
    </w:p>
    <w:p w14:paraId="562EC82B" w14:textId="77777777"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Analyzing the experience, it was possible to identify several strengths. I structured my information in a logical manner and showcased my SWOT points in a well-</w:t>
      </w:r>
      <w:proofErr w:type="spellStart"/>
      <w:r w:rsidRPr="00D86A64">
        <w:rPr>
          <w:rFonts w:ascii="Arial" w:hAnsi="Arial" w:cs="Arial"/>
          <w:sz w:val="22"/>
          <w:szCs w:val="22"/>
        </w:rPr>
        <w:t>organised</w:t>
      </w:r>
      <w:proofErr w:type="spellEnd"/>
      <w:r w:rsidRPr="00D86A64">
        <w:rPr>
          <w:rFonts w:ascii="Arial" w:hAnsi="Arial" w:cs="Arial"/>
          <w:sz w:val="22"/>
          <w:szCs w:val="22"/>
        </w:rPr>
        <w:t xml:space="preserve"> manner. When I associated my strengths and opportunities with my desire to take care of patients, my answers were lucid. My communication style was also consistent and comprehensible to me. It has been found that communicational competence depends on the clarity, understanding teamwork and emotional attachment, which fits my approach to the presentation (Apker et al., 2006; </w:t>
      </w:r>
      <w:proofErr w:type="spellStart"/>
      <w:r w:rsidRPr="00D86A64">
        <w:rPr>
          <w:rFonts w:ascii="Arial" w:hAnsi="Arial" w:cs="Arial"/>
          <w:sz w:val="22"/>
          <w:szCs w:val="22"/>
        </w:rPr>
        <w:t>Moudatsou</w:t>
      </w:r>
      <w:proofErr w:type="spellEnd"/>
      <w:r w:rsidRPr="00D86A64">
        <w:rPr>
          <w:rFonts w:ascii="Arial" w:hAnsi="Arial" w:cs="Arial"/>
          <w:sz w:val="22"/>
          <w:szCs w:val="22"/>
        </w:rPr>
        <w:t xml:space="preserve"> et al., 2020).</w:t>
      </w:r>
    </w:p>
    <w:p w14:paraId="3EDE96EA" w14:textId="7966DD16" w:rsidR="009C2AAA"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t xml:space="preserve">But there were some challenges I have noticed too. I also noticed that I spoke faster when I was nervous and some of the points sounded hurried. This is related to the studies that indicate that confidence and cognitive control influence communication during pressure (Abildgren et al., 2025). I also believed that I could have elaborated more on how my learning needs are influenced by my weaknesses. The other issue was the constant engagement during the presentation because I also sometimes looked off the audience to assure myself by glancing at the slides. This underscored the fact that I still have a lot of room to enhance my confidence when addressing a crowd, particularly in a professional context where communicating is one of the expectations (Jabri et al., 2021). The reflections also helped me to </w:t>
      </w:r>
      <w:proofErr w:type="spellStart"/>
      <w:r w:rsidRPr="00D86A64">
        <w:rPr>
          <w:rFonts w:ascii="Arial" w:hAnsi="Arial" w:cs="Arial"/>
          <w:sz w:val="22"/>
          <w:szCs w:val="22"/>
        </w:rPr>
        <w:t>realise</w:t>
      </w:r>
      <w:proofErr w:type="spellEnd"/>
      <w:r w:rsidRPr="00D86A64">
        <w:rPr>
          <w:rFonts w:ascii="Arial" w:hAnsi="Arial" w:cs="Arial"/>
          <w:sz w:val="22"/>
          <w:szCs w:val="22"/>
        </w:rPr>
        <w:t xml:space="preserve"> that emotional resilience contributes to my performance when in the presence of the people, just as in actual care settings.</w:t>
      </w:r>
    </w:p>
    <w:p w14:paraId="3182F925" w14:textId="74F86C7D" w:rsidR="009C2AAA" w:rsidRPr="00D86A64" w:rsidRDefault="009C2AAA" w:rsidP="00D86A64">
      <w:pPr>
        <w:pStyle w:val="Heading2"/>
      </w:pPr>
      <w:r w:rsidRPr="00D86A64">
        <w:t>Action</w:t>
      </w:r>
    </w:p>
    <w:p w14:paraId="69DA0A83" w14:textId="094FA7DB" w:rsidR="008A1372" w:rsidRPr="00D86A64" w:rsidRDefault="009C2AAA" w:rsidP="00D86A64">
      <w:pPr>
        <w:spacing w:line="360" w:lineRule="auto"/>
        <w:jc w:val="both"/>
        <w:rPr>
          <w:rFonts w:ascii="Arial" w:hAnsi="Arial" w:cs="Arial"/>
          <w:sz w:val="22"/>
          <w:szCs w:val="22"/>
        </w:rPr>
      </w:pPr>
      <w:r w:rsidRPr="00D86A64">
        <w:rPr>
          <w:rFonts w:ascii="Arial" w:hAnsi="Arial" w:cs="Arial"/>
          <w:sz w:val="22"/>
          <w:szCs w:val="22"/>
        </w:rPr>
        <w:lastRenderedPageBreak/>
        <w:t>Three areas I will consider to be improved are these. To start with, I will develop confidence in speaking before an audience by simply practicing, doing it regularly and speaking out in front of classmates. Recurrence will aid in the regulation of my pace and promotion of the calm transfer. Second, I will reinforce the richness of my examples by creating clearer life-to-life situations that can be related to the subject that will allow me to explain points more confidently and details. Third, I will also strive to keep building resiliency, applying stress management techniques that can help me communicate in stressful situations. Such enhancements will help me prepare in health and social care where communication, emotional control, and clarity are among the key competencies. With these measures, I wish to present my future presentations with more confidence, greater organization and more calmness that portrays a professional image.</w:t>
      </w:r>
    </w:p>
    <w:p w14:paraId="27DEC9FE" w14:textId="77777777" w:rsidR="00D86A64" w:rsidRPr="00D86A64" w:rsidRDefault="008A1372" w:rsidP="00D86A64">
      <w:pPr>
        <w:pStyle w:val="Heading1"/>
      </w:pPr>
      <w:r w:rsidRPr="00D86A64">
        <w:t xml:space="preserve">Conclusion </w:t>
      </w:r>
    </w:p>
    <w:p w14:paraId="4DA36F11" w14:textId="122263B3" w:rsidR="009C2AAA" w:rsidRPr="00D86A64" w:rsidRDefault="00D86A64" w:rsidP="00D86A64">
      <w:pPr>
        <w:spacing w:line="360" w:lineRule="auto"/>
        <w:jc w:val="both"/>
        <w:rPr>
          <w:rFonts w:ascii="Arial" w:hAnsi="Arial" w:cs="Arial"/>
          <w:sz w:val="22"/>
          <w:szCs w:val="22"/>
        </w:rPr>
      </w:pPr>
      <w:r w:rsidRPr="00D86A64">
        <w:rPr>
          <w:rFonts w:ascii="Arial" w:hAnsi="Arial" w:cs="Arial"/>
          <w:sz w:val="22"/>
          <w:szCs w:val="22"/>
        </w:rPr>
        <w:t>Altogether, the work in this assignment allowed me to learn what competencies I should have and what areas I should work on. Considering my abilities in communication, real-life experience, and presentation abilities, I have defined the obvious things I can do to gain confidence and competence. These actions will assist my growth in residential childcare and care in future.</w:t>
      </w:r>
      <w:r w:rsidR="008A1372" w:rsidRPr="00D86A64">
        <w:rPr>
          <w:rFonts w:ascii="Arial" w:hAnsi="Arial" w:cs="Arial"/>
          <w:sz w:val="22"/>
          <w:szCs w:val="22"/>
        </w:rPr>
        <w:br w:type="page"/>
      </w:r>
    </w:p>
    <w:p w14:paraId="279CE0B1" w14:textId="7CEFF5EA" w:rsidR="009C2AAA" w:rsidRPr="00D86A64" w:rsidRDefault="006A03F0" w:rsidP="00D86A64">
      <w:pPr>
        <w:pStyle w:val="Heading1"/>
      </w:pPr>
      <w:r w:rsidRPr="00D86A64">
        <w:lastRenderedPageBreak/>
        <w:t xml:space="preserve">References </w:t>
      </w:r>
    </w:p>
    <w:p w14:paraId="0CF713B3"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Abildgren, L., Lebahn-</w:t>
      </w:r>
      <w:proofErr w:type="spellStart"/>
      <w:r w:rsidRPr="00D86A64">
        <w:rPr>
          <w:rFonts w:ascii="Arial" w:hAnsi="Arial" w:cs="Arial"/>
          <w:sz w:val="22"/>
          <w:szCs w:val="22"/>
        </w:rPr>
        <w:t>Hadidi</w:t>
      </w:r>
      <w:proofErr w:type="spellEnd"/>
      <w:r w:rsidRPr="00D86A64">
        <w:rPr>
          <w:rFonts w:ascii="Arial" w:hAnsi="Arial" w:cs="Arial"/>
          <w:sz w:val="22"/>
          <w:szCs w:val="22"/>
        </w:rPr>
        <w:t>, M., Mogensen, C., Toft, P., Steffensen, S., &amp; Hounsgaard, L. (2025). Transferring health professionals social and cognitive skills: key findings from a qualitative investigation. </w:t>
      </w:r>
      <w:r w:rsidRPr="00D86A64">
        <w:rPr>
          <w:rFonts w:ascii="Arial" w:hAnsi="Arial" w:cs="Arial"/>
          <w:i/>
          <w:iCs/>
          <w:sz w:val="22"/>
          <w:szCs w:val="22"/>
        </w:rPr>
        <w:t>Advances in Simulation</w:t>
      </w:r>
      <w:r w:rsidRPr="00D86A64">
        <w:rPr>
          <w:rFonts w:ascii="Arial" w:hAnsi="Arial" w:cs="Arial"/>
          <w:sz w:val="22"/>
          <w:szCs w:val="22"/>
        </w:rPr>
        <w:t xml:space="preserve">, 10. </w:t>
      </w:r>
      <w:hyperlink r:id="rId14" w:history="1">
        <w:r w:rsidRPr="00D86A64">
          <w:rPr>
            <w:rStyle w:val="Hyperlink"/>
            <w:rFonts w:ascii="Arial" w:hAnsi="Arial" w:cs="Arial"/>
            <w:sz w:val="22"/>
            <w:szCs w:val="22"/>
          </w:rPr>
          <w:t>https://doi.org/10.1186/s41077-025-00356-0</w:t>
        </w:r>
      </w:hyperlink>
      <w:r w:rsidRPr="00D86A64">
        <w:rPr>
          <w:rFonts w:ascii="Arial" w:hAnsi="Arial" w:cs="Arial"/>
          <w:sz w:val="22"/>
          <w:szCs w:val="22"/>
        </w:rPr>
        <w:t>.</w:t>
      </w:r>
    </w:p>
    <w:p w14:paraId="7DBB851A"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 xml:space="preserve">Ammentorp, J., Chiswell, M., &amp; Martin, P. (2022). Translating knowledge into practice for communication skills training for health care </w:t>
      </w:r>
      <w:proofErr w:type="gramStart"/>
      <w:r w:rsidRPr="00D86A64">
        <w:rPr>
          <w:rFonts w:ascii="Arial" w:hAnsi="Arial" w:cs="Arial"/>
          <w:sz w:val="22"/>
          <w:szCs w:val="22"/>
        </w:rPr>
        <w:t>professionals..</w:t>
      </w:r>
      <w:proofErr w:type="gramEnd"/>
      <w:r w:rsidRPr="00D86A64">
        <w:rPr>
          <w:rFonts w:ascii="Arial" w:hAnsi="Arial" w:cs="Arial"/>
          <w:sz w:val="22"/>
          <w:szCs w:val="22"/>
        </w:rPr>
        <w:t> </w:t>
      </w:r>
      <w:r w:rsidRPr="00D86A64">
        <w:rPr>
          <w:rFonts w:ascii="Arial" w:hAnsi="Arial" w:cs="Arial"/>
          <w:i/>
          <w:iCs/>
          <w:sz w:val="22"/>
          <w:szCs w:val="22"/>
        </w:rPr>
        <w:t>Patient education and counseling</w:t>
      </w:r>
      <w:r w:rsidRPr="00D86A64">
        <w:rPr>
          <w:rFonts w:ascii="Arial" w:hAnsi="Arial" w:cs="Arial"/>
          <w:sz w:val="22"/>
          <w:szCs w:val="22"/>
        </w:rPr>
        <w:t xml:space="preserve">. </w:t>
      </w:r>
      <w:hyperlink r:id="rId15" w:history="1">
        <w:r w:rsidRPr="00D86A64">
          <w:rPr>
            <w:rStyle w:val="Hyperlink"/>
            <w:rFonts w:ascii="Arial" w:hAnsi="Arial" w:cs="Arial"/>
            <w:sz w:val="22"/>
            <w:szCs w:val="22"/>
          </w:rPr>
          <w:t>https://doi.org/10.1016/j.pec.2022.08.004</w:t>
        </w:r>
      </w:hyperlink>
      <w:r w:rsidRPr="00D86A64">
        <w:rPr>
          <w:rFonts w:ascii="Arial" w:hAnsi="Arial" w:cs="Arial"/>
          <w:sz w:val="22"/>
          <w:szCs w:val="22"/>
        </w:rPr>
        <w:t>.</w:t>
      </w:r>
    </w:p>
    <w:p w14:paraId="1DEE36CD"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 xml:space="preserve">Apker, J., Propp, K., Ford, W., &amp; Hofmeister, N. (2006). Collaboration, credibility, compassion, and coordination: professional nurse communication skill sets in health care team </w:t>
      </w:r>
      <w:proofErr w:type="gramStart"/>
      <w:r w:rsidRPr="00D86A64">
        <w:rPr>
          <w:rFonts w:ascii="Arial" w:hAnsi="Arial" w:cs="Arial"/>
          <w:sz w:val="22"/>
          <w:szCs w:val="22"/>
        </w:rPr>
        <w:t>interactions..</w:t>
      </w:r>
      <w:proofErr w:type="gramEnd"/>
      <w:r w:rsidRPr="00D86A64">
        <w:rPr>
          <w:rFonts w:ascii="Arial" w:hAnsi="Arial" w:cs="Arial"/>
          <w:sz w:val="22"/>
          <w:szCs w:val="22"/>
        </w:rPr>
        <w:t> </w:t>
      </w:r>
      <w:r w:rsidRPr="00D86A64">
        <w:rPr>
          <w:rFonts w:ascii="Arial" w:hAnsi="Arial" w:cs="Arial"/>
          <w:i/>
          <w:iCs/>
          <w:sz w:val="22"/>
          <w:szCs w:val="22"/>
        </w:rPr>
        <w:t xml:space="preserve">Journal of professional </w:t>
      </w:r>
      <w:proofErr w:type="gramStart"/>
      <w:r w:rsidRPr="00D86A64">
        <w:rPr>
          <w:rFonts w:ascii="Arial" w:hAnsi="Arial" w:cs="Arial"/>
          <w:i/>
          <w:iCs/>
          <w:sz w:val="22"/>
          <w:szCs w:val="22"/>
        </w:rPr>
        <w:t>nursing :</w:t>
      </w:r>
      <w:proofErr w:type="gramEnd"/>
      <w:r w:rsidRPr="00D86A64">
        <w:rPr>
          <w:rFonts w:ascii="Arial" w:hAnsi="Arial" w:cs="Arial"/>
          <w:i/>
          <w:iCs/>
          <w:sz w:val="22"/>
          <w:szCs w:val="22"/>
        </w:rPr>
        <w:t xml:space="preserve"> official journal of the American Association of Colleges of Nursing</w:t>
      </w:r>
      <w:r w:rsidRPr="00D86A64">
        <w:rPr>
          <w:rFonts w:ascii="Arial" w:hAnsi="Arial" w:cs="Arial"/>
          <w:sz w:val="22"/>
          <w:szCs w:val="22"/>
        </w:rPr>
        <w:t>, 22 3, 180-</w:t>
      </w:r>
      <w:proofErr w:type="gramStart"/>
      <w:r w:rsidRPr="00D86A64">
        <w:rPr>
          <w:rFonts w:ascii="Arial" w:hAnsi="Arial" w:cs="Arial"/>
          <w:sz w:val="22"/>
          <w:szCs w:val="22"/>
        </w:rPr>
        <w:t>9 .</w:t>
      </w:r>
      <w:proofErr w:type="gramEnd"/>
      <w:r w:rsidRPr="00D86A64">
        <w:rPr>
          <w:rFonts w:ascii="Arial" w:hAnsi="Arial" w:cs="Arial"/>
          <w:sz w:val="22"/>
          <w:szCs w:val="22"/>
        </w:rPr>
        <w:t xml:space="preserve"> </w:t>
      </w:r>
      <w:hyperlink r:id="rId16" w:history="1">
        <w:r w:rsidRPr="00D86A64">
          <w:rPr>
            <w:rStyle w:val="Hyperlink"/>
            <w:rFonts w:ascii="Arial" w:hAnsi="Arial" w:cs="Arial"/>
            <w:sz w:val="22"/>
            <w:szCs w:val="22"/>
          </w:rPr>
          <w:t>https://doi.org/10.1016/j.profnurs.2006.03.002</w:t>
        </w:r>
      </w:hyperlink>
      <w:r w:rsidRPr="00D86A64">
        <w:rPr>
          <w:rFonts w:ascii="Arial" w:hAnsi="Arial" w:cs="Arial"/>
          <w:sz w:val="22"/>
          <w:szCs w:val="22"/>
        </w:rPr>
        <w:t>.</w:t>
      </w:r>
    </w:p>
    <w:p w14:paraId="56B90FCB" w14:textId="77777777" w:rsidR="00FB3E21" w:rsidRPr="00D86A64" w:rsidRDefault="00FB3E21" w:rsidP="00FB3E21">
      <w:pPr>
        <w:spacing w:line="360" w:lineRule="auto"/>
        <w:ind w:left="720" w:hanging="720"/>
        <w:jc w:val="both"/>
        <w:rPr>
          <w:rFonts w:ascii="Arial" w:hAnsi="Arial" w:cs="Arial"/>
          <w:sz w:val="22"/>
          <w:szCs w:val="22"/>
        </w:rPr>
      </w:pPr>
      <w:proofErr w:type="spellStart"/>
      <w:r w:rsidRPr="00D86A64">
        <w:rPr>
          <w:rFonts w:ascii="Arial" w:hAnsi="Arial" w:cs="Arial"/>
          <w:sz w:val="22"/>
          <w:szCs w:val="22"/>
        </w:rPr>
        <w:t>Chernjahovskaya</w:t>
      </w:r>
      <w:proofErr w:type="spellEnd"/>
      <w:r w:rsidRPr="00D86A64">
        <w:rPr>
          <w:rFonts w:ascii="Arial" w:hAnsi="Arial" w:cs="Arial"/>
          <w:sz w:val="22"/>
          <w:szCs w:val="22"/>
        </w:rPr>
        <w:t xml:space="preserve">, D., Enert, A., &amp; </w:t>
      </w:r>
      <w:proofErr w:type="spellStart"/>
      <w:r w:rsidRPr="00D86A64">
        <w:rPr>
          <w:rFonts w:ascii="Arial" w:hAnsi="Arial" w:cs="Arial"/>
          <w:sz w:val="22"/>
          <w:szCs w:val="22"/>
        </w:rPr>
        <w:t>Dadeko</w:t>
      </w:r>
      <w:proofErr w:type="spellEnd"/>
      <w:r w:rsidRPr="00D86A64">
        <w:rPr>
          <w:rFonts w:ascii="Arial" w:hAnsi="Arial" w:cs="Arial"/>
          <w:sz w:val="22"/>
          <w:szCs w:val="22"/>
        </w:rPr>
        <w:t>, S. (2024). Communication Skills in Providing Emergency and Urgent Care to Children — Problems and Prospects. </w:t>
      </w:r>
      <w:r w:rsidRPr="00D86A64">
        <w:rPr>
          <w:rFonts w:ascii="Arial" w:hAnsi="Arial" w:cs="Arial"/>
          <w:i/>
          <w:iCs/>
          <w:sz w:val="22"/>
          <w:szCs w:val="22"/>
        </w:rPr>
        <w:t>Virtual Technologies in Medicine</w:t>
      </w:r>
      <w:r w:rsidRPr="00D86A64">
        <w:rPr>
          <w:rFonts w:ascii="Arial" w:hAnsi="Arial" w:cs="Arial"/>
          <w:sz w:val="22"/>
          <w:szCs w:val="22"/>
        </w:rPr>
        <w:t xml:space="preserve">. </w:t>
      </w:r>
      <w:hyperlink r:id="rId17" w:history="1">
        <w:r w:rsidRPr="00D86A64">
          <w:rPr>
            <w:rStyle w:val="Hyperlink"/>
            <w:rFonts w:ascii="Arial" w:hAnsi="Arial" w:cs="Arial"/>
            <w:sz w:val="22"/>
            <w:szCs w:val="22"/>
          </w:rPr>
          <w:t>https://doi.org/10.46594/2687-0037_2024_3_1967</w:t>
        </w:r>
      </w:hyperlink>
      <w:r w:rsidRPr="00D86A64">
        <w:rPr>
          <w:rFonts w:ascii="Arial" w:hAnsi="Arial" w:cs="Arial"/>
          <w:sz w:val="22"/>
          <w:szCs w:val="22"/>
        </w:rPr>
        <w:t>.</w:t>
      </w:r>
    </w:p>
    <w:p w14:paraId="149FB6DD"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Coad, J., Smith, J., Pontin, D., &amp; Gibson, F. (2018). Consult, Negotiate, and Involve: Evaluation of an Advanced Communication Skills Program for Health Care Professionals. </w:t>
      </w:r>
      <w:r w:rsidRPr="00D86A64">
        <w:rPr>
          <w:rFonts w:ascii="Arial" w:hAnsi="Arial" w:cs="Arial"/>
          <w:i/>
          <w:iCs/>
          <w:sz w:val="22"/>
          <w:szCs w:val="22"/>
        </w:rPr>
        <w:t>Journal of Pediatric Oncology Nursing</w:t>
      </w:r>
      <w:r w:rsidRPr="00D86A64">
        <w:rPr>
          <w:rFonts w:ascii="Arial" w:hAnsi="Arial" w:cs="Arial"/>
          <w:sz w:val="22"/>
          <w:szCs w:val="22"/>
        </w:rPr>
        <w:t xml:space="preserve">, 35, 296 - 307. </w:t>
      </w:r>
      <w:hyperlink r:id="rId18" w:history="1">
        <w:r w:rsidRPr="00D86A64">
          <w:rPr>
            <w:rStyle w:val="Hyperlink"/>
            <w:rFonts w:ascii="Arial" w:hAnsi="Arial" w:cs="Arial"/>
            <w:sz w:val="22"/>
            <w:szCs w:val="22"/>
          </w:rPr>
          <w:t>https://doi.org/10.1177/1043454218765136</w:t>
        </w:r>
      </w:hyperlink>
      <w:r w:rsidRPr="00D86A64">
        <w:rPr>
          <w:rFonts w:ascii="Arial" w:hAnsi="Arial" w:cs="Arial"/>
          <w:sz w:val="22"/>
          <w:szCs w:val="22"/>
        </w:rPr>
        <w:t>.</w:t>
      </w:r>
    </w:p>
    <w:p w14:paraId="4E370723"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Dunworth, M. (2017). Communication Skills in Health and Social Care. </w:t>
      </w:r>
      <w:r w:rsidRPr="00D86A64">
        <w:rPr>
          <w:rFonts w:ascii="Arial" w:hAnsi="Arial" w:cs="Arial"/>
          <w:i/>
          <w:iCs/>
          <w:sz w:val="22"/>
          <w:szCs w:val="22"/>
        </w:rPr>
        <w:t>Practice</w:t>
      </w:r>
      <w:r w:rsidRPr="00D86A64">
        <w:rPr>
          <w:rFonts w:ascii="Arial" w:hAnsi="Arial" w:cs="Arial"/>
          <w:sz w:val="22"/>
          <w:szCs w:val="22"/>
        </w:rPr>
        <w:t xml:space="preserve">, 31, 76 - 78. </w:t>
      </w:r>
      <w:hyperlink r:id="rId19" w:history="1">
        <w:r w:rsidRPr="00D86A64">
          <w:rPr>
            <w:rStyle w:val="Hyperlink"/>
            <w:rFonts w:ascii="Arial" w:hAnsi="Arial" w:cs="Arial"/>
            <w:sz w:val="22"/>
            <w:szCs w:val="22"/>
          </w:rPr>
          <w:t>https://doi.org/10.1080/09503153.2017.1414136</w:t>
        </w:r>
      </w:hyperlink>
      <w:r w:rsidRPr="00D86A64">
        <w:rPr>
          <w:rFonts w:ascii="Arial" w:hAnsi="Arial" w:cs="Arial"/>
          <w:sz w:val="22"/>
          <w:szCs w:val="22"/>
        </w:rPr>
        <w:t>.</w:t>
      </w:r>
    </w:p>
    <w:p w14:paraId="3019B52A"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 xml:space="preserve">Giardulli, B., </w:t>
      </w:r>
      <w:proofErr w:type="spellStart"/>
      <w:r w:rsidRPr="00D86A64">
        <w:rPr>
          <w:rFonts w:ascii="Arial" w:hAnsi="Arial" w:cs="Arial"/>
          <w:sz w:val="22"/>
          <w:szCs w:val="22"/>
        </w:rPr>
        <w:t>Pagnucci</w:t>
      </w:r>
      <w:proofErr w:type="spellEnd"/>
      <w:r w:rsidRPr="00D86A64">
        <w:rPr>
          <w:rFonts w:ascii="Arial" w:hAnsi="Arial" w:cs="Arial"/>
          <w:sz w:val="22"/>
          <w:szCs w:val="22"/>
        </w:rPr>
        <w:t xml:space="preserve">, N., </w:t>
      </w:r>
      <w:proofErr w:type="spellStart"/>
      <w:r w:rsidRPr="00D86A64">
        <w:rPr>
          <w:rFonts w:ascii="Arial" w:hAnsi="Arial" w:cs="Arial"/>
          <w:sz w:val="22"/>
          <w:szCs w:val="22"/>
        </w:rPr>
        <w:t>Przyłęcki</w:t>
      </w:r>
      <w:proofErr w:type="spellEnd"/>
      <w:r w:rsidRPr="00D86A64">
        <w:rPr>
          <w:rFonts w:ascii="Arial" w:hAnsi="Arial" w:cs="Arial"/>
          <w:sz w:val="22"/>
          <w:szCs w:val="22"/>
        </w:rPr>
        <w:t xml:space="preserve">, P., Koutra, K., Walsh, N., Androulakis, C., Aleo, G., Tziraki, C., Testa, M., &amp; Battista, S. (2025). The transversal skills and competencies of health and social care professionals in community-based interprofessional teams: a rapid </w:t>
      </w:r>
      <w:proofErr w:type="gramStart"/>
      <w:r w:rsidRPr="00D86A64">
        <w:rPr>
          <w:rFonts w:ascii="Arial" w:hAnsi="Arial" w:cs="Arial"/>
          <w:sz w:val="22"/>
          <w:szCs w:val="22"/>
        </w:rPr>
        <w:t>review..</w:t>
      </w:r>
      <w:proofErr w:type="gramEnd"/>
      <w:r w:rsidRPr="00D86A64">
        <w:rPr>
          <w:rFonts w:ascii="Arial" w:hAnsi="Arial" w:cs="Arial"/>
          <w:sz w:val="22"/>
          <w:szCs w:val="22"/>
        </w:rPr>
        <w:t> </w:t>
      </w:r>
      <w:r w:rsidRPr="00D86A64">
        <w:rPr>
          <w:rFonts w:ascii="Arial" w:hAnsi="Arial" w:cs="Arial"/>
          <w:i/>
          <w:iCs/>
          <w:sz w:val="22"/>
          <w:szCs w:val="22"/>
        </w:rPr>
        <w:t>Journal of interprofessional care</w:t>
      </w:r>
      <w:r w:rsidRPr="00D86A64">
        <w:rPr>
          <w:rFonts w:ascii="Arial" w:hAnsi="Arial" w:cs="Arial"/>
          <w:sz w:val="22"/>
          <w:szCs w:val="22"/>
        </w:rPr>
        <w:t>, 1-</w:t>
      </w:r>
      <w:proofErr w:type="gramStart"/>
      <w:r w:rsidRPr="00D86A64">
        <w:rPr>
          <w:rFonts w:ascii="Arial" w:hAnsi="Arial" w:cs="Arial"/>
          <w:sz w:val="22"/>
          <w:szCs w:val="22"/>
        </w:rPr>
        <w:t>14 .</w:t>
      </w:r>
      <w:proofErr w:type="gramEnd"/>
      <w:r w:rsidRPr="00D86A64">
        <w:rPr>
          <w:rFonts w:ascii="Arial" w:hAnsi="Arial" w:cs="Arial"/>
          <w:sz w:val="22"/>
          <w:szCs w:val="22"/>
        </w:rPr>
        <w:t xml:space="preserve"> </w:t>
      </w:r>
      <w:hyperlink r:id="rId20" w:history="1">
        <w:r w:rsidRPr="00D86A64">
          <w:rPr>
            <w:rStyle w:val="Hyperlink"/>
            <w:rFonts w:ascii="Arial" w:hAnsi="Arial" w:cs="Arial"/>
            <w:sz w:val="22"/>
            <w:szCs w:val="22"/>
          </w:rPr>
          <w:t>https://doi.org/10.1080/13561820.2025.2495018</w:t>
        </w:r>
      </w:hyperlink>
      <w:r w:rsidRPr="00D86A64">
        <w:rPr>
          <w:rFonts w:ascii="Arial" w:hAnsi="Arial" w:cs="Arial"/>
          <w:sz w:val="22"/>
          <w:szCs w:val="22"/>
        </w:rPr>
        <w:t>.</w:t>
      </w:r>
    </w:p>
    <w:p w14:paraId="6547D1DD"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Hussain, A., &amp; Ashcroft, R. (2020). Social work leadership competencies in health and mental healthcare: a scoping review protocol. </w:t>
      </w:r>
      <w:r w:rsidRPr="00D86A64">
        <w:rPr>
          <w:rFonts w:ascii="Arial" w:hAnsi="Arial" w:cs="Arial"/>
          <w:i/>
          <w:iCs/>
          <w:sz w:val="22"/>
          <w:szCs w:val="22"/>
        </w:rPr>
        <w:t>BMJ Open</w:t>
      </w:r>
      <w:r w:rsidRPr="00D86A64">
        <w:rPr>
          <w:rFonts w:ascii="Arial" w:hAnsi="Arial" w:cs="Arial"/>
          <w:sz w:val="22"/>
          <w:szCs w:val="22"/>
        </w:rPr>
        <w:t xml:space="preserve">, 10. </w:t>
      </w:r>
      <w:hyperlink r:id="rId21" w:history="1">
        <w:r w:rsidRPr="00D86A64">
          <w:rPr>
            <w:rStyle w:val="Hyperlink"/>
            <w:rFonts w:ascii="Arial" w:hAnsi="Arial" w:cs="Arial"/>
            <w:sz w:val="22"/>
            <w:szCs w:val="22"/>
          </w:rPr>
          <w:t>https://doi.org/10.1136/bmjopen-2020-038790</w:t>
        </w:r>
      </w:hyperlink>
      <w:r w:rsidRPr="00D86A64">
        <w:rPr>
          <w:rFonts w:ascii="Arial" w:hAnsi="Arial" w:cs="Arial"/>
          <w:sz w:val="22"/>
          <w:szCs w:val="22"/>
        </w:rPr>
        <w:t>.</w:t>
      </w:r>
    </w:p>
    <w:p w14:paraId="0F4B01AD"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 xml:space="preserve">Jabri, F., Kvist, T., </w:t>
      </w:r>
      <w:proofErr w:type="spellStart"/>
      <w:r w:rsidRPr="00D86A64">
        <w:rPr>
          <w:rFonts w:ascii="Arial" w:hAnsi="Arial" w:cs="Arial"/>
          <w:sz w:val="22"/>
          <w:szCs w:val="22"/>
        </w:rPr>
        <w:t>Azimirad</w:t>
      </w:r>
      <w:proofErr w:type="spellEnd"/>
      <w:r w:rsidRPr="00D86A64">
        <w:rPr>
          <w:rFonts w:ascii="Arial" w:hAnsi="Arial" w:cs="Arial"/>
          <w:sz w:val="22"/>
          <w:szCs w:val="22"/>
        </w:rPr>
        <w:t xml:space="preserve">, M., &amp; Turunen, H. (2021). A systematic Review of Healthcare Professionals' Core Competency </w:t>
      </w:r>
      <w:proofErr w:type="gramStart"/>
      <w:r w:rsidRPr="00D86A64">
        <w:rPr>
          <w:rFonts w:ascii="Arial" w:hAnsi="Arial" w:cs="Arial"/>
          <w:sz w:val="22"/>
          <w:szCs w:val="22"/>
        </w:rPr>
        <w:t>Instruments..</w:t>
      </w:r>
      <w:proofErr w:type="gramEnd"/>
      <w:r w:rsidRPr="00D86A64">
        <w:rPr>
          <w:rFonts w:ascii="Arial" w:hAnsi="Arial" w:cs="Arial"/>
          <w:sz w:val="22"/>
          <w:szCs w:val="22"/>
        </w:rPr>
        <w:t> </w:t>
      </w:r>
      <w:r w:rsidRPr="00D86A64">
        <w:rPr>
          <w:rFonts w:ascii="Arial" w:hAnsi="Arial" w:cs="Arial"/>
          <w:i/>
          <w:iCs/>
          <w:sz w:val="22"/>
          <w:szCs w:val="22"/>
        </w:rPr>
        <w:t>Nursing &amp; health sciences</w:t>
      </w:r>
      <w:r w:rsidRPr="00D86A64">
        <w:rPr>
          <w:rFonts w:ascii="Arial" w:hAnsi="Arial" w:cs="Arial"/>
          <w:sz w:val="22"/>
          <w:szCs w:val="22"/>
        </w:rPr>
        <w:t xml:space="preserve">. </w:t>
      </w:r>
      <w:hyperlink r:id="rId22" w:history="1">
        <w:r w:rsidRPr="00D86A64">
          <w:rPr>
            <w:rStyle w:val="Hyperlink"/>
            <w:rFonts w:ascii="Arial" w:hAnsi="Arial" w:cs="Arial"/>
            <w:sz w:val="22"/>
            <w:szCs w:val="22"/>
          </w:rPr>
          <w:t>https://doi.org/10.1111/nhs.12804</w:t>
        </w:r>
      </w:hyperlink>
      <w:r w:rsidRPr="00D86A64">
        <w:rPr>
          <w:rFonts w:ascii="Arial" w:hAnsi="Arial" w:cs="Arial"/>
          <w:sz w:val="22"/>
          <w:szCs w:val="22"/>
        </w:rPr>
        <w:t>.</w:t>
      </w:r>
    </w:p>
    <w:p w14:paraId="4B8BFD06"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lastRenderedPageBreak/>
        <w:t xml:space="preserve">Krstić, A., &amp; </w:t>
      </w:r>
      <w:proofErr w:type="spellStart"/>
      <w:r w:rsidRPr="00D86A64">
        <w:rPr>
          <w:rFonts w:ascii="Arial" w:hAnsi="Arial" w:cs="Arial"/>
          <w:sz w:val="22"/>
          <w:szCs w:val="22"/>
        </w:rPr>
        <w:t>Kekuš</w:t>
      </w:r>
      <w:proofErr w:type="spellEnd"/>
      <w:r w:rsidRPr="00D86A64">
        <w:rPr>
          <w:rFonts w:ascii="Arial" w:hAnsi="Arial" w:cs="Arial"/>
          <w:sz w:val="22"/>
          <w:szCs w:val="22"/>
        </w:rPr>
        <w:t>, D. (2023). Assertive communication in health care. </w:t>
      </w:r>
      <w:r w:rsidRPr="00D86A64">
        <w:rPr>
          <w:rFonts w:ascii="Arial" w:hAnsi="Arial" w:cs="Arial"/>
          <w:i/>
          <w:iCs/>
          <w:sz w:val="22"/>
          <w:szCs w:val="22"/>
        </w:rPr>
        <w:t xml:space="preserve">PONS - </w:t>
      </w:r>
      <w:proofErr w:type="spellStart"/>
      <w:r w:rsidRPr="00D86A64">
        <w:rPr>
          <w:rFonts w:ascii="Arial" w:hAnsi="Arial" w:cs="Arial"/>
          <w:i/>
          <w:iCs/>
          <w:sz w:val="22"/>
          <w:szCs w:val="22"/>
        </w:rPr>
        <w:t>medicinski</w:t>
      </w:r>
      <w:proofErr w:type="spellEnd"/>
      <w:r w:rsidRPr="00D86A64">
        <w:rPr>
          <w:rFonts w:ascii="Arial" w:hAnsi="Arial" w:cs="Arial"/>
          <w:i/>
          <w:iCs/>
          <w:sz w:val="22"/>
          <w:szCs w:val="22"/>
        </w:rPr>
        <w:t xml:space="preserve"> </w:t>
      </w:r>
      <w:proofErr w:type="spellStart"/>
      <w:r w:rsidRPr="00D86A64">
        <w:rPr>
          <w:rFonts w:ascii="Arial" w:hAnsi="Arial" w:cs="Arial"/>
          <w:i/>
          <w:iCs/>
          <w:sz w:val="22"/>
          <w:szCs w:val="22"/>
        </w:rPr>
        <w:t>casopis</w:t>
      </w:r>
      <w:proofErr w:type="spellEnd"/>
      <w:r w:rsidRPr="00D86A64">
        <w:rPr>
          <w:rFonts w:ascii="Arial" w:hAnsi="Arial" w:cs="Arial"/>
          <w:sz w:val="22"/>
          <w:szCs w:val="22"/>
        </w:rPr>
        <w:t xml:space="preserve">. </w:t>
      </w:r>
      <w:hyperlink r:id="rId23" w:history="1">
        <w:r w:rsidRPr="00D86A64">
          <w:rPr>
            <w:rStyle w:val="Hyperlink"/>
            <w:rFonts w:ascii="Arial" w:hAnsi="Arial" w:cs="Arial"/>
            <w:sz w:val="22"/>
            <w:szCs w:val="22"/>
          </w:rPr>
          <w:t>https://doi.org/10.5937/pomc20-44696</w:t>
        </w:r>
      </w:hyperlink>
      <w:r w:rsidRPr="00D86A64">
        <w:rPr>
          <w:rFonts w:ascii="Arial" w:hAnsi="Arial" w:cs="Arial"/>
          <w:sz w:val="22"/>
          <w:szCs w:val="22"/>
        </w:rPr>
        <w:t>.</w:t>
      </w:r>
    </w:p>
    <w:p w14:paraId="5476AB57"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 xml:space="preserve">Moudatsou, M., Stavropoulou, A., </w:t>
      </w:r>
      <w:proofErr w:type="spellStart"/>
      <w:r w:rsidRPr="00D86A64">
        <w:rPr>
          <w:rFonts w:ascii="Arial" w:hAnsi="Arial" w:cs="Arial"/>
          <w:sz w:val="22"/>
          <w:szCs w:val="22"/>
        </w:rPr>
        <w:t>Philalithis</w:t>
      </w:r>
      <w:proofErr w:type="spellEnd"/>
      <w:r w:rsidRPr="00D86A64">
        <w:rPr>
          <w:rFonts w:ascii="Arial" w:hAnsi="Arial" w:cs="Arial"/>
          <w:sz w:val="22"/>
          <w:szCs w:val="22"/>
        </w:rPr>
        <w:t xml:space="preserve">, A., &amp; </w:t>
      </w:r>
      <w:proofErr w:type="spellStart"/>
      <w:r w:rsidRPr="00D86A64">
        <w:rPr>
          <w:rFonts w:ascii="Arial" w:hAnsi="Arial" w:cs="Arial"/>
          <w:sz w:val="22"/>
          <w:szCs w:val="22"/>
        </w:rPr>
        <w:t>Koukouli</w:t>
      </w:r>
      <w:proofErr w:type="spellEnd"/>
      <w:r w:rsidRPr="00D86A64">
        <w:rPr>
          <w:rFonts w:ascii="Arial" w:hAnsi="Arial" w:cs="Arial"/>
          <w:sz w:val="22"/>
          <w:szCs w:val="22"/>
        </w:rPr>
        <w:t>, S. (2020). The Role of Empathy in Health and Social Care Professionals. </w:t>
      </w:r>
      <w:r w:rsidRPr="00D86A64">
        <w:rPr>
          <w:rFonts w:ascii="Arial" w:hAnsi="Arial" w:cs="Arial"/>
          <w:i/>
          <w:iCs/>
          <w:sz w:val="22"/>
          <w:szCs w:val="22"/>
        </w:rPr>
        <w:t>Healthcare</w:t>
      </w:r>
      <w:r w:rsidRPr="00D86A64">
        <w:rPr>
          <w:rFonts w:ascii="Arial" w:hAnsi="Arial" w:cs="Arial"/>
          <w:sz w:val="22"/>
          <w:szCs w:val="22"/>
        </w:rPr>
        <w:t xml:space="preserve">, 8. </w:t>
      </w:r>
      <w:hyperlink r:id="rId24" w:history="1">
        <w:r w:rsidRPr="00D86A64">
          <w:rPr>
            <w:rStyle w:val="Hyperlink"/>
            <w:rFonts w:ascii="Arial" w:hAnsi="Arial" w:cs="Arial"/>
            <w:sz w:val="22"/>
            <w:szCs w:val="22"/>
          </w:rPr>
          <w:t>https://doi.org/10.3390/healthcare8010026</w:t>
        </w:r>
      </w:hyperlink>
      <w:r w:rsidRPr="00D86A64">
        <w:rPr>
          <w:rFonts w:ascii="Arial" w:hAnsi="Arial" w:cs="Arial"/>
          <w:sz w:val="22"/>
          <w:szCs w:val="22"/>
        </w:rPr>
        <w:t>.</w:t>
      </w:r>
    </w:p>
    <w:p w14:paraId="6798127A"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Testa, D. (2010). Communication Skills for Health Care and Social Care. </w:t>
      </w:r>
      <w:r w:rsidRPr="00D86A64">
        <w:rPr>
          <w:rFonts w:ascii="Arial" w:hAnsi="Arial" w:cs="Arial"/>
          <w:i/>
          <w:iCs/>
          <w:sz w:val="22"/>
          <w:szCs w:val="22"/>
        </w:rPr>
        <w:t>Australian Social Work</w:t>
      </w:r>
      <w:r w:rsidRPr="00D86A64">
        <w:rPr>
          <w:rFonts w:ascii="Arial" w:hAnsi="Arial" w:cs="Arial"/>
          <w:sz w:val="22"/>
          <w:szCs w:val="22"/>
        </w:rPr>
        <w:t xml:space="preserve">, 63, 362 - 363. </w:t>
      </w:r>
      <w:hyperlink r:id="rId25" w:history="1">
        <w:r w:rsidRPr="00D86A64">
          <w:rPr>
            <w:rStyle w:val="Hyperlink"/>
            <w:rFonts w:ascii="Arial" w:hAnsi="Arial" w:cs="Arial"/>
            <w:sz w:val="22"/>
            <w:szCs w:val="22"/>
          </w:rPr>
          <w:t>https://doi.org/10.1080/0312407x.2010.500651</w:t>
        </w:r>
      </w:hyperlink>
      <w:r w:rsidRPr="00D86A64">
        <w:rPr>
          <w:rFonts w:ascii="Arial" w:hAnsi="Arial" w:cs="Arial"/>
          <w:sz w:val="22"/>
          <w:szCs w:val="22"/>
        </w:rPr>
        <w:t>.</w:t>
      </w:r>
    </w:p>
    <w:p w14:paraId="5009C569"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Testa, M.F. and Poertner, J., 2010. Child welfare in the twenty-first century. </w:t>
      </w:r>
      <w:r w:rsidRPr="00D86A64">
        <w:rPr>
          <w:rFonts w:ascii="Arial" w:hAnsi="Arial" w:cs="Arial"/>
          <w:i/>
          <w:iCs/>
          <w:sz w:val="22"/>
          <w:szCs w:val="22"/>
        </w:rPr>
        <w:t>Fostering accountability: Using evidence to guide and improve child welfare policy</w:t>
      </w:r>
      <w:r w:rsidRPr="00D86A64">
        <w:rPr>
          <w:rFonts w:ascii="Arial" w:hAnsi="Arial" w:cs="Arial"/>
          <w:sz w:val="22"/>
          <w:szCs w:val="22"/>
        </w:rPr>
        <w:t>, p.35.</w:t>
      </w:r>
    </w:p>
    <w:p w14:paraId="21E726FC"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 xml:space="preserve">Together Trust (2025) </w:t>
      </w:r>
      <w:r w:rsidRPr="00D86A64">
        <w:rPr>
          <w:rFonts w:ascii="Arial" w:hAnsi="Arial" w:cs="Arial"/>
          <w:i/>
          <w:iCs/>
          <w:sz w:val="22"/>
          <w:szCs w:val="22"/>
        </w:rPr>
        <w:t>Children’s Residential Support Worker (RSCW) job advertisement</w:t>
      </w:r>
      <w:r w:rsidRPr="00D86A64">
        <w:rPr>
          <w:rFonts w:ascii="Arial" w:hAnsi="Arial" w:cs="Arial"/>
          <w:sz w:val="22"/>
          <w:szCs w:val="22"/>
        </w:rPr>
        <w:t xml:space="preserve">. Available at: </w:t>
      </w:r>
      <w:hyperlink r:id="rId26" w:tgtFrame="_new" w:history="1">
        <w:r w:rsidRPr="00D86A64">
          <w:rPr>
            <w:rStyle w:val="Hyperlink"/>
            <w:rFonts w:ascii="Arial" w:hAnsi="Arial" w:cs="Arial"/>
            <w:sz w:val="22"/>
            <w:szCs w:val="22"/>
          </w:rPr>
          <w:t>https://careers.togethertrust.org.uk/jobs/job/Childrens-Residential-Support-Worker-RSCW/334</w:t>
        </w:r>
      </w:hyperlink>
      <w:r w:rsidRPr="00D86A64">
        <w:rPr>
          <w:rFonts w:ascii="Arial" w:hAnsi="Arial" w:cs="Arial"/>
          <w:sz w:val="22"/>
          <w:szCs w:val="22"/>
        </w:rPr>
        <w:t xml:space="preserve"> (Accessed: 12 June 2025).</w:t>
      </w:r>
    </w:p>
    <w:p w14:paraId="3BCF6338" w14:textId="77777777" w:rsidR="00FB3E21" w:rsidRPr="00D86A64" w:rsidRDefault="00FB3E21" w:rsidP="00FB3E21">
      <w:pPr>
        <w:spacing w:line="360" w:lineRule="auto"/>
        <w:ind w:left="720" w:hanging="720"/>
        <w:jc w:val="both"/>
        <w:rPr>
          <w:rFonts w:ascii="Arial" w:hAnsi="Arial" w:cs="Arial"/>
          <w:sz w:val="22"/>
          <w:szCs w:val="22"/>
        </w:rPr>
      </w:pPr>
      <w:r w:rsidRPr="00D86A64">
        <w:rPr>
          <w:rFonts w:ascii="Arial" w:hAnsi="Arial" w:cs="Arial"/>
          <w:sz w:val="22"/>
          <w:szCs w:val="22"/>
        </w:rPr>
        <w:t xml:space="preserve">University of Hull Library (2025) </w:t>
      </w:r>
      <w:r w:rsidRPr="00D86A64">
        <w:rPr>
          <w:rFonts w:ascii="Arial" w:hAnsi="Arial" w:cs="Arial"/>
          <w:i/>
          <w:iCs/>
          <w:sz w:val="22"/>
          <w:szCs w:val="22"/>
        </w:rPr>
        <w:t>Reflective writing: the ERA cycle</w:t>
      </w:r>
      <w:r w:rsidRPr="00D86A64">
        <w:rPr>
          <w:rFonts w:ascii="Arial" w:hAnsi="Arial" w:cs="Arial"/>
          <w:sz w:val="22"/>
          <w:szCs w:val="22"/>
        </w:rPr>
        <w:t xml:space="preserve">. Available at: </w:t>
      </w:r>
      <w:hyperlink r:id="rId27" w:tgtFrame="_new" w:history="1">
        <w:r w:rsidRPr="00D86A64">
          <w:rPr>
            <w:rStyle w:val="Hyperlink"/>
            <w:rFonts w:ascii="Arial" w:hAnsi="Arial" w:cs="Arial"/>
            <w:sz w:val="22"/>
            <w:szCs w:val="22"/>
          </w:rPr>
          <w:t>https://libguides.hull.ac.uk/reflectivewriting/era</w:t>
        </w:r>
      </w:hyperlink>
      <w:r w:rsidRPr="00D86A64">
        <w:rPr>
          <w:rFonts w:ascii="Arial" w:hAnsi="Arial" w:cs="Arial"/>
          <w:sz w:val="22"/>
          <w:szCs w:val="22"/>
        </w:rPr>
        <w:t xml:space="preserve"> (Accessed: 12 June 2025).</w:t>
      </w:r>
    </w:p>
    <w:sectPr w:rsidR="00FB3E21" w:rsidRPr="00D86A64">
      <w:head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87DEE7" w14:textId="77777777" w:rsidR="00151494" w:rsidRDefault="00151494" w:rsidP="006A03F0">
      <w:pPr>
        <w:spacing w:after="0" w:line="240" w:lineRule="auto"/>
      </w:pPr>
      <w:r>
        <w:separator/>
      </w:r>
    </w:p>
  </w:endnote>
  <w:endnote w:type="continuationSeparator" w:id="0">
    <w:p w14:paraId="23813F67" w14:textId="77777777" w:rsidR="00151494" w:rsidRDefault="00151494" w:rsidP="006A03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59E9E" w14:textId="77777777" w:rsidR="00151494" w:rsidRDefault="00151494" w:rsidP="006A03F0">
      <w:pPr>
        <w:spacing w:after="0" w:line="240" w:lineRule="auto"/>
      </w:pPr>
      <w:r>
        <w:separator/>
      </w:r>
    </w:p>
  </w:footnote>
  <w:footnote w:type="continuationSeparator" w:id="0">
    <w:p w14:paraId="0842533C" w14:textId="77777777" w:rsidR="00151494" w:rsidRDefault="00151494" w:rsidP="006A03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6133105"/>
      <w:docPartObj>
        <w:docPartGallery w:val="Page Numbers (Top of Page)"/>
        <w:docPartUnique/>
      </w:docPartObj>
    </w:sdtPr>
    <w:sdtEndPr>
      <w:rPr>
        <w:noProof/>
      </w:rPr>
    </w:sdtEndPr>
    <w:sdtContent>
      <w:p w14:paraId="25692364" w14:textId="2CFF0E58" w:rsidR="006A03F0" w:rsidRDefault="006A03F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978A10" w14:textId="77777777" w:rsidR="006A03F0" w:rsidRDefault="006A03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53B"/>
    <w:rsid w:val="00151494"/>
    <w:rsid w:val="00177E00"/>
    <w:rsid w:val="00180112"/>
    <w:rsid w:val="00496403"/>
    <w:rsid w:val="004E3501"/>
    <w:rsid w:val="005C293E"/>
    <w:rsid w:val="00646B64"/>
    <w:rsid w:val="006A03F0"/>
    <w:rsid w:val="007602BA"/>
    <w:rsid w:val="007E3074"/>
    <w:rsid w:val="008746E0"/>
    <w:rsid w:val="008A1372"/>
    <w:rsid w:val="008F0B8C"/>
    <w:rsid w:val="00914532"/>
    <w:rsid w:val="00924958"/>
    <w:rsid w:val="00934D8F"/>
    <w:rsid w:val="009C2AAA"/>
    <w:rsid w:val="009D0459"/>
    <w:rsid w:val="00A069CE"/>
    <w:rsid w:val="00A46477"/>
    <w:rsid w:val="00A637A7"/>
    <w:rsid w:val="00A709C5"/>
    <w:rsid w:val="00BD3BF6"/>
    <w:rsid w:val="00C106BA"/>
    <w:rsid w:val="00C17C8A"/>
    <w:rsid w:val="00C742DE"/>
    <w:rsid w:val="00D86A64"/>
    <w:rsid w:val="00DD153B"/>
    <w:rsid w:val="00ED6F3B"/>
    <w:rsid w:val="00FB3E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34EE5"/>
  <w15:chartTrackingRefBased/>
  <w15:docId w15:val="{8C02BD1A-69C3-469C-98DC-5566F6904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3F0"/>
    <w:pPr>
      <w:spacing w:line="360" w:lineRule="auto"/>
      <w:jc w:val="both"/>
      <w:outlineLvl w:val="0"/>
    </w:pPr>
    <w:rPr>
      <w:rFonts w:ascii="Arial" w:hAnsi="Arial" w:cs="Arial"/>
      <w:b/>
      <w:bCs/>
      <w:sz w:val="22"/>
      <w:szCs w:val="22"/>
    </w:rPr>
  </w:style>
  <w:style w:type="paragraph" w:styleId="Heading2">
    <w:name w:val="heading 2"/>
    <w:basedOn w:val="Normal"/>
    <w:next w:val="Normal"/>
    <w:link w:val="Heading2Char"/>
    <w:uiPriority w:val="9"/>
    <w:unhideWhenUsed/>
    <w:qFormat/>
    <w:rsid w:val="006A03F0"/>
    <w:pPr>
      <w:spacing w:line="360" w:lineRule="auto"/>
      <w:jc w:val="both"/>
      <w:outlineLvl w:val="1"/>
    </w:pPr>
    <w:rPr>
      <w:rFonts w:ascii="Arial" w:hAnsi="Arial" w:cs="Arial"/>
      <w:b/>
      <w:bCs/>
      <w:sz w:val="22"/>
      <w:szCs w:val="22"/>
    </w:rPr>
  </w:style>
  <w:style w:type="paragraph" w:styleId="Heading3">
    <w:name w:val="heading 3"/>
    <w:basedOn w:val="Normal"/>
    <w:next w:val="Normal"/>
    <w:link w:val="Heading3Char"/>
    <w:uiPriority w:val="9"/>
    <w:unhideWhenUsed/>
    <w:qFormat/>
    <w:rsid w:val="006A03F0"/>
    <w:pPr>
      <w:spacing w:line="360" w:lineRule="auto"/>
      <w:jc w:val="both"/>
      <w:outlineLvl w:val="2"/>
    </w:pPr>
    <w:rPr>
      <w:rFonts w:ascii="Arial" w:hAnsi="Arial" w:cs="Arial"/>
      <w:i/>
      <w:iCs/>
      <w:sz w:val="22"/>
      <w:szCs w:val="22"/>
    </w:rPr>
  </w:style>
  <w:style w:type="paragraph" w:styleId="Heading4">
    <w:name w:val="heading 4"/>
    <w:basedOn w:val="Normal"/>
    <w:next w:val="Normal"/>
    <w:link w:val="Heading4Char"/>
    <w:uiPriority w:val="9"/>
    <w:semiHidden/>
    <w:unhideWhenUsed/>
    <w:qFormat/>
    <w:rsid w:val="00DD15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15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15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15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15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15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3F0"/>
    <w:rPr>
      <w:rFonts w:ascii="Arial" w:hAnsi="Arial" w:cs="Arial"/>
      <w:b/>
      <w:bCs/>
      <w:sz w:val="22"/>
      <w:szCs w:val="22"/>
    </w:rPr>
  </w:style>
  <w:style w:type="character" w:customStyle="1" w:styleId="Heading2Char">
    <w:name w:val="Heading 2 Char"/>
    <w:basedOn w:val="DefaultParagraphFont"/>
    <w:link w:val="Heading2"/>
    <w:uiPriority w:val="9"/>
    <w:rsid w:val="006A03F0"/>
    <w:rPr>
      <w:rFonts w:ascii="Arial" w:hAnsi="Arial" w:cs="Arial"/>
      <w:b/>
      <w:bCs/>
      <w:sz w:val="22"/>
      <w:szCs w:val="22"/>
    </w:rPr>
  </w:style>
  <w:style w:type="character" w:customStyle="1" w:styleId="Heading3Char">
    <w:name w:val="Heading 3 Char"/>
    <w:basedOn w:val="DefaultParagraphFont"/>
    <w:link w:val="Heading3"/>
    <w:uiPriority w:val="9"/>
    <w:rsid w:val="006A03F0"/>
    <w:rPr>
      <w:rFonts w:ascii="Arial" w:hAnsi="Arial" w:cs="Arial"/>
      <w:i/>
      <w:iCs/>
      <w:sz w:val="22"/>
      <w:szCs w:val="22"/>
    </w:rPr>
  </w:style>
  <w:style w:type="character" w:customStyle="1" w:styleId="Heading4Char">
    <w:name w:val="Heading 4 Char"/>
    <w:basedOn w:val="DefaultParagraphFont"/>
    <w:link w:val="Heading4"/>
    <w:uiPriority w:val="9"/>
    <w:semiHidden/>
    <w:rsid w:val="00DD15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15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15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15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15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153B"/>
    <w:rPr>
      <w:rFonts w:eastAsiaTheme="majorEastAsia" w:cstheme="majorBidi"/>
      <w:color w:val="272727" w:themeColor="text1" w:themeTint="D8"/>
    </w:rPr>
  </w:style>
  <w:style w:type="paragraph" w:styleId="Title">
    <w:name w:val="Title"/>
    <w:basedOn w:val="Normal"/>
    <w:next w:val="Normal"/>
    <w:link w:val="TitleChar"/>
    <w:uiPriority w:val="10"/>
    <w:qFormat/>
    <w:rsid w:val="00DD15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5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15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15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153B"/>
    <w:pPr>
      <w:spacing w:before="160"/>
      <w:jc w:val="center"/>
    </w:pPr>
    <w:rPr>
      <w:i/>
      <w:iCs/>
      <w:color w:val="404040" w:themeColor="text1" w:themeTint="BF"/>
    </w:rPr>
  </w:style>
  <w:style w:type="character" w:customStyle="1" w:styleId="QuoteChar">
    <w:name w:val="Quote Char"/>
    <w:basedOn w:val="DefaultParagraphFont"/>
    <w:link w:val="Quote"/>
    <w:uiPriority w:val="29"/>
    <w:rsid w:val="00DD153B"/>
    <w:rPr>
      <w:i/>
      <w:iCs/>
      <w:color w:val="404040" w:themeColor="text1" w:themeTint="BF"/>
    </w:rPr>
  </w:style>
  <w:style w:type="paragraph" w:styleId="ListParagraph">
    <w:name w:val="List Paragraph"/>
    <w:basedOn w:val="Normal"/>
    <w:uiPriority w:val="34"/>
    <w:qFormat/>
    <w:rsid w:val="00DD153B"/>
    <w:pPr>
      <w:ind w:left="720"/>
      <w:contextualSpacing/>
    </w:pPr>
  </w:style>
  <w:style w:type="character" w:styleId="IntenseEmphasis">
    <w:name w:val="Intense Emphasis"/>
    <w:basedOn w:val="DefaultParagraphFont"/>
    <w:uiPriority w:val="21"/>
    <w:qFormat/>
    <w:rsid w:val="00DD153B"/>
    <w:rPr>
      <w:i/>
      <w:iCs/>
      <w:color w:val="0F4761" w:themeColor="accent1" w:themeShade="BF"/>
    </w:rPr>
  </w:style>
  <w:style w:type="paragraph" w:styleId="IntenseQuote">
    <w:name w:val="Intense Quote"/>
    <w:basedOn w:val="Normal"/>
    <w:next w:val="Normal"/>
    <w:link w:val="IntenseQuoteChar"/>
    <w:uiPriority w:val="30"/>
    <w:qFormat/>
    <w:rsid w:val="00DD15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153B"/>
    <w:rPr>
      <w:i/>
      <w:iCs/>
      <w:color w:val="0F4761" w:themeColor="accent1" w:themeShade="BF"/>
    </w:rPr>
  </w:style>
  <w:style w:type="character" w:styleId="IntenseReference">
    <w:name w:val="Intense Reference"/>
    <w:basedOn w:val="DefaultParagraphFont"/>
    <w:uiPriority w:val="32"/>
    <w:qFormat/>
    <w:rsid w:val="00DD153B"/>
    <w:rPr>
      <w:b/>
      <w:bCs/>
      <w:smallCaps/>
      <w:color w:val="0F4761" w:themeColor="accent1" w:themeShade="BF"/>
      <w:spacing w:val="5"/>
    </w:rPr>
  </w:style>
  <w:style w:type="character" w:styleId="Hyperlink">
    <w:name w:val="Hyperlink"/>
    <w:basedOn w:val="DefaultParagraphFont"/>
    <w:uiPriority w:val="99"/>
    <w:unhideWhenUsed/>
    <w:rsid w:val="00DD153B"/>
    <w:rPr>
      <w:color w:val="467886" w:themeColor="hyperlink"/>
      <w:u w:val="single"/>
    </w:rPr>
  </w:style>
  <w:style w:type="character" w:styleId="UnresolvedMention">
    <w:name w:val="Unresolved Mention"/>
    <w:basedOn w:val="DefaultParagraphFont"/>
    <w:uiPriority w:val="99"/>
    <w:semiHidden/>
    <w:unhideWhenUsed/>
    <w:rsid w:val="00DD153B"/>
    <w:rPr>
      <w:color w:val="605E5C"/>
      <w:shd w:val="clear" w:color="auto" w:fill="E1DFDD"/>
    </w:rPr>
  </w:style>
  <w:style w:type="paragraph" w:styleId="Header">
    <w:name w:val="header"/>
    <w:basedOn w:val="Normal"/>
    <w:link w:val="HeaderChar"/>
    <w:uiPriority w:val="99"/>
    <w:unhideWhenUsed/>
    <w:rsid w:val="006A03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03F0"/>
  </w:style>
  <w:style w:type="paragraph" w:styleId="Footer">
    <w:name w:val="footer"/>
    <w:basedOn w:val="Normal"/>
    <w:link w:val="FooterChar"/>
    <w:uiPriority w:val="99"/>
    <w:unhideWhenUsed/>
    <w:rsid w:val="006A03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03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3.png"/><Relationship Id="rId18" Type="http://schemas.openxmlformats.org/officeDocument/2006/relationships/hyperlink" Target="https://doi.org/10.1177/1043454218765136" TargetMode="External"/><Relationship Id="rId26" Type="http://schemas.openxmlformats.org/officeDocument/2006/relationships/hyperlink" Target="https://careers.togethertrust.org.uk/jobs/job/Childrens-Residential-Support-Worker-RSCW/334" TargetMode="External"/><Relationship Id="rId3" Type="http://schemas.openxmlformats.org/officeDocument/2006/relationships/webSettings" Target="webSettings.xml"/><Relationship Id="rId21" Type="http://schemas.openxmlformats.org/officeDocument/2006/relationships/hyperlink" Target="https://doi.org/10.1136/bmjopen-2020-038790" TargetMode="External"/><Relationship Id="rId7" Type="http://schemas.openxmlformats.org/officeDocument/2006/relationships/diagramData" Target="diagrams/data1.xml"/><Relationship Id="rId12" Type="http://schemas.openxmlformats.org/officeDocument/2006/relationships/image" Target="media/image2.tmp"/><Relationship Id="rId17" Type="http://schemas.openxmlformats.org/officeDocument/2006/relationships/hyperlink" Target="https://doi.org/10.46594/2687-0037_2024_3_1967" TargetMode="External"/><Relationship Id="rId25" Type="http://schemas.openxmlformats.org/officeDocument/2006/relationships/hyperlink" Target="https://doi.org/10.1080/0312407x.2010.500651" TargetMode="External"/><Relationship Id="rId2" Type="http://schemas.openxmlformats.org/officeDocument/2006/relationships/settings" Target="settings.xml"/><Relationship Id="rId16" Type="http://schemas.openxmlformats.org/officeDocument/2006/relationships/hyperlink" Target="https://doi.org/10.1016/j.profnurs.2006.03.002" TargetMode="External"/><Relationship Id="rId20" Type="http://schemas.openxmlformats.org/officeDocument/2006/relationships/hyperlink" Target="https://doi.org/10.1080/13561820.2025.2495018"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microsoft.com/office/2007/relationships/diagramDrawing" Target="diagrams/drawing1.xml"/><Relationship Id="rId24" Type="http://schemas.openxmlformats.org/officeDocument/2006/relationships/hyperlink" Target="https://doi.org/10.3390/healthcare8010026" TargetMode="External"/><Relationship Id="rId5" Type="http://schemas.openxmlformats.org/officeDocument/2006/relationships/endnotes" Target="endnotes.xml"/><Relationship Id="rId15" Type="http://schemas.openxmlformats.org/officeDocument/2006/relationships/hyperlink" Target="https://doi.org/10.1016/j.pec.2022.08.004" TargetMode="External"/><Relationship Id="rId23" Type="http://schemas.openxmlformats.org/officeDocument/2006/relationships/hyperlink" Target="https://doi.org/10.5937/pomc20-44696" TargetMode="External"/><Relationship Id="rId28" Type="http://schemas.openxmlformats.org/officeDocument/2006/relationships/header" Target="header1.xml"/><Relationship Id="rId10" Type="http://schemas.openxmlformats.org/officeDocument/2006/relationships/diagramColors" Target="diagrams/colors1.xml"/><Relationship Id="rId19" Type="http://schemas.openxmlformats.org/officeDocument/2006/relationships/hyperlink" Target="https://doi.org/10.1080/09503153.2017.1414136" TargetMode="External"/><Relationship Id="rId4" Type="http://schemas.openxmlformats.org/officeDocument/2006/relationships/footnotes" Target="footnotes.xml"/><Relationship Id="rId9" Type="http://schemas.openxmlformats.org/officeDocument/2006/relationships/diagramQuickStyle" Target="diagrams/quickStyle1.xml"/><Relationship Id="rId14" Type="http://schemas.openxmlformats.org/officeDocument/2006/relationships/hyperlink" Target="https://doi.org/10.1186/s41077-025-00356-0" TargetMode="External"/><Relationship Id="rId22" Type="http://schemas.openxmlformats.org/officeDocument/2006/relationships/hyperlink" Target="https://doi.org/10.1111/nhs.12804" TargetMode="External"/><Relationship Id="rId27" Type="http://schemas.openxmlformats.org/officeDocument/2006/relationships/hyperlink" Target="https://libguides.hull.ac.uk/reflectivewriting/era" TargetMode="Externa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1B2FDB-B10A-4945-9C3A-006487B9CD0B}"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US"/>
        </a:p>
      </dgm:t>
    </dgm:pt>
    <dgm:pt modelId="{4DF1A251-8890-4ECD-9FE4-2AB4DF941D25}">
      <dgm:prSet phldrT="[Text]" custT="1"/>
      <dgm:spPr/>
      <dgm:t>
        <a:bodyPr/>
        <a:lstStyle/>
        <a:p>
          <a:r>
            <a:rPr lang="en-US" sz="1100">
              <a:latin typeface="Arial" panose="020B0604020202020204" pitchFamily="34" charset="0"/>
              <a:cs typeface="Arial" panose="020B0604020202020204" pitchFamily="34" charset="0"/>
            </a:rPr>
            <a:t>Communication </a:t>
          </a:r>
        </a:p>
      </dgm:t>
    </dgm:pt>
    <dgm:pt modelId="{604DD328-A030-40C2-B6DD-85593639E655}" type="parTrans" cxnId="{7E459E29-102A-4E52-AE1C-B1FF70282AE4}">
      <dgm:prSet/>
      <dgm:spPr/>
      <dgm:t>
        <a:bodyPr/>
        <a:lstStyle/>
        <a:p>
          <a:endParaRPr lang="en-US"/>
        </a:p>
      </dgm:t>
    </dgm:pt>
    <dgm:pt modelId="{B786B935-726D-45A6-BE00-514EDA2B8F64}" type="sibTrans" cxnId="{7E459E29-102A-4E52-AE1C-B1FF70282AE4}">
      <dgm:prSet/>
      <dgm:spPr/>
      <dgm:t>
        <a:bodyPr/>
        <a:lstStyle/>
        <a:p>
          <a:endParaRPr lang="en-US"/>
        </a:p>
      </dgm:t>
    </dgm:pt>
    <dgm:pt modelId="{1AC9F998-35D3-496C-8B95-2ACFE7D24300}">
      <dgm:prSet custT="1"/>
      <dgm:spPr/>
      <dgm:t>
        <a:bodyPr/>
        <a:lstStyle/>
        <a:p>
          <a:r>
            <a:rPr lang="en-US" sz="1100">
              <a:latin typeface="Arial" panose="020B0604020202020204" pitchFamily="34" charset="0"/>
              <a:cs typeface="Arial" panose="020B0604020202020204" pitchFamily="34" charset="0"/>
            </a:rPr>
            <a:t>Protecting Awareness </a:t>
          </a:r>
        </a:p>
      </dgm:t>
    </dgm:pt>
    <dgm:pt modelId="{DB4EB988-0320-4D0A-8EE4-F2A30E70FF99}" type="parTrans" cxnId="{7686420F-00D6-4DFC-9123-3061CFFE5810}">
      <dgm:prSet/>
      <dgm:spPr/>
      <dgm:t>
        <a:bodyPr/>
        <a:lstStyle/>
        <a:p>
          <a:endParaRPr lang="en-US"/>
        </a:p>
      </dgm:t>
    </dgm:pt>
    <dgm:pt modelId="{8FF62A91-6EC5-490B-9F19-BD71EBDEE339}" type="sibTrans" cxnId="{7686420F-00D6-4DFC-9123-3061CFFE5810}">
      <dgm:prSet/>
      <dgm:spPr/>
      <dgm:t>
        <a:bodyPr/>
        <a:lstStyle/>
        <a:p>
          <a:endParaRPr lang="en-US"/>
        </a:p>
      </dgm:t>
    </dgm:pt>
    <dgm:pt modelId="{F5D863A4-E012-4DEC-A419-8D8D1C0ACF64}">
      <dgm:prSet custT="1"/>
      <dgm:spPr/>
      <dgm:t>
        <a:bodyPr/>
        <a:lstStyle/>
        <a:p>
          <a:r>
            <a:rPr lang="en-US" sz="1100">
              <a:latin typeface="Arial" panose="020B0604020202020204" pitchFamily="34" charset="0"/>
              <a:cs typeface="Arial" panose="020B0604020202020204" pitchFamily="34" charset="0"/>
            </a:rPr>
            <a:t>Teamwork </a:t>
          </a:r>
        </a:p>
      </dgm:t>
    </dgm:pt>
    <dgm:pt modelId="{9099053C-BD62-4038-8C0D-132CD90F456B}" type="parTrans" cxnId="{863FF4EE-7C11-4398-A8A4-56B3D476969B}">
      <dgm:prSet/>
      <dgm:spPr/>
      <dgm:t>
        <a:bodyPr/>
        <a:lstStyle/>
        <a:p>
          <a:endParaRPr lang="en-US"/>
        </a:p>
      </dgm:t>
    </dgm:pt>
    <dgm:pt modelId="{92911ECD-882F-4253-8DF1-E9B71646D1E9}" type="sibTrans" cxnId="{863FF4EE-7C11-4398-A8A4-56B3D476969B}">
      <dgm:prSet/>
      <dgm:spPr/>
      <dgm:t>
        <a:bodyPr/>
        <a:lstStyle/>
        <a:p>
          <a:endParaRPr lang="en-US"/>
        </a:p>
      </dgm:t>
    </dgm:pt>
    <dgm:pt modelId="{51A910CC-04B5-41C7-A3E3-1DF4E6567432}">
      <dgm:prSet custT="1"/>
      <dgm:spPr/>
      <dgm:t>
        <a:bodyPr/>
        <a:lstStyle/>
        <a:p>
          <a:r>
            <a:rPr lang="en-US" sz="1100">
              <a:latin typeface="Arial" panose="020B0604020202020204" pitchFamily="34" charset="0"/>
              <a:cs typeface="Arial" panose="020B0604020202020204" pitchFamily="34" charset="0"/>
            </a:rPr>
            <a:t>Emotional Resilience</a:t>
          </a:r>
        </a:p>
      </dgm:t>
    </dgm:pt>
    <dgm:pt modelId="{84842AB0-73F2-4620-AB33-E66184B340B6}" type="parTrans" cxnId="{29B7C456-AC47-47DF-9ED2-E43A02AC395D}">
      <dgm:prSet/>
      <dgm:spPr/>
      <dgm:t>
        <a:bodyPr/>
        <a:lstStyle/>
        <a:p>
          <a:endParaRPr lang="en-US"/>
        </a:p>
      </dgm:t>
    </dgm:pt>
    <dgm:pt modelId="{C3CF5E0C-07F1-4BB1-BA88-B4718071A2ED}" type="sibTrans" cxnId="{29B7C456-AC47-47DF-9ED2-E43A02AC395D}">
      <dgm:prSet/>
      <dgm:spPr/>
      <dgm:t>
        <a:bodyPr/>
        <a:lstStyle/>
        <a:p>
          <a:endParaRPr lang="en-US"/>
        </a:p>
      </dgm:t>
    </dgm:pt>
    <dgm:pt modelId="{212A8E26-0A82-4F79-864F-18C468C504F2}" type="pres">
      <dgm:prSet presAssocID="{FD1B2FDB-B10A-4945-9C3A-006487B9CD0B}" presName="Name0" presStyleCnt="0">
        <dgm:presLayoutVars>
          <dgm:dir/>
          <dgm:resizeHandles val="exact"/>
        </dgm:presLayoutVars>
      </dgm:prSet>
      <dgm:spPr/>
    </dgm:pt>
    <dgm:pt modelId="{0BE5D522-1A67-4BC2-A673-B125A38CEF6C}" type="pres">
      <dgm:prSet presAssocID="{4DF1A251-8890-4ECD-9FE4-2AB4DF941D25}" presName="node" presStyleLbl="node1" presStyleIdx="0" presStyleCnt="4">
        <dgm:presLayoutVars>
          <dgm:bulletEnabled val="1"/>
        </dgm:presLayoutVars>
      </dgm:prSet>
      <dgm:spPr/>
    </dgm:pt>
    <dgm:pt modelId="{3C79F435-7635-4D07-BB37-FDD3943F8ACB}" type="pres">
      <dgm:prSet presAssocID="{B786B935-726D-45A6-BE00-514EDA2B8F64}" presName="sibTrans" presStyleLbl="sibTrans2D1" presStyleIdx="0" presStyleCnt="4"/>
      <dgm:spPr/>
    </dgm:pt>
    <dgm:pt modelId="{E0C8D672-7A89-412A-A040-042C1CC1A49D}" type="pres">
      <dgm:prSet presAssocID="{B786B935-726D-45A6-BE00-514EDA2B8F64}" presName="connectorText" presStyleLbl="sibTrans2D1" presStyleIdx="0" presStyleCnt="4"/>
      <dgm:spPr/>
    </dgm:pt>
    <dgm:pt modelId="{9B01A576-806F-41C6-9B8C-3E8FEBACECE0}" type="pres">
      <dgm:prSet presAssocID="{1AC9F998-35D3-496C-8B95-2ACFE7D24300}" presName="node" presStyleLbl="node1" presStyleIdx="1" presStyleCnt="4">
        <dgm:presLayoutVars>
          <dgm:bulletEnabled val="1"/>
        </dgm:presLayoutVars>
      </dgm:prSet>
      <dgm:spPr/>
    </dgm:pt>
    <dgm:pt modelId="{58EB4FDF-7F0D-4AB2-9662-454ACE1534E3}" type="pres">
      <dgm:prSet presAssocID="{8FF62A91-6EC5-490B-9F19-BD71EBDEE339}" presName="sibTrans" presStyleLbl="sibTrans2D1" presStyleIdx="1" presStyleCnt="4"/>
      <dgm:spPr/>
    </dgm:pt>
    <dgm:pt modelId="{C658D65C-318B-46AB-8AC7-DEE8326F3782}" type="pres">
      <dgm:prSet presAssocID="{8FF62A91-6EC5-490B-9F19-BD71EBDEE339}" presName="connectorText" presStyleLbl="sibTrans2D1" presStyleIdx="1" presStyleCnt="4"/>
      <dgm:spPr/>
    </dgm:pt>
    <dgm:pt modelId="{E0A2C786-B6F3-4344-9546-62CC95F549B0}" type="pres">
      <dgm:prSet presAssocID="{F5D863A4-E012-4DEC-A419-8D8D1C0ACF64}" presName="node" presStyleLbl="node1" presStyleIdx="2" presStyleCnt="4">
        <dgm:presLayoutVars>
          <dgm:bulletEnabled val="1"/>
        </dgm:presLayoutVars>
      </dgm:prSet>
      <dgm:spPr/>
    </dgm:pt>
    <dgm:pt modelId="{F3842F12-22D2-4942-8078-6BC95C6D7CCB}" type="pres">
      <dgm:prSet presAssocID="{92911ECD-882F-4253-8DF1-E9B71646D1E9}" presName="sibTrans" presStyleLbl="sibTrans2D1" presStyleIdx="2" presStyleCnt="4"/>
      <dgm:spPr/>
    </dgm:pt>
    <dgm:pt modelId="{690C047D-40B7-44B6-9409-B4E070101090}" type="pres">
      <dgm:prSet presAssocID="{92911ECD-882F-4253-8DF1-E9B71646D1E9}" presName="connectorText" presStyleLbl="sibTrans2D1" presStyleIdx="2" presStyleCnt="4"/>
      <dgm:spPr/>
    </dgm:pt>
    <dgm:pt modelId="{39A9AA32-A8F0-46D8-9112-CD1F5DD7FDF9}" type="pres">
      <dgm:prSet presAssocID="{51A910CC-04B5-41C7-A3E3-1DF4E6567432}" presName="node" presStyleLbl="node1" presStyleIdx="3" presStyleCnt="4">
        <dgm:presLayoutVars>
          <dgm:bulletEnabled val="1"/>
        </dgm:presLayoutVars>
      </dgm:prSet>
      <dgm:spPr/>
    </dgm:pt>
    <dgm:pt modelId="{521DFFD6-56DF-40CA-828F-7352E0DBC572}" type="pres">
      <dgm:prSet presAssocID="{C3CF5E0C-07F1-4BB1-BA88-B4718071A2ED}" presName="sibTrans" presStyleLbl="sibTrans2D1" presStyleIdx="3" presStyleCnt="4"/>
      <dgm:spPr/>
    </dgm:pt>
    <dgm:pt modelId="{2AAE70DF-2D4C-4508-A393-926A9F7B68F3}" type="pres">
      <dgm:prSet presAssocID="{C3CF5E0C-07F1-4BB1-BA88-B4718071A2ED}" presName="connectorText" presStyleLbl="sibTrans2D1" presStyleIdx="3" presStyleCnt="4"/>
      <dgm:spPr/>
    </dgm:pt>
  </dgm:ptLst>
  <dgm:cxnLst>
    <dgm:cxn modelId="{96FBD006-981B-422C-93FF-0B9A9E097CE8}" type="presOf" srcId="{C3CF5E0C-07F1-4BB1-BA88-B4718071A2ED}" destId="{2AAE70DF-2D4C-4508-A393-926A9F7B68F3}" srcOrd="1" destOrd="0" presId="urn:microsoft.com/office/officeart/2005/8/layout/cycle7"/>
    <dgm:cxn modelId="{7686420F-00D6-4DFC-9123-3061CFFE5810}" srcId="{FD1B2FDB-B10A-4945-9C3A-006487B9CD0B}" destId="{1AC9F998-35D3-496C-8B95-2ACFE7D24300}" srcOrd="1" destOrd="0" parTransId="{DB4EB988-0320-4D0A-8EE4-F2A30E70FF99}" sibTransId="{8FF62A91-6EC5-490B-9F19-BD71EBDEE339}"/>
    <dgm:cxn modelId="{D9371B28-4E2B-4384-8148-AA46EC95E106}" type="presOf" srcId="{F5D863A4-E012-4DEC-A419-8D8D1C0ACF64}" destId="{E0A2C786-B6F3-4344-9546-62CC95F549B0}" srcOrd="0" destOrd="0" presId="urn:microsoft.com/office/officeart/2005/8/layout/cycle7"/>
    <dgm:cxn modelId="{7E459E29-102A-4E52-AE1C-B1FF70282AE4}" srcId="{FD1B2FDB-B10A-4945-9C3A-006487B9CD0B}" destId="{4DF1A251-8890-4ECD-9FE4-2AB4DF941D25}" srcOrd="0" destOrd="0" parTransId="{604DD328-A030-40C2-B6DD-85593639E655}" sibTransId="{B786B935-726D-45A6-BE00-514EDA2B8F64}"/>
    <dgm:cxn modelId="{2565752B-54C6-4995-BCF1-35228D3D2FBC}" type="presOf" srcId="{B786B935-726D-45A6-BE00-514EDA2B8F64}" destId="{3C79F435-7635-4D07-BB37-FDD3943F8ACB}" srcOrd="0" destOrd="0" presId="urn:microsoft.com/office/officeart/2005/8/layout/cycle7"/>
    <dgm:cxn modelId="{CF46392C-339D-4D01-84A1-D7B5D7CE3869}" type="presOf" srcId="{1AC9F998-35D3-496C-8B95-2ACFE7D24300}" destId="{9B01A576-806F-41C6-9B8C-3E8FEBACECE0}" srcOrd="0" destOrd="0" presId="urn:microsoft.com/office/officeart/2005/8/layout/cycle7"/>
    <dgm:cxn modelId="{7B8DE33D-8736-4F83-BD74-154D6CFDC517}" type="presOf" srcId="{8FF62A91-6EC5-490B-9F19-BD71EBDEE339}" destId="{C658D65C-318B-46AB-8AC7-DEE8326F3782}" srcOrd="1" destOrd="0" presId="urn:microsoft.com/office/officeart/2005/8/layout/cycle7"/>
    <dgm:cxn modelId="{8E2FF04D-5408-417F-9713-AED45863AE78}" type="presOf" srcId="{8FF62A91-6EC5-490B-9F19-BD71EBDEE339}" destId="{58EB4FDF-7F0D-4AB2-9662-454ACE1534E3}" srcOrd="0" destOrd="0" presId="urn:microsoft.com/office/officeart/2005/8/layout/cycle7"/>
    <dgm:cxn modelId="{0F7E0271-4F76-4BE8-8DF6-5F52107FC45C}" type="presOf" srcId="{51A910CC-04B5-41C7-A3E3-1DF4E6567432}" destId="{39A9AA32-A8F0-46D8-9112-CD1F5DD7FDF9}" srcOrd="0" destOrd="0" presId="urn:microsoft.com/office/officeart/2005/8/layout/cycle7"/>
    <dgm:cxn modelId="{2F3AF371-4C47-49A2-91AF-950DC875A2D3}" type="presOf" srcId="{C3CF5E0C-07F1-4BB1-BA88-B4718071A2ED}" destId="{521DFFD6-56DF-40CA-828F-7352E0DBC572}" srcOrd="0" destOrd="0" presId="urn:microsoft.com/office/officeart/2005/8/layout/cycle7"/>
    <dgm:cxn modelId="{29B7C456-AC47-47DF-9ED2-E43A02AC395D}" srcId="{FD1B2FDB-B10A-4945-9C3A-006487B9CD0B}" destId="{51A910CC-04B5-41C7-A3E3-1DF4E6567432}" srcOrd="3" destOrd="0" parTransId="{84842AB0-73F2-4620-AB33-E66184B340B6}" sibTransId="{C3CF5E0C-07F1-4BB1-BA88-B4718071A2ED}"/>
    <dgm:cxn modelId="{CEF3DF85-A740-4A9F-BB26-C147EBA9CED2}" type="presOf" srcId="{B786B935-726D-45A6-BE00-514EDA2B8F64}" destId="{E0C8D672-7A89-412A-A040-042C1CC1A49D}" srcOrd="1" destOrd="0" presId="urn:microsoft.com/office/officeart/2005/8/layout/cycle7"/>
    <dgm:cxn modelId="{71F80599-F56A-47E9-97E4-C18F4CFDE903}" type="presOf" srcId="{92911ECD-882F-4253-8DF1-E9B71646D1E9}" destId="{690C047D-40B7-44B6-9409-B4E070101090}" srcOrd="1" destOrd="0" presId="urn:microsoft.com/office/officeart/2005/8/layout/cycle7"/>
    <dgm:cxn modelId="{4A82A2A9-360C-4BBF-A33F-C5305547BB0D}" type="presOf" srcId="{92911ECD-882F-4253-8DF1-E9B71646D1E9}" destId="{F3842F12-22D2-4942-8078-6BC95C6D7CCB}" srcOrd="0" destOrd="0" presId="urn:microsoft.com/office/officeart/2005/8/layout/cycle7"/>
    <dgm:cxn modelId="{BBCD5ABB-C6C9-4824-B7AA-DA4A31F9D65C}" type="presOf" srcId="{4DF1A251-8890-4ECD-9FE4-2AB4DF941D25}" destId="{0BE5D522-1A67-4BC2-A673-B125A38CEF6C}" srcOrd="0" destOrd="0" presId="urn:microsoft.com/office/officeart/2005/8/layout/cycle7"/>
    <dgm:cxn modelId="{F9072BC6-38B5-42CA-9D99-478BA0F541E2}" type="presOf" srcId="{FD1B2FDB-B10A-4945-9C3A-006487B9CD0B}" destId="{212A8E26-0A82-4F79-864F-18C468C504F2}" srcOrd="0" destOrd="0" presId="urn:microsoft.com/office/officeart/2005/8/layout/cycle7"/>
    <dgm:cxn modelId="{863FF4EE-7C11-4398-A8A4-56B3D476969B}" srcId="{FD1B2FDB-B10A-4945-9C3A-006487B9CD0B}" destId="{F5D863A4-E012-4DEC-A419-8D8D1C0ACF64}" srcOrd="2" destOrd="0" parTransId="{9099053C-BD62-4038-8C0D-132CD90F456B}" sibTransId="{92911ECD-882F-4253-8DF1-E9B71646D1E9}"/>
    <dgm:cxn modelId="{00801DF0-3CBB-4F46-96A0-5C5EC9D73989}" type="presParOf" srcId="{212A8E26-0A82-4F79-864F-18C468C504F2}" destId="{0BE5D522-1A67-4BC2-A673-B125A38CEF6C}" srcOrd="0" destOrd="0" presId="urn:microsoft.com/office/officeart/2005/8/layout/cycle7"/>
    <dgm:cxn modelId="{E1B50528-0851-48DC-98C1-3BB5C1C8705B}" type="presParOf" srcId="{212A8E26-0A82-4F79-864F-18C468C504F2}" destId="{3C79F435-7635-4D07-BB37-FDD3943F8ACB}" srcOrd="1" destOrd="0" presId="urn:microsoft.com/office/officeart/2005/8/layout/cycle7"/>
    <dgm:cxn modelId="{7C5FA010-3E32-4FF9-B456-C0E298011277}" type="presParOf" srcId="{3C79F435-7635-4D07-BB37-FDD3943F8ACB}" destId="{E0C8D672-7A89-412A-A040-042C1CC1A49D}" srcOrd="0" destOrd="0" presId="urn:microsoft.com/office/officeart/2005/8/layout/cycle7"/>
    <dgm:cxn modelId="{26139DA8-52C7-4DFA-8AEA-063A99549EEC}" type="presParOf" srcId="{212A8E26-0A82-4F79-864F-18C468C504F2}" destId="{9B01A576-806F-41C6-9B8C-3E8FEBACECE0}" srcOrd="2" destOrd="0" presId="urn:microsoft.com/office/officeart/2005/8/layout/cycle7"/>
    <dgm:cxn modelId="{C43E821C-02B9-40AB-845B-5BCF3B4FA50F}" type="presParOf" srcId="{212A8E26-0A82-4F79-864F-18C468C504F2}" destId="{58EB4FDF-7F0D-4AB2-9662-454ACE1534E3}" srcOrd="3" destOrd="0" presId="urn:microsoft.com/office/officeart/2005/8/layout/cycle7"/>
    <dgm:cxn modelId="{CF0EE175-9DB5-4D21-9D4A-9EA3DEB9031B}" type="presParOf" srcId="{58EB4FDF-7F0D-4AB2-9662-454ACE1534E3}" destId="{C658D65C-318B-46AB-8AC7-DEE8326F3782}" srcOrd="0" destOrd="0" presId="urn:microsoft.com/office/officeart/2005/8/layout/cycle7"/>
    <dgm:cxn modelId="{9E127C13-88D0-478D-84DE-885EEE45E6CD}" type="presParOf" srcId="{212A8E26-0A82-4F79-864F-18C468C504F2}" destId="{E0A2C786-B6F3-4344-9546-62CC95F549B0}" srcOrd="4" destOrd="0" presId="urn:microsoft.com/office/officeart/2005/8/layout/cycle7"/>
    <dgm:cxn modelId="{F32D8BBE-5307-4EA9-B0A0-CF320AF82C08}" type="presParOf" srcId="{212A8E26-0A82-4F79-864F-18C468C504F2}" destId="{F3842F12-22D2-4942-8078-6BC95C6D7CCB}" srcOrd="5" destOrd="0" presId="urn:microsoft.com/office/officeart/2005/8/layout/cycle7"/>
    <dgm:cxn modelId="{52FC5877-C999-4AB1-84D7-FAC9CFCA605C}" type="presParOf" srcId="{F3842F12-22D2-4942-8078-6BC95C6D7CCB}" destId="{690C047D-40B7-44B6-9409-B4E070101090}" srcOrd="0" destOrd="0" presId="urn:microsoft.com/office/officeart/2005/8/layout/cycle7"/>
    <dgm:cxn modelId="{4B94C15D-0618-4744-A013-0DF94244B710}" type="presParOf" srcId="{212A8E26-0A82-4F79-864F-18C468C504F2}" destId="{39A9AA32-A8F0-46D8-9112-CD1F5DD7FDF9}" srcOrd="6" destOrd="0" presId="urn:microsoft.com/office/officeart/2005/8/layout/cycle7"/>
    <dgm:cxn modelId="{A25769BB-15E9-4E9D-B57D-B9587830E61F}" type="presParOf" srcId="{212A8E26-0A82-4F79-864F-18C468C504F2}" destId="{521DFFD6-56DF-40CA-828F-7352E0DBC572}" srcOrd="7" destOrd="0" presId="urn:microsoft.com/office/officeart/2005/8/layout/cycle7"/>
    <dgm:cxn modelId="{8D3255E5-0688-42A4-8443-72D72E35EC85}" type="presParOf" srcId="{521DFFD6-56DF-40CA-828F-7352E0DBC572}" destId="{2AAE70DF-2D4C-4508-A393-926A9F7B68F3}" srcOrd="0" destOrd="0" presId="urn:microsoft.com/office/officeart/2005/8/layout/cycle7"/>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E5D522-1A67-4BC2-A673-B125A38CEF6C}">
      <dsp:nvSpPr>
        <dsp:cNvPr id="0" name=""/>
        <dsp:cNvSpPr/>
      </dsp:nvSpPr>
      <dsp:spPr>
        <a:xfrm>
          <a:off x="2375830" y="1581"/>
          <a:ext cx="1155108" cy="577554"/>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Communication </a:t>
          </a:r>
        </a:p>
      </dsp:txBody>
      <dsp:txXfrm>
        <a:off x="2392746" y="18497"/>
        <a:ext cx="1121276" cy="543722"/>
      </dsp:txXfrm>
    </dsp:sp>
    <dsp:sp modelId="{3C79F435-7635-4D07-BB37-FDD3943F8ACB}">
      <dsp:nvSpPr>
        <dsp:cNvPr id="0" name=""/>
        <dsp:cNvSpPr/>
      </dsp:nvSpPr>
      <dsp:spPr>
        <a:xfrm rot="2700000">
          <a:off x="3207216" y="744068"/>
          <a:ext cx="601899" cy="20214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267859" y="784497"/>
        <a:ext cx="480613" cy="121285"/>
      </dsp:txXfrm>
    </dsp:sp>
    <dsp:sp modelId="{9B01A576-806F-41C6-9B8C-3E8FEBACECE0}">
      <dsp:nvSpPr>
        <dsp:cNvPr id="0" name=""/>
        <dsp:cNvSpPr/>
      </dsp:nvSpPr>
      <dsp:spPr>
        <a:xfrm>
          <a:off x="3485394" y="1111144"/>
          <a:ext cx="1155108" cy="577554"/>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Protecting Awareness </a:t>
          </a:r>
        </a:p>
      </dsp:txBody>
      <dsp:txXfrm>
        <a:off x="3502310" y="1128060"/>
        <a:ext cx="1121276" cy="543722"/>
      </dsp:txXfrm>
    </dsp:sp>
    <dsp:sp modelId="{58EB4FDF-7F0D-4AB2-9662-454ACE1534E3}">
      <dsp:nvSpPr>
        <dsp:cNvPr id="0" name=""/>
        <dsp:cNvSpPr/>
      </dsp:nvSpPr>
      <dsp:spPr>
        <a:xfrm rot="8100000">
          <a:off x="3207216" y="1853631"/>
          <a:ext cx="601899" cy="20214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3267859" y="1894060"/>
        <a:ext cx="480613" cy="121285"/>
      </dsp:txXfrm>
    </dsp:sp>
    <dsp:sp modelId="{E0A2C786-B6F3-4344-9546-62CC95F549B0}">
      <dsp:nvSpPr>
        <dsp:cNvPr id="0" name=""/>
        <dsp:cNvSpPr/>
      </dsp:nvSpPr>
      <dsp:spPr>
        <a:xfrm>
          <a:off x="2375830" y="2220708"/>
          <a:ext cx="1155108" cy="577554"/>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Teamwork </a:t>
          </a:r>
        </a:p>
      </dsp:txBody>
      <dsp:txXfrm>
        <a:off x="2392746" y="2237624"/>
        <a:ext cx="1121276" cy="543722"/>
      </dsp:txXfrm>
    </dsp:sp>
    <dsp:sp modelId="{F3842F12-22D2-4942-8078-6BC95C6D7CCB}">
      <dsp:nvSpPr>
        <dsp:cNvPr id="0" name=""/>
        <dsp:cNvSpPr/>
      </dsp:nvSpPr>
      <dsp:spPr>
        <a:xfrm rot="13500000">
          <a:off x="2097653" y="1853631"/>
          <a:ext cx="601899" cy="20214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2158296" y="1894060"/>
        <a:ext cx="480613" cy="121285"/>
      </dsp:txXfrm>
    </dsp:sp>
    <dsp:sp modelId="{39A9AA32-A8F0-46D8-9112-CD1F5DD7FDF9}">
      <dsp:nvSpPr>
        <dsp:cNvPr id="0" name=""/>
        <dsp:cNvSpPr/>
      </dsp:nvSpPr>
      <dsp:spPr>
        <a:xfrm>
          <a:off x="1266267" y="1111144"/>
          <a:ext cx="1155108" cy="577554"/>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Emotional Resilience</a:t>
          </a:r>
        </a:p>
      </dsp:txBody>
      <dsp:txXfrm>
        <a:off x="1283183" y="1128060"/>
        <a:ext cx="1121276" cy="543722"/>
      </dsp:txXfrm>
    </dsp:sp>
    <dsp:sp modelId="{521DFFD6-56DF-40CA-828F-7352E0DBC572}">
      <dsp:nvSpPr>
        <dsp:cNvPr id="0" name=""/>
        <dsp:cNvSpPr/>
      </dsp:nvSpPr>
      <dsp:spPr>
        <a:xfrm rot="18900000">
          <a:off x="2097653" y="744068"/>
          <a:ext cx="601899" cy="20214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158296" y="784497"/>
        <a:ext cx="480613" cy="121285"/>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11</Pages>
  <Words>2691</Words>
  <Characters>15344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Janat Kiconco</cp:lastModifiedBy>
  <cp:revision>6</cp:revision>
  <dcterms:created xsi:type="dcterms:W3CDTF">2025-12-13T11:11:00Z</dcterms:created>
  <dcterms:modified xsi:type="dcterms:W3CDTF">2025-12-15T18:47:00Z</dcterms:modified>
</cp:coreProperties>
</file>