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6B0" w:rsidRDefault="00BF36B0" w:rsidP="00BF36B0">
      <w:pPr>
        <w:spacing w:line="360" w:lineRule="auto"/>
        <w:jc w:val="center"/>
        <w:rPr>
          <w:sz w:val="24"/>
          <w:szCs w:val="24"/>
        </w:rPr>
      </w:pPr>
      <w:r w:rsidRPr="00BF36B0">
        <w:rPr>
          <w:b/>
          <w:sz w:val="28"/>
          <w:szCs w:val="28"/>
        </w:rPr>
        <w:t xml:space="preserve">‘British society in 1914 was strongly jingoistic and showed marked enthusiasm for the outbreak of war’ (Marwick, </w:t>
      </w:r>
      <w:r w:rsidRPr="00BF36B0">
        <w:rPr>
          <w:b/>
          <w:i/>
          <w:sz w:val="28"/>
          <w:szCs w:val="28"/>
        </w:rPr>
        <w:t>The Deluge</w:t>
      </w:r>
      <w:r w:rsidRPr="00BF36B0">
        <w:rPr>
          <w:b/>
          <w:sz w:val="28"/>
          <w:szCs w:val="28"/>
        </w:rPr>
        <w:t>, 1965, p.309). Discuss the merits of this statement by Arthur Marwick. Does it truly capture the mood of the British public over war with Germany?</w:t>
      </w:r>
    </w:p>
    <w:p w:rsidR="00D02982" w:rsidRDefault="00D02982" w:rsidP="00D02982">
      <w:pPr>
        <w:spacing w:line="360" w:lineRule="auto"/>
        <w:rPr>
          <w:sz w:val="24"/>
          <w:szCs w:val="24"/>
        </w:rPr>
      </w:pPr>
    </w:p>
    <w:p w:rsidR="00D02982" w:rsidRPr="001F73EE" w:rsidRDefault="001902EA" w:rsidP="00D02982">
      <w:pPr>
        <w:spacing w:line="360" w:lineRule="auto"/>
        <w:rPr>
          <w:sz w:val="24"/>
          <w:szCs w:val="24"/>
        </w:rPr>
      </w:pPr>
      <w:r>
        <w:rPr>
          <w:sz w:val="24"/>
          <w:szCs w:val="24"/>
        </w:rPr>
        <w:t xml:space="preserve">In </w:t>
      </w:r>
      <w:proofErr w:type="gramStart"/>
      <w:r w:rsidR="00A80560">
        <w:rPr>
          <w:i/>
          <w:sz w:val="24"/>
          <w:szCs w:val="24"/>
        </w:rPr>
        <w:t>The</w:t>
      </w:r>
      <w:proofErr w:type="gramEnd"/>
      <w:r w:rsidR="00A80560">
        <w:rPr>
          <w:i/>
          <w:sz w:val="24"/>
          <w:szCs w:val="24"/>
        </w:rPr>
        <w:t xml:space="preserve"> Deluge</w:t>
      </w:r>
      <w:r w:rsidR="00A80560">
        <w:rPr>
          <w:sz w:val="24"/>
          <w:szCs w:val="24"/>
        </w:rPr>
        <w:t xml:space="preserve">, an early social history of Britain and the First World War, Arthur Marwick argued that, amid all of its horror and destruction, the war ushered in positive changes to the society of Britain. The concept of ‘war enthusiasm’ </w:t>
      </w:r>
      <w:r w:rsidR="00327D1D">
        <w:rPr>
          <w:sz w:val="24"/>
          <w:szCs w:val="24"/>
        </w:rPr>
        <w:t xml:space="preserve">was not novel and </w:t>
      </w:r>
      <w:r w:rsidR="00A80560">
        <w:rPr>
          <w:sz w:val="24"/>
          <w:szCs w:val="24"/>
        </w:rPr>
        <w:t xml:space="preserve">forms a relatively small part of this narrative, used by Marwick to suggest that a bellicose pre-war society was chastened by </w:t>
      </w:r>
      <w:r w:rsidR="00F81816">
        <w:rPr>
          <w:sz w:val="24"/>
          <w:szCs w:val="24"/>
        </w:rPr>
        <w:t>its experience.</w:t>
      </w:r>
      <w:r w:rsidR="00F81816">
        <w:rPr>
          <w:rStyle w:val="FootnoteReference"/>
          <w:sz w:val="24"/>
          <w:szCs w:val="24"/>
        </w:rPr>
        <w:footnoteReference w:id="1"/>
      </w:r>
      <w:r w:rsidR="00F81816">
        <w:rPr>
          <w:sz w:val="24"/>
          <w:szCs w:val="24"/>
        </w:rPr>
        <w:t xml:space="preserve"> It also seemed to prove less controversial than other arguments made as part of Marwick’s grand narrative, particularly his claims of the extent to which the war had an emancipatory effect on women. However, in more recent decades, this </w:t>
      </w:r>
      <w:r w:rsidR="00053A31">
        <w:rPr>
          <w:sz w:val="24"/>
          <w:szCs w:val="24"/>
        </w:rPr>
        <w:t xml:space="preserve">conception of </w:t>
      </w:r>
      <w:r w:rsidR="001F73EE">
        <w:rPr>
          <w:sz w:val="24"/>
          <w:szCs w:val="24"/>
        </w:rPr>
        <w:t xml:space="preserve">contemporary </w:t>
      </w:r>
      <w:r w:rsidR="00053A31">
        <w:rPr>
          <w:sz w:val="24"/>
          <w:szCs w:val="24"/>
        </w:rPr>
        <w:t>public attitudes in Britain has begun to be unpicked.</w:t>
      </w:r>
      <w:r w:rsidR="00053A31">
        <w:rPr>
          <w:rStyle w:val="FootnoteReference"/>
          <w:sz w:val="24"/>
          <w:szCs w:val="24"/>
        </w:rPr>
        <w:footnoteReference w:id="2"/>
      </w:r>
      <w:r w:rsidR="00791D56">
        <w:rPr>
          <w:sz w:val="24"/>
          <w:szCs w:val="24"/>
        </w:rPr>
        <w:t xml:space="preserve"> </w:t>
      </w:r>
      <w:r w:rsidR="00327D1D">
        <w:rPr>
          <w:sz w:val="24"/>
          <w:szCs w:val="24"/>
        </w:rPr>
        <w:t>Of</w:t>
      </w:r>
      <w:r w:rsidR="00791D56">
        <w:rPr>
          <w:sz w:val="24"/>
          <w:szCs w:val="24"/>
        </w:rPr>
        <w:t xml:space="preserve"> </w:t>
      </w:r>
      <w:proofErr w:type="gramStart"/>
      <w:r w:rsidR="00791D56">
        <w:rPr>
          <w:sz w:val="24"/>
          <w:szCs w:val="24"/>
        </w:rPr>
        <w:t>particular</w:t>
      </w:r>
      <w:r w:rsidR="00327D1D">
        <w:rPr>
          <w:sz w:val="24"/>
          <w:szCs w:val="24"/>
        </w:rPr>
        <w:t xml:space="preserve"> note</w:t>
      </w:r>
      <w:proofErr w:type="gramEnd"/>
      <w:r w:rsidR="00327D1D">
        <w:rPr>
          <w:sz w:val="24"/>
          <w:szCs w:val="24"/>
        </w:rPr>
        <w:t xml:space="preserve"> in this regard is </w:t>
      </w:r>
      <w:r w:rsidR="00791D56">
        <w:rPr>
          <w:sz w:val="24"/>
          <w:szCs w:val="24"/>
        </w:rPr>
        <w:t xml:space="preserve">Adrian </w:t>
      </w:r>
      <w:bookmarkStart w:id="0" w:name="_GoBack"/>
      <w:r w:rsidR="00791D56">
        <w:rPr>
          <w:sz w:val="24"/>
          <w:szCs w:val="24"/>
        </w:rPr>
        <w:t>Gregory</w:t>
      </w:r>
      <w:bookmarkEnd w:id="0"/>
      <w:r w:rsidR="00791D56">
        <w:rPr>
          <w:sz w:val="24"/>
          <w:szCs w:val="24"/>
        </w:rPr>
        <w:t xml:space="preserve">’s </w:t>
      </w:r>
      <w:r w:rsidR="00791D56">
        <w:rPr>
          <w:i/>
          <w:sz w:val="24"/>
          <w:szCs w:val="24"/>
        </w:rPr>
        <w:t>The Last Great War</w:t>
      </w:r>
      <w:r w:rsidR="00327D1D">
        <w:rPr>
          <w:sz w:val="24"/>
          <w:szCs w:val="24"/>
        </w:rPr>
        <w:t xml:space="preserve">, as well as Catriona Pennell’s </w:t>
      </w:r>
      <w:r w:rsidR="00327D1D">
        <w:rPr>
          <w:i/>
          <w:sz w:val="24"/>
          <w:szCs w:val="24"/>
        </w:rPr>
        <w:t>Kingdom United</w:t>
      </w:r>
      <w:r w:rsidR="00327D1D">
        <w:rPr>
          <w:sz w:val="24"/>
          <w:szCs w:val="24"/>
        </w:rPr>
        <w:t xml:space="preserve"> that followed it, in attempting to access the British people of the time more closely and provide a more accurate picture of their motivations.</w:t>
      </w:r>
      <w:r w:rsidR="001F73EE">
        <w:rPr>
          <w:sz w:val="24"/>
          <w:szCs w:val="24"/>
        </w:rPr>
        <w:t xml:space="preserve"> In contrasting Marwick’s arguments in </w:t>
      </w:r>
      <w:r w:rsidR="001F73EE">
        <w:rPr>
          <w:i/>
          <w:sz w:val="24"/>
          <w:szCs w:val="24"/>
        </w:rPr>
        <w:t>The Deluge</w:t>
      </w:r>
      <w:r w:rsidR="001F73EE">
        <w:rPr>
          <w:sz w:val="24"/>
          <w:szCs w:val="24"/>
        </w:rPr>
        <w:t xml:space="preserve"> with those </w:t>
      </w:r>
      <w:r w:rsidR="001F73EE" w:rsidRPr="001F73EE">
        <w:rPr>
          <w:sz w:val="24"/>
          <w:szCs w:val="24"/>
        </w:rPr>
        <w:t xml:space="preserve">of Gregory and Pennell, the claim that </w:t>
      </w:r>
      <w:r w:rsidR="00AA7D12">
        <w:rPr>
          <w:sz w:val="24"/>
          <w:szCs w:val="24"/>
        </w:rPr>
        <w:t>‘</w:t>
      </w:r>
      <w:r w:rsidR="001F73EE" w:rsidRPr="001F73EE">
        <w:rPr>
          <w:sz w:val="24"/>
          <w:szCs w:val="24"/>
        </w:rPr>
        <w:t>British society in 1914 was strongly jingoistic and showed marked enthusiasm for the outbreak of war’</w:t>
      </w:r>
      <w:r w:rsidR="001F73EE">
        <w:rPr>
          <w:sz w:val="24"/>
          <w:szCs w:val="24"/>
        </w:rPr>
        <w:t xml:space="preserve"> can be shown to be insufficient.</w:t>
      </w:r>
    </w:p>
    <w:p w:rsidR="00BF36B0" w:rsidRPr="00082C2A" w:rsidRDefault="00BF36B0" w:rsidP="00D02982">
      <w:pPr>
        <w:spacing w:line="360" w:lineRule="auto"/>
        <w:ind w:firstLine="720"/>
        <w:rPr>
          <w:rFonts w:cstheme="minorHAnsi"/>
          <w:color w:val="222222"/>
          <w:sz w:val="24"/>
          <w:szCs w:val="24"/>
          <w:shd w:val="clear" w:color="auto" w:fill="FFFFFF"/>
        </w:rPr>
      </w:pPr>
      <w:r w:rsidRPr="001F73EE">
        <w:rPr>
          <w:sz w:val="24"/>
          <w:szCs w:val="24"/>
        </w:rPr>
        <w:t xml:space="preserve">Marwick argues </w:t>
      </w:r>
      <w:r w:rsidR="00327D1D" w:rsidRPr="001F73EE">
        <w:rPr>
          <w:sz w:val="24"/>
          <w:szCs w:val="24"/>
        </w:rPr>
        <w:t>in his monograph</w:t>
      </w:r>
      <w:r w:rsidR="00327D1D">
        <w:rPr>
          <w:sz w:val="24"/>
          <w:szCs w:val="24"/>
        </w:rPr>
        <w:t xml:space="preserve"> </w:t>
      </w:r>
      <w:r>
        <w:rPr>
          <w:sz w:val="24"/>
          <w:szCs w:val="24"/>
        </w:rPr>
        <w:t xml:space="preserve">that the British </w:t>
      </w:r>
      <w:r w:rsidR="00DC1CFF">
        <w:rPr>
          <w:sz w:val="24"/>
          <w:szCs w:val="24"/>
        </w:rPr>
        <w:t xml:space="preserve">of the time </w:t>
      </w:r>
      <w:r>
        <w:rPr>
          <w:sz w:val="24"/>
          <w:szCs w:val="24"/>
        </w:rPr>
        <w:t>were a ‘belligerent and jingoistic lot’, pointing to music hall songs</w:t>
      </w:r>
      <w:r w:rsidR="005F077E">
        <w:rPr>
          <w:sz w:val="24"/>
          <w:szCs w:val="24"/>
        </w:rPr>
        <w:t xml:space="preserve">, calls to enlarge the British fleet and the </w:t>
      </w:r>
      <w:proofErr w:type="spellStart"/>
      <w:r w:rsidR="005F077E">
        <w:rPr>
          <w:sz w:val="24"/>
          <w:szCs w:val="24"/>
        </w:rPr>
        <w:t>Maffeking</w:t>
      </w:r>
      <w:proofErr w:type="spellEnd"/>
      <w:r w:rsidR="005F077E">
        <w:rPr>
          <w:sz w:val="24"/>
          <w:szCs w:val="24"/>
        </w:rPr>
        <w:t xml:space="preserve"> affair, in which boisterous celebrations in London over the relief of a British garrison town had brought the word ‘mafficking’ into the lexicon.</w:t>
      </w:r>
      <w:r w:rsidR="005F077E">
        <w:rPr>
          <w:rStyle w:val="FootnoteReference"/>
          <w:sz w:val="24"/>
          <w:szCs w:val="24"/>
        </w:rPr>
        <w:footnoteReference w:id="3"/>
      </w:r>
      <w:r w:rsidR="005F077E">
        <w:rPr>
          <w:sz w:val="24"/>
          <w:szCs w:val="24"/>
        </w:rPr>
        <w:t xml:space="preserve"> Marwick does couch this in a qualification, noting that the gleeful anticipation of war was neither universal nor always consciously felt, but ultimately sees a spirit in existence throughout Britain which </w:t>
      </w:r>
      <w:r w:rsidR="005F077E">
        <w:rPr>
          <w:sz w:val="24"/>
          <w:szCs w:val="24"/>
        </w:rPr>
        <w:lastRenderedPageBreak/>
        <w:t>made the war, upon its outbreak, ‘intensely welcome’.</w:t>
      </w:r>
      <w:r w:rsidR="005F077E">
        <w:rPr>
          <w:rStyle w:val="FootnoteReference"/>
          <w:sz w:val="24"/>
          <w:szCs w:val="24"/>
        </w:rPr>
        <w:footnoteReference w:id="4"/>
      </w:r>
      <w:r w:rsidR="005F077E">
        <w:rPr>
          <w:sz w:val="24"/>
          <w:szCs w:val="24"/>
        </w:rPr>
        <w:t xml:space="preserve"> </w:t>
      </w:r>
      <w:r w:rsidR="00D9716E">
        <w:rPr>
          <w:sz w:val="24"/>
          <w:szCs w:val="24"/>
        </w:rPr>
        <w:t>This spirit, he argues, was partly fed by anti-German sentiment</w:t>
      </w:r>
      <w:r w:rsidR="00603BD1">
        <w:rPr>
          <w:sz w:val="24"/>
          <w:szCs w:val="24"/>
        </w:rPr>
        <w:t xml:space="preserve"> over its militaristic stance and perceived threat to British imperial dominance; Marwick suggests that this sentiment had become less visible over the years 1910-1914, but </w:t>
      </w:r>
      <w:r w:rsidR="00603BD1" w:rsidRPr="00082C2A">
        <w:rPr>
          <w:sz w:val="24"/>
          <w:szCs w:val="24"/>
        </w:rPr>
        <w:t>was very much an undercurrent lying beneath the surface that was tapped into by the war.</w:t>
      </w:r>
      <w:r w:rsidR="00603BD1" w:rsidRPr="00082C2A">
        <w:rPr>
          <w:rStyle w:val="FootnoteReference"/>
          <w:sz w:val="24"/>
          <w:szCs w:val="24"/>
        </w:rPr>
        <w:footnoteReference w:id="5"/>
      </w:r>
      <w:r w:rsidR="00910684" w:rsidRPr="00082C2A">
        <w:rPr>
          <w:sz w:val="24"/>
          <w:szCs w:val="24"/>
        </w:rPr>
        <w:t xml:space="preserve"> Marwick also suggests that this tendency towards belligerence was aided by </w:t>
      </w:r>
      <w:r w:rsidR="00DA4B84" w:rsidRPr="00082C2A">
        <w:rPr>
          <w:sz w:val="24"/>
          <w:szCs w:val="24"/>
        </w:rPr>
        <w:t xml:space="preserve">the conception by some of war as a rejuvenating act, necessary to revitalise an </w:t>
      </w:r>
      <w:r w:rsidR="00910684" w:rsidRPr="00082C2A">
        <w:rPr>
          <w:sz w:val="24"/>
          <w:szCs w:val="24"/>
        </w:rPr>
        <w:t xml:space="preserve">Edwardian society </w:t>
      </w:r>
      <w:r w:rsidR="00DA4B84" w:rsidRPr="00082C2A">
        <w:rPr>
          <w:sz w:val="24"/>
          <w:szCs w:val="24"/>
        </w:rPr>
        <w:t xml:space="preserve">that </w:t>
      </w:r>
      <w:r w:rsidR="00910684" w:rsidRPr="00082C2A">
        <w:rPr>
          <w:sz w:val="24"/>
          <w:szCs w:val="24"/>
        </w:rPr>
        <w:t>had grown indolent and complacent in peacetime</w:t>
      </w:r>
      <w:r w:rsidR="00DA4B84" w:rsidRPr="00082C2A">
        <w:rPr>
          <w:sz w:val="24"/>
          <w:szCs w:val="24"/>
        </w:rPr>
        <w:t>; he</w:t>
      </w:r>
      <w:r w:rsidR="00910684" w:rsidRPr="00082C2A">
        <w:rPr>
          <w:sz w:val="24"/>
          <w:szCs w:val="24"/>
        </w:rPr>
        <w:t xml:space="preserve"> quot</w:t>
      </w:r>
      <w:r w:rsidR="00DA4B84" w:rsidRPr="00082C2A">
        <w:rPr>
          <w:sz w:val="24"/>
          <w:szCs w:val="24"/>
        </w:rPr>
        <w:t xml:space="preserve">es </w:t>
      </w:r>
      <w:r w:rsidR="00910684" w:rsidRPr="00082C2A">
        <w:rPr>
          <w:sz w:val="24"/>
          <w:szCs w:val="24"/>
        </w:rPr>
        <w:t xml:space="preserve">from a 1909 speech by Lord </w:t>
      </w:r>
      <w:proofErr w:type="spellStart"/>
      <w:r w:rsidR="00910684" w:rsidRPr="00082C2A">
        <w:rPr>
          <w:sz w:val="24"/>
          <w:szCs w:val="24"/>
        </w:rPr>
        <w:t>Rosebury</w:t>
      </w:r>
      <w:proofErr w:type="spellEnd"/>
      <w:r w:rsidR="00910684" w:rsidRPr="00082C2A">
        <w:rPr>
          <w:sz w:val="24"/>
          <w:szCs w:val="24"/>
        </w:rPr>
        <w:t xml:space="preserve"> to gathered students, in which </w:t>
      </w:r>
      <w:r w:rsidR="00DA4B84" w:rsidRPr="00082C2A">
        <w:rPr>
          <w:sz w:val="24"/>
          <w:szCs w:val="24"/>
        </w:rPr>
        <w:t xml:space="preserve">the speaker </w:t>
      </w:r>
      <w:r w:rsidR="00910684" w:rsidRPr="00082C2A">
        <w:rPr>
          <w:sz w:val="24"/>
          <w:szCs w:val="24"/>
        </w:rPr>
        <w:t xml:space="preserve">gestures towards universal military service </w:t>
      </w:r>
      <w:r w:rsidR="00BF3A5C" w:rsidRPr="00082C2A">
        <w:rPr>
          <w:sz w:val="24"/>
          <w:szCs w:val="24"/>
        </w:rPr>
        <w:t>as a remedy to the maladies which threatened ‘all the bonds which hold our empire together’ to cheers from his audience.</w:t>
      </w:r>
      <w:r w:rsidR="00BF3A5C" w:rsidRPr="00082C2A">
        <w:rPr>
          <w:rStyle w:val="FootnoteReference"/>
          <w:sz w:val="24"/>
          <w:szCs w:val="24"/>
        </w:rPr>
        <w:footnoteReference w:id="6"/>
      </w:r>
      <w:r w:rsidR="000C1671" w:rsidRPr="00082C2A">
        <w:rPr>
          <w:sz w:val="24"/>
          <w:szCs w:val="24"/>
        </w:rPr>
        <w:t xml:space="preserve"> In Marwick’s narrative of events, this </w:t>
      </w:r>
      <w:r w:rsidR="0081798A">
        <w:rPr>
          <w:sz w:val="24"/>
          <w:szCs w:val="24"/>
        </w:rPr>
        <w:t xml:space="preserve">pre-war sentiment </w:t>
      </w:r>
      <w:r w:rsidR="000C1671" w:rsidRPr="00082C2A">
        <w:rPr>
          <w:sz w:val="24"/>
          <w:szCs w:val="24"/>
        </w:rPr>
        <w:t xml:space="preserve">seems to culminate in the crowds that gathered in London </w:t>
      </w:r>
      <w:r w:rsidR="00C14DA2" w:rsidRPr="00082C2A">
        <w:rPr>
          <w:sz w:val="24"/>
          <w:szCs w:val="24"/>
        </w:rPr>
        <w:t xml:space="preserve">over the days of the </w:t>
      </w:r>
      <w:r w:rsidR="000C1671" w:rsidRPr="00082C2A">
        <w:rPr>
          <w:sz w:val="24"/>
          <w:szCs w:val="24"/>
        </w:rPr>
        <w:t xml:space="preserve">August Bank Holiday of 1914. Drawing from accounts in the </w:t>
      </w:r>
      <w:r w:rsidR="000C1671" w:rsidRPr="00082C2A">
        <w:rPr>
          <w:i/>
          <w:sz w:val="24"/>
          <w:szCs w:val="24"/>
        </w:rPr>
        <w:t xml:space="preserve">Daily News </w:t>
      </w:r>
      <w:r w:rsidR="000C1671" w:rsidRPr="00082C2A">
        <w:rPr>
          <w:sz w:val="24"/>
          <w:szCs w:val="24"/>
        </w:rPr>
        <w:t xml:space="preserve">and the Daily </w:t>
      </w:r>
      <w:r w:rsidR="000C1671" w:rsidRPr="00082C2A">
        <w:rPr>
          <w:i/>
          <w:sz w:val="24"/>
          <w:szCs w:val="24"/>
        </w:rPr>
        <w:t>Mail</w:t>
      </w:r>
      <w:r w:rsidR="000C1671" w:rsidRPr="00082C2A">
        <w:rPr>
          <w:sz w:val="24"/>
          <w:szCs w:val="24"/>
        </w:rPr>
        <w:t>, Marwick relates the story of boisterous masses of people</w:t>
      </w:r>
      <w:r w:rsidR="00C14DA2" w:rsidRPr="00082C2A">
        <w:rPr>
          <w:sz w:val="24"/>
          <w:szCs w:val="24"/>
        </w:rPr>
        <w:t>, jeering towards Germany, singing patriotically and showing ‘marked tendencies towards Mafficking’ before, once war was declared, erupting into ‘round after round of cheers’.</w:t>
      </w:r>
      <w:r w:rsidR="00C14DA2" w:rsidRPr="00082C2A">
        <w:rPr>
          <w:rStyle w:val="FootnoteReference"/>
          <w:sz w:val="24"/>
          <w:szCs w:val="24"/>
        </w:rPr>
        <w:footnoteReference w:id="7"/>
      </w:r>
      <w:r w:rsidR="00C14DA2" w:rsidRPr="00082C2A">
        <w:rPr>
          <w:sz w:val="24"/>
          <w:szCs w:val="24"/>
        </w:rPr>
        <w:t xml:space="preserve"> This account aligns exactly with that offered by David Lloyd George in his memoir</w:t>
      </w:r>
      <w:r w:rsidR="00C14DA2" w:rsidRPr="00082C2A">
        <w:rPr>
          <w:rFonts w:cstheme="minorHAnsi"/>
          <w:color w:val="222222"/>
          <w:sz w:val="24"/>
          <w:szCs w:val="24"/>
          <w:shd w:val="clear" w:color="auto" w:fill="FFFFFF"/>
        </w:rPr>
        <w:t xml:space="preserve">—unsurprisingly since both quote from the same source in the </w:t>
      </w:r>
      <w:r w:rsidR="00C14DA2" w:rsidRPr="00082C2A">
        <w:rPr>
          <w:rFonts w:cstheme="minorHAnsi"/>
          <w:i/>
          <w:color w:val="222222"/>
          <w:sz w:val="24"/>
          <w:szCs w:val="24"/>
          <w:shd w:val="clear" w:color="auto" w:fill="FFFFFF"/>
        </w:rPr>
        <w:t>Daily News</w:t>
      </w:r>
      <w:r w:rsidR="00C14DA2" w:rsidRPr="00082C2A">
        <w:rPr>
          <w:rFonts w:cstheme="minorHAnsi"/>
          <w:color w:val="222222"/>
          <w:sz w:val="24"/>
          <w:szCs w:val="24"/>
          <w:shd w:val="clear" w:color="auto" w:fill="FFFFFF"/>
        </w:rPr>
        <w:t>.</w:t>
      </w:r>
      <w:r w:rsidR="00C14DA2" w:rsidRPr="00082C2A">
        <w:rPr>
          <w:rStyle w:val="FootnoteReference"/>
          <w:rFonts w:cstheme="minorHAnsi"/>
          <w:color w:val="222222"/>
          <w:sz w:val="24"/>
          <w:szCs w:val="24"/>
          <w:shd w:val="clear" w:color="auto" w:fill="FFFFFF"/>
        </w:rPr>
        <w:footnoteReference w:id="8"/>
      </w:r>
      <w:r w:rsidR="007C4748" w:rsidRPr="00082C2A">
        <w:rPr>
          <w:rFonts w:cstheme="minorHAnsi"/>
          <w:color w:val="222222"/>
          <w:sz w:val="24"/>
          <w:szCs w:val="24"/>
          <w:shd w:val="clear" w:color="auto" w:fill="FFFFFF"/>
        </w:rPr>
        <w:t xml:space="preserve"> Lloyd George conclude</w:t>
      </w:r>
      <w:r w:rsidR="00935239">
        <w:rPr>
          <w:rFonts w:cstheme="minorHAnsi"/>
          <w:color w:val="222222"/>
          <w:sz w:val="24"/>
          <w:szCs w:val="24"/>
          <w:shd w:val="clear" w:color="auto" w:fill="FFFFFF"/>
        </w:rPr>
        <w:t>d</w:t>
      </w:r>
      <w:r w:rsidR="007C4748" w:rsidRPr="00082C2A">
        <w:rPr>
          <w:rFonts w:cstheme="minorHAnsi"/>
          <w:color w:val="222222"/>
          <w:sz w:val="24"/>
          <w:szCs w:val="24"/>
          <w:shd w:val="clear" w:color="auto" w:fill="FFFFFF"/>
        </w:rPr>
        <w:t xml:space="preserve"> from this that there was ‘never a war so universally acclaimed’.</w:t>
      </w:r>
      <w:r w:rsidR="007C4748" w:rsidRPr="00082C2A">
        <w:rPr>
          <w:rStyle w:val="FootnoteReference"/>
          <w:rFonts w:cstheme="minorHAnsi"/>
          <w:color w:val="222222"/>
          <w:sz w:val="24"/>
          <w:szCs w:val="24"/>
          <w:shd w:val="clear" w:color="auto" w:fill="FFFFFF"/>
        </w:rPr>
        <w:footnoteReference w:id="9"/>
      </w:r>
      <w:r w:rsidR="00CB7553">
        <w:rPr>
          <w:rFonts w:cstheme="minorHAnsi"/>
          <w:color w:val="222222"/>
          <w:sz w:val="24"/>
          <w:szCs w:val="24"/>
          <w:shd w:val="clear" w:color="auto" w:fill="FFFFFF"/>
        </w:rPr>
        <w:t xml:space="preserve"> Marwick does not go so far as Lloyd George, but the picture he paints is still one of a swirling mass of people gladly welcoming the war.</w:t>
      </w:r>
    </w:p>
    <w:p w:rsidR="00082C2A" w:rsidRDefault="00082C2A" w:rsidP="00BF36B0">
      <w:pPr>
        <w:spacing w:line="360" w:lineRule="auto"/>
        <w:rPr>
          <w:sz w:val="24"/>
          <w:szCs w:val="24"/>
        </w:rPr>
      </w:pPr>
      <w:r w:rsidRPr="00082C2A">
        <w:rPr>
          <w:sz w:val="24"/>
          <w:szCs w:val="24"/>
        </w:rPr>
        <w:tab/>
        <w:t xml:space="preserve">Against this, Marwick positions anti-war </w:t>
      </w:r>
      <w:r>
        <w:rPr>
          <w:sz w:val="24"/>
          <w:szCs w:val="24"/>
        </w:rPr>
        <w:t xml:space="preserve">figures as </w:t>
      </w:r>
      <w:r w:rsidR="00BD76FB">
        <w:rPr>
          <w:sz w:val="24"/>
          <w:szCs w:val="24"/>
        </w:rPr>
        <w:t>disunited and frequently</w:t>
      </w:r>
      <w:r w:rsidR="00C50F31">
        <w:rPr>
          <w:sz w:val="24"/>
          <w:szCs w:val="24"/>
        </w:rPr>
        <w:t xml:space="preserve"> ambivalent</w:t>
      </w:r>
      <w:r>
        <w:rPr>
          <w:sz w:val="24"/>
          <w:szCs w:val="24"/>
        </w:rPr>
        <w:t xml:space="preserve"> dissenters ‘resisting the militaristic currents of the age’.</w:t>
      </w:r>
      <w:r>
        <w:rPr>
          <w:rStyle w:val="FootnoteReference"/>
          <w:sz w:val="24"/>
          <w:szCs w:val="24"/>
        </w:rPr>
        <w:footnoteReference w:id="10"/>
      </w:r>
      <w:r w:rsidR="00C50F31">
        <w:rPr>
          <w:sz w:val="24"/>
          <w:szCs w:val="24"/>
        </w:rPr>
        <w:t xml:space="preserve"> The Labour Party, he suggests, was largely pacifist, while </w:t>
      </w:r>
      <w:r w:rsidR="00AF5D5D">
        <w:rPr>
          <w:sz w:val="24"/>
          <w:szCs w:val="24"/>
        </w:rPr>
        <w:t xml:space="preserve">figures in </w:t>
      </w:r>
      <w:r w:rsidR="00C50F31">
        <w:rPr>
          <w:sz w:val="24"/>
          <w:szCs w:val="24"/>
        </w:rPr>
        <w:t xml:space="preserve">a more divided Liberal Party </w:t>
      </w:r>
      <w:r w:rsidR="00AF5D5D">
        <w:rPr>
          <w:sz w:val="24"/>
          <w:szCs w:val="24"/>
        </w:rPr>
        <w:t>offered criticisms of a Liberal government they saw as steering the country towards war.</w:t>
      </w:r>
      <w:r w:rsidR="00AF5D5D">
        <w:rPr>
          <w:rStyle w:val="FootnoteReference"/>
          <w:sz w:val="24"/>
          <w:szCs w:val="24"/>
        </w:rPr>
        <w:footnoteReference w:id="11"/>
      </w:r>
      <w:r w:rsidR="0060796C">
        <w:rPr>
          <w:sz w:val="24"/>
          <w:szCs w:val="24"/>
        </w:rPr>
        <w:t xml:space="preserve"> </w:t>
      </w:r>
      <w:r w:rsidR="00EB58EE">
        <w:rPr>
          <w:sz w:val="24"/>
          <w:szCs w:val="24"/>
        </w:rPr>
        <w:t xml:space="preserve">Marwick </w:t>
      </w:r>
      <w:r w:rsidR="00B514E5">
        <w:rPr>
          <w:sz w:val="24"/>
          <w:szCs w:val="24"/>
        </w:rPr>
        <w:t xml:space="preserve">suggests that anti-war sentiment expressed by Liberal figures was frequently motivated by fears that German defeat would result in Russian dominance in Europe, highlighting a speech by Sir </w:t>
      </w:r>
      <w:r w:rsidR="00B514E5">
        <w:rPr>
          <w:sz w:val="24"/>
          <w:szCs w:val="24"/>
        </w:rPr>
        <w:lastRenderedPageBreak/>
        <w:t>Edward Grey.</w:t>
      </w:r>
      <w:r w:rsidR="00B514E5">
        <w:rPr>
          <w:rStyle w:val="FootnoteReference"/>
          <w:sz w:val="24"/>
          <w:szCs w:val="24"/>
        </w:rPr>
        <w:footnoteReference w:id="12"/>
      </w:r>
      <w:r w:rsidR="00FD227B">
        <w:rPr>
          <w:sz w:val="24"/>
          <w:szCs w:val="24"/>
        </w:rPr>
        <w:t xml:space="preserve"> Norman Angell’s letter to </w:t>
      </w:r>
      <w:r w:rsidR="00FD227B">
        <w:rPr>
          <w:i/>
          <w:sz w:val="24"/>
          <w:szCs w:val="24"/>
        </w:rPr>
        <w:t>The Times</w:t>
      </w:r>
      <w:r w:rsidR="00FD227B">
        <w:rPr>
          <w:sz w:val="24"/>
          <w:szCs w:val="24"/>
        </w:rPr>
        <w:t xml:space="preserve"> of 1 August 1914</w:t>
      </w:r>
      <w:r w:rsidR="00D46F0A">
        <w:rPr>
          <w:sz w:val="24"/>
          <w:szCs w:val="24"/>
        </w:rPr>
        <w:t xml:space="preserve"> supports this</w:t>
      </w:r>
      <w:r w:rsidR="00FD227B">
        <w:rPr>
          <w:sz w:val="24"/>
          <w:szCs w:val="24"/>
        </w:rPr>
        <w:t xml:space="preserve">, </w:t>
      </w:r>
      <w:r w:rsidR="00D46F0A">
        <w:rPr>
          <w:sz w:val="24"/>
          <w:szCs w:val="24"/>
        </w:rPr>
        <w:t xml:space="preserve">as </w:t>
      </w:r>
      <w:r w:rsidR="00FD227B">
        <w:rPr>
          <w:sz w:val="24"/>
          <w:szCs w:val="24"/>
        </w:rPr>
        <w:t>he argues the absurdity of entering a war to help Russia achieve military dominance when Britain’s last major European conflict had been intended to do the opposite.</w:t>
      </w:r>
      <w:r w:rsidR="00FD227B">
        <w:rPr>
          <w:rStyle w:val="FootnoteReference"/>
          <w:sz w:val="24"/>
          <w:szCs w:val="24"/>
        </w:rPr>
        <w:footnoteReference w:id="13"/>
      </w:r>
      <w:r w:rsidR="00B514E5">
        <w:rPr>
          <w:sz w:val="24"/>
          <w:szCs w:val="24"/>
        </w:rPr>
        <w:t xml:space="preserve"> </w:t>
      </w:r>
      <w:r w:rsidR="00D46F0A">
        <w:rPr>
          <w:sz w:val="24"/>
          <w:szCs w:val="24"/>
        </w:rPr>
        <w:t>Marwick relates that s</w:t>
      </w:r>
      <w:r w:rsidR="0060796C">
        <w:rPr>
          <w:sz w:val="24"/>
          <w:szCs w:val="24"/>
        </w:rPr>
        <w:t xml:space="preserve">uch opposition figures </w:t>
      </w:r>
      <w:r w:rsidR="00CB7553">
        <w:rPr>
          <w:sz w:val="24"/>
          <w:szCs w:val="24"/>
        </w:rPr>
        <w:t xml:space="preserve">summoned </w:t>
      </w:r>
      <w:r w:rsidR="0060796C">
        <w:rPr>
          <w:sz w:val="24"/>
          <w:szCs w:val="24"/>
        </w:rPr>
        <w:t xml:space="preserve">anti-war counterparts to the Bank Holiday crowds, including demonstrations against the war on the </w:t>
      </w:r>
      <w:r w:rsidR="00FD227B">
        <w:rPr>
          <w:sz w:val="24"/>
          <w:szCs w:val="24"/>
        </w:rPr>
        <w:t>second and third</w:t>
      </w:r>
      <w:r w:rsidR="0060796C">
        <w:rPr>
          <w:sz w:val="24"/>
          <w:szCs w:val="24"/>
        </w:rPr>
        <w:t xml:space="preserve"> of August.</w:t>
      </w:r>
      <w:r w:rsidR="0060796C">
        <w:rPr>
          <w:rStyle w:val="FootnoteReference"/>
          <w:sz w:val="24"/>
          <w:szCs w:val="24"/>
        </w:rPr>
        <w:footnoteReference w:id="14"/>
      </w:r>
      <w:r w:rsidR="00EB58EE">
        <w:rPr>
          <w:sz w:val="24"/>
          <w:szCs w:val="24"/>
        </w:rPr>
        <w:t xml:space="preserve"> </w:t>
      </w:r>
      <w:r w:rsidR="00A9257B">
        <w:rPr>
          <w:sz w:val="24"/>
          <w:szCs w:val="24"/>
        </w:rPr>
        <w:t>However, he characterises this</w:t>
      </w:r>
      <w:r w:rsidR="00A9257B" w:rsidRPr="00C14DA2">
        <w:rPr>
          <w:rFonts w:cstheme="minorHAnsi"/>
          <w:color w:val="222222"/>
          <w:sz w:val="24"/>
          <w:szCs w:val="24"/>
          <w:shd w:val="clear" w:color="auto" w:fill="FFFFFF"/>
        </w:rPr>
        <w:t>—</w:t>
      </w:r>
      <w:r w:rsidR="00A9257B">
        <w:rPr>
          <w:sz w:val="24"/>
          <w:szCs w:val="24"/>
        </w:rPr>
        <w:t>somewhat</w:t>
      </w:r>
      <w:r w:rsidR="00A9257B" w:rsidRPr="00C14DA2">
        <w:rPr>
          <w:rFonts w:cstheme="minorHAnsi"/>
          <w:color w:val="222222"/>
          <w:sz w:val="24"/>
          <w:szCs w:val="24"/>
          <w:shd w:val="clear" w:color="auto" w:fill="FFFFFF"/>
        </w:rPr>
        <w:t>—</w:t>
      </w:r>
      <w:r w:rsidR="00A9257B">
        <w:rPr>
          <w:sz w:val="24"/>
          <w:szCs w:val="24"/>
        </w:rPr>
        <w:t>organised opposition as ephemeral, dissipating as general opinion among such figures moved into an acceptance of war, before quickly tipping into wholehearted enthusiasm.</w:t>
      </w:r>
      <w:r w:rsidR="00A9257B">
        <w:rPr>
          <w:rStyle w:val="FootnoteReference"/>
          <w:sz w:val="24"/>
          <w:szCs w:val="24"/>
        </w:rPr>
        <w:footnoteReference w:id="15"/>
      </w:r>
      <w:r w:rsidR="00A135C6">
        <w:rPr>
          <w:sz w:val="24"/>
          <w:szCs w:val="24"/>
        </w:rPr>
        <w:t xml:space="preserve"> </w:t>
      </w:r>
      <w:r w:rsidR="00BB61B0">
        <w:rPr>
          <w:sz w:val="24"/>
          <w:szCs w:val="24"/>
        </w:rPr>
        <w:t>Staunch opponents of the war, he argues, were relatively few, forming a cluster against the tide of general opinion; he points in particular to Ramsey MacDonald, who had to resign as Chairman of the Labour Party once his Party and the trade unions swung behind the war.</w:t>
      </w:r>
      <w:r w:rsidR="00BB61B0">
        <w:rPr>
          <w:rStyle w:val="FootnoteReference"/>
          <w:sz w:val="24"/>
          <w:szCs w:val="24"/>
        </w:rPr>
        <w:footnoteReference w:id="16"/>
      </w:r>
    </w:p>
    <w:p w:rsidR="00D2427A" w:rsidRDefault="00BB61B0" w:rsidP="00BF36B0">
      <w:pPr>
        <w:spacing w:line="360" w:lineRule="auto"/>
        <w:rPr>
          <w:sz w:val="24"/>
          <w:szCs w:val="24"/>
        </w:rPr>
      </w:pPr>
      <w:r>
        <w:rPr>
          <w:sz w:val="24"/>
          <w:szCs w:val="24"/>
        </w:rPr>
        <w:tab/>
      </w:r>
      <w:r w:rsidR="006A352E">
        <w:rPr>
          <w:sz w:val="24"/>
          <w:szCs w:val="24"/>
        </w:rPr>
        <w:t>As evidence of this immediate tide of public enthusiasm for war, Marwick points to the ‘rush for the colours’ of early recruitment, noting that 500,000 men had volunteered by 15 September.</w:t>
      </w:r>
      <w:r w:rsidR="006A352E">
        <w:rPr>
          <w:rStyle w:val="FootnoteReference"/>
          <w:sz w:val="24"/>
          <w:szCs w:val="24"/>
        </w:rPr>
        <w:footnoteReference w:id="17"/>
      </w:r>
      <w:r w:rsidR="00331312">
        <w:rPr>
          <w:sz w:val="24"/>
          <w:szCs w:val="24"/>
        </w:rPr>
        <w:t xml:space="preserve"> Similarly, Marwick highlights enthusiasm for volunteering among women and girls, relating anecdotes of young aspiring VADs practicing bandaging on unimpressed boys in their schools, and women in public knitting vociferously to make goods to send to the trenches.</w:t>
      </w:r>
      <w:r w:rsidR="00331312">
        <w:rPr>
          <w:rStyle w:val="FootnoteReference"/>
          <w:sz w:val="24"/>
          <w:szCs w:val="24"/>
        </w:rPr>
        <w:footnoteReference w:id="18"/>
      </w:r>
      <w:r w:rsidR="00331312">
        <w:rPr>
          <w:sz w:val="24"/>
          <w:szCs w:val="24"/>
        </w:rPr>
        <w:t xml:space="preserve"> There was, Marwick states, an enthusiasm for war that ‘bordered upon derangement’.</w:t>
      </w:r>
      <w:r w:rsidR="00331312">
        <w:rPr>
          <w:rStyle w:val="FootnoteReference"/>
          <w:sz w:val="24"/>
          <w:szCs w:val="24"/>
        </w:rPr>
        <w:footnoteReference w:id="19"/>
      </w:r>
      <w:r w:rsidR="005111C8">
        <w:rPr>
          <w:sz w:val="24"/>
          <w:szCs w:val="24"/>
        </w:rPr>
        <w:t xml:space="preserve"> This was a strand</w:t>
      </w:r>
      <w:r w:rsidR="00821D65">
        <w:rPr>
          <w:sz w:val="24"/>
          <w:szCs w:val="24"/>
        </w:rPr>
        <w:t xml:space="preserve"> of enthusiasm based on notions of patriotic duty and moral purpose, but Marwick </w:t>
      </w:r>
      <w:r w:rsidR="00CB7553">
        <w:rPr>
          <w:sz w:val="24"/>
          <w:szCs w:val="24"/>
        </w:rPr>
        <w:t xml:space="preserve">also </w:t>
      </w:r>
      <w:r w:rsidR="00821D65">
        <w:rPr>
          <w:sz w:val="24"/>
          <w:szCs w:val="24"/>
        </w:rPr>
        <w:t>describes another strand based on hatred. He sees anti-German sentiment as ‘spontaneous’, erupting from already existing undercurrents, albeit aided by the popular press.</w:t>
      </w:r>
      <w:r w:rsidR="00821D65">
        <w:rPr>
          <w:rStyle w:val="FootnoteReference"/>
          <w:sz w:val="24"/>
          <w:szCs w:val="24"/>
        </w:rPr>
        <w:footnoteReference w:id="20"/>
      </w:r>
      <w:r w:rsidR="00C1089B">
        <w:rPr>
          <w:sz w:val="24"/>
          <w:szCs w:val="24"/>
        </w:rPr>
        <w:t xml:space="preserve"> Marwick reserves scorn for the </w:t>
      </w:r>
      <w:r w:rsidR="00C1089B">
        <w:rPr>
          <w:i/>
          <w:sz w:val="24"/>
          <w:szCs w:val="24"/>
        </w:rPr>
        <w:t>Daily Mail</w:t>
      </w:r>
      <w:r w:rsidR="00C1089B">
        <w:rPr>
          <w:sz w:val="24"/>
          <w:szCs w:val="24"/>
        </w:rPr>
        <w:t xml:space="preserve">, with what he describes as its ‘frequent spasms of </w:t>
      </w:r>
      <w:proofErr w:type="spellStart"/>
      <w:r w:rsidR="00C1089B">
        <w:rPr>
          <w:sz w:val="24"/>
          <w:szCs w:val="24"/>
        </w:rPr>
        <w:t>patrio</w:t>
      </w:r>
      <w:proofErr w:type="spellEnd"/>
      <w:r w:rsidR="00C1089B">
        <w:rPr>
          <w:sz w:val="24"/>
          <w:szCs w:val="24"/>
        </w:rPr>
        <w:t xml:space="preserve">-sadism’, </w:t>
      </w:r>
      <w:r w:rsidR="00D72763">
        <w:rPr>
          <w:sz w:val="24"/>
          <w:szCs w:val="24"/>
        </w:rPr>
        <w:t>but generally sees the popular press as having followed public opinion rather than led it.</w:t>
      </w:r>
      <w:r w:rsidR="00D72763">
        <w:rPr>
          <w:rStyle w:val="FootnoteReference"/>
          <w:sz w:val="24"/>
          <w:szCs w:val="24"/>
        </w:rPr>
        <w:footnoteReference w:id="21"/>
      </w:r>
      <w:r w:rsidR="00A22649">
        <w:rPr>
          <w:sz w:val="24"/>
          <w:szCs w:val="24"/>
        </w:rPr>
        <w:t xml:space="preserve"> </w:t>
      </w:r>
      <w:r w:rsidR="00CB7553">
        <w:rPr>
          <w:sz w:val="24"/>
          <w:szCs w:val="24"/>
        </w:rPr>
        <w:t>As such, Marwick envisages a sweeping tide of public opinion, dragging the country irresistibly into war.</w:t>
      </w:r>
    </w:p>
    <w:p w:rsidR="00A22649" w:rsidRDefault="00B83591" w:rsidP="00D2427A">
      <w:pPr>
        <w:spacing w:line="360" w:lineRule="auto"/>
        <w:ind w:firstLine="720"/>
        <w:rPr>
          <w:rFonts w:cstheme="minorHAnsi"/>
          <w:color w:val="222222"/>
          <w:sz w:val="24"/>
          <w:szCs w:val="24"/>
          <w:shd w:val="clear" w:color="auto" w:fill="FFFFFF"/>
        </w:rPr>
      </w:pPr>
      <w:r>
        <w:rPr>
          <w:sz w:val="24"/>
          <w:szCs w:val="24"/>
        </w:rPr>
        <w:lastRenderedPageBreak/>
        <w:t xml:space="preserve">Gregory takes </w:t>
      </w:r>
      <w:r w:rsidR="00767A39">
        <w:rPr>
          <w:sz w:val="24"/>
          <w:szCs w:val="24"/>
        </w:rPr>
        <w:t>the view that narratives such as that offered by Marwick have the causation reversed: war enthusiasm did not bring about the war</w:t>
      </w:r>
      <w:r w:rsidR="00767A39" w:rsidRPr="00C14DA2">
        <w:rPr>
          <w:rFonts w:cstheme="minorHAnsi"/>
          <w:color w:val="222222"/>
          <w:sz w:val="24"/>
          <w:szCs w:val="24"/>
          <w:shd w:val="clear" w:color="auto" w:fill="FFFFFF"/>
        </w:rPr>
        <w:t>—</w:t>
      </w:r>
      <w:r w:rsidR="00767A39">
        <w:rPr>
          <w:rFonts w:cstheme="minorHAnsi"/>
          <w:color w:val="222222"/>
          <w:sz w:val="24"/>
          <w:szCs w:val="24"/>
          <w:shd w:val="clear" w:color="auto" w:fill="FFFFFF"/>
        </w:rPr>
        <w:t>it was the war that nourished the enthusiasm.</w:t>
      </w:r>
      <w:r w:rsidR="00767A39">
        <w:rPr>
          <w:rStyle w:val="FootnoteReference"/>
          <w:rFonts w:cstheme="minorHAnsi"/>
          <w:color w:val="222222"/>
          <w:sz w:val="24"/>
          <w:szCs w:val="24"/>
          <w:shd w:val="clear" w:color="auto" w:fill="FFFFFF"/>
        </w:rPr>
        <w:footnoteReference w:id="22"/>
      </w:r>
      <w:r w:rsidR="000B3C37">
        <w:rPr>
          <w:rFonts w:cstheme="minorHAnsi"/>
          <w:color w:val="222222"/>
          <w:sz w:val="24"/>
          <w:szCs w:val="24"/>
          <w:shd w:val="clear" w:color="auto" w:fill="FFFFFF"/>
        </w:rPr>
        <w:t xml:space="preserve"> Indeed, Gregory and Pennell both reject the notion that the opinions of the British public in 1914 can be comfortably encapsulated by the term ‘enthusiasm’</w:t>
      </w:r>
      <w:r w:rsidR="00DC1CFF">
        <w:rPr>
          <w:rFonts w:cstheme="minorHAnsi"/>
          <w:color w:val="222222"/>
          <w:sz w:val="24"/>
          <w:szCs w:val="24"/>
          <w:shd w:val="clear" w:color="auto" w:fill="FFFFFF"/>
        </w:rPr>
        <w:t xml:space="preserve"> at all</w:t>
      </w:r>
      <w:r w:rsidR="000B3C37">
        <w:rPr>
          <w:rFonts w:cstheme="minorHAnsi"/>
          <w:color w:val="222222"/>
          <w:sz w:val="24"/>
          <w:szCs w:val="24"/>
          <w:shd w:val="clear" w:color="auto" w:fill="FFFFFF"/>
        </w:rPr>
        <w:t xml:space="preserve">, arguing that this </w:t>
      </w:r>
      <w:r w:rsidR="00587E67">
        <w:rPr>
          <w:rFonts w:cstheme="minorHAnsi"/>
          <w:color w:val="222222"/>
          <w:sz w:val="24"/>
          <w:szCs w:val="24"/>
          <w:shd w:val="clear" w:color="auto" w:fill="FFFFFF"/>
        </w:rPr>
        <w:t>term ignores</w:t>
      </w:r>
      <w:r w:rsidR="000B3C37">
        <w:rPr>
          <w:rFonts w:cstheme="minorHAnsi"/>
          <w:color w:val="222222"/>
          <w:sz w:val="24"/>
          <w:szCs w:val="24"/>
          <w:shd w:val="clear" w:color="auto" w:fill="FFFFFF"/>
        </w:rPr>
        <w:t xml:space="preserve"> the regional, multifaceted and evolving nature of </w:t>
      </w:r>
      <w:r w:rsidR="00DC1CFF">
        <w:rPr>
          <w:rFonts w:cstheme="minorHAnsi"/>
          <w:color w:val="222222"/>
          <w:sz w:val="24"/>
          <w:szCs w:val="24"/>
          <w:shd w:val="clear" w:color="auto" w:fill="FFFFFF"/>
        </w:rPr>
        <w:t xml:space="preserve">people’s </w:t>
      </w:r>
      <w:r w:rsidR="000B3C37">
        <w:rPr>
          <w:rFonts w:cstheme="minorHAnsi"/>
          <w:color w:val="222222"/>
          <w:sz w:val="24"/>
          <w:szCs w:val="24"/>
          <w:shd w:val="clear" w:color="auto" w:fill="FFFFFF"/>
        </w:rPr>
        <w:t>opinions.</w:t>
      </w:r>
      <w:r w:rsidR="000B3C37">
        <w:rPr>
          <w:rStyle w:val="FootnoteReference"/>
          <w:rFonts w:cstheme="minorHAnsi"/>
          <w:color w:val="222222"/>
          <w:sz w:val="24"/>
          <w:szCs w:val="24"/>
          <w:shd w:val="clear" w:color="auto" w:fill="FFFFFF"/>
        </w:rPr>
        <w:footnoteReference w:id="23"/>
      </w:r>
      <w:r w:rsidR="00587E67">
        <w:rPr>
          <w:rFonts w:cstheme="minorHAnsi"/>
          <w:color w:val="222222"/>
          <w:sz w:val="24"/>
          <w:szCs w:val="24"/>
          <w:shd w:val="clear" w:color="auto" w:fill="FFFFFF"/>
        </w:rPr>
        <w:t xml:space="preserve"> This is a rejection of Marwick’s assertion that war, upon its outbreak was ‘intensely welcome’</w:t>
      </w:r>
      <w:r w:rsidR="002733FE">
        <w:rPr>
          <w:rFonts w:cstheme="minorHAnsi"/>
          <w:color w:val="222222"/>
          <w:sz w:val="24"/>
          <w:szCs w:val="24"/>
          <w:shd w:val="clear" w:color="auto" w:fill="FFFFFF"/>
        </w:rPr>
        <w:t>.</w:t>
      </w:r>
      <w:r w:rsidR="00587E67">
        <w:rPr>
          <w:rStyle w:val="FootnoteReference"/>
          <w:rFonts w:cstheme="minorHAnsi"/>
          <w:color w:val="222222"/>
          <w:sz w:val="24"/>
          <w:szCs w:val="24"/>
          <w:shd w:val="clear" w:color="auto" w:fill="FFFFFF"/>
        </w:rPr>
        <w:footnoteReference w:id="24"/>
      </w:r>
      <w:r w:rsidR="002733FE">
        <w:rPr>
          <w:rFonts w:cstheme="minorHAnsi"/>
          <w:color w:val="222222"/>
          <w:sz w:val="24"/>
          <w:szCs w:val="24"/>
          <w:shd w:val="clear" w:color="auto" w:fill="FFFFFF"/>
        </w:rPr>
        <w:t xml:space="preserve"> </w:t>
      </w:r>
      <w:r w:rsidR="003E2891">
        <w:rPr>
          <w:rFonts w:cstheme="minorHAnsi"/>
          <w:color w:val="222222"/>
          <w:sz w:val="24"/>
          <w:szCs w:val="24"/>
          <w:shd w:val="clear" w:color="auto" w:fill="FFFFFF"/>
        </w:rPr>
        <w:t>Similarly, Gregory seems unsatisfied with the notion of ‘anti-German sentiment’</w:t>
      </w:r>
      <w:r w:rsidR="003E2891" w:rsidRPr="00C14DA2">
        <w:rPr>
          <w:rFonts w:cstheme="minorHAnsi"/>
          <w:color w:val="222222"/>
          <w:sz w:val="24"/>
          <w:szCs w:val="24"/>
          <w:shd w:val="clear" w:color="auto" w:fill="FFFFFF"/>
        </w:rPr>
        <w:t>—</w:t>
      </w:r>
      <w:r w:rsidR="003E2891">
        <w:rPr>
          <w:rFonts w:cstheme="minorHAnsi"/>
          <w:color w:val="222222"/>
          <w:sz w:val="24"/>
          <w:szCs w:val="24"/>
          <w:shd w:val="clear" w:color="auto" w:fill="FFFFFF"/>
        </w:rPr>
        <w:t xml:space="preserve">not because he disputes its existence, but because it fails to capture something. When considering the Second World War, it is easy to </w:t>
      </w:r>
      <w:r w:rsidR="00935239">
        <w:rPr>
          <w:rFonts w:cstheme="minorHAnsi"/>
          <w:color w:val="222222"/>
          <w:sz w:val="24"/>
          <w:szCs w:val="24"/>
          <w:shd w:val="clear" w:color="auto" w:fill="FFFFFF"/>
        </w:rPr>
        <w:t>think</w:t>
      </w:r>
      <w:r w:rsidR="003E2891">
        <w:rPr>
          <w:rFonts w:cstheme="minorHAnsi"/>
          <w:color w:val="222222"/>
          <w:sz w:val="24"/>
          <w:szCs w:val="24"/>
          <w:shd w:val="clear" w:color="auto" w:fill="FFFFFF"/>
        </w:rPr>
        <w:t xml:space="preserve"> </w:t>
      </w:r>
      <w:r w:rsidR="00935239">
        <w:rPr>
          <w:rFonts w:cstheme="minorHAnsi"/>
          <w:color w:val="222222"/>
          <w:sz w:val="24"/>
          <w:szCs w:val="24"/>
          <w:shd w:val="clear" w:color="auto" w:fill="FFFFFF"/>
        </w:rPr>
        <w:t>of an unchallenged Germany</w:t>
      </w:r>
      <w:r w:rsidR="003E2891">
        <w:rPr>
          <w:rFonts w:cstheme="minorHAnsi"/>
          <w:color w:val="222222"/>
          <w:sz w:val="24"/>
          <w:szCs w:val="24"/>
          <w:shd w:val="clear" w:color="auto" w:fill="FFFFFF"/>
        </w:rPr>
        <w:t xml:space="preserve"> as </w:t>
      </w:r>
      <w:r w:rsidR="00935239">
        <w:rPr>
          <w:rFonts w:cstheme="minorHAnsi"/>
          <w:color w:val="222222"/>
          <w:sz w:val="24"/>
          <w:szCs w:val="24"/>
          <w:shd w:val="clear" w:color="auto" w:fill="FFFFFF"/>
        </w:rPr>
        <w:t>genuinely threatening</w:t>
      </w:r>
      <w:r w:rsidR="003E2891">
        <w:rPr>
          <w:rFonts w:cstheme="minorHAnsi"/>
          <w:color w:val="222222"/>
          <w:sz w:val="24"/>
          <w:szCs w:val="24"/>
          <w:shd w:val="clear" w:color="auto" w:fill="FFFFFF"/>
        </w:rPr>
        <w:t xml:space="preserve"> because we can see with hindsight that it was</w:t>
      </w:r>
      <w:r w:rsidR="00861E5D">
        <w:rPr>
          <w:rFonts w:cstheme="minorHAnsi"/>
          <w:color w:val="222222"/>
          <w:sz w:val="24"/>
          <w:szCs w:val="24"/>
          <w:shd w:val="clear" w:color="auto" w:fill="FFFFFF"/>
        </w:rPr>
        <w:t>; hindsight can also make it difficult to do the same for the First World War.</w:t>
      </w:r>
      <w:r w:rsidR="00861E5D">
        <w:rPr>
          <w:rStyle w:val="FootnoteReference"/>
          <w:rFonts w:cstheme="minorHAnsi"/>
          <w:color w:val="222222"/>
          <w:sz w:val="24"/>
          <w:szCs w:val="24"/>
          <w:shd w:val="clear" w:color="auto" w:fill="FFFFFF"/>
        </w:rPr>
        <w:footnoteReference w:id="25"/>
      </w:r>
      <w:r w:rsidR="00935239">
        <w:rPr>
          <w:rFonts w:cstheme="minorHAnsi"/>
          <w:color w:val="222222"/>
          <w:sz w:val="24"/>
          <w:szCs w:val="24"/>
          <w:shd w:val="clear" w:color="auto" w:fill="FFFFFF"/>
        </w:rPr>
        <w:t xml:space="preserve"> Essentially, Gregory is arguing that one should not take seriously </w:t>
      </w:r>
      <w:r w:rsidR="00425A63">
        <w:rPr>
          <w:rFonts w:cstheme="minorHAnsi"/>
          <w:color w:val="222222"/>
          <w:sz w:val="24"/>
          <w:szCs w:val="24"/>
          <w:shd w:val="clear" w:color="auto" w:fill="FFFFFF"/>
        </w:rPr>
        <w:t xml:space="preserve">only </w:t>
      </w:r>
      <w:r w:rsidR="00935239">
        <w:rPr>
          <w:rFonts w:cstheme="minorHAnsi"/>
          <w:color w:val="222222"/>
          <w:sz w:val="24"/>
          <w:szCs w:val="24"/>
          <w:shd w:val="clear" w:color="auto" w:fill="FFFFFF"/>
        </w:rPr>
        <w:t xml:space="preserve">British </w:t>
      </w:r>
      <w:r w:rsidR="00935239">
        <w:rPr>
          <w:rFonts w:cstheme="minorHAnsi"/>
          <w:i/>
          <w:color w:val="222222"/>
          <w:sz w:val="24"/>
          <w:szCs w:val="24"/>
          <w:shd w:val="clear" w:color="auto" w:fill="FFFFFF"/>
        </w:rPr>
        <w:t>hatreds</w:t>
      </w:r>
      <w:r w:rsidR="00935239">
        <w:rPr>
          <w:rFonts w:cstheme="minorHAnsi"/>
          <w:color w:val="222222"/>
          <w:sz w:val="24"/>
          <w:szCs w:val="24"/>
          <w:shd w:val="clear" w:color="auto" w:fill="FFFFFF"/>
        </w:rPr>
        <w:t xml:space="preserve">, but also British </w:t>
      </w:r>
      <w:r w:rsidR="00935239">
        <w:rPr>
          <w:rFonts w:cstheme="minorHAnsi"/>
          <w:i/>
          <w:color w:val="222222"/>
          <w:sz w:val="24"/>
          <w:szCs w:val="24"/>
          <w:shd w:val="clear" w:color="auto" w:fill="FFFFFF"/>
        </w:rPr>
        <w:t>fears</w:t>
      </w:r>
      <w:r w:rsidR="00935239">
        <w:rPr>
          <w:rFonts w:cstheme="minorHAnsi"/>
          <w:color w:val="222222"/>
          <w:sz w:val="24"/>
          <w:szCs w:val="24"/>
          <w:shd w:val="clear" w:color="auto" w:fill="FFFFFF"/>
        </w:rPr>
        <w:t>.</w:t>
      </w:r>
      <w:r w:rsidR="00CB7553">
        <w:rPr>
          <w:rFonts w:cstheme="minorHAnsi"/>
          <w:color w:val="222222"/>
          <w:sz w:val="24"/>
          <w:szCs w:val="24"/>
          <w:shd w:val="clear" w:color="auto" w:fill="FFFFFF"/>
        </w:rPr>
        <w:t xml:space="preserve"> People foresaw catastrophe </w:t>
      </w:r>
      <w:r w:rsidR="007C3885">
        <w:rPr>
          <w:rFonts w:cstheme="minorHAnsi"/>
          <w:color w:val="222222"/>
          <w:sz w:val="24"/>
          <w:szCs w:val="24"/>
          <w:shd w:val="clear" w:color="auto" w:fill="FFFFFF"/>
        </w:rPr>
        <w:t>in an ascendant Germany under the Kaiser, and these fears should be recognised.</w:t>
      </w:r>
    </w:p>
    <w:p w:rsidR="00935239" w:rsidRDefault="0081798A" w:rsidP="00BF36B0">
      <w:pPr>
        <w:spacing w:line="360" w:lineRule="auto"/>
        <w:rPr>
          <w:rFonts w:cstheme="minorHAnsi"/>
          <w:color w:val="222222"/>
          <w:sz w:val="24"/>
          <w:szCs w:val="24"/>
          <w:shd w:val="clear" w:color="auto" w:fill="FFFFFF"/>
        </w:rPr>
      </w:pPr>
      <w:r>
        <w:rPr>
          <w:rFonts w:cstheme="minorHAnsi"/>
          <w:color w:val="222222"/>
          <w:sz w:val="24"/>
          <w:szCs w:val="24"/>
          <w:shd w:val="clear" w:color="auto" w:fill="FFFFFF"/>
        </w:rPr>
        <w:tab/>
      </w:r>
      <w:r w:rsidR="00425A63">
        <w:rPr>
          <w:rFonts w:cstheme="minorHAnsi"/>
          <w:color w:val="222222"/>
          <w:sz w:val="24"/>
          <w:szCs w:val="24"/>
          <w:shd w:val="clear" w:color="auto" w:fill="FFFFFF"/>
        </w:rPr>
        <w:t>The evidence of pro-war crowds in London before the outbreak of war has also been challenged. Indeed, A. J. P. Taylor did so in 1969, suggesting that crowds would naturally form on a Bank Holiday, and so should not be taken as evidence of pre-outbreak support for war.</w:t>
      </w:r>
      <w:r w:rsidR="00425A63">
        <w:rPr>
          <w:rStyle w:val="FootnoteReference"/>
          <w:rFonts w:cstheme="minorHAnsi"/>
          <w:color w:val="222222"/>
          <w:sz w:val="24"/>
          <w:szCs w:val="24"/>
          <w:shd w:val="clear" w:color="auto" w:fill="FFFFFF"/>
        </w:rPr>
        <w:footnoteReference w:id="26"/>
      </w:r>
      <w:r w:rsidR="003B1C29">
        <w:rPr>
          <w:rFonts w:cstheme="minorHAnsi"/>
          <w:color w:val="222222"/>
          <w:sz w:val="24"/>
          <w:szCs w:val="24"/>
          <w:shd w:val="clear" w:color="auto" w:fill="FFFFFF"/>
        </w:rPr>
        <w:t xml:space="preserve"> Gregory and Pennell have since both interrogated this further. Firstly, Gregory suggests that crowds gathered around Buckingham Palace cannot be considered representative of the whole nation.</w:t>
      </w:r>
      <w:r w:rsidR="003B1C29">
        <w:rPr>
          <w:rStyle w:val="FootnoteReference"/>
          <w:rFonts w:cstheme="minorHAnsi"/>
          <w:color w:val="222222"/>
          <w:sz w:val="24"/>
          <w:szCs w:val="24"/>
          <w:shd w:val="clear" w:color="auto" w:fill="FFFFFF"/>
        </w:rPr>
        <w:footnoteReference w:id="27"/>
      </w:r>
      <w:r w:rsidR="003B1C29">
        <w:rPr>
          <w:rFonts w:cstheme="minorHAnsi"/>
          <w:color w:val="222222"/>
          <w:sz w:val="24"/>
          <w:szCs w:val="24"/>
          <w:shd w:val="clear" w:color="auto" w:fill="FFFFFF"/>
        </w:rPr>
        <w:t xml:space="preserve"> Furthermore, there </w:t>
      </w:r>
      <w:r w:rsidR="0033555D">
        <w:rPr>
          <w:rFonts w:cstheme="minorHAnsi"/>
          <w:color w:val="222222"/>
          <w:sz w:val="24"/>
          <w:szCs w:val="24"/>
          <w:shd w:val="clear" w:color="auto" w:fill="FFFFFF"/>
        </w:rPr>
        <w:t xml:space="preserve">are </w:t>
      </w:r>
      <w:r w:rsidR="003B1C29">
        <w:rPr>
          <w:rFonts w:cstheme="minorHAnsi"/>
          <w:color w:val="222222"/>
          <w:sz w:val="24"/>
          <w:szCs w:val="24"/>
          <w:shd w:val="clear" w:color="auto" w:fill="FFFFFF"/>
        </w:rPr>
        <w:t xml:space="preserve">accounts of these events which differ greatly from those in the </w:t>
      </w:r>
      <w:r w:rsidR="003B1C29">
        <w:rPr>
          <w:rFonts w:cstheme="minorHAnsi"/>
          <w:i/>
          <w:color w:val="222222"/>
          <w:sz w:val="24"/>
          <w:szCs w:val="24"/>
          <w:shd w:val="clear" w:color="auto" w:fill="FFFFFF"/>
        </w:rPr>
        <w:t>Daily News</w:t>
      </w:r>
      <w:r w:rsidR="003B1C29">
        <w:rPr>
          <w:rFonts w:cstheme="minorHAnsi"/>
          <w:color w:val="222222"/>
          <w:sz w:val="24"/>
          <w:szCs w:val="24"/>
          <w:shd w:val="clear" w:color="auto" w:fill="FFFFFF"/>
        </w:rPr>
        <w:t xml:space="preserve"> and the </w:t>
      </w:r>
      <w:r w:rsidR="003B1C29">
        <w:rPr>
          <w:rFonts w:cstheme="minorHAnsi"/>
          <w:i/>
          <w:color w:val="222222"/>
          <w:sz w:val="24"/>
          <w:szCs w:val="24"/>
          <w:shd w:val="clear" w:color="auto" w:fill="FFFFFF"/>
        </w:rPr>
        <w:t>Daily Mail</w:t>
      </w:r>
      <w:r w:rsidR="003B1C29">
        <w:rPr>
          <w:rFonts w:cstheme="minorHAnsi"/>
          <w:color w:val="222222"/>
          <w:sz w:val="24"/>
          <w:szCs w:val="24"/>
          <w:shd w:val="clear" w:color="auto" w:fill="FFFFFF"/>
        </w:rPr>
        <w:t xml:space="preserve">, used by Marwick and Lloyd George. A contemporary account in </w:t>
      </w:r>
      <w:r w:rsidR="003B1C29">
        <w:rPr>
          <w:rFonts w:cstheme="minorHAnsi"/>
          <w:i/>
          <w:color w:val="222222"/>
          <w:sz w:val="24"/>
          <w:szCs w:val="24"/>
          <w:shd w:val="clear" w:color="auto" w:fill="FFFFFF"/>
        </w:rPr>
        <w:t>The Globe</w:t>
      </w:r>
      <w:r w:rsidR="003B1C29">
        <w:rPr>
          <w:rFonts w:cstheme="minorHAnsi"/>
          <w:color w:val="222222"/>
          <w:sz w:val="24"/>
          <w:szCs w:val="24"/>
          <w:shd w:val="clear" w:color="auto" w:fill="FFFFFF"/>
        </w:rPr>
        <w:t xml:space="preserve"> describes an ordinary Bank Holiday crowd becoming diverted upon hearing military music </w:t>
      </w:r>
      <w:r w:rsidR="00AB051E">
        <w:rPr>
          <w:rFonts w:cstheme="minorHAnsi"/>
          <w:color w:val="222222"/>
          <w:sz w:val="24"/>
          <w:szCs w:val="24"/>
          <w:shd w:val="clear" w:color="auto" w:fill="FFFFFF"/>
        </w:rPr>
        <w:t>flaring up from the local barracks.</w:t>
      </w:r>
      <w:r w:rsidR="00AB051E">
        <w:rPr>
          <w:rStyle w:val="FootnoteReference"/>
          <w:rFonts w:cstheme="minorHAnsi"/>
          <w:color w:val="222222"/>
          <w:sz w:val="24"/>
          <w:szCs w:val="24"/>
          <w:shd w:val="clear" w:color="auto" w:fill="FFFFFF"/>
        </w:rPr>
        <w:footnoteReference w:id="28"/>
      </w:r>
      <w:r w:rsidR="00AB051E">
        <w:rPr>
          <w:rFonts w:cstheme="minorHAnsi"/>
          <w:color w:val="222222"/>
          <w:sz w:val="24"/>
          <w:szCs w:val="24"/>
          <w:shd w:val="clear" w:color="auto" w:fill="FFFFFF"/>
        </w:rPr>
        <w:t xml:space="preserve"> Similarly, an account in the </w:t>
      </w:r>
      <w:r w:rsidR="00AB051E">
        <w:rPr>
          <w:rFonts w:cstheme="minorHAnsi"/>
          <w:i/>
          <w:color w:val="222222"/>
          <w:sz w:val="24"/>
          <w:szCs w:val="24"/>
          <w:shd w:val="clear" w:color="auto" w:fill="FFFFFF"/>
        </w:rPr>
        <w:t>Cambridge Daily News</w:t>
      </w:r>
      <w:r w:rsidR="00AB051E">
        <w:rPr>
          <w:rFonts w:cstheme="minorHAnsi"/>
          <w:color w:val="222222"/>
          <w:sz w:val="24"/>
          <w:szCs w:val="24"/>
          <w:shd w:val="clear" w:color="auto" w:fill="FFFFFF"/>
        </w:rPr>
        <w:t xml:space="preserve"> rejects explicitly the notion that there was ‘any war fever in London’ on 4 August, and suggesting that the people were ‘intensely </w:t>
      </w:r>
      <w:r w:rsidR="00AB051E">
        <w:rPr>
          <w:rFonts w:cstheme="minorHAnsi"/>
          <w:color w:val="222222"/>
          <w:sz w:val="24"/>
          <w:szCs w:val="24"/>
          <w:shd w:val="clear" w:color="auto" w:fill="FFFFFF"/>
        </w:rPr>
        <w:lastRenderedPageBreak/>
        <w:t>interested’ rather than jubilant.</w:t>
      </w:r>
      <w:r w:rsidR="00AB051E">
        <w:rPr>
          <w:rStyle w:val="FootnoteReference"/>
          <w:rFonts w:cstheme="minorHAnsi"/>
          <w:color w:val="222222"/>
          <w:sz w:val="24"/>
          <w:szCs w:val="24"/>
          <w:shd w:val="clear" w:color="auto" w:fill="FFFFFF"/>
        </w:rPr>
        <w:footnoteReference w:id="29"/>
      </w:r>
      <w:r w:rsidR="00675DC9">
        <w:rPr>
          <w:rFonts w:cstheme="minorHAnsi"/>
          <w:color w:val="222222"/>
          <w:sz w:val="24"/>
          <w:szCs w:val="24"/>
          <w:shd w:val="clear" w:color="auto" w:fill="FFFFFF"/>
        </w:rPr>
        <w:t xml:space="preserve"> Finally, Gregory and Pennell</w:t>
      </w:r>
      <w:r w:rsidR="007B79C4">
        <w:rPr>
          <w:rFonts w:cstheme="minorHAnsi"/>
          <w:color w:val="222222"/>
          <w:sz w:val="24"/>
          <w:szCs w:val="24"/>
          <w:shd w:val="clear" w:color="auto" w:fill="FFFFFF"/>
        </w:rPr>
        <w:t xml:space="preserve"> reject the notion that these crowds were homogeneous, drawing from accounts that suggest, for instance, that pro-interventionist crowds </w:t>
      </w:r>
      <w:r w:rsidR="00722B7A">
        <w:rPr>
          <w:rFonts w:cstheme="minorHAnsi"/>
          <w:color w:val="222222"/>
          <w:sz w:val="24"/>
          <w:szCs w:val="24"/>
          <w:shd w:val="clear" w:color="auto" w:fill="FFFFFF"/>
        </w:rPr>
        <w:t>were more dominated by young middle class men, and perhaps consequently more boisterous.</w:t>
      </w:r>
      <w:r w:rsidR="00722B7A">
        <w:rPr>
          <w:rStyle w:val="FootnoteReference"/>
          <w:rFonts w:cstheme="minorHAnsi"/>
          <w:color w:val="222222"/>
          <w:sz w:val="24"/>
          <w:szCs w:val="24"/>
          <w:shd w:val="clear" w:color="auto" w:fill="FFFFFF"/>
        </w:rPr>
        <w:footnoteReference w:id="30"/>
      </w:r>
      <w:r w:rsidR="00722B7A">
        <w:rPr>
          <w:rFonts w:cstheme="minorHAnsi"/>
          <w:color w:val="222222"/>
          <w:sz w:val="24"/>
          <w:szCs w:val="24"/>
          <w:shd w:val="clear" w:color="auto" w:fill="FFFFFF"/>
        </w:rPr>
        <w:t xml:space="preserve"> Gregory cautions against taking this too readily as evidence of a broader class divide, but does suggest that photographs of pro-interventionist gatherings contain more ‘boaters’ than ‘cloth caps’.</w:t>
      </w:r>
      <w:r w:rsidR="00722B7A">
        <w:rPr>
          <w:rStyle w:val="FootnoteReference"/>
          <w:rFonts w:cstheme="minorHAnsi"/>
          <w:color w:val="222222"/>
          <w:sz w:val="24"/>
          <w:szCs w:val="24"/>
          <w:shd w:val="clear" w:color="auto" w:fill="FFFFFF"/>
        </w:rPr>
        <w:footnoteReference w:id="31"/>
      </w:r>
      <w:r w:rsidR="007C3885">
        <w:rPr>
          <w:rFonts w:cstheme="minorHAnsi"/>
          <w:color w:val="222222"/>
          <w:sz w:val="24"/>
          <w:szCs w:val="24"/>
          <w:shd w:val="clear" w:color="auto" w:fill="FFFFFF"/>
        </w:rPr>
        <w:t xml:space="preserve"> As such, these crowds cannot be taken alone as evidence of enthusiasm for war. The makeup of these crowds was variegated, their purpose is not always obvious, and they existed in one small part of the country.</w:t>
      </w:r>
    </w:p>
    <w:p w:rsidR="008D2E31" w:rsidRDefault="008D2E31" w:rsidP="00BF36B0">
      <w:pPr>
        <w:spacing w:line="360" w:lineRule="auto"/>
        <w:rPr>
          <w:rFonts w:cstheme="minorHAnsi"/>
          <w:color w:val="222222"/>
          <w:sz w:val="24"/>
          <w:szCs w:val="24"/>
          <w:shd w:val="clear" w:color="auto" w:fill="FFFFFF"/>
        </w:rPr>
      </w:pPr>
      <w:r>
        <w:rPr>
          <w:rFonts w:cstheme="minorHAnsi"/>
          <w:color w:val="222222"/>
          <w:sz w:val="24"/>
          <w:szCs w:val="24"/>
          <w:shd w:val="clear" w:color="auto" w:fill="FFFFFF"/>
        </w:rPr>
        <w:tab/>
        <w:t>Similarly, the idea of a ‘rush to the colours’ immediately upon the outbreak on war provides an inadequate summary of events. Marwick notes that enlistment had reached 500,000 by 15 September</w:t>
      </w:r>
      <w:r w:rsidR="00416E1F">
        <w:rPr>
          <w:rFonts w:cstheme="minorHAnsi"/>
          <w:color w:val="222222"/>
          <w:sz w:val="24"/>
          <w:szCs w:val="24"/>
          <w:shd w:val="clear" w:color="auto" w:fill="FFFFFF"/>
        </w:rPr>
        <w:t>.</w:t>
      </w:r>
      <w:r w:rsidR="00416E1F">
        <w:rPr>
          <w:rStyle w:val="FootnoteReference"/>
          <w:rFonts w:cstheme="minorHAnsi"/>
          <w:color w:val="222222"/>
          <w:sz w:val="24"/>
          <w:szCs w:val="24"/>
          <w:shd w:val="clear" w:color="auto" w:fill="FFFFFF"/>
        </w:rPr>
        <w:footnoteReference w:id="32"/>
      </w:r>
      <w:r w:rsidR="00416E1F">
        <w:rPr>
          <w:rFonts w:cstheme="minorHAnsi"/>
          <w:color w:val="222222"/>
          <w:sz w:val="24"/>
          <w:szCs w:val="24"/>
          <w:shd w:val="clear" w:color="auto" w:fill="FFFFFF"/>
        </w:rPr>
        <w:t xml:space="preserve"> However, a closer look at these figures suggests that enlistment </w:t>
      </w:r>
      <w:proofErr w:type="gramStart"/>
      <w:r w:rsidR="00416E1F">
        <w:rPr>
          <w:rFonts w:cstheme="minorHAnsi"/>
          <w:color w:val="222222"/>
          <w:sz w:val="24"/>
          <w:szCs w:val="24"/>
          <w:shd w:val="clear" w:color="auto" w:fill="FFFFFF"/>
        </w:rPr>
        <w:t>actually peaked</w:t>
      </w:r>
      <w:proofErr w:type="gramEnd"/>
      <w:r w:rsidR="00416E1F">
        <w:rPr>
          <w:rFonts w:cstheme="minorHAnsi"/>
          <w:color w:val="222222"/>
          <w:sz w:val="24"/>
          <w:szCs w:val="24"/>
          <w:shd w:val="clear" w:color="auto" w:fill="FFFFFF"/>
        </w:rPr>
        <w:t xml:space="preserve"> towards the end of this timeframe, a month after war had broken out: 188,327 men volunteered in the first week of September</w:t>
      </w:r>
      <w:r w:rsidR="00033C6D">
        <w:rPr>
          <w:rFonts w:cstheme="minorHAnsi"/>
          <w:color w:val="222222"/>
          <w:sz w:val="24"/>
          <w:szCs w:val="24"/>
          <w:shd w:val="clear" w:color="auto" w:fill="FFFFFF"/>
        </w:rPr>
        <w:t xml:space="preserve"> alone, the peak of volunteering for the entire war.</w:t>
      </w:r>
      <w:r w:rsidR="00033C6D">
        <w:rPr>
          <w:rStyle w:val="FootnoteReference"/>
          <w:rFonts w:cstheme="minorHAnsi"/>
          <w:color w:val="222222"/>
          <w:sz w:val="24"/>
          <w:szCs w:val="24"/>
          <w:shd w:val="clear" w:color="auto" w:fill="FFFFFF"/>
        </w:rPr>
        <w:footnoteReference w:id="33"/>
      </w:r>
      <w:r w:rsidR="00033C6D">
        <w:rPr>
          <w:rFonts w:cstheme="minorHAnsi"/>
          <w:color w:val="222222"/>
          <w:sz w:val="24"/>
          <w:szCs w:val="24"/>
          <w:shd w:val="clear" w:color="auto" w:fill="FFFFFF"/>
        </w:rPr>
        <w:t xml:space="preserve"> Characterising this whole period as a ‘rush to the colours’ obscures the detail of events: while men did rush to enlist immediately on the outbreak of war, more did so </w:t>
      </w:r>
      <w:r w:rsidR="00051EFB">
        <w:rPr>
          <w:rFonts w:cstheme="minorHAnsi"/>
          <w:color w:val="222222"/>
          <w:sz w:val="24"/>
          <w:szCs w:val="24"/>
          <w:shd w:val="clear" w:color="auto" w:fill="FFFFFF"/>
        </w:rPr>
        <w:t xml:space="preserve">once casualties had already started to accumulate. As such, the spirit driving recruitment </w:t>
      </w:r>
      <w:r w:rsidR="007C3885">
        <w:rPr>
          <w:rFonts w:cstheme="minorHAnsi"/>
          <w:color w:val="222222"/>
          <w:sz w:val="24"/>
          <w:szCs w:val="24"/>
          <w:shd w:val="clear" w:color="auto" w:fill="FFFFFF"/>
        </w:rPr>
        <w:t xml:space="preserve">at this point </w:t>
      </w:r>
      <w:r w:rsidR="00051EFB">
        <w:rPr>
          <w:rFonts w:cstheme="minorHAnsi"/>
          <w:color w:val="222222"/>
          <w:sz w:val="24"/>
          <w:szCs w:val="24"/>
          <w:shd w:val="clear" w:color="auto" w:fill="FFFFFF"/>
        </w:rPr>
        <w:t>would seem to be solemn duty rather than enthusiasm.</w:t>
      </w:r>
      <w:r w:rsidR="00033C6D">
        <w:rPr>
          <w:rFonts w:cstheme="minorHAnsi"/>
          <w:color w:val="222222"/>
          <w:sz w:val="24"/>
          <w:szCs w:val="24"/>
          <w:shd w:val="clear" w:color="auto" w:fill="FFFFFF"/>
        </w:rPr>
        <w:t xml:space="preserve"> </w:t>
      </w:r>
      <w:r w:rsidR="00787A93">
        <w:rPr>
          <w:rFonts w:cstheme="minorHAnsi"/>
          <w:color w:val="222222"/>
          <w:sz w:val="24"/>
          <w:szCs w:val="24"/>
          <w:shd w:val="clear" w:color="auto" w:fill="FFFFFF"/>
        </w:rPr>
        <w:t xml:space="preserve">Men were </w:t>
      </w:r>
      <w:proofErr w:type="gramStart"/>
      <w:r w:rsidR="00787A93">
        <w:rPr>
          <w:rFonts w:cstheme="minorHAnsi"/>
          <w:color w:val="222222"/>
          <w:sz w:val="24"/>
          <w:szCs w:val="24"/>
          <w:shd w:val="clear" w:color="auto" w:fill="FFFFFF"/>
        </w:rPr>
        <w:t>entering into</w:t>
      </w:r>
      <w:proofErr w:type="gramEnd"/>
      <w:r w:rsidR="00787A93">
        <w:rPr>
          <w:rFonts w:cstheme="minorHAnsi"/>
          <w:color w:val="222222"/>
          <w:sz w:val="24"/>
          <w:szCs w:val="24"/>
          <w:shd w:val="clear" w:color="auto" w:fill="FFFFFF"/>
        </w:rPr>
        <w:t xml:space="preserve"> the military having reached a considered decision to do so, not on a tide of outside opinion.</w:t>
      </w:r>
    </w:p>
    <w:p w:rsidR="00E233FF" w:rsidRDefault="00E233FF" w:rsidP="00BF36B0">
      <w:pPr>
        <w:spacing w:line="360" w:lineRule="auto"/>
        <w:rPr>
          <w:rFonts w:cstheme="minorHAnsi"/>
          <w:color w:val="222222"/>
          <w:sz w:val="24"/>
          <w:szCs w:val="24"/>
          <w:shd w:val="clear" w:color="auto" w:fill="FFFFFF"/>
        </w:rPr>
      </w:pPr>
      <w:r>
        <w:rPr>
          <w:rFonts w:cstheme="minorHAnsi"/>
          <w:color w:val="222222"/>
          <w:sz w:val="24"/>
          <w:szCs w:val="24"/>
          <w:shd w:val="clear" w:color="auto" w:fill="FFFFFF"/>
        </w:rPr>
        <w:tab/>
      </w:r>
      <w:r w:rsidR="001D344F">
        <w:rPr>
          <w:rFonts w:cstheme="minorHAnsi"/>
          <w:color w:val="222222"/>
          <w:sz w:val="24"/>
          <w:szCs w:val="24"/>
          <w:shd w:val="clear" w:color="auto" w:fill="FFFFFF"/>
        </w:rPr>
        <w:t xml:space="preserve">However, there </w:t>
      </w:r>
      <w:r w:rsidR="003A37C9">
        <w:rPr>
          <w:rFonts w:cstheme="minorHAnsi"/>
          <w:color w:val="222222"/>
          <w:sz w:val="24"/>
          <w:szCs w:val="24"/>
          <w:shd w:val="clear" w:color="auto" w:fill="FFFFFF"/>
        </w:rPr>
        <w:t>is at least</w:t>
      </w:r>
      <w:r w:rsidR="00D2427A">
        <w:rPr>
          <w:rFonts w:cstheme="minorHAnsi"/>
          <w:color w:val="222222"/>
          <w:sz w:val="24"/>
          <w:szCs w:val="24"/>
          <w:shd w:val="clear" w:color="auto" w:fill="FFFFFF"/>
        </w:rPr>
        <w:t xml:space="preserve"> one area</w:t>
      </w:r>
      <w:r w:rsidR="001D344F">
        <w:rPr>
          <w:rFonts w:cstheme="minorHAnsi"/>
          <w:color w:val="222222"/>
          <w:sz w:val="24"/>
          <w:szCs w:val="24"/>
          <w:shd w:val="clear" w:color="auto" w:fill="FFFFFF"/>
        </w:rPr>
        <w:t xml:space="preserve"> of agreement between Marwick and those pushing back against the concept of ‘war enthusiasm’</w:t>
      </w:r>
      <w:r w:rsidR="003A37C9">
        <w:rPr>
          <w:rFonts w:cstheme="minorHAnsi"/>
          <w:color w:val="222222"/>
          <w:sz w:val="24"/>
          <w:szCs w:val="24"/>
          <w:shd w:val="clear" w:color="auto" w:fill="FFFFFF"/>
        </w:rPr>
        <w:t xml:space="preserve">, in the role </w:t>
      </w:r>
      <w:r w:rsidR="003141DF">
        <w:rPr>
          <w:rFonts w:cstheme="minorHAnsi"/>
          <w:color w:val="222222"/>
          <w:sz w:val="24"/>
          <w:szCs w:val="24"/>
          <w:shd w:val="clear" w:color="auto" w:fill="FFFFFF"/>
        </w:rPr>
        <w:t>propaganda. Marwick contended that the government largely left the job of encouraging the animosity of the public to the press, and the press in turn tended to follow public opinion, stoking resentments rather than creating them.</w:t>
      </w:r>
      <w:r w:rsidR="003141DF">
        <w:rPr>
          <w:rStyle w:val="FootnoteReference"/>
          <w:rFonts w:cstheme="minorHAnsi"/>
          <w:color w:val="222222"/>
          <w:sz w:val="24"/>
          <w:szCs w:val="24"/>
          <w:shd w:val="clear" w:color="auto" w:fill="FFFFFF"/>
        </w:rPr>
        <w:footnoteReference w:id="34"/>
      </w:r>
      <w:r w:rsidR="003141DF">
        <w:rPr>
          <w:rFonts w:cstheme="minorHAnsi"/>
          <w:color w:val="222222"/>
          <w:sz w:val="24"/>
          <w:szCs w:val="24"/>
          <w:shd w:val="clear" w:color="auto" w:fill="FFFFFF"/>
        </w:rPr>
        <w:t xml:space="preserve"> This </w:t>
      </w:r>
      <w:r w:rsidR="00D2427A">
        <w:rPr>
          <w:rFonts w:cstheme="minorHAnsi"/>
          <w:color w:val="222222"/>
          <w:sz w:val="24"/>
          <w:szCs w:val="24"/>
          <w:shd w:val="clear" w:color="auto" w:fill="FFFFFF"/>
        </w:rPr>
        <w:t xml:space="preserve">synergism of propaganda and public opinion </w:t>
      </w:r>
      <w:r w:rsidR="003141DF">
        <w:rPr>
          <w:rFonts w:cstheme="minorHAnsi"/>
          <w:color w:val="222222"/>
          <w:sz w:val="24"/>
          <w:szCs w:val="24"/>
          <w:shd w:val="clear" w:color="auto" w:fill="FFFFFF"/>
        </w:rPr>
        <w:t xml:space="preserve">is something that Jay Winter described as ‘the mobilization of consent’: propaganda which was at odds with popular feeling had little effect, but when they coincided </w:t>
      </w:r>
      <w:r w:rsidR="00BB1E9E">
        <w:rPr>
          <w:rFonts w:cstheme="minorHAnsi"/>
          <w:color w:val="222222"/>
          <w:sz w:val="24"/>
          <w:szCs w:val="24"/>
          <w:shd w:val="clear" w:color="auto" w:fill="FFFFFF"/>
        </w:rPr>
        <w:t xml:space="preserve">propaganda </w:t>
      </w:r>
      <w:r w:rsidR="00BB1E9E">
        <w:rPr>
          <w:rFonts w:cstheme="minorHAnsi"/>
          <w:color w:val="222222"/>
          <w:sz w:val="24"/>
          <w:szCs w:val="24"/>
          <w:shd w:val="clear" w:color="auto" w:fill="FFFFFF"/>
        </w:rPr>
        <w:lastRenderedPageBreak/>
        <w:t>could have a profound force.</w:t>
      </w:r>
      <w:r w:rsidR="00BB1E9E">
        <w:rPr>
          <w:rStyle w:val="FootnoteReference"/>
          <w:rFonts w:cstheme="minorHAnsi"/>
          <w:color w:val="222222"/>
          <w:sz w:val="24"/>
          <w:szCs w:val="24"/>
          <w:shd w:val="clear" w:color="auto" w:fill="FFFFFF"/>
        </w:rPr>
        <w:footnoteReference w:id="35"/>
      </w:r>
      <w:r w:rsidR="003A37C9">
        <w:rPr>
          <w:rFonts w:cstheme="minorHAnsi"/>
          <w:color w:val="222222"/>
          <w:sz w:val="24"/>
          <w:szCs w:val="24"/>
          <w:shd w:val="clear" w:color="auto" w:fill="FFFFFF"/>
        </w:rPr>
        <w:t xml:space="preserve"> Similarly, Gregory describes atrocity propaganda as ‘bottom-up more than top-down’, suggesting that the public were more vehement than most of the press over German atrocities, and the press more so than official agencies.</w:t>
      </w:r>
      <w:r w:rsidR="003A37C9">
        <w:rPr>
          <w:rStyle w:val="FootnoteReference"/>
          <w:rFonts w:cstheme="minorHAnsi"/>
          <w:color w:val="222222"/>
          <w:sz w:val="24"/>
          <w:szCs w:val="24"/>
          <w:shd w:val="clear" w:color="auto" w:fill="FFFFFF"/>
        </w:rPr>
        <w:footnoteReference w:id="36"/>
      </w:r>
      <w:r w:rsidR="003A37C9">
        <w:rPr>
          <w:rFonts w:cstheme="minorHAnsi"/>
          <w:color w:val="222222"/>
          <w:sz w:val="24"/>
          <w:szCs w:val="24"/>
          <w:shd w:val="clear" w:color="auto" w:fill="FFFFFF"/>
        </w:rPr>
        <w:t xml:space="preserve"> As such, Gregory describes the role of the press as primarily creating ground on which rumour could flourish, rather than developing rumour themselves.</w:t>
      </w:r>
      <w:r w:rsidR="002E6D3B">
        <w:rPr>
          <w:rFonts w:cstheme="minorHAnsi"/>
          <w:color w:val="222222"/>
          <w:sz w:val="24"/>
          <w:szCs w:val="24"/>
          <w:shd w:val="clear" w:color="auto" w:fill="FFFFFF"/>
        </w:rPr>
        <w:t xml:space="preserve"> </w:t>
      </w:r>
      <w:r w:rsidR="006059E0">
        <w:rPr>
          <w:rFonts w:cstheme="minorHAnsi"/>
          <w:color w:val="222222"/>
          <w:sz w:val="24"/>
          <w:szCs w:val="24"/>
          <w:shd w:val="clear" w:color="auto" w:fill="FFFFFF"/>
        </w:rPr>
        <w:t xml:space="preserve">Despite this area of broad agreement, </w:t>
      </w:r>
      <w:r w:rsidR="000932B6">
        <w:rPr>
          <w:rFonts w:cstheme="minorHAnsi"/>
          <w:color w:val="222222"/>
          <w:sz w:val="24"/>
          <w:szCs w:val="24"/>
          <w:shd w:val="clear" w:color="auto" w:fill="FFFFFF"/>
        </w:rPr>
        <w:t xml:space="preserve">the argument for ‘war enthusiasm’ offered by Marwick is otherwise incompatible with the picture drawn by Gregory and Pennell. Marwick sees public opinion as singular mass, driving events forward, where Gregory and Pennell see public opinion as mutable and reactive. </w:t>
      </w:r>
    </w:p>
    <w:p w:rsidR="003A1EBE" w:rsidRDefault="003A1EBE" w:rsidP="00BF36B0">
      <w:pPr>
        <w:spacing w:line="360" w:lineRule="auto"/>
        <w:rPr>
          <w:rFonts w:cstheme="minorHAnsi"/>
          <w:color w:val="222222"/>
          <w:sz w:val="24"/>
          <w:szCs w:val="24"/>
          <w:shd w:val="clear" w:color="auto" w:fill="FFFFFF"/>
        </w:rPr>
      </w:pPr>
      <w:r>
        <w:rPr>
          <w:rFonts w:cstheme="minorHAnsi"/>
          <w:color w:val="222222"/>
          <w:sz w:val="24"/>
          <w:szCs w:val="24"/>
          <w:shd w:val="clear" w:color="auto" w:fill="FFFFFF"/>
        </w:rPr>
        <w:tab/>
      </w:r>
      <w:r w:rsidR="009D2422">
        <w:rPr>
          <w:rFonts w:cstheme="minorHAnsi"/>
          <w:color w:val="222222"/>
          <w:sz w:val="24"/>
          <w:szCs w:val="24"/>
          <w:shd w:val="clear" w:color="auto" w:fill="FFFFFF"/>
        </w:rPr>
        <w:t xml:space="preserve">Gregory and Pennell both see the narrative of ‘war enthusiasm’ as having emerged </w:t>
      </w:r>
      <w:r w:rsidR="003412A1">
        <w:rPr>
          <w:rFonts w:cstheme="minorHAnsi"/>
          <w:color w:val="222222"/>
          <w:sz w:val="24"/>
          <w:szCs w:val="24"/>
          <w:shd w:val="clear" w:color="auto" w:fill="FFFFFF"/>
        </w:rPr>
        <w:t xml:space="preserve">long before Marwick’s monograph, in </w:t>
      </w:r>
      <w:r w:rsidR="009D2422">
        <w:rPr>
          <w:rFonts w:cstheme="minorHAnsi"/>
          <w:color w:val="222222"/>
          <w:sz w:val="24"/>
          <w:szCs w:val="24"/>
          <w:shd w:val="clear" w:color="auto" w:fill="FFFFFF"/>
        </w:rPr>
        <w:t xml:space="preserve">the interwar period. In part, they see this in </w:t>
      </w:r>
      <w:r w:rsidR="003412A1">
        <w:rPr>
          <w:rFonts w:cstheme="minorHAnsi"/>
          <w:color w:val="222222"/>
          <w:sz w:val="24"/>
          <w:szCs w:val="24"/>
          <w:shd w:val="clear" w:color="auto" w:fill="FFFFFF"/>
        </w:rPr>
        <w:t xml:space="preserve">the </w:t>
      </w:r>
      <w:r w:rsidR="009D2422">
        <w:rPr>
          <w:rFonts w:cstheme="minorHAnsi"/>
          <w:color w:val="222222"/>
          <w:sz w:val="24"/>
          <w:szCs w:val="24"/>
          <w:shd w:val="clear" w:color="auto" w:fill="FFFFFF"/>
        </w:rPr>
        <w:t xml:space="preserve">accounts of those who took Britain into war, </w:t>
      </w:r>
      <w:r w:rsidR="003157BB">
        <w:rPr>
          <w:rFonts w:cstheme="minorHAnsi"/>
          <w:color w:val="222222"/>
          <w:sz w:val="24"/>
          <w:szCs w:val="24"/>
          <w:shd w:val="clear" w:color="auto" w:fill="FFFFFF"/>
        </w:rPr>
        <w:t xml:space="preserve">such as </w:t>
      </w:r>
      <w:r w:rsidR="009D2422">
        <w:rPr>
          <w:rFonts w:cstheme="minorHAnsi"/>
          <w:color w:val="222222"/>
          <w:sz w:val="24"/>
          <w:szCs w:val="24"/>
          <w:shd w:val="clear" w:color="auto" w:fill="FFFFFF"/>
        </w:rPr>
        <w:t>Lloyd George</w:t>
      </w:r>
      <w:r w:rsidR="003157BB">
        <w:rPr>
          <w:rFonts w:cstheme="minorHAnsi"/>
          <w:color w:val="222222"/>
          <w:sz w:val="24"/>
          <w:szCs w:val="24"/>
          <w:shd w:val="clear" w:color="auto" w:fill="FFFFFF"/>
        </w:rPr>
        <w:t>, who found in this narrative a ‘useful fiction’.</w:t>
      </w:r>
      <w:r w:rsidR="003157BB">
        <w:rPr>
          <w:rStyle w:val="FootnoteReference"/>
          <w:rFonts w:cstheme="minorHAnsi"/>
          <w:color w:val="222222"/>
          <w:sz w:val="24"/>
          <w:szCs w:val="24"/>
          <w:shd w:val="clear" w:color="auto" w:fill="FFFFFF"/>
        </w:rPr>
        <w:footnoteReference w:id="37"/>
      </w:r>
      <w:r w:rsidR="003157BB">
        <w:rPr>
          <w:rFonts w:cstheme="minorHAnsi"/>
          <w:color w:val="222222"/>
          <w:sz w:val="24"/>
          <w:szCs w:val="24"/>
          <w:shd w:val="clear" w:color="auto" w:fill="FFFFFF"/>
        </w:rPr>
        <w:t xml:space="preserve"> Notably, Lloyd George claims in his memoir that it was the will of the populace that ‘took decision out of the hands of quivering and hesitant statesmanship, which desired peace but had not the resolution and boldness to do the simple things that alone could ensure it’.</w:t>
      </w:r>
      <w:r w:rsidR="003157BB">
        <w:rPr>
          <w:rStyle w:val="FootnoteReference"/>
          <w:rFonts w:cstheme="minorHAnsi"/>
          <w:color w:val="222222"/>
          <w:sz w:val="24"/>
          <w:szCs w:val="24"/>
          <w:shd w:val="clear" w:color="auto" w:fill="FFFFFF"/>
        </w:rPr>
        <w:footnoteReference w:id="38"/>
      </w:r>
      <w:r w:rsidR="003157BB">
        <w:rPr>
          <w:rFonts w:cstheme="minorHAnsi"/>
          <w:color w:val="222222"/>
          <w:sz w:val="24"/>
          <w:szCs w:val="24"/>
          <w:shd w:val="clear" w:color="auto" w:fill="FFFFFF"/>
        </w:rPr>
        <w:t xml:space="preserve"> In this account</w:t>
      </w:r>
      <w:r w:rsidR="004A420A">
        <w:rPr>
          <w:rFonts w:cstheme="minorHAnsi"/>
          <w:color w:val="222222"/>
          <w:sz w:val="24"/>
          <w:szCs w:val="24"/>
          <w:shd w:val="clear" w:color="auto" w:fill="FFFFFF"/>
        </w:rPr>
        <w:t>, made more than twenty years after the events it describes</w:t>
      </w:r>
      <w:r w:rsidR="003157BB">
        <w:rPr>
          <w:rFonts w:cstheme="minorHAnsi"/>
          <w:color w:val="222222"/>
          <w:sz w:val="24"/>
          <w:szCs w:val="24"/>
          <w:shd w:val="clear" w:color="auto" w:fill="FFFFFF"/>
        </w:rPr>
        <w:t xml:space="preserve">, we can see a convenient rejection of </w:t>
      </w:r>
      <w:r w:rsidR="000744F0">
        <w:rPr>
          <w:rFonts w:cstheme="minorHAnsi"/>
          <w:color w:val="222222"/>
          <w:sz w:val="24"/>
          <w:szCs w:val="24"/>
          <w:shd w:val="clear" w:color="auto" w:fill="FFFFFF"/>
        </w:rPr>
        <w:t xml:space="preserve">his own </w:t>
      </w:r>
      <w:r w:rsidR="003157BB">
        <w:rPr>
          <w:rFonts w:cstheme="minorHAnsi"/>
          <w:color w:val="222222"/>
          <w:sz w:val="24"/>
          <w:szCs w:val="24"/>
          <w:shd w:val="clear" w:color="auto" w:fill="FFFFFF"/>
        </w:rPr>
        <w:t xml:space="preserve">culpability, since the decision was out of hands </w:t>
      </w:r>
      <w:r w:rsidR="000744F0">
        <w:rPr>
          <w:rFonts w:cstheme="minorHAnsi"/>
          <w:color w:val="222222"/>
          <w:sz w:val="24"/>
          <w:szCs w:val="24"/>
          <w:shd w:val="clear" w:color="auto" w:fill="FFFFFF"/>
        </w:rPr>
        <w:t>his hands</w:t>
      </w:r>
      <w:r w:rsidR="003157BB">
        <w:rPr>
          <w:rFonts w:cstheme="minorHAnsi"/>
          <w:color w:val="222222"/>
          <w:sz w:val="24"/>
          <w:szCs w:val="24"/>
          <w:shd w:val="clear" w:color="auto" w:fill="FFFFFF"/>
        </w:rPr>
        <w:t>, made instead by the tide of public opinion.</w:t>
      </w:r>
      <w:r>
        <w:rPr>
          <w:rFonts w:cstheme="minorHAnsi"/>
          <w:color w:val="222222"/>
          <w:sz w:val="24"/>
          <w:szCs w:val="24"/>
          <w:shd w:val="clear" w:color="auto" w:fill="FFFFFF"/>
        </w:rPr>
        <w:tab/>
      </w:r>
      <w:r w:rsidR="001324F9">
        <w:rPr>
          <w:rFonts w:cstheme="minorHAnsi"/>
          <w:color w:val="222222"/>
          <w:sz w:val="24"/>
          <w:szCs w:val="24"/>
          <w:shd w:val="clear" w:color="auto" w:fill="FFFFFF"/>
        </w:rPr>
        <w:t xml:space="preserve"> </w:t>
      </w:r>
      <w:r w:rsidR="005166F5">
        <w:rPr>
          <w:rFonts w:cstheme="minorHAnsi"/>
          <w:color w:val="222222"/>
          <w:sz w:val="24"/>
          <w:szCs w:val="24"/>
          <w:shd w:val="clear" w:color="auto" w:fill="FFFFFF"/>
        </w:rPr>
        <w:t>Gregory also suggests that that pacifists invoked images of mass enthusiasm to position themselves heroically against, highlighting Bertrand Russel’s autobiography in which he claims to have found ‘amazement that average men and women were delighted at the prospect of war’.</w:t>
      </w:r>
      <w:r w:rsidR="005166F5">
        <w:rPr>
          <w:rStyle w:val="FootnoteReference"/>
          <w:rFonts w:cstheme="minorHAnsi"/>
          <w:color w:val="222222"/>
          <w:sz w:val="24"/>
          <w:szCs w:val="24"/>
          <w:shd w:val="clear" w:color="auto" w:fill="FFFFFF"/>
        </w:rPr>
        <w:footnoteReference w:id="39"/>
      </w:r>
      <w:r w:rsidR="00235C19">
        <w:rPr>
          <w:rFonts w:cstheme="minorHAnsi"/>
          <w:color w:val="222222"/>
          <w:sz w:val="24"/>
          <w:szCs w:val="24"/>
          <w:shd w:val="clear" w:color="auto" w:fill="FFFFFF"/>
        </w:rPr>
        <w:t xml:space="preserve"> Gregory also argues that </w:t>
      </w:r>
      <w:r w:rsidR="00233542">
        <w:rPr>
          <w:rFonts w:cstheme="minorHAnsi"/>
          <w:color w:val="222222"/>
          <w:sz w:val="24"/>
          <w:szCs w:val="24"/>
          <w:shd w:val="clear" w:color="auto" w:fill="FFFFFF"/>
        </w:rPr>
        <w:t>opponents of the war were often quick to claim that those who supported it were delusional, citing the claims of Irene Cooper Willis in the 1920s that Liberals who supported the war were acting on emotion, then rationalising after the fact.</w:t>
      </w:r>
      <w:r w:rsidR="00233542">
        <w:rPr>
          <w:rStyle w:val="FootnoteReference"/>
          <w:rFonts w:cstheme="minorHAnsi"/>
          <w:color w:val="222222"/>
          <w:sz w:val="24"/>
          <w:szCs w:val="24"/>
          <w:shd w:val="clear" w:color="auto" w:fill="FFFFFF"/>
        </w:rPr>
        <w:footnoteReference w:id="40"/>
      </w:r>
      <w:r w:rsidR="00CB20B3">
        <w:rPr>
          <w:rFonts w:cstheme="minorHAnsi"/>
          <w:color w:val="222222"/>
          <w:sz w:val="24"/>
          <w:szCs w:val="24"/>
          <w:shd w:val="clear" w:color="auto" w:fill="FFFFFF"/>
        </w:rPr>
        <w:t xml:space="preserve"> </w:t>
      </w:r>
      <w:r w:rsidR="00A5729D">
        <w:rPr>
          <w:rFonts w:cstheme="minorHAnsi"/>
          <w:color w:val="222222"/>
          <w:sz w:val="24"/>
          <w:szCs w:val="24"/>
          <w:shd w:val="clear" w:color="auto" w:fill="FFFFFF"/>
        </w:rPr>
        <w:t xml:space="preserve">Notably, Marwick comes close to doing the same in </w:t>
      </w:r>
      <w:r w:rsidR="00A5729D">
        <w:rPr>
          <w:rFonts w:cstheme="minorHAnsi"/>
          <w:i/>
          <w:color w:val="222222"/>
          <w:sz w:val="24"/>
          <w:szCs w:val="24"/>
          <w:shd w:val="clear" w:color="auto" w:fill="FFFFFF"/>
        </w:rPr>
        <w:t xml:space="preserve">The </w:t>
      </w:r>
      <w:r w:rsidR="00A5729D" w:rsidRPr="00A5729D">
        <w:rPr>
          <w:rFonts w:cstheme="minorHAnsi"/>
          <w:i/>
          <w:color w:val="222222"/>
          <w:sz w:val="24"/>
          <w:szCs w:val="24"/>
          <w:shd w:val="clear" w:color="auto" w:fill="FFFFFF"/>
        </w:rPr>
        <w:t>Deluge</w:t>
      </w:r>
      <w:r w:rsidR="00A5729D">
        <w:rPr>
          <w:rFonts w:cstheme="minorHAnsi"/>
          <w:color w:val="222222"/>
          <w:sz w:val="24"/>
          <w:szCs w:val="24"/>
          <w:shd w:val="clear" w:color="auto" w:fill="FFFFFF"/>
        </w:rPr>
        <w:t>, suggesting that ‘excitement and enthusiasm for the war bordered on derangement’.</w:t>
      </w:r>
      <w:r w:rsidR="00A5729D">
        <w:rPr>
          <w:rStyle w:val="FootnoteReference"/>
          <w:rFonts w:cstheme="minorHAnsi"/>
          <w:color w:val="222222"/>
          <w:sz w:val="24"/>
          <w:szCs w:val="24"/>
          <w:shd w:val="clear" w:color="auto" w:fill="FFFFFF"/>
        </w:rPr>
        <w:footnoteReference w:id="41"/>
      </w:r>
      <w:r w:rsidR="00A5729D">
        <w:rPr>
          <w:rFonts w:cstheme="minorHAnsi"/>
          <w:color w:val="222222"/>
          <w:sz w:val="24"/>
          <w:szCs w:val="24"/>
          <w:shd w:val="clear" w:color="auto" w:fill="FFFFFF"/>
        </w:rPr>
        <w:t xml:space="preserve"> Yet while </w:t>
      </w:r>
      <w:r w:rsidR="00CB20B3">
        <w:rPr>
          <w:rFonts w:cstheme="minorHAnsi"/>
          <w:color w:val="222222"/>
          <w:sz w:val="24"/>
          <w:szCs w:val="24"/>
          <w:shd w:val="clear" w:color="auto" w:fill="FFFFFF"/>
        </w:rPr>
        <w:t xml:space="preserve">Marwick’s </w:t>
      </w:r>
      <w:r w:rsidR="00A5729D">
        <w:rPr>
          <w:rFonts w:cstheme="minorHAnsi"/>
          <w:color w:val="222222"/>
          <w:sz w:val="24"/>
          <w:szCs w:val="24"/>
          <w:shd w:val="clear" w:color="auto" w:fill="FFFFFF"/>
        </w:rPr>
        <w:lastRenderedPageBreak/>
        <w:t>conception of war enthusiasm was of a public motivated by inherent bloodlust</w:t>
      </w:r>
      <w:r w:rsidR="00CB20B3">
        <w:rPr>
          <w:rFonts w:cstheme="minorHAnsi"/>
          <w:color w:val="222222"/>
          <w:sz w:val="24"/>
          <w:szCs w:val="24"/>
          <w:shd w:val="clear" w:color="auto" w:fill="FFFFFF"/>
        </w:rPr>
        <w:t xml:space="preserve">, Pennell </w:t>
      </w:r>
      <w:r w:rsidR="00A5729D">
        <w:rPr>
          <w:rFonts w:cstheme="minorHAnsi"/>
          <w:color w:val="222222"/>
          <w:sz w:val="24"/>
          <w:szCs w:val="24"/>
          <w:shd w:val="clear" w:color="auto" w:fill="FFFFFF"/>
        </w:rPr>
        <w:t xml:space="preserve">suggests that for pacifists it did the opposite: </w:t>
      </w:r>
      <w:r w:rsidR="00D2427A">
        <w:rPr>
          <w:rFonts w:cstheme="minorHAnsi"/>
          <w:color w:val="222222"/>
          <w:sz w:val="24"/>
          <w:szCs w:val="24"/>
          <w:shd w:val="clear" w:color="auto" w:fill="FFFFFF"/>
        </w:rPr>
        <w:t>it allowed pacifists to</w:t>
      </w:r>
      <w:r w:rsidR="00A5729D">
        <w:rPr>
          <w:rFonts w:cstheme="minorHAnsi"/>
          <w:color w:val="222222"/>
          <w:sz w:val="24"/>
          <w:szCs w:val="24"/>
          <w:shd w:val="clear" w:color="auto" w:fill="FFFFFF"/>
        </w:rPr>
        <w:t xml:space="preserve"> view</w:t>
      </w:r>
      <w:r w:rsidR="00CB20B3">
        <w:rPr>
          <w:rFonts w:cstheme="minorHAnsi"/>
          <w:color w:val="222222"/>
          <w:sz w:val="24"/>
          <w:szCs w:val="24"/>
          <w:shd w:val="clear" w:color="auto" w:fill="FFFFFF"/>
        </w:rPr>
        <w:t xml:space="preserve"> </w:t>
      </w:r>
      <w:r w:rsidR="00D2427A">
        <w:rPr>
          <w:rFonts w:cstheme="minorHAnsi"/>
          <w:color w:val="222222"/>
          <w:sz w:val="24"/>
          <w:szCs w:val="24"/>
          <w:shd w:val="clear" w:color="auto" w:fill="FFFFFF"/>
        </w:rPr>
        <w:t xml:space="preserve">those calling for intervention </w:t>
      </w:r>
      <w:r w:rsidR="00CB20B3">
        <w:rPr>
          <w:rFonts w:cstheme="minorHAnsi"/>
          <w:color w:val="222222"/>
          <w:sz w:val="24"/>
          <w:szCs w:val="24"/>
          <w:shd w:val="clear" w:color="auto" w:fill="FFFFFF"/>
        </w:rPr>
        <w:t>as overtaken by temporary insanity, rather than motivated by a genuine desire for war.</w:t>
      </w:r>
      <w:r w:rsidR="00CB20B3">
        <w:rPr>
          <w:rStyle w:val="FootnoteReference"/>
          <w:rFonts w:cstheme="minorHAnsi"/>
          <w:color w:val="222222"/>
          <w:sz w:val="24"/>
          <w:szCs w:val="24"/>
          <w:shd w:val="clear" w:color="auto" w:fill="FFFFFF"/>
        </w:rPr>
        <w:footnoteReference w:id="42"/>
      </w:r>
      <w:r w:rsidR="000744F0">
        <w:rPr>
          <w:rFonts w:cstheme="minorHAnsi"/>
          <w:color w:val="222222"/>
          <w:sz w:val="24"/>
          <w:szCs w:val="24"/>
          <w:shd w:val="clear" w:color="auto" w:fill="FFFFFF"/>
        </w:rPr>
        <w:t xml:space="preserve"> This ‘useful fiction’ was therefore useful to many, and has proved stubbornly resilient.</w:t>
      </w:r>
    </w:p>
    <w:p w:rsidR="003A1EBE" w:rsidRPr="00D93798" w:rsidRDefault="00AA7D12" w:rsidP="001F73EE">
      <w:pPr>
        <w:spacing w:line="36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When David Lloyd George gave his famous Queen’s Hall Speech, it is notable that he felt the need to mention that claims of German atrocities were perhaps exaggerated. </w:t>
      </w:r>
      <w:r>
        <w:rPr>
          <w:rStyle w:val="FootnoteReference"/>
          <w:rFonts w:cstheme="minorHAnsi"/>
          <w:color w:val="222222"/>
          <w:sz w:val="24"/>
          <w:szCs w:val="24"/>
          <w:shd w:val="clear" w:color="auto" w:fill="FFFFFF"/>
        </w:rPr>
        <w:footnoteReference w:id="43"/>
      </w:r>
      <w:r w:rsidR="00B54A85">
        <w:rPr>
          <w:rFonts w:cstheme="minorHAnsi"/>
          <w:color w:val="222222"/>
          <w:sz w:val="24"/>
          <w:szCs w:val="24"/>
          <w:shd w:val="clear" w:color="auto" w:fill="FFFFFF"/>
        </w:rPr>
        <w:t xml:space="preserve"> By the time Adrian Gregory wrote his monograph, he felt instead the need to caution that the demonization of Germany was in fact prompted by real events.</w:t>
      </w:r>
      <w:r w:rsidR="00176B22">
        <w:rPr>
          <w:rStyle w:val="FootnoteReference"/>
          <w:rFonts w:cstheme="minorHAnsi"/>
          <w:color w:val="222222"/>
          <w:sz w:val="24"/>
          <w:szCs w:val="24"/>
          <w:shd w:val="clear" w:color="auto" w:fill="FFFFFF"/>
        </w:rPr>
        <w:footnoteReference w:id="44"/>
      </w:r>
      <w:r w:rsidR="00B54A85">
        <w:rPr>
          <w:rFonts w:cstheme="minorHAnsi"/>
          <w:color w:val="222222"/>
          <w:sz w:val="24"/>
          <w:szCs w:val="24"/>
          <w:shd w:val="clear" w:color="auto" w:fill="FFFFFF"/>
        </w:rPr>
        <w:t xml:space="preserve"> </w:t>
      </w:r>
      <w:r w:rsidR="009D368D">
        <w:rPr>
          <w:rFonts w:cstheme="minorHAnsi"/>
          <w:color w:val="222222"/>
          <w:sz w:val="24"/>
          <w:szCs w:val="24"/>
          <w:shd w:val="clear" w:color="auto" w:fill="FFFFFF"/>
        </w:rPr>
        <w:t xml:space="preserve">The </w:t>
      </w:r>
      <w:r w:rsidR="00853BBA">
        <w:rPr>
          <w:rFonts w:cstheme="minorHAnsi"/>
          <w:color w:val="222222"/>
          <w:sz w:val="24"/>
          <w:szCs w:val="24"/>
          <w:shd w:val="clear" w:color="auto" w:fill="FFFFFF"/>
        </w:rPr>
        <w:t xml:space="preserve">reality of the war is obscured today, as </w:t>
      </w:r>
      <w:r w:rsidR="00EB0812">
        <w:rPr>
          <w:rFonts w:cstheme="minorHAnsi"/>
          <w:color w:val="222222"/>
          <w:sz w:val="24"/>
          <w:szCs w:val="24"/>
          <w:shd w:val="clear" w:color="auto" w:fill="FFFFFF"/>
        </w:rPr>
        <w:t>it was</w:t>
      </w:r>
      <w:r w:rsidR="00853BBA">
        <w:rPr>
          <w:rFonts w:cstheme="minorHAnsi"/>
          <w:color w:val="222222"/>
          <w:sz w:val="24"/>
          <w:szCs w:val="24"/>
          <w:shd w:val="clear" w:color="auto" w:fill="FFFFFF"/>
        </w:rPr>
        <w:t xml:space="preserve"> at the time, and that is important to bear in mind. </w:t>
      </w:r>
      <w:r w:rsidR="003A1EBE">
        <w:rPr>
          <w:rFonts w:cstheme="minorHAnsi"/>
          <w:color w:val="222222"/>
          <w:sz w:val="24"/>
          <w:szCs w:val="24"/>
          <w:shd w:val="clear" w:color="auto" w:fill="FFFFFF"/>
        </w:rPr>
        <w:t>Gregory notably suggests that the biggest problem in probing contemporary attitudes towards the First World War has been hindsight</w:t>
      </w:r>
      <w:r w:rsidR="00D93798">
        <w:rPr>
          <w:rFonts w:cstheme="minorHAnsi"/>
          <w:color w:val="222222"/>
          <w:sz w:val="24"/>
          <w:szCs w:val="24"/>
          <w:shd w:val="clear" w:color="auto" w:fill="FFFFFF"/>
        </w:rPr>
        <w:t>;</w:t>
      </w:r>
      <w:r w:rsidR="003A1EBE">
        <w:rPr>
          <w:rStyle w:val="FootnoteReference"/>
          <w:rFonts w:cstheme="minorHAnsi"/>
          <w:color w:val="222222"/>
          <w:sz w:val="24"/>
          <w:szCs w:val="24"/>
          <w:shd w:val="clear" w:color="auto" w:fill="FFFFFF"/>
        </w:rPr>
        <w:footnoteReference w:id="45"/>
      </w:r>
      <w:r w:rsidR="00D93798">
        <w:rPr>
          <w:rFonts w:cstheme="minorHAnsi"/>
          <w:color w:val="222222"/>
          <w:sz w:val="24"/>
          <w:szCs w:val="24"/>
          <w:shd w:val="clear" w:color="auto" w:fill="FFFFFF"/>
        </w:rPr>
        <w:t xml:space="preserve"> in contrasting the First and Second World Wars, the </w:t>
      </w:r>
      <w:r w:rsidR="00D93798" w:rsidRPr="00D93798">
        <w:rPr>
          <w:rFonts w:cstheme="minorHAnsi"/>
          <w:color w:val="222222"/>
          <w:sz w:val="24"/>
          <w:szCs w:val="24"/>
          <w:shd w:val="clear" w:color="auto" w:fill="FFFFFF"/>
        </w:rPr>
        <w:t xml:space="preserve">concerns of those living before the wars become distorted in our view. It is therefore important to try to access the lived experiences of those at the time and consider them properly, not necessarily as some larger narrative. Marwick’s suggestion that </w:t>
      </w:r>
      <w:r w:rsidR="00D93798" w:rsidRPr="00D93798">
        <w:rPr>
          <w:sz w:val="24"/>
          <w:szCs w:val="24"/>
        </w:rPr>
        <w:t>‘British society in 1914 was strongly jingoistic and showed marked enthusiasm for the outbreak of war’</w:t>
      </w:r>
      <w:r w:rsidR="00D93798">
        <w:rPr>
          <w:sz w:val="24"/>
          <w:szCs w:val="24"/>
        </w:rPr>
        <w:t xml:space="preserve"> is therefore inadequate in capturing the mood of the British public in 1914.</w:t>
      </w:r>
    </w:p>
    <w:p w:rsidR="006B08E5" w:rsidRPr="00D93798" w:rsidRDefault="006B08E5">
      <w:pPr>
        <w:rPr>
          <w:sz w:val="24"/>
          <w:szCs w:val="24"/>
        </w:rPr>
      </w:pPr>
      <w:r w:rsidRPr="00D93798">
        <w:rPr>
          <w:sz w:val="24"/>
          <w:szCs w:val="24"/>
        </w:rPr>
        <w:br w:type="page"/>
      </w:r>
    </w:p>
    <w:p w:rsidR="00BB61B0" w:rsidRDefault="006B08E5" w:rsidP="006B08E5">
      <w:pPr>
        <w:spacing w:line="360" w:lineRule="auto"/>
        <w:jc w:val="center"/>
        <w:rPr>
          <w:b/>
          <w:sz w:val="28"/>
          <w:szCs w:val="28"/>
        </w:rPr>
      </w:pPr>
      <w:r>
        <w:rPr>
          <w:b/>
          <w:sz w:val="28"/>
          <w:szCs w:val="28"/>
        </w:rPr>
        <w:lastRenderedPageBreak/>
        <w:t>Bibliography</w:t>
      </w:r>
    </w:p>
    <w:p w:rsidR="00C6702C" w:rsidRPr="00B0319A" w:rsidRDefault="006B08E5" w:rsidP="00B0319A">
      <w:pPr>
        <w:spacing w:line="360" w:lineRule="auto"/>
        <w:ind w:left="567" w:hanging="567"/>
        <w:rPr>
          <w:sz w:val="24"/>
          <w:szCs w:val="24"/>
        </w:rPr>
      </w:pPr>
      <w:r w:rsidRPr="00B0319A">
        <w:rPr>
          <w:b/>
          <w:sz w:val="24"/>
          <w:szCs w:val="24"/>
        </w:rPr>
        <w:t>Primary Sources</w:t>
      </w:r>
    </w:p>
    <w:p w:rsidR="00F57DD5" w:rsidRPr="00B0319A" w:rsidRDefault="00F57DD5" w:rsidP="00B0319A">
      <w:pPr>
        <w:spacing w:line="360" w:lineRule="auto"/>
        <w:ind w:left="567" w:hanging="567"/>
        <w:rPr>
          <w:rFonts w:cstheme="minorHAnsi"/>
          <w:sz w:val="24"/>
          <w:szCs w:val="24"/>
        </w:rPr>
      </w:pPr>
      <w:r w:rsidRPr="00B0319A">
        <w:rPr>
          <w:rFonts w:cstheme="minorHAnsi"/>
          <w:sz w:val="24"/>
          <w:szCs w:val="24"/>
        </w:rPr>
        <w:t xml:space="preserve">George, D., L., </w:t>
      </w:r>
      <w:r w:rsidRPr="00B0319A">
        <w:rPr>
          <w:rFonts w:cstheme="minorHAnsi"/>
          <w:i/>
          <w:sz w:val="24"/>
          <w:szCs w:val="24"/>
        </w:rPr>
        <w:t>The Great War: Speech Delivered by the Rt. Hon. David Lloyd George, M.P. (Chancellor of the Exchequer) at the Queen’s Hall, London, on September 19</w:t>
      </w:r>
      <w:r w:rsidRPr="00B0319A">
        <w:rPr>
          <w:rFonts w:cstheme="minorHAnsi"/>
          <w:i/>
          <w:sz w:val="24"/>
          <w:szCs w:val="24"/>
          <w:vertAlign w:val="superscript"/>
        </w:rPr>
        <w:t>th</w:t>
      </w:r>
      <w:r w:rsidRPr="00B0319A">
        <w:rPr>
          <w:rFonts w:cstheme="minorHAnsi"/>
          <w:i/>
          <w:sz w:val="24"/>
          <w:szCs w:val="24"/>
        </w:rPr>
        <w:t xml:space="preserve">, 1914 </w:t>
      </w:r>
      <w:r w:rsidRPr="00B0319A">
        <w:rPr>
          <w:rFonts w:cstheme="minorHAnsi"/>
          <w:sz w:val="24"/>
          <w:szCs w:val="24"/>
        </w:rPr>
        <w:t xml:space="preserve">(Toronto: Hodder and Stoughton, 1914). [Online]. Available: </w:t>
      </w:r>
      <w:hyperlink r:id="rId7" w:history="1">
        <w:r w:rsidRPr="00B0319A">
          <w:rPr>
            <w:rStyle w:val="Hyperlink"/>
            <w:rFonts w:cstheme="minorHAnsi"/>
            <w:sz w:val="24"/>
            <w:szCs w:val="24"/>
          </w:rPr>
          <w:t>https://archive.org/details/great</w:t>
        </w:r>
        <w:r w:rsidRPr="00B0319A">
          <w:rPr>
            <w:rStyle w:val="Hyperlink"/>
            <w:rFonts w:cstheme="minorHAnsi"/>
            <w:sz w:val="24"/>
            <w:szCs w:val="24"/>
          </w:rPr>
          <w:t>w</w:t>
        </w:r>
        <w:r w:rsidRPr="00B0319A">
          <w:rPr>
            <w:rStyle w:val="Hyperlink"/>
            <w:rFonts w:cstheme="minorHAnsi"/>
            <w:sz w:val="24"/>
            <w:szCs w:val="24"/>
          </w:rPr>
          <w:t>arspeechde00lloyuoft</w:t>
        </w:r>
      </w:hyperlink>
      <w:r w:rsidRPr="00B0319A">
        <w:rPr>
          <w:rFonts w:cstheme="minorHAnsi"/>
          <w:sz w:val="24"/>
          <w:szCs w:val="24"/>
        </w:rPr>
        <w:t xml:space="preserve"> [Accessed on 12 January 2018].</w:t>
      </w:r>
    </w:p>
    <w:p w:rsidR="00F57DD5" w:rsidRPr="00B0319A" w:rsidRDefault="00F57DD5" w:rsidP="00B0319A">
      <w:pPr>
        <w:spacing w:line="360" w:lineRule="auto"/>
        <w:ind w:left="567" w:hanging="567"/>
        <w:rPr>
          <w:rFonts w:cstheme="minorHAnsi"/>
          <w:sz w:val="24"/>
          <w:szCs w:val="24"/>
        </w:rPr>
      </w:pPr>
      <w:r w:rsidRPr="00B0319A">
        <w:rPr>
          <w:rFonts w:cstheme="minorHAnsi"/>
          <w:sz w:val="24"/>
          <w:szCs w:val="24"/>
        </w:rPr>
        <w:t xml:space="preserve">George, D., L., </w:t>
      </w:r>
      <w:r w:rsidRPr="00B0319A">
        <w:rPr>
          <w:rFonts w:cstheme="minorHAnsi"/>
          <w:i/>
          <w:sz w:val="24"/>
          <w:szCs w:val="24"/>
        </w:rPr>
        <w:t xml:space="preserve">War Memoirs of David Lloyd George: Volume 1 </w:t>
      </w:r>
      <w:r w:rsidRPr="00B0319A">
        <w:rPr>
          <w:rFonts w:cstheme="minorHAnsi"/>
          <w:sz w:val="24"/>
          <w:szCs w:val="24"/>
        </w:rPr>
        <w:t xml:space="preserve">(London: </w:t>
      </w:r>
      <w:proofErr w:type="spellStart"/>
      <w:r w:rsidRPr="00B0319A">
        <w:rPr>
          <w:rFonts w:cstheme="minorHAnsi"/>
          <w:sz w:val="24"/>
          <w:szCs w:val="24"/>
        </w:rPr>
        <w:t>Odhams</w:t>
      </w:r>
      <w:proofErr w:type="spellEnd"/>
      <w:r w:rsidRPr="00B0319A">
        <w:rPr>
          <w:rFonts w:cstheme="minorHAnsi"/>
          <w:sz w:val="24"/>
          <w:szCs w:val="24"/>
        </w:rPr>
        <w:t xml:space="preserve"> Press Limited, 1936).</w:t>
      </w:r>
    </w:p>
    <w:p w:rsidR="006B08E5" w:rsidRPr="00B0319A" w:rsidRDefault="00B0319A" w:rsidP="00B0319A">
      <w:pPr>
        <w:spacing w:line="360" w:lineRule="auto"/>
        <w:ind w:left="567" w:hanging="567"/>
        <w:rPr>
          <w:sz w:val="24"/>
          <w:szCs w:val="24"/>
        </w:rPr>
      </w:pPr>
      <w:r w:rsidRPr="00B0319A">
        <w:rPr>
          <w:sz w:val="24"/>
          <w:szCs w:val="24"/>
        </w:rPr>
        <w:t>Marwick, A., and Simpson, W., (</w:t>
      </w:r>
      <w:proofErr w:type="spellStart"/>
      <w:r w:rsidRPr="00B0319A">
        <w:rPr>
          <w:sz w:val="24"/>
          <w:szCs w:val="24"/>
        </w:rPr>
        <w:t>eds</w:t>
      </w:r>
      <w:proofErr w:type="spellEnd"/>
      <w:r w:rsidRPr="00B0319A">
        <w:rPr>
          <w:sz w:val="24"/>
          <w:szCs w:val="24"/>
        </w:rPr>
        <w:t xml:space="preserve">) </w:t>
      </w:r>
      <w:r w:rsidRPr="00B0319A">
        <w:rPr>
          <w:i/>
          <w:sz w:val="24"/>
          <w:szCs w:val="24"/>
        </w:rPr>
        <w:t>War, Peace and Social Change: Documents 1 1900-1929</w:t>
      </w:r>
      <w:r w:rsidRPr="00B0319A">
        <w:rPr>
          <w:sz w:val="24"/>
          <w:szCs w:val="24"/>
        </w:rPr>
        <w:t xml:space="preserve"> (London: Open University Press, 1990).</w:t>
      </w:r>
    </w:p>
    <w:p w:rsidR="00B0319A" w:rsidRPr="00B0319A" w:rsidRDefault="00B0319A" w:rsidP="00B0319A">
      <w:pPr>
        <w:spacing w:line="360" w:lineRule="auto"/>
        <w:ind w:left="567" w:hanging="567"/>
        <w:rPr>
          <w:sz w:val="24"/>
          <w:szCs w:val="24"/>
        </w:rPr>
      </w:pPr>
    </w:p>
    <w:p w:rsidR="006B08E5" w:rsidRPr="00B0319A" w:rsidRDefault="006B08E5" w:rsidP="00B0319A">
      <w:pPr>
        <w:spacing w:line="360" w:lineRule="auto"/>
        <w:ind w:left="567" w:hanging="567"/>
        <w:rPr>
          <w:sz w:val="24"/>
          <w:szCs w:val="24"/>
        </w:rPr>
      </w:pPr>
      <w:r w:rsidRPr="00B0319A">
        <w:rPr>
          <w:b/>
          <w:sz w:val="24"/>
          <w:szCs w:val="24"/>
        </w:rPr>
        <w:t>Secondary Sources</w:t>
      </w:r>
    </w:p>
    <w:p w:rsidR="006B08E5" w:rsidRPr="00B0319A" w:rsidRDefault="006B08E5" w:rsidP="00B0319A">
      <w:pPr>
        <w:spacing w:line="360" w:lineRule="auto"/>
        <w:ind w:left="567" w:hanging="567"/>
        <w:rPr>
          <w:sz w:val="24"/>
          <w:szCs w:val="24"/>
        </w:rPr>
      </w:pPr>
      <w:r w:rsidRPr="00B0319A">
        <w:rPr>
          <w:sz w:val="24"/>
          <w:szCs w:val="24"/>
        </w:rPr>
        <w:t xml:space="preserve">Gregory, A., </w:t>
      </w:r>
      <w:r w:rsidRPr="00B0319A">
        <w:rPr>
          <w:i/>
          <w:sz w:val="24"/>
          <w:szCs w:val="24"/>
        </w:rPr>
        <w:t>The Last Great War: British Society and the First World War</w:t>
      </w:r>
      <w:r w:rsidRPr="00B0319A">
        <w:rPr>
          <w:sz w:val="24"/>
          <w:szCs w:val="24"/>
        </w:rPr>
        <w:t xml:space="preserve"> (Cambridge: Cambridge University Press, 2008).</w:t>
      </w:r>
    </w:p>
    <w:p w:rsidR="006B08E5" w:rsidRPr="00053A31" w:rsidRDefault="006B08E5" w:rsidP="00B0319A">
      <w:pPr>
        <w:spacing w:line="360" w:lineRule="auto"/>
        <w:ind w:left="567" w:hanging="567"/>
        <w:rPr>
          <w:sz w:val="24"/>
          <w:szCs w:val="24"/>
        </w:rPr>
      </w:pPr>
      <w:r w:rsidRPr="00053A31">
        <w:rPr>
          <w:sz w:val="24"/>
          <w:szCs w:val="24"/>
        </w:rPr>
        <w:t xml:space="preserve">Marwick, A., </w:t>
      </w:r>
      <w:r w:rsidRPr="00053A31">
        <w:rPr>
          <w:i/>
          <w:sz w:val="24"/>
          <w:szCs w:val="24"/>
        </w:rPr>
        <w:t>The Deluge: British Society and the First World War</w:t>
      </w:r>
      <w:r w:rsidR="00954325" w:rsidRPr="00053A31">
        <w:rPr>
          <w:sz w:val="24"/>
          <w:szCs w:val="24"/>
        </w:rPr>
        <w:t xml:space="preserve">, </w:t>
      </w:r>
      <w:r w:rsidRPr="00053A31">
        <w:rPr>
          <w:sz w:val="24"/>
          <w:szCs w:val="24"/>
        </w:rPr>
        <w:t xml:space="preserve">second </w:t>
      </w:r>
      <w:proofErr w:type="spellStart"/>
      <w:r w:rsidRPr="00053A31">
        <w:rPr>
          <w:sz w:val="24"/>
          <w:szCs w:val="24"/>
        </w:rPr>
        <w:t>edn</w:t>
      </w:r>
      <w:proofErr w:type="spellEnd"/>
      <w:r w:rsidR="00954325" w:rsidRPr="00053A31">
        <w:rPr>
          <w:sz w:val="24"/>
          <w:szCs w:val="24"/>
        </w:rPr>
        <w:t xml:space="preserve"> </w:t>
      </w:r>
      <w:r w:rsidRPr="00053A31">
        <w:rPr>
          <w:sz w:val="24"/>
          <w:szCs w:val="24"/>
        </w:rPr>
        <w:t>(Basingstoke: Palgrave Macmillan, 1991).</w:t>
      </w:r>
    </w:p>
    <w:p w:rsidR="00053A31" w:rsidRPr="00053A31" w:rsidRDefault="00053A31" w:rsidP="00B0319A">
      <w:pPr>
        <w:spacing w:line="360" w:lineRule="auto"/>
        <w:ind w:left="567" w:hanging="567"/>
        <w:rPr>
          <w:sz w:val="24"/>
          <w:szCs w:val="24"/>
        </w:rPr>
      </w:pPr>
      <w:r w:rsidRPr="00053A31">
        <w:rPr>
          <w:sz w:val="24"/>
          <w:szCs w:val="24"/>
        </w:rPr>
        <w:t>Pearce</w:t>
      </w:r>
      <w:r w:rsidRPr="00053A31">
        <w:rPr>
          <w:sz w:val="24"/>
          <w:szCs w:val="24"/>
        </w:rPr>
        <w:t>, C.</w:t>
      </w:r>
      <w:r w:rsidRPr="00053A31">
        <w:rPr>
          <w:sz w:val="24"/>
          <w:szCs w:val="24"/>
        </w:rPr>
        <w:t xml:space="preserve">, ‘Rethinking the British Anti-War Movement 1914-1918: Notes from a Local Study’, </w:t>
      </w:r>
      <w:r w:rsidRPr="00053A31">
        <w:rPr>
          <w:i/>
          <w:sz w:val="24"/>
          <w:szCs w:val="24"/>
        </w:rPr>
        <w:t>Quaker Studies</w:t>
      </w:r>
      <w:r w:rsidRPr="00053A31">
        <w:rPr>
          <w:sz w:val="24"/>
          <w:szCs w:val="24"/>
        </w:rPr>
        <w:t xml:space="preserve"> vol. 7 (2002), 31-34. [Online]. Available: </w:t>
      </w:r>
      <w:hyperlink r:id="rId8" w:history="1">
        <w:r w:rsidRPr="00053A31">
          <w:rPr>
            <w:rStyle w:val="Hyperlink"/>
            <w:sz w:val="24"/>
            <w:szCs w:val="24"/>
          </w:rPr>
          <w:t>http://web.a.ebscohost.com.ezproxy.uwtsd.ac.uk/ehost/pdfviewer/pdfviewer?vid=1&amp;sid=41d039bc-1291-4128-aa05-39218b36cbc7%40sessionmgr4006/</w:t>
        </w:r>
      </w:hyperlink>
      <w:r w:rsidRPr="00053A31">
        <w:rPr>
          <w:sz w:val="24"/>
          <w:szCs w:val="24"/>
        </w:rPr>
        <w:t xml:space="preserve"> (Accessed on 12 January 2018).</w:t>
      </w:r>
    </w:p>
    <w:p w:rsidR="00F57DD5" w:rsidRPr="00B0319A" w:rsidRDefault="00F57DD5" w:rsidP="00B0319A">
      <w:pPr>
        <w:spacing w:line="360" w:lineRule="auto"/>
        <w:ind w:left="567" w:hanging="567"/>
        <w:rPr>
          <w:sz w:val="24"/>
          <w:szCs w:val="24"/>
        </w:rPr>
      </w:pPr>
      <w:r w:rsidRPr="00B0319A">
        <w:rPr>
          <w:sz w:val="24"/>
          <w:szCs w:val="24"/>
        </w:rPr>
        <w:t xml:space="preserve">Pennell, C., </w:t>
      </w:r>
      <w:r w:rsidRPr="00B0319A">
        <w:rPr>
          <w:i/>
          <w:sz w:val="24"/>
          <w:szCs w:val="24"/>
        </w:rPr>
        <w:t>A Kingdom United: Popular Responses to the Outbreak of the First World War in Britain and Ireland</w:t>
      </w:r>
      <w:r w:rsidRPr="00B0319A">
        <w:rPr>
          <w:sz w:val="24"/>
          <w:szCs w:val="24"/>
        </w:rPr>
        <w:t xml:space="preserve"> (Oxford: Oxford University Press, 2012).</w:t>
      </w:r>
    </w:p>
    <w:p w:rsidR="00B0319A" w:rsidRPr="00B0319A" w:rsidRDefault="00B0319A" w:rsidP="00B0319A">
      <w:pPr>
        <w:spacing w:line="360" w:lineRule="auto"/>
        <w:ind w:left="567" w:hanging="567"/>
        <w:rPr>
          <w:sz w:val="24"/>
          <w:szCs w:val="24"/>
        </w:rPr>
      </w:pPr>
      <w:r w:rsidRPr="00B0319A">
        <w:rPr>
          <w:sz w:val="24"/>
          <w:szCs w:val="24"/>
        </w:rPr>
        <w:t>Strachan, H., (</w:t>
      </w:r>
      <w:proofErr w:type="spellStart"/>
      <w:r w:rsidRPr="00B0319A">
        <w:rPr>
          <w:sz w:val="24"/>
          <w:szCs w:val="24"/>
        </w:rPr>
        <w:t>ed</w:t>
      </w:r>
      <w:proofErr w:type="spellEnd"/>
      <w:r w:rsidRPr="00B0319A">
        <w:rPr>
          <w:sz w:val="24"/>
          <w:szCs w:val="24"/>
        </w:rPr>
        <w:t xml:space="preserve">) </w:t>
      </w:r>
      <w:r w:rsidRPr="00B0319A">
        <w:rPr>
          <w:i/>
          <w:sz w:val="24"/>
          <w:szCs w:val="24"/>
        </w:rPr>
        <w:t>The Oxford Illustrated History of the First World War</w:t>
      </w:r>
      <w:r w:rsidRPr="00B0319A">
        <w:rPr>
          <w:sz w:val="24"/>
          <w:szCs w:val="24"/>
        </w:rPr>
        <w:t xml:space="preserve"> (Oxford: Oxford University Press, 1998).</w:t>
      </w:r>
    </w:p>
    <w:p w:rsidR="00F57DD5" w:rsidRPr="00B0319A" w:rsidRDefault="00F57DD5" w:rsidP="00B0319A">
      <w:pPr>
        <w:spacing w:line="360" w:lineRule="auto"/>
        <w:ind w:left="567" w:hanging="567"/>
        <w:rPr>
          <w:i/>
          <w:sz w:val="24"/>
          <w:szCs w:val="24"/>
        </w:rPr>
      </w:pPr>
      <w:r w:rsidRPr="00B0319A">
        <w:rPr>
          <w:sz w:val="24"/>
          <w:szCs w:val="24"/>
        </w:rPr>
        <w:lastRenderedPageBreak/>
        <w:t xml:space="preserve">Taylor, A., J., P., </w:t>
      </w:r>
      <w:r w:rsidRPr="00B0319A">
        <w:rPr>
          <w:rFonts w:cstheme="minorHAnsi"/>
          <w:i/>
          <w:sz w:val="24"/>
          <w:szCs w:val="24"/>
        </w:rPr>
        <w:t>War by Time-table: How the First World War Began</w:t>
      </w:r>
      <w:r w:rsidRPr="00B0319A">
        <w:rPr>
          <w:rFonts w:cstheme="minorHAnsi"/>
          <w:sz w:val="24"/>
          <w:szCs w:val="24"/>
        </w:rPr>
        <w:t xml:space="preserve"> (London: Macdonald &amp; Co Ltd, 1969).</w:t>
      </w:r>
    </w:p>
    <w:sectPr w:rsidR="00F57DD5" w:rsidRPr="00B031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4D8B" w:rsidRDefault="00114D8B" w:rsidP="005F077E">
      <w:pPr>
        <w:spacing w:after="0" w:line="240" w:lineRule="auto"/>
      </w:pPr>
      <w:r>
        <w:separator/>
      </w:r>
    </w:p>
  </w:endnote>
  <w:endnote w:type="continuationSeparator" w:id="0">
    <w:p w:rsidR="00114D8B" w:rsidRDefault="00114D8B" w:rsidP="005F0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4D8B" w:rsidRDefault="00114D8B" w:rsidP="005F077E">
      <w:pPr>
        <w:spacing w:after="0" w:line="240" w:lineRule="auto"/>
      </w:pPr>
      <w:r>
        <w:separator/>
      </w:r>
    </w:p>
  </w:footnote>
  <w:footnote w:type="continuationSeparator" w:id="0">
    <w:p w:rsidR="00114D8B" w:rsidRDefault="00114D8B" w:rsidP="005F077E">
      <w:pPr>
        <w:spacing w:after="0" w:line="240" w:lineRule="auto"/>
      </w:pPr>
      <w:r>
        <w:continuationSeparator/>
      </w:r>
    </w:p>
  </w:footnote>
  <w:footnote w:id="1">
    <w:p w:rsidR="00F81816" w:rsidRPr="00176B22" w:rsidRDefault="00F81816"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7F681A" w:rsidRPr="00176B22">
        <w:rPr>
          <w:sz w:val="20"/>
          <w:szCs w:val="20"/>
        </w:rPr>
        <w:t xml:space="preserve">A. Marwick, </w:t>
      </w:r>
      <w:r w:rsidR="007F681A" w:rsidRPr="006A1809">
        <w:rPr>
          <w:i/>
          <w:sz w:val="20"/>
          <w:szCs w:val="20"/>
        </w:rPr>
        <w:t>The Deluge: British Society and the First World War</w:t>
      </w:r>
      <w:r w:rsidR="007F681A" w:rsidRPr="00176B22">
        <w:rPr>
          <w:sz w:val="20"/>
          <w:szCs w:val="20"/>
        </w:rPr>
        <w:t xml:space="preserve">, second </w:t>
      </w:r>
      <w:proofErr w:type="spellStart"/>
      <w:r w:rsidR="007F681A" w:rsidRPr="00176B22">
        <w:rPr>
          <w:sz w:val="20"/>
          <w:szCs w:val="20"/>
        </w:rPr>
        <w:t>edn</w:t>
      </w:r>
      <w:proofErr w:type="spellEnd"/>
      <w:r w:rsidR="007F681A" w:rsidRPr="00176B22">
        <w:rPr>
          <w:sz w:val="20"/>
          <w:szCs w:val="20"/>
        </w:rPr>
        <w:t xml:space="preserve"> (Basingstoke: Palgrave Macmillan, 1991), </w:t>
      </w:r>
      <w:r w:rsidRPr="00176B22">
        <w:rPr>
          <w:sz w:val="20"/>
          <w:szCs w:val="20"/>
        </w:rPr>
        <w:t>349</w:t>
      </w:r>
      <w:r w:rsidR="007F681A" w:rsidRPr="00176B22">
        <w:rPr>
          <w:sz w:val="20"/>
          <w:szCs w:val="20"/>
        </w:rPr>
        <w:t>.</w:t>
      </w:r>
    </w:p>
  </w:footnote>
  <w:footnote w:id="2">
    <w:p w:rsidR="00053A31" w:rsidRPr="00176B22" w:rsidRDefault="00053A31" w:rsidP="006A1809">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C. Pearce, ‘Rethinking the British Anti-War Movement 1914-1918: Notes from a Local Study’, </w:t>
      </w:r>
      <w:r w:rsidRPr="006A1809">
        <w:rPr>
          <w:i/>
          <w:sz w:val="20"/>
          <w:szCs w:val="20"/>
        </w:rPr>
        <w:t>Quaker Studies</w:t>
      </w:r>
      <w:r w:rsidRPr="00176B22">
        <w:rPr>
          <w:sz w:val="20"/>
          <w:szCs w:val="20"/>
        </w:rPr>
        <w:t xml:space="preserve"> vol. 7 (2002), 31-34. [Online]. Available: </w:t>
      </w:r>
      <w:hyperlink r:id="rId1" w:history="1">
        <w:r w:rsidRPr="00176B22">
          <w:rPr>
            <w:rStyle w:val="Hyperlink"/>
            <w:color w:val="auto"/>
            <w:sz w:val="20"/>
            <w:szCs w:val="20"/>
            <w:u w:val="none"/>
          </w:rPr>
          <w:t>http://web.a.ebscohost.com.ezproxy.uwtsd.ac.uk/ehost/pdfviewer/pdfviewer?vid=1&amp;sid=41d039bc-1291-4128-aa05-39218b36cbc7%40sessionmgr4006/</w:t>
        </w:r>
      </w:hyperlink>
      <w:r w:rsidRPr="00176B22">
        <w:rPr>
          <w:sz w:val="20"/>
          <w:szCs w:val="20"/>
        </w:rPr>
        <w:t xml:space="preserve"> (Accessed on 12 January 2018).</w:t>
      </w:r>
    </w:p>
  </w:footnote>
  <w:footnote w:id="3">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Marwick, </w:t>
      </w:r>
      <w:r w:rsidR="006C49BC" w:rsidRPr="006A1809">
        <w:rPr>
          <w:i/>
          <w:sz w:val="20"/>
          <w:szCs w:val="20"/>
        </w:rPr>
        <w:t>Deluge</w:t>
      </w:r>
      <w:r w:rsidR="006C49BC" w:rsidRPr="00176B22">
        <w:rPr>
          <w:sz w:val="20"/>
          <w:szCs w:val="20"/>
        </w:rPr>
        <w:t xml:space="preserve">, </w:t>
      </w:r>
      <w:r w:rsidRPr="00176B22">
        <w:rPr>
          <w:sz w:val="20"/>
          <w:szCs w:val="20"/>
        </w:rPr>
        <w:t>66-</w:t>
      </w:r>
      <w:r w:rsidR="000320D8" w:rsidRPr="00176B22">
        <w:rPr>
          <w:sz w:val="20"/>
          <w:szCs w:val="20"/>
        </w:rPr>
        <w:t>6</w:t>
      </w:r>
      <w:r w:rsidRPr="00176B22">
        <w:rPr>
          <w:sz w:val="20"/>
          <w:szCs w:val="20"/>
        </w:rPr>
        <w:t>7</w:t>
      </w:r>
      <w:r w:rsidR="006C49BC" w:rsidRPr="00176B22">
        <w:rPr>
          <w:sz w:val="20"/>
          <w:szCs w:val="20"/>
        </w:rPr>
        <w:t>.</w:t>
      </w:r>
    </w:p>
  </w:footnote>
  <w:footnote w:id="4">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6C49BC" w:rsidRPr="006A1809">
        <w:rPr>
          <w:i/>
          <w:sz w:val="20"/>
          <w:szCs w:val="20"/>
        </w:rPr>
        <w:t>ibid.</w:t>
      </w:r>
    </w:p>
  </w:footnote>
  <w:footnote w:id="5">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Marwick,</w:t>
      </w:r>
      <w:r w:rsidR="005A1CA5" w:rsidRPr="00176B22">
        <w:rPr>
          <w:sz w:val="20"/>
          <w:szCs w:val="20"/>
        </w:rPr>
        <w:t xml:space="preserve"> </w:t>
      </w:r>
      <w:r w:rsidR="005A1CA5" w:rsidRPr="006A1809">
        <w:rPr>
          <w:i/>
          <w:sz w:val="20"/>
          <w:szCs w:val="20"/>
        </w:rPr>
        <w:t>Deluge</w:t>
      </w:r>
      <w:r w:rsidR="005A1CA5" w:rsidRPr="00176B22">
        <w:rPr>
          <w:sz w:val="20"/>
          <w:szCs w:val="20"/>
        </w:rPr>
        <w:t>,</w:t>
      </w:r>
      <w:r w:rsidRPr="00176B22">
        <w:rPr>
          <w:sz w:val="20"/>
          <w:szCs w:val="20"/>
        </w:rPr>
        <w:t xml:space="preserve"> 68</w:t>
      </w:r>
      <w:r w:rsidR="005A1CA5" w:rsidRPr="00176B22">
        <w:rPr>
          <w:sz w:val="20"/>
          <w:szCs w:val="20"/>
        </w:rPr>
        <w:t>.</w:t>
      </w:r>
    </w:p>
  </w:footnote>
  <w:footnote w:id="6">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R. B. McDowall, </w:t>
      </w:r>
      <w:r w:rsidRPr="006A1809">
        <w:rPr>
          <w:i/>
          <w:sz w:val="20"/>
          <w:szCs w:val="20"/>
        </w:rPr>
        <w:t>British Conservatism, 1832-1914</w:t>
      </w:r>
      <w:r w:rsidRPr="00176B22">
        <w:rPr>
          <w:sz w:val="20"/>
          <w:szCs w:val="20"/>
        </w:rPr>
        <w:t xml:space="preserve"> (London: Greenwood, 1959), 95 in </w:t>
      </w:r>
      <w:r w:rsidR="000320D8" w:rsidRPr="00176B22">
        <w:rPr>
          <w:sz w:val="20"/>
          <w:szCs w:val="20"/>
        </w:rPr>
        <w:t xml:space="preserve">Marwick, </w:t>
      </w:r>
      <w:r w:rsidR="000320D8" w:rsidRPr="006A1809">
        <w:rPr>
          <w:i/>
          <w:sz w:val="20"/>
          <w:szCs w:val="20"/>
        </w:rPr>
        <w:t>Deluge</w:t>
      </w:r>
      <w:r w:rsidR="000320D8" w:rsidRPr="00176B22">
        <w:rPr>
          <w:sz w:val="20"/>
          <w:szCs w:val="20"/>
        </w:rPr>
        <w:t>,</w:t>
      </w:r>
      <w:r w:rsidRPr="00176B22">
        <w:rPr>
          <w:sz w:val="20"/>
          <w:szCs w:val="20"/>
        </w:rPr>
        <w:t xml:space="preserve"> 67-</w:t>
      </w:r>
      <w:r w:rsidR="000320D8" w:rsidRPr="00176B22">
        <w:rPr>
          <w:sz w:val="20"/>
          <w:szCs w:val="20"/>
        </w:rPr>
        <w:t>6</w:t>
      </w:r>
      <w:r w:rsidRPr="00176B22">
        <w:rPr>
          <w:sz w:val="20"/>
          <w:szCs w:val="20"/>
        </w:rPr>
        <w:t>8</w:t>
      </w:r>
      <w:r w:rsidR="000320D8" w:rsidRPr="00176B22">
        <w:rPr>
          <w:sz w:val="20"/>
          <w:szCs w:val="20"/>
        </w:rPr>
        <w:t>.</w:t>
      </w:r>
    </w:p>
  </w:footnote>
  <w:footnote w:id="7">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Pr="006A1809">
        <w:rPr>
          <w:i/>
          <w:sz w:val="20"/>
          <w:szCs w:val="20"/>
        </w:rPr>
        <w:t>Daily News,</w:t>
      </w:r>
      <w:r w:rsidRPr="00176B22">
        <w:rPr>
          <w:sz w:val="20"/>
          <w:szCs w:val="20"/>
        </w:rPr>
        <w:t xml:space="preserve"> 3-5 August 1914</w:t>
      </w:r>
      <w:r w:rsidR="005A1CA5" w:rsidRPr="00176B22">
        <w:rPr>
          <w:sz w:val="20"/>
          <w:szCs w:val="20"/>
        </w:rPr>
        <w:t xml:space="preserve"> and</w:t>
      </w:r>
      <w:r w:rsidRPr="00176B22">
        <w:rPr>
          <w:sz w:val="20"/>
          <w:szCs w:val="20"/>
        </w:rPr>
        <w:t xml:space="preserve"> </w:t>
      </w:r>
      <w:r w:rsidRPr="006A1809">
        <w:rPr>
          <w:i/>
          <w:sz w:val="20"/>
          <w:szCs w:val="20"/>
        </w:rPr>
        <w:t>Daily Mail</w:t>
      </w:r>
      <w:r w:rsidRPr="00176B22">
        <w:rPr>
          <w:sz w:val="20"/>
          <w:szCs w:val="20"/>
        </w:rPr>
        <w:t xml:space="preserve">, 4-5 August 1914 </w:t>
      </w:r>
      <w:r w:rsidR="005A1CA5" w:rsidRPr="00176B22">
        <w:rPr>
          <w:sz w:val="20"/>
          <w:szCs w:val="20"/>
        </w:rPr>
        <w:t xml:space="preserve">in Marwick, </w:t>
      </w:r>
      <w:r w:rsidR="005A1CA5" w:rsidRPr="006A1809">
        <w:rPr>
          <w:i/>
          <w:sz w:val="20"/>
          <w:szCs w:val="20"/>
        </w:rPr>
        <w:t>Deluge</w:t>
      </w:r>
      <w:r w:rsidRPr="00176B22">
        <w:rPr>
          <w:sz w:val="20"/>
          <w:szCs w:val="20"/>
        </w:rPr>
        <w:t>, 71</w:t>
      </w:r>
      <w:r w:rsidR="005A1CA5" w:rsidRPr="00176B22">
        <w:rPr>
          <w:sz w:val="20"/>
          <w:szCs w:val="20"/>
        </w:rPr>
        <w:t>.</w:t>
      </w:r>
    </w:p>
  </w:footnote>
  <w:footnote w:id="8">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2F763E" w:rsidRPr="00176B22">
        <w:rPr>
          <w:sz w:val="20"/>
          <w:szCs w:val="20"/>
        </w:rPr>
        <w:t>D. George</w:t>
      </w:r>
      <w:r w:rsidR="002F763E" w:rsidRPr="006A1809">
        <w:rPr>
          <w:i/>
          <w:sz w:val="20"/>
          <w:szCs w:val="20"/>
        </w:rPr>
        <w:t>, War Memoirs of David Lloyd George: Volume 1</w:t>
      </w:r>
      <w:r w:rsidR="002F763E" w:rsidRPr="00176B22">
        <w:rPr>
          <w:sz w:val="20"/>
          <w:szCs w:val="20"/>
        </w:rPr>
        <w:t xml:space="preserve"> (London: </w:t>
      </w:r>
      <w:proofErr w:type="spellStart"/>
      <w:r w:rsidR="002F763E" w:rsidRPr="00176B22">
        <w:rPr>
          <w:sz w:val="20"/>
          <w:szCs w:val="20"/>
        </w:rPr>
        <w:t>Odhams</w:t>
      </w:r>
      <w:proofErr w:type="spellEnd"/>
      <w:r w:rsidR="002F763E" w:rsidRPr="00176B22">
        <w:rPr>
          <w:sz w:val="20"/>
          <w:szCs w:val="20"/>
        </w:rPr>
        <w:t xml:space="preserve"> Press Limited, 1936)</w:t>
      </w:r>
      <w:r w:rsidRPr="00176B22">
        <w:rPr>
          <w:sz w:val="20"/>
          <w:szCs w:val="20"/>
        </w:rPr>
        <w:t>, 41-</w:t>
      </w:r>
      <w:r w:rsidR="002F763E" w:rsidRPr="00176B22">
        <w:rPr>
          <w:sz w:val="20"/>
          <w:szCs w:val="20"/>
        </w:rPr>
        <w:t>4</w:t>
      </w:r>
      <w:r w:rsidRPr="00176B22">
        <w:rPr>
          <w:sz w:val="20"/>
          <w:szCs w:val="20"/>
        </w:rPr>
        <w:t>2</w:t>
      </w:r>
    </w:p>
  </w:footnote>
  <w:footnote w:id="9">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2F763E" w:rsidRPr="006A1809">
        <w:rPr>
          <w:i/>
          <w:sz w:val="20"/>
          <w:szCs w:val="20"/>
        </w:rPr>
        <w:t>ibid</w:t>
      </w:r>
      <w:r w:rsidR="002F763E" w:rsidRPr="00176B22">
        <w:rPr>
          <w:sz w:val="20"/>
          <w:szCs w:val="20"/>
        </w:rPr>
        <w:t>.</w:t>
      </w:r>
    </w:p>
  </w:footnote>
  <w:footnote w:id="10">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 xml:space="preserve">Marwick, </w:t>
      </w:r>
      <w:r w:rsidR="005A1CA5" w:rsidRPr="006A1809">
        <w:rPr>
          <w:i/>
          <w:sz w:val="20"/>
          <w:szCs w:val="20"/>
        </w:rPr>
        <w:t>Deluge</w:t>
      </w:r>
      <w:r w:rsidR="005A1CA5" w:rsidRPr="00176B22">
        <w:rPr>
          <w:sz w:val="20"/>
          <w:szCs w:val="20"/>
        </w:rPr>
        <w:t xml:space="preserve">, </w:t>
      </w:r>
      <w:r w:rsidRPr="00176B22">
        <w:rPr>
          <w:sz w:val="20"/>
          <w:szCs w:val="20"/>
        </w:rPr>
        <w:t>68-</w:t>
      </w:r>
      <w:r w:rsidR="000320D8" w:rsidRPr="00176B22">
        <w:rPr>
          <w:sz w:val="20"/>
          <w:szCs w:val="20"/>
        </w:rPr>
        <w:t>6</w:t>
      </w:r>
      <w:r w:rsidRPr="00176B22">
        <w:rPr>
          <w:sz w:val="20"/>
          <w:szCs w:val="20"/>
        </w:rPr>
        <w:t>9</w:t>
      </w:r>
      <w:r w:rsidR="005A1CA5" w:rsidRPr="00176B22">
        <w:rPr>
          <w:sz w:val="20"/>
          <w:szCs w:val="20"/>
        </w:rPr>
        <w:t>.</w:t>
      </w:r>
    </w:p>
  </w:footnote>
  <w:footnote w:id="11">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p>
  </w:footnote>
  <w:footnote w:id="12">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005A1CA5" w:rsidRPr="00176B22">
        <w:rPr>
          <w:sz w:val="20"/>
          <w:szCs w:val="20"/>
        </w:rPr>
        <w:t xml:space="preserve">, </w:t>
      </w:r>
      <w:r w:rsidRPr="00176B22">
        <w:rPr>
          <w:sz w:val="20"/>
          <w:szCs w:val="20"/>
        </w:rPr>
        <w:t>71-</w:t>
      </w:r>
      <w:r w:rsidR="000320D8" w:rsidRPr="00176B22">
        <w:rPr>
          <w:sz w:val="20"/>
          <w:szCs w:val="20"/>
        </w:rPr>
        <w:t>7</w:t>
      </w:r>
      <w:r w:rsidRPr="00176B22">
        <w:rPr>
          <w:sz w:val="20"/>
          <w:szCs w:val="20"/>
        </w:rPr>
        <w:t>2</w:t>
      </w:r>
      <w:r w:rsidR="005A1CA5" w:rsidRPr="00176B22">
        <w:rPr>
          <w:sz w:val="20"/>
          <w:szCs w:val="20"/>
        </w:rPr>
        <w:t>.</w:t>
      </w:r>
    </w:p>
  </w:footnote>
  <w:footnote w:id="13">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8535D9" w:rsidRPr="00176B22">
        <w:rPr>
          <w:sz w:val="20"/>
          <w:szCs w:val="20"/>
        </w:rPr>
        <w:t>A. Marwick and W. Simpson (</w:t>
      </w:r>
      <w:proofErr w:type="spellStart"/>
      <w:r w:rsidR="008535D9" w:rsidRPr="00176B22">
        <w:rPr>
          <w:sz w:val="20"/>
          <w:szCs w:val="20"/>
        </w:rPr>
        <w:t>eds</w:t>
      </w:r>
      <w:proofErr w:type="spellEnd"/>
      <w:r w:rsidR="008535D9" w:rsidRPr="00176B22">
        <w:rPr>
          <w:sz w:val="20"/>
          <w:szCs w:val="20"/>
        </w:rPr>
        <w:t xml:space="preserve">) </w:t>
      </w:r>
      <w:r w:rsidR="008535D9" w:rsidRPr="006A1809">
        <w:rPr>
          <w:i/>
          <w:sz w:val="20"/>
          <w:szCs w:val="20"/>
        </w:rPr>
        <w:t>War, Peace and Social Change: Documents 1 1900-1929</w:t>
      </w:r>
      <w:r w:rsidR="008535D9" w:rsidRPr="00176B22">
        <w:rPr>
          <w:sz w:val="20"/>
          <w:szCs w:val="20"/>
        </w:rPr>
        <w:t xml:space="preserve"> (London: Open University Press, 1990)</w:t>
      </w:r>
      <w:r w:rsidR="007B100A" w:rsidRPr="00176B22">
        <w:rPr>
          <w:sz w:val="20"/>
          <w:szCs w:val="20"/>
        </w:rPr>
        <w:t>, 3-4.</w:t>
      </w:r>
    </w:p>
  </w:footnote>
  <w:footnote w:id="14">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Marwick</w:t>
      </w:r>
      <w:r w:rsidR="005A1CA5" w:rsidRPr="006A1809">
        <w:rPr>
          <w:i/>
          <w:sz w:val="20"/>
          <w:szCs w:val="20"/>
        </w:rPr>
        <w:t>, Deluge</w:t>
      </w:r>
      <w:r w:rsidR="005A1CA5" w:rsidRPr="00176B22">
        <w:rPr>
          <w:sz w:val="20"/>
          <w:szCs w:val="20"/>
        </w:rPr>
        <w:t xml:space="preserve">, </w:t>
      </w:r>
      <w:r w:rsidRPr="00176B22">
        <w:rPr>
          <w:sz w:val="20"/>
          <w:szCs w:val="20"/>
        </w:rPr>
        <w:t>71-</w:t>
      </w:r>
      <w:r w:rsidR="000320D8" w:rsidRPr="00176B22">
        <w:rPr>
          <w:sz w:val="20"/>
          <w:szCs w:val="20"/>
        </w:rPr>
        <w:t>7</w:t>
      </w:r>
      <w:r w:rsidRPr="00176B22">
        <w:rPr>
          <w:sz w:val="20"/>
          <w:szCs w:val="20"/>
        </w:rPr>
        <w:t>2</w:t>
      </w:r>
      <w:r w:rsidR="005A1CA5" w:rsidRPr="00176B22">
        <w:rPr>
          <w:sz w:val="20"/>
          <w:szCs w:val="20"/>
        </w:rPr>
        <w:t>.</w:t>
      </w:r>
    </w:p>
  </w:footnote>
  <w:footnote w:id="15">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w:t>
      </w:r>
      <w:r w:rsidRPr="00176B22">
        <w:rPr>
          <w:sz w:val="20"/>
          <w:szCs w:val="20"/>
        </w:rPr>
        <w:t xml:space="preserve"> 72</w:t>
      </w:r>
      <w:r w:rsidR="005A1CA5" w:rsidRPr="00176B22">
        <w:rPr>
          <w:sz w:val="20"/>
          <w:szCs w:val="20"/>
        </w:rPr>
        <w:t>.</w:t>
      </w:r>
    </w:p>
  </w:footnote>
  <w:footnote w:id="16">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w:t>
      </w:r>
      <w:r w:rsidRPr="00176B22">
        <w:rPr>
          <w:sz w:val="20"/>
          <w:szCs w:val="20"/>
        </w:rPr>
        <w:t xml:space="preserve"> 72-</w:t>
      </w:r>
      <w:r w:rsidR="000320D8" w:rsidRPr="00176B22">
        <w:rPr>
          <w:sz w:val="20"/>
          <w:szCs w:val="20"/>
        </w:rPr>
        <w:t>7</w:t>
      </w:r>
      <w:r w:rsidRPr="00176B22">
        <w:rPr>
          <w:sz w:val="20"/>
          <w:szCs w:val="20"/>
        </w:rPr>
        <w:t>3</w:t>
      </w:r>
      <w:r w:rsidR="005A1CA5" w:rsidRPr="00176B22">
        <w:rPr>
          <w:sz w:val="20"/>
          <w:szCs w:val="20"/>
        </w:rPr>
        <w:t>.</w:t>
      </w:r>
    </w:p>
  </w:footnote>
  <w:footnote w:id="17">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 xml:space="preserve">, </w:t>
      </w:r>
      <w:r w:rsidRPr="00176B22">
        <w:rPr>
          <w:sz w:val="20"/>
          <w:szCs w:val="20"/>
        </w:rPr>
        <w:t>75-</w:t>
      </w:r>
      <w:r w:rsidR="000320D8" w:rsidRPr="00176B22">
        <w:rPr>
          <w:sz w:val="20"/>
          <w:szCs w:val="20"/>
        </w:rPr>
        <w:t>7</w:t>
      </w:r>
      <w:r w:rsidRPr="00176B22">
        <w:rPr>
          <w:sz w:val="20"/>
          <w:szCs w:val="20"/>
        </w:rPr>
        <w:t>6</w:t>
      </w:r>
      <w:r w:rsidR="005A1CA5" w:rsidRPr="00176B22">
        <w:rPr>
          <w:sz w:val="20"/>
          <w:szCs w:val="20"/>
        </w:rPr>
        <w:t>.</w:t>
      </w:r>
    </w:p>
  </w:footnote>
  <w:footnote w:id="18">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w:t>
      </w:r>
      <w:r w:rsidRPr="00176B22">
        <w:rPr>
          <w:sz w:val="20"/>
          <w:szCs w:val="20"/>
        </w:rPr>
        <w:t xml:space="preserve"> 78</w:t>
      </w:r>
      <w:r w:rsidR="005A1CA5" w:rsidRPr="00176B22">
        <w:rPr>
          <w:sz w:val="20"/>
          <w:szCs w:val="20"/>
        </w:rPr>
        <w:t>.</w:t>
      </w:r>
    </w:p>
  </w:footnote>
  <w:footnote w:id="19">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w:t>
      </w:r>
      <w:r w:rsidRPr="00176B22">
        <w:rPr>
          <w:sz w:val="20"/>
          <w:szCs w:val="20"/>
        </w:rPr>
        <w:t xml:space="preserve"> 78-</w:t>
      </w:r>
      <w:r w:rsidR="000320D8" w:rsidRPr="00176B22">
        <w:rPr>
          <w:sz w:val="20"/>
          <w:szCs w:val="20"/>
        </w:rPr>
        <w:t>7</w:t>
      </w:r>
      <w:r w:rsidRPr="00176B22">
        <w:rPr>
          <w:sz w:val="20"/>
          <w:szCs w:val="20"/>
        </w:rPr>
        <w:t>9</w:t>
      </w:r>
      <w:r w:rsidR="005A1CA5" w:rsidRPr="00176B22">
        <w:rPr>
          <w:sz w:val="20"/>
          <w:szCs w:val="20"/>
        </w:rPr>
        <w:t>.</w:t>
      </w:r>
    </w:p>
  </w:footnote>
  <w:footnote w:id="20">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0320D8" w:rsidRPr="006A1809">
        <w:rPr>
          <w:i/>
          <w:sz w:val="20"/>
          <w:szCs w:val="20"/>
        </w:rPr>
        <w:t>i</w:t>
      </w:r>
      <w:r w:rsidR="005A1CA5" w:rsidRPr="006A1809">
        <w:rPr>
          <w:i/>
          <w:sz w:val="20"/>
          <w:szCs w:val="20"/>
        </w:rPr>
        <w:t>bid,</w:t>
      </w:r>
      <w:r w:rsidR="005A1CA5" w:rsidRPr="00176B22">
        <w:rPr>
          <w:sz w:val="20"/>
          <w:szCs w:val="20"/>
        </w:rPr>
        <w:t xml:space="preserve"> </w:t>
      </w:r>
      <w:r w:rsidRPr="00176B22">
        <w:rPr>
          <w:sz w:val="20"/>
          <w:szCs w:val="20"/>
        </w:rPr>
        <w:t>78</w:t>
      </w:r>
      <w:r w:rsidR="005A1CA5" w:rsidRPr="00176B22">
        <w:rPr>
          <w:sz w:val="20"/>
          <w:szCs w:val="20"/>
        </w:rPr>
        <w:t>.</w:t>
      </w:r>
    </w:p>
  </w:footnote>
  <w:footnote w:id="21">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6A1809">
        <w:rPr>
          <w:i/>
          <w:sz w:val="20"/>
          <w:szCs w:val="20"/>
        </w:rPr>
        <w:t>ibid</w:t>
      </w:r>
      <w:r w:rsidRPr="006A1809">
        <w:rPr>
          <w:i/>
          <w:sz w:val="20"/>
          <w:szCs w:val="20"/>
        </w:rPr>
        <w:t>,</w:t>
      </w:r>
      <w:r w:rsidRPr="00176B22">
        <w:rPr>
          <w:sz w:val="20"/>
          <w:szCs w:val="20"/>
        </w:rPr>
        <w:t xml:space="preserve"> 90-91, 124</w:t>
      </w:r>
      <w:r w:rsidR="005A1CA5" w:rsidRPr="00176B22">
        <w:rPr>
          <w:sz w:val="20"/>
          <w:szCs w:val="20"/>
        </w:rPr>
        <w:t>.</w:t>
      </w:r>
    </w:p>
  </w:footnote>
  <w:footnote w:id="22">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22201D" w:rsidRPr="00176B22">
        <w:rPr>
          <w:sz w:val="20"/>
          <w:szCs w:val="20"/>
        </w:rPr>
        <w:t xml:space="preserve">A. </w:t>
      </w:r>
      <w:r w:rsidR="0033728F" w:rsidRPr="00176B22">
        <w:rPr>
          <w:sz w:val="20"/>
          <w:szCs w:val="20"/>
        </w:rPr>
        <w:t>Gregory</w:t>
      </w:r>
      <w:r w:rsidR="0033728F" w:rsidRPr="006A1809">
        <w:rPr>
          <w:i/>
          <w:sz w:val="20"/>
          <w:szCs w:val="20"/>
        </w:rPr>
        <w:t>, The Last Great War: British Society and the First World War</w:t>
      </w:r>
      <w:r w:rsidR="0033728F" w:rsidRPr="00176B22">
        <w:rPr>
          <w:sz w:val="20"/>
          <w:szCs w:val="20"/>
        </w:rPr>
        <w:t xml:space="preserve"> (Cambridge: Cambridge University Press, 2008)</w:t>
      </w:r>
      <w:r w:rsidRPr="00176B22">
        <w:rPr>
          <w:sz w:val="20"/>
          <w:szCs w:val="20"/>
        </w:rPr>
        <w:t xml:space="preserve">, </w:t>
      </w:r>
      <w:r w:rsidR="00444317">
        <w:rPr>
          <w:sz w:val="20"/>
          <w:szCs w:val="20"/>
        </w:rPr>
        <w:t>37.</w:t>
      </w:r>
    </w:p>
  </w:footnote>
  <w:footnote w:id="23">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Gregory,</w:t>
      </w:r>
      <w:r w:rsidR="00C40B07" w:rsidRPr="00176B22">
        <w:rPr>
          <w:sz w:val="20"/>
          <w:szCs w:val="20"/>
        </w:rPr>
        <w:t xml:space="preserve"> </w:t>
      </w:r>
      <w:r w:rsidR="00C40B07" w:rsidRPr="00AE0054">
        <w:rPr>
          <w:i/>
          <w:sz w:val="20"/>
          <w:szCs w:val="20"/>
        </w:rPr>
        <w:t>Great War</w:t>
      </w:r>
      <w:r w:rsidR="00C40B07" w:rsidRPr="00176B22">
        <w:rPr>
          <w:sz w:val="20"/>
          <w:szCs w:val="20"/>
        </w:rPr>
        <w:t>,</w:t>
      </w:r>
      <w:r w:rsidRPr="00176B22">
        <w:rPr>
          <w:sz w:val="20"/>
          <w:szCs w:val="20"/>
        </w:rPr>
        <w:t xml:space="preserve"> </w:t>
      </w:r>
      <w:r w:rsidR="00645A44">
        <w:rPr>
          <w:sz w:val="20"/>
          <w:szCs w:val="20"/>
        </w:rPr>
        <w:t>7</w:t>
      </w:r>
      <w:r w:rsidRPr="00176B22">
        <w:rPr>
          <w:sz w:val="20"/>
          <w:szCs w:val="20"/>
        </w:rPr>
        <w:t>.</w:t>
      </w:r>
      <w:r w:rsidR="00851435" w:rsidRPr="00176B22">
        <w:rPr>
          <w:sz w:val="20"/>
          <w:szCs w:val="20"/>
        </w:rPr>
        <w:t xml:space="preserve"> C.</w:t>
      </w:r>
      <w:r w:rsidRPr="00176B22">
        <w:rPr>
          <w:sz w:val="20"/>
          <w:szCs w:val="20"/>
        </w:rPr>
        <w:t xml:space="preserve"> </w:t>
      </w:r>
      <w:r w:rsidR="00851435" w:rsidRPr="00176B22">
        <w:rPr>
          <w:sz w:val="20"/>
          <w:szCs w:val="20"/>
        </w:rPr>
        <w:t xml:space="preserve">Pennell, </w:t>
      </w:r>
      <w:r w:rsidR="00851435" w:rsidRPr="00AE0054">
        <w:rPr>
          <w:i/>
          <w:sz w:val="20"/>
          <w:szCs w:val="20"/>
        </w:rPr>
        <w:t>A Kingdom United: Popular Responses to the Outbreak of the First World War in Britain and Ireland</w:t>
      </w:r>
      <w:r w:rsidR="00851435" w:rsidRPr="00176B22">
        <w:rPr>
          <w:sz w:val="20"/>
          <w:szCs w:val="20"/>
        </w:rPr>
        <w:t xml:space="preserve"> (Oxford: Oxford University Press, 2012)</w:t>
      </w:r>
      <w:r w:rsidRPr="00176B22">
        <w:rPr>
          <w:sz w:val="20"/>
          <w:szCs w:val="20"/>
        </w:rPr>
        <w:t>, 1-3</w:t>
      </w:r>
      <w:r w:rsidR="00851435" w:rsidRPr="00176B22">
        <w:rPr>
          <w:sz w:val="20"/>
          <w:szCs w:val="20"/>
        </w:rPr>
        <w:t>.</w:t>
      </w:r>
    </w:p>
  </w:footnote>
  <w:footnote w:id="24">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 xml:space="preserve">Marwick, </w:t>
      </w:r>
      <w:r w:rsidR="005A1CA5" w:rsidRPr="00AE0054">
        <w:rPr>
          <w:i/>
          <w:sz w:val="20"/>
          <w:szCs w:val="20"/>
        </w:rPr>
        <w:t>Deluge</w:t>
      </w:r>
      <w:r w:rsidRPr="00176B22">
        <w:rPr>
          <w:sz w:val="20"/>
          <w:szCs w:val="20"/>
        </w:rPr>
        <w:t>, 66-</w:t>
      </w:r>
      <w:r w:rsidR="00645A44">
        <w:rPr>
          <w:sz w:val="20"/>
          <w:szCs w:val="20"/>
        </w:rPr>
        <w:t>6</w:t>
      </w:r>
      <w:r w:rsidRPr="00176B22">
        <w:rPr>
          <w:sz w:val="20"/>
          <w:szCs w:val="20"/>
        </w:rPr>
        <w:t>7</w:t>
      </w:r>
      <w:r w:rsidR="005A1CA5" w:rsidRPr="00176B22">
        <w:rPr>
          <w:sz w:val="20"/>
          <w:szCs w:val="20"/>
        </w:rPr>
        <w:t>.</w:t>
      </w:r>
    </w:p>
  </w:footnote>
  <w:footnote w:id="25">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6-7.</w:t>
      </w:r>
    </w:p>
  </w:footnote>
  <w:footnote w:id="26">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2261A3" w:rsidRPr="00176B22">
        <w:rPr>
          <w:sz w:val="20"/>
          <w:szCs w:val="20"/>
        </w:rPr>
        <w:t xml:space="preserve">A. </w:t>
      </w:r>
      <w:r w:rsidR="007B100A" w:rsidRPr="00176B22">
        <w:rPr>
          <w:sz w:val="20"/>
          <w:szCs w:val="20"/>
        </w:rPr>
        <w:t>Taylor</w:t>
      </w:r>
      <w:r w:rsidR="002261A3" w:rsidRPr="00AE0054">
        <w:rPr>
          <w:i/>
          <w:sz w:val="20"/>
          <w:szCs w:val="20"/>
        </w:rPr>
        <w:t xml:space="preserve">, </w:t>
      </w:r>
      <w:r w:rsidR="007B100A" w:rsidRPr="00AE0054">
        <w:rPr>
          <w:i/>
          <w:sz w:val="20"/>
          <w:szCs w:val="20"/>
        </w:rPr>
        <w:t>War by Time-table: How the First World War Began</w:t>
      </w:r>
      <w:r w:rsidR="007B100A" w:rsidRPr="00176B22">
        <w:rPr>
          <w:sz w:val="20"/>
          <w:szCs w:val="20"/>
        </w:rPr>
        <w:t xml:space="preserve"> (London: Macdonald &amp; Co Ltd, 1969), </w:t>
      </w:r>
      <w:r w:rsidRPr="00176B22">
        <w:rPr>
          <w:sz w:val="20"/>
          <w:szCs w:val="20"/>
        </w:rPr>
        <w:t>101</w:t>
      </w:r>
      <w:r w:rsidR="002261A3" w:rsidRPr="00176B22">
        <w:rPr>
          <w:sz w:val="20"/>
          <w:szCs w:val="20"/>
        </w:rPr>
        <w:t>.</w:t>
      </w:r>
    </w:p>
  </w:footnote>
  <w:footnote w:id="27">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C40B07" w:rsidRPr="00176B22">
        <w:rPr>
          <w:sz w:val="20"/>
          <w:szCs w:val="20"/>
        </w:rPr>
        <w:t xml:space="preserve">Gregory, </w:t>
      </w:r>
      <w:r w:rsidR="00C40B07" w:rsidRPr="00AE0054">
        <w:rPr>
          <w:i/>
          <w:sz w:val="20"/>
          <w:szCs w:val="20"/>
        </w:rPr>
        <w:t>Great War</w:t>
      </w:r>
      <w:r w:rsidRPr="00AE0054">
        <w:rPr>
          <w:i/>
          <w:sz w:val="20"/>
          <w:szCs w:val="20"/>
        </w:rPr>
        <w:t>,</w:t>
      </w:r>
      <w:r w:rsidRPr="00176B22">
        <w:rPr>
          <w:sz w:val="20"/>
          <w:szCs w:val="20"/>
        </w:rPr>
        <w:t xml:space="preserve"> </w:t>
      </w:r>
      <w:r w:rsidR="00645A44">
        <w:rPr>
          <w:sz w:val="20"/>
          <w:szCs w:val="20"/>
        </w:rPr>
        <w:t>12-13.</w:t>
      </w:r>
    </w:p>
  </w:footnote>
  <w:footnote w:id="28">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Pr="00AE0054">
        <w:rPr>
          <w:i/>
          <w:sz w:val="20"/>
          <w:szCs w:val="20"/>
        </w:rPr>
        <w:t>The Globe</w:t>
      </w:r>
      <w:r w:rsidRPr="00176B22">
        <w:rPr>
          <w:sz w:val="20"/>
          <w:szCs w:val="20"/>
        </w:rPr>
        <w:t xml:space="preserve">, 3 August 1914, 5 in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12-13.</w:t>
      </w:r>
    </w:p>
  </w:footnote>
  <w:footnote w:id="29">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Pr="00AE0054">
        <w:rPr>
          <w:i/>
          <w:sz w:val="20"/>
          <w:szCs w:val="20"/>
        </w:rPr>
        <w:t>Cambridge Daily News</w:t>
      </w:r>
      <w:r w:rsidRPr="00176B22">
        <w:rPr>
          <w:sz w:val="20"/>
          <w:szCs w:val="20"/>
        </w:rPr>
        <w:t>, 5 August 1914, in Pennell,</w:t>
      </w:r>
      <w:r w:rsidR="004A61E2" w:rsidRPr="00176B22">
        <w:rPr>
          <w:sz w:val="20"/>
          <w:szCs w:val="20"/>
        </w:rPr>
        <w:t xml:space="preserve"> </w:t>
      </w:r>
      <w:r w:rsidR="004A61E2" w:rsidRPr="00AE0054">
        <w:rPr>
          <w:i/>
          <w:sz w:val="20"/>
          <w:szCs w:val="20"/>
        </w:rPr>
        <w:t>Kingdom</w:t>
      </w:r>
      <w:r w:rsidR="004A61E2" w:rsidRPr="00176B22">
        <w:rPr>
          <w:sz w:val="20"/>
          <w:szCs w:val="20"/>
        </w:rPr>
        <w:t>,</w:t>
      </w:r>
      <w:r w:rsidRPr="00176B22">
        <w:rPr>
          <w:sz w:val="20"/>
          <w:szCs w:val="20"/>
        </w:rPr>
        <w:t xml:space="preserve"> 38</w:t>
      </w:r>
      <w:r w:rsidR="004A61E2" w:rsidRPr="00176B22">
        <w:rPr>
          <w:sz w:val="20"/>
          <w:szCs w:val="20"/>
        </w:rPr>
        <w:t>.</w:t>
      </w:r>
    </w:p>
  </w:footnote>
  <w:footnote w:id="30">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G. Marcus, </w:t>
      </w:r>
      <w:r w:rsidRPr="00AE0054">
        <w:rPr>
          <w:i/>
          <w:sz w:val="20"/>
          <w:szCs w:val="20"/>
        </w:rPr>
        <w:t>Before the Lamps Went Out</w:t>
      </w:r>
      <w:r w:rsidRPr="00176B22">
        <w:rPr>
          <w:sz w:val="20"/>
          <w:szCs w:val="20"/>
        </w:rPr>
        <w:t xml:space="preserve"> (London: George Allen &amp; Unwin, 1965), in </w:t>
      </w:r>
      <w:r w:rsidR="00570C75" w:rsidRPr="00176B22">
        <w:rPr>
          <w:sz w:val="20"/>
          <w:szCs w:val="20"/>
        </w:rPr>
        <w:t xml:space="preserve">Pennell, </w:t>
      </w:r>
      <w:r w:rsidR="00570C75" w:rsidRPr="00AE0054">
        <w:rPr>
          <w:i/>
          <w:sz w:val="20"/>
          <w:szCs w:val="20"/>
        </w:rPr>
        <w:t>Kingdom</w:t>
      </w:r>
      <w:r w:rsidR="00570C75" w:rsidRPr="00176B22">
        <w:rPr>
          <w:sz w:val="20"/>
          <w:szCs w:val="20"/>
        </w:rPr>
        <w:t>,</w:t>
      </w:r>
      <w:r w:rsidRPr="00176B22">
        <w:rPr>
          <w:sz w:val="20"/>
          <w:szCs w:val="20"/>
        </w:rPr>
        <w:t xml:space="preserve"> 41. </w:t>
      </w:r>
      <w:r w:rsidRPr="00AE0054">
        <w:rPr>
          <w:i/>
          <w:sz w:val="20"/>
          <w:szCs w:val="20"/>
        </w:rPr>
        <w:t>The Globe</w:t>
      </w:r>
      <w:r w:rsidRPr="00176B22">
        <w:rPr>
          <w:sz w:val="20"/>
          <w:szCs w:val="20"/>
        </w:rPr>
        <w:t xml:space="preserve">, 3 August 1914, 5, in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13-14.</w:t>
      </w:r>
    </w:p>
  </w:footnote>
  <w:footnote w:id="31">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13-14.</w:t>
      </w:r>
    </w:p>
  </w:footnote>
  <w:footnote w:id="32">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Marwick</w:t>
      </w:r>
      <w:r w:rsidR="005A1CA5" w:rsidRPr="00AE0054">
        <w:rPr>
          <w:i/>
          <w:sz w:val="20"/>
          <w:szCs w:val="20"/>
        </w:rPr>
        <w:t>, Deluge</w:t>
      </w:r>
      <w:r w:rsidR="005A1CA5" w:rsidRPr="00176B22">
        <w:rPr>
          <w:sz w:val="20"/>
          <w:szCs w:val="20"/>
        </w:rPr>
        <w:t xml:space="preserve">, </w:t>
      </w:r>
      <w:r w:rsidRPr="00176B22">
        <w:rPr>
          <w:sz w:val="20"/>
          <w:szCs w:val="20"/>
        </w:rPr>
        <w:t>75-6</w:t>
      </w:r>
      <w:r w:rsidR="005A1CA5" w:rsidRPr="00176B22">
        <w:rPr>
          <w:sz w:val="20"/>
          <w:szCs w:val="20"/>
        </w:rPr>
        <w:t>.</w:t>
      </w:r>
    </w:p>
  </w:footnote>
  <w:footnote w:id="33">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70C75" w:rsidRPr="00176B22">
        <w:rPr>
          <w:sz w:val="20"/>
          <w:szCs w:val="20"/>
        </w:rPr>
        <w:t xml:space="preserve">Pennell, </w:t>
      </w:r>
      <w:r w:rsidR="00570C75" w:rsidRPr="00AE0054">
        <w:rPr>
          <w:i/>
          <w:sz w:val="20"/>
          <w:szCs w:val="20"/>
        </w:rPr>
        <w:t>Kingdom</w:t>
      </w:r>
      <w:r w:rsidRPr="00176B22">
        <w:rPr>
          <w:sz w:val="20"/>
          <w:szCs w:val="20"/>
        </w:rPr>
        <w:t>, 52</w:t>
      </w:r>
      <w:r w:rsidR="00570C75" w:rsidRPr="00176B22">
        <w:rPr>
          <w:sz w:val="20"/>
          <w:szCs w:val="20"/>
        </w:rPr>
        <w:t>.</w:t>
      </w:r>
    </w:p>
  </w:footnote>
  <w:footnote w:id="34">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 xml:space="preserve">Marwick, </w:t>
      </w:r>
      <w:r w:rsidR="005A1CA5" w:rsidRPr="00AE0054">
        <w:rPr>
          <w:i/>
          <w:sz w:val="20"/>
          <w:szCs w:val="20"/>
        </w:rPr>
        <w:t>Deluge</w:t>
      </w:r>
      <w:r w:rsidRPr="00176B22">
        <w:rPr>
          <w:sz w:val="20"/>
          <w:szCs w:val="20"/>
        </w:rPr>
        <w:t>, 91, 251</w:t>
      </w:r>
      <w:r w:rsidR="005A1CA5" w:rsidRPr="00176B22">
        <w:rPr>
          <w:sz w:val="20"/>
          <w:szCs w:val="20"/>
        </w:rPr>
        <w:t>.</w:t>
      </w:r>
    </w:p>
  </w:footnote>
  <w:footnote w:id="35">
    <w:p w:rsidR="001324F9" w:rsidRPr="00AE0054" w:rsidRDefault="001324F9" w:rsidP="00AE0054">
      <w:pPr>
        <w:pStyle w:val="NoSpacing"/>
        <w:rPr>
          <w:sz w:val="20"/>
          <w:szCs w:val="20"/>
        </w:rPr>
      </w:pPr>
      <w:r w:rsidRPr="00176B22">
        <w:rPr>
          <w:rStyle w:val="FootnoteReference"/>
          <w:sz w:val="20"/>
          <w:szCs w:val="20"/>
          <w:vertAlign w:val="baseline"/>
        </w:rPr>
        <w:footnoteRef/>
      </w:r>
      <w:r w:rsidRPr="00176B22">
        <w:rPr>
          <w:sz w:val="20"/>
          <w:szCs w:val="20"/>
        </w:rPr>
        <w:t xml:space="preserve"> </w:t>
      </w:r>
      <w:r w:rsidR="00AE0054">
        <w:rPr>
          <w:sz w:val="20"/>
          <w:szCs w:val="20"/>
        </w:rPr>
        <w:t xml:space="preserve">J. </w:t>
      </w:r>
      <w:r w:rsidRPr="00AE0054">
        <w:rPr>
          <w:sz w:val="20"/>
          <w:szCs w:val="20"/>
        </w:rPr>
        <w:t>Winter</w:t>
      </w:r>
      <w:r w:rsidR="00AE0054" w:rsidRPr="00AE0054">
        <w:rPr>
          <w:sz w:val="20"/>
          <w:szCs w:val="20"/>
        </w:rPr>
        <w:t>, ‘Propaganda and the Mobilization of Consent’</w:t>
      </w:r>
      <w:r w:rsidRPr="00AE0054">
        <w:rPr>
          <w:sz w:val="20"/>
          <w:szCs w:val="20"/>
        </w:rPr>
        <w:t>, in</w:t>
      </w:r>
      <w:r w:rsidR="00AE0054">
        <w:rPr>
          <w:sz w:val="20"/>
          <w:szCs w:val="20"/>
        </w:rPr>
        <w:t xml:space="preserve"> H.</w:t>
      </w:r>
      <w:r w:rsidRPr="00AE0054">
        <w:rPr>
          <w:sz w:val="20"/>
          <w:szCs w:val="20"/>
        </w:rPr>
        <w:t xml:space="preserve"> Strachan</w:t>
      </w:r>
      <w:r w:rsidR="00AE0054" w:rsidRPr="00AE0054">
        <w:rPr>
          <w:sz w:val="20"/>
          <w:szCs w:val="20"/>
        </w:rPr>
        <w:t xml:space="preserve"> (</w:t>
      </w:r>
      <w:proofErr w:type="spellStart"/>
      <w:r w:rsidR="00AE0054" w:rsidRPr="00AE0054">
        <w:rPr>
          <w:sz w:val="20"/>
          <w:szCs w:val="20"/>
        </w:rPr>
        <w:t>ed</w:t>
      </w:r>
      <w:proofErr w:type="spellEnd"/>
      <w:r w:rsidR="00AE0054" w:rsidRPr="00AE0054">
        <w:rPr>
          <w:sz w:val="20"/>
          <w:szCs w:val="20"/>
        </w:rPr>
        <w:t>),</w:t>
      </w:r>
      <w:r w:rsidR="00AE0054" w:rsidRPr="00AE0054">
        <w:rPr>
          <w:i/>
          <w:sz w:val="20"/>
          <w:szCs w:val="20"/>
        </w:rPr>
        <w:t xml:space="preserve"> </w:t>
      </w:r>
      <w:r w:rsidR="00AE0054" w:rsidRPr="00AE0054">
        <w:rPr>
          <w:i/>
          <w:sz w:val="20"/>
          <w:szCs w:val="20"/>
        </w:rPr>
        <w:t>The Oxford Illustrated History of the First World War</w:t>
      </w:r>
      <w:r w:rsidR="00AE0054" w:rsidRPr="00AE0054">
        <w:rPr>
          <w:sz w:val="20"/>
          <w:szCs w:val="20"/>
        </w:rPr>
        <w:t xml:space="preserve"> (Oxford: Oxford University Press, 1998)</w:t>
      </w:r>
      <w:r w:rsidRPr="00AE0054">
        <w:rPr>
          <w:sz w:val="20"/>
          <w:szCs w:val="20"/>
        </w:rPr>
        <w:t>, 216-217</w:t>
      </w:r>
      <w:r w:rsidR="00AE0054">
        <w:rPr>
          <w:sz w:val="20"/>
          <w:szCs w:val="20"/>
        </w:rPr>
        <w:t>.</w:t>
      </w:r>
    </w:p>
  </w:footnote>
  <w:footnote w:id="36">
    <w:p w:rsidR="001324F9" w:rsidRPr="00AE0054" w:rsidRDefault="001324F9" w:rsidP="00AE0054">
      <w:pPr>
        <w:pStyle w:val="NoSpacing"/>
        <w:rPr>
          <w:sz w:val="20"/>
          <w:szCs w:val="20"/>
        </w:rPr>
      </w:pPr>
      <w:r w:rsidRPr="00AE0054">
        <w:rPr>
          <w:rStyle w:val="FootnoteReference"/>
          <w:sz w:val="20"/>
          <w:szCs w:val="20"/>
          <w:vertAlign w:val="baseline"/>
        </w:rPr>
        <w:footnoteRef/>
      </w:r>
      <w:r w:rsidRPr="00AE0054">
        <w:rPr>
          <w:sz w:val="20"/>
          <w:szCs w:val="20"/>
        </w:rPr>
        <w:t xml:space="preserve"> </w:t>
      </w:r>
      <w:r w:rsidR="00C40B07" w:rsidRPr="00AE0054">
        <w:rPr>
          <w:sz w:val="20"/>
          <w:szCs w:val="20"/>
        </w:rPr>
        <w:t xml:space="preserve">Gregory, </w:t>
      </w:r>
      <w:r w:rsidR="00C40B07" w:rsidRPr="00AE0054">
        <w:rPr>
          <w:i/>
          <w:sz w:val="20"/>
          <w:szCs w:val="20"/>
        </w:rPr>
        <w:t>Great War</w:t>
      </w:r>
      <w:r w:rsidRPr="00AE0054">
        <w:rPr>
          <w:sz w:val="20"/>
          <w:szCs w:val="20"/>
        </w:rPr>
        <w:t xml:space="preserve">, </w:t>
      </w:r>
      <w:r w:rsidR="00645A44">
        <w:rPr>
          <w:sz w:val="20"/>
          <w:szCs w:val="20"/>
        </w:rPr>
        <w:t>65-65.</w:t>
      </w:r>
    </w:p>
  </w:footnote>
  <w:footnote w:id="37">
    <w:p w:rsidR="001324F9" w:rsidRPr="00AE0054" w:rsidRDefault="001324F9" w:rsidP="00AE0054">
      <w:pPr>
        <w:pStyle w:val="NoSpacing"/>
        <w:rPr>
          <w:sz w:val="20"/>
          <w:szCs w:val="20"/>
        </w:rPr>
      </w:pPr>
      <w:r w:rsidRPr="00AE0054">
        <w:rPr>
          <w:rStyle w:val="FootnoteReference"/>
          <w:sz w:val="20"/>
          <w:szCs w:val="20"/>
          <w:vertAlign w:val="baseline"/>
        </w:rPr>
        <w:footnoteRef/>
      </w:r>
      <w:r w:rsidRPr="00AE0054">
        <w:rPr>
          <w:sz w:val="20"/>
          <w:szCs w:val="20"/>
        </w:rPr>
        <w:t xml:space="preserve"> </w:t>
      </w:r>
      <w:r w:rsidR="00645A44" w:rsidRPr="00645A44">
        <w:rPr>
          <w:i/>
          <w:sz w:val="20"/>
          <w:szCs w:val="20"/>
        </w:rPr>
        <w:t>ibid</w:t>
      </w:r>
      <w:r w:rsidRPr="00AE0054">
        <w:rPr>
          <w:i/>
          <w:sz w:val="20"/>
          <w:szCs w:val="20"/>
        </w:rPr>
        <w:t>,</w:t>
      </w:r>
      <w:r w:rsidRPr="00AE0054">
        <w:rPr>
          <w:sz w:val="20"/>
          <w:szCs w:val="20"/>
        </w:rPr>
        <w:t xml:space="preserve"> </w:t>
      </w:r>
      <w:r w:rsidR="00645A44">
        <w:rPr>
          <w:sz w:val="20"/>
          <w:szCs w:val="20"/>
        </w:rPr>
        <w:t>10-11.</w:t>
      </w:r>
    </w:p>
  </w:footnote>
  <w:footnote w:id="38">
    <w:p w:rsidR="001324F9" w:rsidRPr="00AE0054" w:rsidRDefault="001324F9" w:rsidP="00AE0054">
      <w:pPr>
        <w:pStyle w:val="NoSpacing"/>
        <w:rPr>
          <w:sz w:val="20"/>
          <w:szCs w:val="20"/>
        </w:rPr>
      </w:pPr>
      <w:r w:rsidRPr="00AE0054">
        <w:rPr>
          <w:rStyle w:val="FootnoteReference"/>
          <w:sz w:val="20"/>
          <w:szCs w:val="20"/>
          <w:vertAlign w:val="baseline"/>
        </w:rPr>
        <w:footnoteRef/>
      </w:r>
      <w:r w:rsidR="00851435" w:rsidRPr="00AE0054">
        <w:rPr>
          <w:sz w:val="20"/>
          <w:szCs w:val="20"/>
        </w:rPr>
        <w:t xml:space="preserve">Lloyd George, </w:t>
      </w:r>
      <w:r w:rsidR="00851435" w:rsidRPr="00AE0054">
        <w:rPr>
          <w:i/>
          <w:sz w:val="20"/>
          <w:szCs w:val="20"/>
        </w:rPr>
        <w:t>Memoirs</w:t>
      </w:r>
      <w:r w:rsidRPr="00AE0054">
        <w:rPr>
          <w:sz w:val="20"/>
          <w:szCs w:val="20"/>
        </w:rPr>
        <w:t>, 40</w:t>
      </w:r>
      <w:r w:rsidR="00851435" w:rsidRPr="00AE0054">
        <w:rPr>
          <w:sz w:val="20"/>
          <w:szCs w:val="20"/>
        </w:rPr>
        <w:t>.</w:t>
      </w:r>
    </w:p>
  </w:footnote>
  <w:footnote w:id="39">
    <w:p w:rsidR="005166F5" w:rsidRPr="00176B22" w:rsidRDefault="005166F5" w:rsidP="00AE0054">
      <w:pPr>
        <w:pStyle w:val="NoSpacing"/>
        <w:rPr>
          <w:sz w:val="20"/>
          <w:szCs w:val="20"/>
        </w:rPr>
      </w:pPr>
      <w:r w:rsidRPr="00AE0054">
        <w:rPr>
          <w:rStyle w:val="FootnoteReference"/>
          <w:sz w:val="20"/>
          <w:szCs w:val="20"/>
          <w:vertAlign w:val="baseline"/>
        </w:rPr>
        <w:footnoteRef/>
      </w:r>
      <w:r w:rsidRPr="00AE0054">
        <w:rPr>
          <w:sz w:val="20"/>
          <w:szCs w:val="20"/>
        </w:rPr>
        <w:t xml:space="preserve"> B. Russel, </w:t>
      </w:r>
      <w:r w:rsidRPr="00AE0054">
        <w:rPr>
          <w:i/>
          <w:sz w:val="20"/>
          <w:szCs w:val="20"/>
        </w:rPr>
        <w:t>The Autobiography of Bertrand Russel: 1914-44, vol. 2</w:t>
      </w:r>
      <w:r w:rsidRPr="00176B22">
        <w:rPr>
          <w:sz w:val="20"/>
          <w:szCs w:val="20"/>
        </w:rPr>
        <w:t xml:space="preserve"> (London: George Allen &amp; Unwin, 1968), 16, in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10-11.</w:t>
      </w:r>
    </w:p>
  </w:footnote>
  <w:footnote w:id="40">
    <w:p w:rsidR="00233542" w:rsidRPr="00176B22" w:rsidRDefault="00233542"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I. Willis, </w:t>
      </w:r>
      <w:r w:rsidRPr="00AE0054">
        <w:rPr>
          <w:i/>
          <w:sz w:val="20"/>
          <w:szCs w:val="20"/>
        </w:rPr>
        <w:t>England’s Holy War: A Study of English Liberal Idealism during the Great War</w:t>
      </w:r>
      <w:r w:rsidRPr="00176B22">
        <w:rPr>
          <w:sz w:val="20"/>
          <w:szCs w:val="20"/>
        </w:rPr>
        <w:t xml:space="preserve"> (New York: Garland, 1928), 159-168, in </w:t>
      </w:r>
      <w:r w:rsidR="00C40B07" w:rsidRPr="00176B22">
        <w:rPr>
          <w:sz w:val="20"/>
          <w:szCs w:val="20"/>
        </w:rPr>
        <w:t xml:space="preserve">Gregory, </w:t>
      </w:r>
      <w:r w:rsidR="00C40B07" w:rsidRPr="00AE0054">
        <w:rPr>
          <w:i/>
          <w:sz w:val="20"/>
          <w:szCs w:val="20"/>
        </w:rPr>
        <w:t>Great War</w:t>
      </w:r>
      <w:r w:rsidRPr="00176B22">
        <w:rPr>
          <w:sz w:val="20"/>
          <w:szCs w:val="20"/>
        </w:rPr>
        <w:t xml:space="preserve">, </w:t>
      </w:r>
      <w:r w:rsidR="00645A44">
        <w:rPr>
          <w:sz w:val="20"/>
          <w:szCs w:val="20"/>
        </w:rPr>
        <w:t>10-11.</w:t>
      </w:r>
    </w:p>
  </w:footnote>
  <w:footnote w:id="41">
    <w:p w:rsidR="00A5729D" w:rsidRPr="00176B22" w:rsidRDefault="00A5729D"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A1CA5" w:rsidRPr="00176B22">
        <w:rPr>
          <w:sz w:val="20"/>
          <w:szCs w:val="20"/>
        </w:rPr>
        <w:t>Marwick</w:t>
      </w:r>
      <w:r w:rsidR="005A1CA5" w:rsidRPr="00AE0054">
        <w:rPr>
          <w:i/>
          <w:sz w:val="20"/>
          <w:szCs w:val="20"/>
        </w:rPr>
        <w:t>, Deluge</w:t>
      </w:r>
      <w:r w:rsidR="005A1CA5" w:rsidRPr="00176B22">
        <w:rPr>
          <w:sz w:val="20"/>
          <w:szCs w:val="20"/>
        </w:rPr>
        <w:t xml:space="preserve">, </w:t>
      </w:r>
      <w:r w:rsidRPr="00176B22">
        <w:rPr>
          <w:sz w:val="20"/>
          <w:szCs w:val="20"/>
        </w:rPr>
        <w:t>78</w:t>
      </w:r>
      <w:r w:rsidR="005A1CA5" w:rsidRPr="00176B22">
        <w:rPr>
          <w:sz w:val="20"/>
          <w:szCs w:val="20"/>
        </w:rPr>
        <w:t>.</w:t>
      </w:r>
    </w:p>
  </w:footnote>
  <w:footnote w:id="42">
    <w:p w:rsidR="00CB20B3" w:rsidRPr="00176B22" w:rsidRDefault="00CB20B3"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570C75" w:rsidRPr="00176B22">
        <w:rPr>
          <w:sz w:val="20"/>
          <w:szCs w:val="20"/>
        </w:rPr>
        <w:t>Pennell</w:t>
      </w:r>
      <w:r w:rsidR="00570C75" w:rsidRPr="006A1809">
        <w:rPr>
          <w:i/>
          <w:sz w:val="20"/>
          <w:szCs w:val="20"/>
        </w:rPr>
        <w:t>, Kingdom</w:t>
      </w:r>
      <w:r w:rsidR="00344A63" w:rsidRPr="00176B22">
        <w:rPr>
          <w:sz w:val="20"/>
          <w:szCs w:val="20"/>
        </w:rPr>
        <w:t>, 4</w:t>
      </w:r>
      <w:r w:rsidR="00570C75" w:rsidRPr="00176B22">
        <w:rPr>
          <w:sz w:val="20"/>
          <w:szCs w:val="20"/>
        </w:rPr>
        <w:t>.</w:t>
      </w:r>
    </w:p>
  </w:footnote>
  <w:footnote w:id="43">
    <w:p w:rsidR="00AA7D12" w:rsidRPr="00176B22" w:rsidRDefault="00AA7D12"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D. L. George</w:t>
      </w:r>
      <w:r w:rsidRPr="00AE0054">
        <w:rPr>
          <w:i/>
          <w:sz w:val="20"/>
          <w:szCs w:val="20"/>
        </w:rPr>
        <w:t>, The Great War: Speech Delivered by the Rt. Hon. David Lloyd George, M.P. (Chancellor of the Exchequer) at the Queen’s Hall, London, on September 19th, 1914</w:t>
      </w:r>
      <w:r w:rsidRPr="00176B22">
        <w:rPr>
          <w:sz w:val="20"/>
          <w:szCs w:val="20"/>
        </w:rPr>
        <w:t xml:space="preserve"> (Toronto: Hodder and Stoughton, 1914)</w:t>
      </w:r>
      <w:r w:rsidR="0060031A" w:rsidRPr="00176B22">
        <w:rPr>
          <w:sz w:val="20"/>
          <w:szCs w:val="20"/>
        </w:rPr>
        <w:t>, 7.</w:t>
      </w:r>
      <w:r w:rsidRPr="00176B22">
        <w:rPr>
          <w:sz w:val="20"/>
          <w:szCs w:val="20"/>
        </w:rPr>
        <w:t xml:space="preserve"> [Online]. Available: </w:t>
      </w:r>
      <w:hyperlink r:id="rId2" w:history="1">
        <w:r w:rsidR="00176B22" w:rsidRPr="00247781">
          <w:rPr>
            <w:rStyle w:val="Hyperlink"/>
            <w:sz w:val="20"/>
            <w:szCs w:val="20"/>
          </w:rPr>
          <w:t>https://archive.org/details/greatwarspeechde00lloyuoft/</w:t>
        </w:r>
      </w:hyperlink>
      <w:r w:rsidR="00176B22">
        <w:rPr>
          <w:sz w:val="20"/>
          <w:szCs w:val="20"/>
        </w:rPr>
        <w:t xml:space="preserve"> </w:t>
      </w:r>
      <w:r w:rsidRPr="00176B22">
        <w:rPr>
          <w:sz w:val="20"/>
          <w:szCs w:val="20"/>
        </w:rPr>
        <w:t>[Accessed on 1</w:t>
      </w:r>
      <w:r w:rsidR="0060031A" w:rsidRPr="00176B22">
        <w:rPr>
          <w:sz w:val="20"/>
          <w:szCs w:val="20"/>
        </w:rPr>
        <w:t>2</w:t>
      </w:r>
      <w:r w:rsidRPr="00176B22">
        <w:rPr>
          <w:sz w:val="20"/>
          <w:szCs w:val="20"/>
        </w:rPr>
        <w:t xml:space="preserve"> </w:t>
      </w:r>
      <w:r w:rsidR="0060031A" w:rsidRPr="00176B22">
        <w:rPr>
          <w:sz w:val="20"/>
          <w:szCs w:val="20"/>
        </w:rPr>
        <w:t>January 2018</w:t>
      </w:r>
      <w:r w:rsidRPr="00176B22">
        <w:rPr>
          <w:sz w:val="20"/>
          <w:szCs w:val="20"/>
        </w:rPr>
        <w:t>].</w:t>
      </w:r>
    </w:p>
  </w:footnote>
  <w:footnote w:id="44">
    <w:p w:rsidR="00176B22" w:rsidRPr="00176B22" w:rsidRDefault="00176B22"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Gregory, </w:t>
      </w:r>
      <w:r w:rsidRPr="00AE0054">
        <w:rPr>
          <w:i/>
          <w:sz w:val="20"/>
          <w:szCs w:val="20"/>
        </w:rPr>
        <w:t>Great War</w:t>
      </w:r>
      <w:r w:rsidRPr="00176B22">
        <w:rPr>
          <w:sz w:val="20"/>
          <w:szCs w:val="20"/>
        </w:rPr>
        <w:t xml:space="preserve">, </w:t>
      </w:r>
      <w:r w:rsidR="00645A44">
        <w:rPr>
          <w:sz w:val="20"/>
          <w:szCs w:val="20"/>
        </w:rPr>
        <w:t>37-38.</w:t>
      </w:r>
    </w:p>
  </w:footnote>
  <w:footnote w:id="45">
    <w:p w:rsidR="001324F9" w:rsidRPr="00176B22" w:rsidRDefault="001324F9" w:rsidP="00176B22">
      <w:pPr>
        <w:pStyle w:val="NoSpacing"/>
        <w:ind w:left="284" w:hanging="284"/>
        <w:rPr>
          <w:sz w:val="20"/>
          <w:szCs w:val="20"/>
        </w:rPr>
      </w:pPr>
      <w:r w:rsidRPr="00176B22">
        <w:rPr>
          <w:rStyle w:val="FootnoteReference"/>
          <w:sz w:val="20"/>
          <w:szCs w:val="20"/>
          <w:vertAlign w:val="baseline"/>
        </w:rPr>
        <w:footnoteRef/>
      </w:r>
      <w:r w:rsidRPr="00176B22">
        <w:rPr>
          <w:sz w:val="20"/>
          <w:szCs w:val="20"/>
        </w:rPr>
        <w:t xml:space="preserve"> </w:t>
      </w:r>
      <w:r w:rsidR="00176B22" w:rsidRPr="00AE0054">
        <w:rPr>
          <w:i/>
          <w:sz w:val="20"/>
          <w:szCs w:val="20"/>
        </w:rPr>
        <w:t>ibid</w:t>
      </w:r>
      <w:r w:rsidRPr="00AE0054">
        <w:rPr>
          <w:i/>
          <w:sz w:val="20"/>
          <w:szCs w:val="20"/>
        </w:rPr>
        <w:t>,</w:t>
      </w:r>
      <w:r w:rsidRPr="00176B22">
        <w:rPr>
          <w:sz w:val="20"/>
          <w:szCs w:val="20"/>
        </w:rPr>
        <w:t xml:space="preserve"> </w:t>
      </w:r>
      <w:r w:rsidR="00645A44">
        <w:rPr>
          <w:sz w:val="20"/>
          <w:szCs w:val="20"/>
        </w:rPr>
        <w:t>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6B0"/>
    <w:rsid w:val="000320D8"/>
    <w:rsid w:val="00033C6D"/>
    <w:rsid w:val="00051EFB"/>
    <w:rsid w:val="00053A31"/>
    <w:rsid w:val="00054FC9"/>
    <w:rsid w:val="000744F0"/>
    <w:rsid w:val="00082C2A"/>
    <w:rsid w:val="000932B6"/>
    <w:rsid w:val="000B3C37"/>
    <w:rsid w:val="000C1671"/>
    <w:rsid w:val="00114D8B"/>
    <w:rsid w:val="001324F9"/>
    <w:rsid w:val="00176B22"/>
    <w:rsid w:val="001902EA"/>
    <w:rsid w:val="001D344F"/>
    <w:rsid w:val="001F73EE"/>
    <w:rsid w:val="0022201D"/>
    <w:rsid w:val="002261A3"/>
    <w:rsid w:val="00233542"/>
    <w:rsid w:val="00235C19"/>
    <w:rsid w:val="00247676"/>
    <w:rsid w:val="002610A9"/>
    <w:rsid w:val="002733FE"/>
    <w:rsid w:val="002E6D3B"/>
    <w:rsid w:val="002F763E"/>
    <w:rsid w:val="003141DF"/>
    <w:rsid w:val="003157BB"/>
    <w:rsid w:val="00327D1D"/>
    <w:rsid w:val="00331312"/>
    <w:rsid w:val="0033555D"/>
    <w:rsid w:val="0033728F"/>
    <w:rsid w:val="003412A1"/>
    <w:rsid w:val="00344A63"/>
    <w:rsid w:val="003A1EBE"/>
    <w:rsid w:val="003A37C9"/>
    <w:rsid w:val="003B1C29"/>
    <w:rsid w:val="003E2891"/>
    <w:rsid w:val="00416E1F"/>
    <w:rsid w:val="00425A63"/>
    <w:rsid w:val="00436D58"/>
    <w:rsid w:val="00444317"/>
    <w:rsid w:val="004A420A"/>
    <w:rsid w:val="004A61E2"/>
    <w:rsid w:val="005111C8"/>
    <w:rsid w:val="005166F5"/>
    <w:rsid w:val="00570C75"/>
    <w:rsid w:val="00586DB8"/>
    <w:rsid w:val="00587E67"/>
    <w:rsid w:val="005A1CA5"/>
    <w:rsid w:val="005F077E"/>
    <w:rsid w:val="0060031A"/>
    <w:rsid w:val="00603BD1"/>
    <w:rsid w:val="006059E0"/>
    <w:rsid w:val="0060796C"/>
    <w:rsid w:val="00645A44"/>
    <w:rsid w:val="00675DC9"/>
    <w:rsid w:val="006A1809"/>
    <w:rsid w:val="006A352E"/>
    <w:rsid w:val="006B08E5"/>
    <w:rsid w:val="006C49BC"/>
    <w:rsid w:val="00722B7A"/>
    <w:rsid w:val="00767A39"/>
    <w:rsid w:val="00787A93"/>
    <w:rsid w:val="00791D56"/>
    <w:rsid w:val="007B100A"/>
    <w:rsid w:val="007B79C4"/>
    <w:rsid w:val="007C3885"/>
    <w:rsid w:val="007C4748"/>
    <w:rsid w:val="007F681A"/>
    <w:rsid w:val="0081798A"/>
    <w:rsid w:val="00821D65"/>
    <w:rsid w:val="00851435"/>
    <w:rsid w:val="008535D9"/>
    <w:rsid w:val="00853BBA"/>
    <w:rsid w:val="00861E5D"/>
    <w:rsid w:val="008D2E31"/>
    <w:rsid w:val="00910684"/>
    <w:rsid w:val="00935239"/>
    <w:rsid w:val="00954325"/>
    <w:rsid w:val="009D2422"/>
    <w:rsid w:val="009D368D"/>
    <w:rsid w:val="00A135C6"/>
    <w:rsid w:val="00A22649"/>
    <w:rsid w:val="00A5729D"/>
    <w:rsid w:val="00A80560"/>
    <w:rsid w:val="00A9257B"/>
    <w:rsid w:val="00AA7D12"/>
    <w:rsid w:val="00AB051E"/>
    <w:rsid w:val="00AB56B6"/>
    <w:rsid w:val="00AE0054"/>
    <w:rsid w:val="00AF5D5D"/>
    <w:rsid w:val="00B0319A"/>
    <w:rsid w:val="00B514E5"/>
    <w:rsid w:val="00B54A85"/>
    <w:rsid w:val="00B83591"/>
    <w:rsid w:val="00BA7A6D"/>
    <w:rsid w:val="00BB1E9E"/>
    <w:rsid w:val="00BB3AE5"/>
    <w:rsid w:val="00BB61B0"/>
    <w:rsid w:val="00BD76FB"/>
    <w:rsid w:val="00BF36B0"/>
    <w:rsid w:val="00BF3A5C"/>
    <w:rsid w:val="00C1089B"/>
    <w:rsid w:val="00C14DA2"/>
    <w:rsid w:val="00C40B07"/>
    <w:rsid w:val="00C50F31"/>
    <w:rsid w:val="00C6702C"/>
    <w:rsid w:val="00C851A7"/>
    <w:rsid w:val="00CB20B3"/>
    <w:rsid w:val="00CB7553"/>
    <w:rsid w:val="00D02982"/>
    <w:rsid w:val="00D14BC0"/>
    <w:rsid w:val="00D2427A"/>
    <w:rsid w:val="00D46F0A"/>
    <w:rsid w:val="00D72763"/>
    <w:rsid w:val="00D93798"/>
    <w:rsid w:val="00D9716E"/>
    <w:rsid w:val="00DA4B84"/>
    <w:rsid w:val="00DC1CFF"/>
    <w:rsid w:val="00E233FF"/>
    <w:rsid w:val="00E23F10"/>
    <w:rsid w:val="00E8269E"/>
    <w:rsid w:val="00EB0812"/>
    <w:rsid w:val="00EB58EE"/>
    <w:rsid w:val="00F57DD5"/>
    <w:rsid w:val="00F81816"/>
    <w:rsid w:val="00FD2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FC929"/>
  <w15:chartTrackingRefBased/>
  <w15:docId w15:val="{4377C96F-F4CE-4FC6-998F-6D536BBC8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07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077E"/>
    <w:rPr>
      <w:sz w:val="20"/>
      <w:szCs w:val="20"/>
    </w:rPr>
  </w:style>
  <w:style w:type="character" w:styleId="FootnoteReference">
    <w:name w:val="footnote reference"/>
    <w:basedOn w:val="DefaultParagraphFont"/>
    <w:uiPriority w:val="99"/>
    <w:semiHidden/>
    <w:unhideWhenUsed/>
    <w:rsid w:val="005F077E"/>
    <w:rPr>
      <w:vertAlign w:val="superscript"/>
    </w:rPr>
  </w:style>
  <w:style w:type="character" w:styleId="Hyperlink">
    <w:name w:val="Hyperlink"/>
    <w:basedOn w:val="DefaultParagraphFont"/>
    <w:uiPriority w:val="99"/>
    <w:unhideWhenUsed/>
    <w:rsid w:val="00F57DD5"/>
    <w:rPr>
      <w:color w:val="0563C1" w:themeColor="hyperlink"/>
      <w:u w:val="single"/>
    </w:rPr>
  </w:style>
  <w:style w:type="character" w:styleId="FollowedHyperlink">
    <w:name w:val="FollowedHyperlink"/>
    <w:basedOn w:val="DefaultParagraphFont"/>
    <w:uiPriority w:val="99"/>
    <w:semiHidden/>
    <w:unhideWhenUsed/>
    <w:rsid w:val="00F57DD5"/>
    <w:rPr>
      <w:color w:val="954F72" w:themeColor="followedHyperlink"/>
      <w:u w:val="single"/>
    </w:rPr>
  </w:style>
  <w:style w:type="character" w:styleId="UnresolvedMention">
    <w:name w:val="Unresolved Mention"/>
    <w:basedOn w:val="DefaultParagraphFont"/>
    <w:uiPriority w:val="99"/>
    <w:semiHidden/>
    <w:unhideWhenUsed/>
    <w:rsid w:val="00053A31"/>
    <w:rPr>
      <w:color w:val="808080"/>
      <w:shd w:val="clear" w:color="auto" w:fill="E6E6E6"/>
    </w:rPr>
  </w:style>
  <w:style w:type="paragraph" w:styleId="NoSpacing">
    <w:name w:val="No Spacing"/>
    <w:uiPriority w:val="1"/>
    <w:qFormat/>
    <w:rsid w:val="007F68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ebscohost.com.ezproxy.uwtsd.ac.uk/ehost/pdfviewer/pdfviewer?vid=1&amp;sid=41d039bc-1291-4128-aa05-39218b36cbc7%40sessionmgr4006/" TargetMode="External"/><Relationship Id="rId3" Type="http://schemas.openxmlformats.org/officeDocument/2006/relationships/settings" Target="settings.xml"/><Relationship Id="rId7" Type="http://schemas.openxmlformats.org/officeDocument/2006/relationships/hyperlink" Target="https://archive.org/details/greatwarspeechde00lloyuof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archive.org/details/greatwarspeechde00lloyuoft/" TargetMode="External"/><Relationship Id="rId1" Type="http://schemas.openxmlformats.org/officeDocument/2006/relationships/hyperlink" Target="http://web.a.ebscohost.com.ezproxy.uwtsd.ac.uk/ehost/pdfviewer/pdfviewer?vid=1&amp;sid=41d039bc-1291-4128-aa05-39218b36cbc7%40sessionmgr4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A789B-27B7-44AB-A489-715F64579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2440</Words>
  <Characters>13546</Characters>
  <Application>Microsoft Office Word</Application>
  <DocSecurity>0</DocSecurity>
  <Lines>208</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c:creator>
  <cp:keywords/>
  <dc:description/>
  <cp:lastModifiedBy>Steven -</cp:lastModifiedBy>
  <cp:revision>3</cp:revision>
  <dcterms:created xsi:type="dcterms:W3CDTF">2018-01-12T23:35:00Z</dcterms:created>
  <dcterms:modified xsi:type="dcterms:W3CDTF">2018-01-12T23:47:00Z</dcterms:modified>
</cp:coreProperties>
</file>