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D670E6B" w14:textId="7D756AC2" w:rsidR="00E95070" w:rsidRDefault="0031035D">
      <w:pPr>
        <w:spacing w:after="80" w:line="360" w:lineRule="auto"/>
        <w:jc w:val="center"/>
        <w:rPr>
          <w:b/>
          <w:sz w:val="32"/>
          <w:szCs w:val="32"/>
        </w:rPr>
      </w:pPr>
      <w:r>
        <w:rPr>
          <w:b/>
          <w:sz w:val="32"/>
          <w:szCs w:val="32"/>
        </w:rPr>
        <w:t xml:space="preserve">Name: </w:t>
      </w:r>
      <w:r w:rsidRPr="00997D3C">
        <w:rPr>
          <w:bCs/>
          <w:sz w:val="32"/>
          <w:szCs w:val="32"/>
        </w:rPr>
        <w:t>Aimnumhenfo Iyoha</w:t>
      </w:r>
    </w:p>
    <w:p w14:paraId="7FB89B81" w14:textId="15EDA1F0" w:rsidR="0031035D" w:rsidRPr="00997D3C" w:rsidRDefault="00370094">
      <w:pPr>
        <w:spacing w:after="80" w:line="360" w:lineRule="auto"/>
        <w:jc w:val="center"/>
        <w:rPr>
          <w:bCs/>
          <w:sz w:val="32"/>
          <w:szCs w:val="32"/>
        </w:rPr>
      </w:pPr>
      <w:r>
        <w:rPr>
          <w:b/>
          <w:sz w:val="32"/>
          <w:szCs w:val="32"/>
        </w:rPr>
        <w:t xml:space="preserve">Student Number: </w:t>
      </w:r>
      <w:r w:rsidRPr="00997D3C">
        <w:rPr>
          <w:bCs/>
          <w:sz w:val="32"/>
          <w:szCs w:val="32"/>
        </w:rPr>
        <w:t>2329981</w:t>
      </w:r>
    </w:p>
    <w:p w14:paraId="64CBC073" w14:textId="2BCA961F" w:rsidR="00370094" w:rsidRDefault="00370094">
      <w:pPr>
        <w:spacing w:after="80" w:line="360" w:lineRule="auto"/>
        <w:jc w:val="center"/>
        <w:rPr>
          <w:b/>
          <w:sz w:val="32"/>
          <w:szCs w:val="32"/>
        </w:rPr>
      </w:pPr>
      <w:r>
        <w:rPr>
          <w:b/>
          <w:sz w:val="32"/>
          <w:szCs w:val="32"/>
        </w:rPr>
        <w:t xml:space="preserve">Module Title: </w:t>
      </w:r>
      <w:r w:rsidR="00453085" w:rsidRPr="00997D3C">
        <w:rPr>
          <w:bCs/>
          <w:sz w:val="32"/>
          <w:szCs w:val="32"/>
        </w:rPr>
        <w:t>Introduction to Physiology</w:t>
      </w:r>
    </w:p>
    <w:p w14:paraId="63843D9A" w14:textId="7FE77ED1" w:rsidR="00453085" w:rsidRDefault="00453085">
      <w:pPr>
        <w:spacing w:after="80" w:line="360" w:lineRule="auto"/>
        <w:jc w:val="center"/>
        <w:rPr>
          <w:b/>
          <w:sz w:val="32"/>
          <w:szCs w:val="32"/>
        </w:rPr>
      </w:pPr>
      <w:r>
        <w:rPr>
          <w:b/>
          <w:sz w:val="32"/>
          <w:szCs w:val="32"/>
        </w:rPr>
        <w:t xml:space="preserve">Module Code: </w:t>
      </w:r>
      <w:r w:rsidR="00635FEC" w:rsidRPr="00997D3C">
        <w:rPr>
          <w:bCs/>
          <w:sz w:val="32"/>
          <w:szCs w:val="32"/>
        </w:rPr>
        <w:t>BMHP5023</w:t>
      </w:r>
    </w:p>
    <w:p w14:paraId="262433DC" w14:textId="3BC0D3C4" w:rsidR="00370094" w:rsidRDefault="00370094">
      <w:pPr>
        <w:spacing w:after="80" w:line="360" w:lineRule="auto"/>
        <w:jc w:val="center"/>
        <w:rPr>
          <w:b/>
          <w:sz w:val="32"/>
          <w:szCs w:val="32"/>
        </w:rPr>
      </w:pPr>
      <w:r>
        <w:rPr>
          <w:b/>
          <w:sz w:val="32"/>
          <w:szCs w:val="32"/>
        </w:rPr>
        <w:t xml:space="preserve">Assignment Title: </w:t>
      </w:r>
      <w:r w:rsidR="00635FEC" w:rsidRPr="00997D3C">
        <w:rPr>
          <w:bCs/>
          <w:sz w:val="32"/>
          <w:szCs w:val="32"/>
        </w:rPr>
        <w:t>Component 1: Written Ass</w:t>
      </w:r>
      <w:r w:rsidR="0006201B" w:rsidRPr="00997D3C">
        <w:rPr>
          <w:bCs/>
          <w:sz w:val="32"/>
          <w:szCs w:val="32"/>
        </w:rPr>
        <w:t>ignment (Case Study Report)</w:t>
      </w:r>
    </w:p>
    <w:p w14:paraId="0AC2D7AE" w14:textId="77777777" w:rsidR="00E95070" w:rsidRDefault="00E95070">
      <w:pPr>
        <w:rPr>
          <w:b/>
          <w:sz w:val="32"/>
          <w:szCs w:val="32"/>
        </w:rPr>
      </w:pPr>
      <w:r>
        <w:rPr>
          <w:b/>
          <w:sz w:val="32"/>
          <w:szCs w:val="32"/>
        </w:rPr>
        <w:br w:type="page"/>
      </w:r>
    </w:p>
    <w:p w14:paraId="00000001" w14:textId="05A0F425" w:rsidR="009A0396" w:rsidRDefault="008152BD">
      <w:pPr>
        <w:spacing w:after="80" w:line="360" w:lineRule="auto"/>
        <w:jc w:val="center"/>
        <w:rPr>
          <w:b/>
          <w:sz w:val="32"/>
          <w:szCs w:val="32"/>
        </w:rPr>
      </w:pPr>
      <w:r>
        <w:rPr>
          <w:b/>
          <w:sz w:val="32"/>
          <w:szCs w:val="32"/>
        </w:rPr>
        <w:lastRenderedPageBreak/>
        <w:t>Case Study 1: Type 2 Diabetes</w:t>
      </w:r>
    </w:p>
    <w:p w14:paraId="00000002" w14:textId="77777777" w:rsidR="009A0396" w:rsidRDefault="009A0396">
      <w:pPr>
        <w:spacing w:after="80" w:line="360" w:lineRule="auto"/>
        <w:rPr>
          <w:b/>
          <w:sz w:val="28"/>
          <w:szCs w:val="28"/>
        </w:rPr>
      </w:pPr>
    </w:p>
    <w:p w14:paraId="00000003" w14:textId="6123559F" w:rsidR="009A0396" w:rsidRDefault="008152BD">
      <w:pPr>
        <w:spacing w:after="80" w:line="360" w:lineRule="auto"/>
        <w:rPr>
          <w:b/>
          <w:sz w:val="28"/>
          <w:szCs w:val="28"/>
        </w:rPr>
      </w:pPr>
      <w:r>
        <w:rPr>
          <w:b/>
          <w:sz w:val="28"/>
          <w:szCs w:val="28"/>
        </w:rPr>
        <w:t>Introduction</w:t>
      </w:r>
      <w:r w:rsidR="00496BB0">
        <w:rPr>
          <w:b/>
          <w:sz w:val="28"/>
          <w:szCs w:val="28"/>
        </w:rPr>
        <w:t xml:space="preserve"> </w:t>
      </w:r>
    </w:p>
    <w:p w14:paraId="00000004" w14:textId="77777777" w:rsidR="009A0396" w:rsidRDefault="008152BD">
      <w:pPr>
        <w:spacing w:before="240" w:after="240" w:line="360" w:lineRule="auto"/>
        <w:jc w:val="both"/>
        <w:rPr>
          <w:sz w:val="24"/>
          <w:szCs w:val="24"/>
        </w:rPr>
      </w:pPr>
      <w:r>
        <w:rPr>
          <w:sz w:val="24"/>
          <w:szCs w:val="24"/>
        </w:rPr>
        <w:t>Type 2 diabetes is a long-term metabolic condition where blood sugar levels (hyperglycaemia) remain high because insulin does not work properly and the pancreas cannot make enough of it (MedlinePlus, 2024; World Health Organisation (WHO), 2024). In healthy people, insulin made by pancreatic β-cells allows glucose to enter body cells to be used as energy. In type 2 diabetes, body cells do not respond well to insulin and the pancreas cannot meet the extra demand (MedlinePlus, 2024; WHO, 2024). This leads to consistently high blood sugar, which over time can damage nerves, blood vessels and organs. More than 95% of all cases of diabetes are type 2, and the number of people affected has grown rapidly worldwide (WHO, 2024).</w:t>
      </w:r>
    </w:p>
    <w:p w14:paraId="00000005" w14:textId="77777777" w:rsidR="009A0396" w:rsidRDefault="008152BD">
      <w:pPr>
        <w:spacing w:before="240" w:after="240" w:line="360" w:lineRule="auto"/>
        <w:jc w:val="both"/>
        <w:rPr>
          <w:sz w:val="24"/>
          <w:szCs w:val="24"/>
        </w:rPr>
      </w:pPr>
      <w:r>
        <w:rPr>
          <w:sz w:val="24"/>
          <w:szCs w:val="24"/>
        </w:rPr>
        <w:t>Moreover, the risk factors for type 2 diabetes include being overweight or obese, which is the strongest contributor as excess fat interferes with insulin signalling and raises the lifetime risk of diabetes from around 7–12% at a healthy weight to over 70% in those with very high weight (Garg and Daley, 2025). A sedentary lifestyle also increases risk by worsening insulin resistance, while regular activity improves the body’s use of glucose and helps prevent weight gain (Part et al., 2020). Family history and genetic background are important too, with the risk rising if a parent or sibling has diabetes, and certain groups such as African, South Asian and Hispanic/Latino communities being more likely to develop the condition (Centers for Disease Control and Prevention (CDC), 2024; MedlinePlus, 2024). Age plays a role as well, with people over 45 years and those with pre-diabetes at higher risk (CDC, 2024; MedlinePlus, 2024). Other health problems such as high blood pressure, abnormal cholesterol, polycystic ovary syndrome and a history of gestational diabetes also increase the likelihood of developing type 2 diabetes (CDC, 2024; MedlinePlus, 2024). Smoking also increases risk, as tobacco encourages insulin resistance and worsens complications (NHS UK, 2023; International Diabetes Federation (IDF), 2023).</w:t>
      </w:r>
    </w:p>
    <w:p w14:paraId="00000006" w14:textId="77777777" w:rsidR="009A0396" w:rsidRDefault="008152BD">
      <w:pPr>
        <w:spacing w:before="240" w:after="240" w:line="360" w:lineRule="auto"/>
        <w:jc w:val="both"/>
        <w:rPr>
          <w:sz w:val="24"/>
          <w:szCs w:val="24"/>
        </w:rPr>
      </w:pPr>
      <w:r>
        <w:rPr>
          <w:sz w:val="24"/>
          <w:szCs w:val="24"/>
        </w:rPr>
        <w:t xml:space="preserve">Many of these factors can be changed. Public health advice stresses that type 2 diabetes is often preventable through lifestyle changes, keeping a healthy weight, eating a balanced diet and exercising regularly can prevent or delay diabetes (NHS </w:t>
      </w:r>
      <w:r>
        <w:rPr>
          <w:sz w:val="24"/>
          <w:szCs w:val="24"/>
        </w:rPr>
        <w:lastRenderedPageBreak/>
        <w:t>UK, 2023; WHO, 2023; IDF, 2023). Against this background, this report examines Type 2 diabetes by describing the condition and identifying its major risk factors. It explains how blood sugar levels are normally regulated in the body and how this process is disrupted in diabetes. The report also outlines the role of glucose and oxygen in cellular metabolism, showing how they are used to produce energy. In addition, it considers the importance of recording and tracking blood glucose levels to help individuals manage their condition safely. Evidence-based recommendations are then presented on how lifestyle changes can improve blood glucose control and reduce complications.</w:t>
      </w:r>
      <w:r>
        <w:rPr>
          <w:sz w:val="24"/>
          <w:szCs w:val="24"/>
        </w:rPr>
        <w:br/>
      </w:r>
    </w:p>
    <w:p w14:paraId="00000007" w14:textId="77777777" w:rsidR="009A0396" w:rsidRDefault="008152BD">
      <w:pPr>
        <w:spacing w:before="240" w:after="240" w:line="360" w:lineRule="auto"/>
        <w:jc w:val="both"/>
        <w:rPr>
          <w:b/>
          <w:sz w:val="28"/>
          <w:szCs w:val="28"/>
        </w:rPr>
      </w:pPr>
      <w:r>
        <w:rPr>
          <w:b/>
          <w:sz w:val="28"/>
          <w:szCs w:val="28"/>
        </w:rPr>
        <w:t>Regulation of Blood Sugar</w:t>
      </w:r>
    </w:p>
    <w:p w14:paraId="00000008" w14:textId="77777777" w:rsidR="009A0396" w:rsidRDefault="008152BD">
      <w:pPr>
        <w:spacing w:before="240" w:after="240" w:line="360" w:lineRule="auto"/>
        <w:jc w:val="both"/>
        <w:rPr>
          <w:sz w:val="24"/>
          <w:szCs w:val="24"/>
        </w:rPr>
      </w:pPr>
      <w:r>
        <w:rPr>
          <w:sz w:val="24"/>
          <w:szCs w:val="24"/>
        </w:rPr>
        <w:t xml:space="preserve">Blood sugar is carefully controlled to stay within a safe range (about 4–6 mmol/L, or 70–110 mg/dL) (Nakrani, et al., 2023). After meals, rising glucose triggers pancreatic β-cells to release insulin. Insulin allows glucose to enter muscle, fat and liver cells and encourages the liver to store glucose as glycogen (Dimitriadis et al., 2021; Nakrani et al., 2023). This lowers glucose back toward normal. When levels drop, insulin release falls and pancreatic α-cells release glucagon (Nakrani et al., 2023; Quesada et al., 2008). Glucagon signals the liver to break down glycogen and make new glucose, raising blood levels again. Together, insulin and glucagon form a feedback loop that keeps blood sugar stable whereby high glucose leads to insulin release, while low glucose leads to glucagon release (Nakrani et al., 2023; Farman  et al., 2018). </w:t>
      </w:r>
    </w:p>
    <w:p w14:paraId="00000009" w14:textId="77777777" w:rsidR="009A0396" w:rsidRDefault="008152BD">
      <w:pPr>
        <w:spacing w:before="240" w:after="240" w:line="360" w:lineRule="auto"/>
        <w:jc w:val="both"/>
        <w:rPr>
          <w:sz w:val="24"/>
          <w:szCs w:val="24"/>
        </w:rPr>
      </w:pPr>
      <w:r>
        <w:rPr>
          <w:sz w:val="24"/>
          <w:szCs w:val="24"/>
        </w:rPr>
        <w:t>Noteworthily, the liver has an important role in balancing glucose. After eating, it stores excess sugar as glycogen. During fasting, it releases glucose to avoid hypoglycaemia (Lema-Pérez, 2021; Nakrani et al., 2023). Muscle also stores glycogen and uses glucose when insulin is present. If blood sugar stays high, the constant demand on insulin eventually exhausts β-cells. Severe low sugar levels trigger other hormones such as adrenaline, cortisol and growth hormone to raise glucose (Qaid and Abdelrahman, 2016; Nakrani et al., 2023).</w:t>
      </w:r>
    </w:p>
    <w:p w14:paraId="0000000A" w14:textId="77777777" w:rsidR="009A0396" w:rsidRDefault="008152BD">
      <w:pPr>
        <w:spacing w:before="240" w:after="240" w:line="360" w:lineRule="auto"/>
        <w:jc w:val="both"/>
        <w:rPr>
          <w:b/>
          <w:sz w:val="28"/>
          <w:szCs w:val="28"/>
        </w:rPr>
      </w:pPr>
      <w:r>
        <w:rPr>
          <w:sz w:val="24"/>
          <w:szCs w:val="24"/>
        </w:rPr>
        <w:t xml:space="preserve">Normal fasting sugar is about 80–90 mg/dL and usually returns to this within two hours of eating. Insulin lowers glucose, glucagon raises it, and other hormones such as somatostatin and amylin adjust the response. Insulin and glucagon remain the main </w:t>
      </w:r>
      <w:r>
        <w:rPr>
          <w:sz w:val="24"/>
          <w:szCs w:val="24"/>
        </w:rPr>
        <w:lastRenderedPageBreak/>
        <w:t>regulators. In type 2 diabetes, insulin resistance disrupts this balance, leading to long-term high glucose that harms body organs (WHO, 2024).</w:t>
      </w:r>
      <w:r>
        <w:rPr>
          <w:sz w:val="24"/>
          <w:szCs w:val="24"/>
        </w:rPr>
        <w:br/>
      </w:r>
      <w:r>
        <w:rPr>
          <w:sz w:val="24"/>
          <w:szCs w:val="24"/>
        </w:rPr>
        <w:br/>
      </w:r>
      <w:r>
        <w:rPr>
          <w:b/>
          <w:sz w:val="28"/>
          <w:szCs w:val="28"/>
        </w:rPr>
        <w:t>Cell Metabolism: The Role of Oxygen and Glucose in Energy Production</w:t>
      </w:r>
    </w:p>
    <w:p w14:paraId="0000000B" w14:textId="77777777" w:rsidR="009A0396" w:rsidRDefault="008152BD">
      <w:pPr>
        <w:spacing w:before="240" w:after="240" w:line="360" w:lineRule="auto"/>
        <w:jc w:val="both"/>
        <w:rPr>
          <w:sz w:val="24"/>
          <w:szCs w:val="24"/>
        </w:rPr>
      </w:pPr>
      <w:r>
        <w:rPr>
          <w:sz w:val="24"/>
          <w:szCs w:val="24"/>
        </w:rPr>
        <w:t>Glucose and oxygen are the main fuels for energy production in body cells. In the cytoplasm, glucose (C₆H₁₂O₆) is broken down in glycolysis into two pyruvate molecules, producing 2 ATP and 2 NADH per glucose without the need for oxygen (Melkonian &amp; Schury, 2023). This is not efficient. In cells with oxygen, pyruvate enters mitochondria and becomes acetyl-CoA, which feeds into the tricarboxylic acid (TCA) cycle (Nakrani et al., 2023; Melkonian &amp; Schury, 2023). Each cycle produces more NADH and FADH₂.</w:t>
      </w:r>
    </w:p>
    <w:p w14:paraId="0000000C" w14:textId="77777777" w:rsidR="009A0396" w:rsidRDefault="008152BD">
      <w:pPr>
        <w:spacing w:before="240" w:after="240" w:line="360" w:lineRule="auto"/>
        <w:jc w:val="both"/>
        <w:rPr>
          <w:sz w:val="24"/>
          <w:szCs w:val="24"/>
        </w:rPr>
      </w:pPr>
      <w:r>
        <w:rPr>
          <w:sz w:val="24"/>
          <w:szCs w:val="24"/>
        </w:rPr>
        <w:t>Most ATP comes from the electron transport chain (ETC) in the inner mitochondrial membrane. NADH and FADH₂ pass electrons to oxygen, the final acceptor, in oxidative phosphorylation. This creates about 32 ATP per glucose. In total, one glucose molecule produces about 34 ATP under aerobic conditions, with carbon dioxide and water as by-products (Melkonian &amp; Schury, 2023). Without oxygen, cells convert pyruvate to lactate, producing only 2 ATP (Melkonian &amp; Schury, 2023). Moreover, ATP powers muscle contraction, nerve impulses, transport of molecules and many other cell functions. Glucose and oxygen are therefore essential for life (Nakrani et al., 2023; Melkonian &amp; Schury, 2023). When sugar is low, the liver makes glucose from lactate, glycerol or amino acids. When sugar is high, cells store it as glycogen or convert it to ATP (Nakrani et al., 2023). Insulin helps this process by increasing the number of glucose transporters in muscle and fat cells. Oxygen ensures complete breakdown of glucose and maximum ATP output (Melkonian &amp; Schury, 2023).</w:t>
      </w:r>
    </w:p>
    <w:p w14:paraId="0000000D" w14:textId="77777777" w:rsidR="009A0396" w:rsidRDefault="008152BD">
      <w:pPr>
        <w:spacing w:before="240" w:after="240" w:line="360" w:lineRule="auto"/>
        <w:jc w:val="both"/>
        <w:rPr>
          <w:sz w:val="24"/>
          <w:szCs w:val="24"/>
        </w:rPr>
      </w:pPr>
      <w:r>
        <w:rPr>
          <w:sz w:val="24"/>
          <w:szCs w:val="24"/>
        </w:rPr>
        <w:t>Importantly, cellular metabolism of glucose moves through glycolysis, the TCA cycle and the ETC, giving about 34 ATP with oxygen and only 2 ATP without it (Mahundi and Manwa, 2015). This explains why glucose uptake through insulin and oxygen supply are important for energy production.</w:t>
      </w:r>
    </w:p>
    <w:p w14:paraId="0000000E" w14:textId="77777777" w:rsidR="009A0396" w:rsidRDefault="008152BD">
      <w:pPr>
        <w:spacing w:before="240" w:after="240" w:line="360" w:lineRule="auto"/>
        <w:jc w:val="both"/>
        <w:rPr>
          <w:b/>
          <w:sz w:val="28"/>
          <w:szCs w:val="28"/>
        </w:rPr>
      </w:pPr>
      <w:r>
        <w:rPr>
          <w:b/>
          <w:sz w:val="28"/>
          <w:szCs w:val="28"/>
        </w:rPr>
        <w:t>Importance of Blood Sugar Monitoring in Managing Type 2 Diabetes</w:t>
      </w:r>
    </w:p>
    <w:p w14:paraId="0000000F" w14:textId="77777777" w:rsidR="009A0396" w:rsidRDefault="008152BD">
      <w:pPr>
        <w:spacing w:before="240" w:after="240" w:line="360" w:lineRule="auto"/>
        <w:jc w:val="both"/>
        <w:rPr>
          <w:sz w:val="24"/>
          <w:szCs w:val="24"/>
        </w:rPr>
      </w:pPr>
      <w:r>
        <w:rPr>
          <w:sz w:val="24"/>
          <w:szCs w:val="24"/>
        </w:rPr>
        <w:lastRenderedPageBreak/>
        <w:t>People with type 2 diabetes need to monitor blood sugar regularly as part of self-care. This can be done with finger-stick meters or continuous glucose monitors (CGMs) (Aueyong; 2023; Nwanna, 2025). Finger-stick meters show glucose at a single point in time and are useful to check the impact of food or medication. CGMs use a sensor under the skin to record glucose continuously, showing trends across the day (Oser &amp; Oser, 2024). Routine self-monitoring several times a day can help people notice patterns and make changes to treatment (Peel et al., 2007).</w:t>
      </w:r>
    </w:p>
    <w:p w14:paraId="00000010" w14:textId="77777777" w:rsidR="009A0396" w:rsidRDefault="008152BD">
      <w:pPr>
        <w:spacing w:before="240" w:after="240" w:line="360" w:lineRule="auto"/>
        <w:jc w:val="both"/>
        <w:rPr>
          <w:sz w:val="24"/>
          <w:szCs w:val="24"/>
        </w:rPr>
      </w:pPr>
      <w:r>
        <w:rPr>
          <w:sz w:val="24"/>
          <w:szCs w:val="24"/>
        </w:rPr>
        <w:t>Monitoring gives feedback and improves safety. Patients and their care teams can see how food, activity, stress and medication affect glucose (Oser &amp; Oser, 2024). High readings after meals may show the need for diet or medicine changes, while low readings (hypoglycaemia) signal the need to eat or adjust doses. According to Monnier et al. (2007), monitoring is key to finding out how well your current treatment plan is working and helps with daily choices about food, activity and medicines. It is also the only way to know for sure when your blood sugar levels are changing (Monnier et al. (2007). Specifically, CGMs have improved diabetes care by providing real-time data and alerts. Studies show they can reduce HbA1c and increase the time patients spend in their target range (Oser and Oser, 2024). Patients often say that CGMs help them understand how foods and exercise affect glucose and encourage better habits. CGMs can also warn of dangerously low glucose even when symptoms are absent, which increases safety (Kraaijeveld, 2021; Oser and Oser, 2024).</w:t>
      </w:r>
    </w:p>
    <w:p w14:paraId="00000011" w14:textId="77777777" w:rsidR="009A0396" w:rsidRDefault="008152BD">
      <w:pPr>
        <w:spacing w:before="240" w:after="240" w:line="360" w:lineRule="auto"/>
        <w:jc w:val="both"/>
        <w:rPr>
          <w:b/>
          <w:sz w:val="24"/>
          <w:szCs w:val="24"/>
        </w:rPr>
      </w:pPr>
      <w:r>
        <w:rPr>
          <w:sz w:val="24"/>
          <w:szCs w:val="24"/>
        </w:rPr>
        <w:t>Regardless of whether by finger-stick tests or CGMs, regular monitoring gives patients the knowledge to make timely changes to diet, activity or medicines. According to Oser and Oser (2024), structured monitoring has been shown to improve blood sugar control and support patient involvement in care.</w:t>
      </w:r>
    </w:p>
    <w:p w14:paraId="00000012" w14:textId="77777777" w:rsidR="009A0396" w:rsidRDefault="008152BD">
      <w:pPr>
        <w:pStyle w:val="Heading2"/>
        <w:keepNext w:val="0"/>
        <w:keepLines w:val="0"/>
        <w:spacing w:after="80" w:line="360" w:lineRule="auto"/>
        <w:rPr>
          <w:b/>
          <w:sz w:val="28"/>
          <w:szCs w:val="28"/>
        </w:rPr>
      </w:pPr>
      <w:bookmarkStart w:id="0" w:name="_l7grm5scg2vb" w:colFirst="0" w:colLast="0"/>
      <w:bookmarkEnd w:id="0"/>
      <w:r>
        <w:rPr>
          <w:b/>
          <w:sz w:val="28"/>
          <w:szCs w:val="28"/>
        </w:rPr>
        <w:t>Lifestyle Recommendations to Improve Patient Condition</w:t>
      </w:r>
    </w:p>
    <w:p w14:paraId="00000013" w14:textId="77777777" w:rsidR="009A0396" w:rsidRDefault="008152BD">
      <w:pPr>
        <w:spacing w:before="240" w:after="240" w:line="360" w:lineRule="auto"/>
        <w:jc w:val="both"/>
        <w:rPr>
          <w:sz w:val="24"/>
          <w:szCs w:val="24"/>
        </w:rPr>
      </w:pPr>
      <w:r>
        <w:rPr>
          <w:sz w:val="24"/>
          <w:szCs w:val="24"/>
        </w:rPr>
        <w:t>According to Borse et al. (2021), the management of Type 2 diabetes relies heavily on lifestyle changes. Research demonstrates that eating well, being physically active, losing weight, and giving up smoking can all improve blood sugar control and lower the risk of complications. These measures are considered central to long-term management because they address the root causes of insulin resistance and poor glucose regulation.</w:t>
      </w:r>
    </w:p>
    <w:p w14:paraId="00000014" w14:textId="77777777" w:rsidR="009A0396" w:rsidRDefault="008152BD">
      <w:pPr>
        <w:spacing w:before="240" w:after="240" w:line="360" w:lineRule="auto"/>
        <w:jc w:val="both"/>
        <w:rPr>
          <w:sz w:val="24"/>
          <w:szCs w:val="24"/>
        </w:rPr>
      </w:pPr>
      <w:r>
        <w:rPr>
          <w:sz w:val="24"/>
          <w:szCs w:val="24"/>
        </w:rPr>
        <w:lastRenderedPageBreak/>
        <w:t>Furthermore, adopting a healthy diet and working towards weight loss play an essential role in diabetes care. A balanced diet that includes vegetables, whole grains, lean proteins, and healthy fats helps to maintain stable glucose levels (Al-Adwi et al., 2023). Reducing the intake of added sugars and refined carbohydrates prevents sudden spikes in blood sugar (Kumar, 2024). Both the NHS UK (2025) and The British Diabetic Association (n.d.) recommend diets that are rich in fruits, vegetables, pulses, and whole grains, while discouraging highly processed foods that are high in salt, sugar, and fat. These changes not only improve blood sugar but can also lead to weight reduction. Evidence shows that losing around 10% or more of body weight significantly improves insulin sensitivity and glucose control (Tahrani &amp; Morton, 2022). In some cases, substantial weight loss can even bring diabetes into remission (Garg &amp; Daley, 2025; The British Diabetic Association, n.d.). However, such changes should be introduced gradually and maintained in the long term, ideally with guidance from health professionals (NHS UK, 2025).</w:t>
      </w:r>
    </w:p>
    <w:p w14:paraId="00000015" w14:textId="77777777" w:rsidR="009A0396" w:rsidRDefault="008152BD">
      <w:pPr>
        <w:spacing w:before="240" w:after="240" w:line="360" w:lineRule="auto"/>
        <w:jc w:val="both"/>
        <w:rPr>
          <w:sz w:val="24"/>
          <w:szCs w:val="24"/>
        </w:rPr>
      </w:pPr>
      <w:r>
        <w:rPr>
          <w:sz w:val="24"/>
          <w:szCs w:val="24"/>
        </w:rPr>
        <w:t>In addition, regular exercise is another cornerstone of Type 2 diabetes management. Physical activity improves how the body responds to insulin and directly lowers blood sugar levels (Iaccarino et al., 2021). Current NHS guidance recommends at least 150 minutes of moderate activity each week, such as brisk walking, swimming, or cycling (NHS UK, 2025). Exercise increases glucose uptake by muscles both with and without insulin (Kirwan et al., 2017), making it particularly effective in those with insulin resistance. Clinical studies confirm that physical activity reduces HbA1c, blood pressure, and body fat in people with Type 2 diabetes (Kirwan et al., 2017). Even simple measures such as walking after meals have been shown to limit post-meal glucose spikes (Walsh, 2025).</w:t>
      </w:r>
    </w:p>
    <w:p w14:paraId="00000016" w14:textId="77777777" w:rsidR="009A0396" w:rsidRDefault="008152BD">
      <w:pPr>
        <w:spacing w:before="240" w:after="240" w:line="360" w:lineRule="auto"/>
        <w:jc w:val="both"/>
        <w:rPr>
          <w:sz w:val="24"/>
          <w:szCs w:val="24"/>
        </w:rPr>
      </w:pPr>
      <w:r>
        <w:rPr>
          <w:sz w:val="24"/>
          <w:szCs w:val="24"/>
        </w:rPr>
        <w:t>Moreover, stopping smoking is strongly recommended in the management of Type 2 diabetes. Smoking not only increases insulin resistance but also damages blood vessels, which worsens the risk of cardiovascular complications. Evidence shows that quitting smoking can lower the risk of developing Type 2 diabetes by up to 40% and, in those already diagnosed, reduces the chances of heart disease, stroke, kidney failure, and other complications (IDF, 2023). For this reason, health authorities consistently advise people with diabetes, as well as those at risk, to stop smoking.</w:t>
      </w:r>
    </w:p>
    <w:p w14:paraId="00000017" w14:textId="77777777" w:rsidR="009A0396" w:rsidRDefault="008152BD">
      <w:pPr>
        <w:spacing w:before="240" w:after="240" w:line="360" w:lineRule="auto"/>
        <w:jc w:val="both"/>
        <w:rPr>
          <w:sz w:val="24"/>
          <w:szCs w:val="24"/>
        </w:rPr>
      </w:pPr>
      <w:r>
        <w:rPr>
          <w:sz w:val="24"/>
          <w:szCs w:val="24"/>
        </w:rPr>
        <w:lastRenderedPageBreak/>
        <w:t>In addition to these major strategies, other measures contribute to improved management of the condition. Limiting alcohol intake, maintaining good oral health, and participating in structured support programmes are all beneficial. Initiatives such as the NHS Diabetes Prevention Programme provide guidance on diet, weight management, and physical activity. Keeping a diary of food intake and daily activity has also been found to help individuals remain accountable and motivated (The British Diabetic Association, n.d.).</w:t>
      </w:r>
    </w:p>
    <w:p w14:paraId="00000018" w14:textId="77777777" w:rsidR="009A0396" w:rsidRDefault="008152BD">
      <w:pPr>
        <w:spacing w:before="240" w:after="240" w:line="360" w:lineRule="auto"/>
        <w:jc w:val="both"/>
        <w:rPr>
          <w:sz w:val="24"/>
          <w:szCs w:val="24"/>
        </w:rPr>
      </w:pPr>
      <w:r>
        <w:rPr>
          <w:sz w:val="24"/>
          <w:szCs w:val="24"/>
        </w:rPr>
        <w:t>In all, evidence from research and clinical guidelines shows that lifestyle changes are highly effective in managing Type 2 diabetes. Improved diet and calorie control lower HbA1c and support sustainable weight loss, regular exercise enhances insulin sensitivity, and smoking cessation reduces both the risk and the severity of diabetes (Kirwan et al., 2017; IDF, 2023; Garg &amp; Daley, 2025). Importantly, sustained changes in lifestyle can sometimes lead to remission of Type 2 diabetes, reducing or delaying the need for medication (Garg &amp; Daley, 2025; The British Diabetic Association, n.d.).</w:t>
      </w:r>
    </w:p>
    <w:p w14:paraId="00000019" w14:textId="77777777" w:rsidR="009A0396" w:rsidRDefault="008152BD">
      <w:pPr>
        <w:pStyle w:val="Heading2"/>
        <w:keepNext w:val="0"/>
        <w:keepLines w:val="0"/>
        <w:spacing w:after="80" w:line="360" w:lineRule="auto"/>
        <w:rPr>
          <w:b/>
          <w:sz w:val="28"/>
          <w:szCs w:val="28"/>
        </w:rPr>
      </w:pPr>
      <w:bookmarkStart w:id="1" w:name="_54z986y2vqvr" w:colFirst="0" w:colLast="0"/>
      <w:bookmarkEnd w:id="1"/>
      <w:r>
        <w:rPr>
          <w:b/>
          <w:sz w:val="28"/>
          <w:szCs w:val="28"/>
        </w:rPr>
        <w:t>Conclusion</w:t>
      </w:r>
    </w:p>
    <w:p w14:paraId="0000001A" w14:textId="77777777" w:rsidR="009A0396" w:rsidRDefault="008152BD">
      <w:pPr>
        <w:spacing w:before="240" w:after="240" w:line="360" w:lineRule="auto"/>
        <w:jc w:val="both"/>
        <w:rPr>
          <w:sz w:val="24"/>
          <w:szCs w:val="24"/>
        </w:rPr>
      </w:pPr>
      <w:r>
        <w:rPr>
          <w:sz w:val="24"/>
          <w:szCs w:val="24"/>
        </w:rPr>
        <w:t>Type 2 diabetes is a common long-term condition caused by insulin resistance and limited insulin production. Both lifestyle factors such as weight, inactivity, diet and smoking and non-modifiable ones like age and family history affect its development. Normally, insulin and glucagon keep blood sugar stable which allows glucose to be used with oxygen for energy. In diabetes, this balance is lost and blood sugar remains high. Self-monitoring with finger-stick meters or CGMs is important for safe daily management. Specifically, lifestyle measures like healthy eating, regular exercise, weight loss and stopping smoking, provide strong benefits and may even reverse the condition in some people. Together with medical care where needed, these steps allow many people to achieve near-normal sugar levels and protect long-term health.</w:t>
      </w:r>
      <w:r>
        <w:rPr>
          <w:sz w:val="24"/>
          <w:szCs w:val="24"/>
        </w:rPr>
        <w:br/>
        <w:t xml:space="preserve">Al-Adwi, M.E., Al-Haswsa, Z.M., Alhmmadi, K.M., Eissa, Y.A., Hamdan, A., Bawadi, H. and Tayyem, R.F., (2023) Effects of different diets on glycemic control among patients with type 2 diabetes: A literature review. </w:t>
      </w:r>
      <w:r>
        <w:rPr>
          <w:i/>
          <w:sz w:val="24"/>
          <w:szCs w:val="24"/>
        </w:rPr>
        <w:t>Nutrition and health</w:t>
      </w:r>
      <w:r>
        <w:rPr>
          <w:sz w:val="24"/>
          <w:szCs w:val="24"/>
        </w:rPr>
        <w:t>, 29(2), pp.215-221.</w:t>
      </w:r>
    </w:p>
    <w:p w14:paraId="0000001B" w14:textId="77777777" w:rsidR="009A0396" w:rsidRDefault="009A0396">
      <w:pPr>
        <w:spacing w:after="80" w:line="360" w:lineRule="auto"/>
        <w:rPr>
          <w:sz w:val="24"/>
          <w:szCs w:val="24"/>
        </w:rPr>
        <w:sectPr w:rsidR="009A0396">
          <w:footerReference w:type="default" r:id="rId6"/>
          <w:pgSz w:w="11909" w:h="16834"/>
          <w:pgMar w:top="1440" w:right="1440" w:bottom="1440" w:left="1440" w:header="720" w:footer="720" w:gutter="0"/>
          <w:pgNumType w:start="1"/>
          <w:cols w:space="720"/>
        </w:sectPr>
      </w:pPr>
    </w:p>
    <w:p w14:paraId="0000001C" w14:textId="77777777" w:rsidR="009A0396" w:rsidRDefault="008152BD">
      <w:pPr>
        <w:spacing w:after="80" w:line="360" w:lineRule="auto"/>
        <w:jc w:val="center"/>
        <w:rPr>
          <w:sz w:val="24"/>
          <w:szCs w:val="24"/>
        </w:rPr>
      </w:pPr>
      <w:r>
        <w:rPr>
          <w:b/>
          <w:sz w:val="28"/>
          <w:szCs w:val="28"/>
        </w:rPr>
        <w:lastRenderedPageBreak/>
        <w:t>References</w:t>
      </w:r>
    </w:p>
    <w:p w14:paraId="0000001D" w14:textId="77777777" w:rsidR="009A0396" w:rsidRDefault="008152BD">
      <w:pPr>
        <w:spacing w:after="80" w:line="360" w:lineRule="auto"/>
        <w:rPr>
          <w:sz w:val="24"/>
          <w:szCs w:val="24"/>
        </w:rPr>
      </w:pPr>
      <w:r>
        <w:rPr>
          <w:sz w:val="24"/>
          <w:szCs w:val="24"/>
        </w:rPr>
        <w:t xml:space="preserve">Aueyong, O.B., (2023) </w:t>
      </w:r>
      <w:r>
        <w:rPr>
          <w:i/>
          <w:sz w:val="24"/>
          <w:szCs w:val="24"/>
        </w:rPr>
        <w:t>Decrease in HbA1c with the Use of a Continuous Glucose Monitoring Device</w:t>
      </w:r>
      <w:r>
        <w:rPr>
          <w:sz w:val="24"/>
          <w:szCs w:val="24"/>
        </w:rPr>
        <w:t xml:space="preserve"> (Doctoral dissertation, University of Massachusetts Global).</w:t>
      </w:r>
    </w:p>
    <w:p w14:paraId="0000001E" w14:textId="77777777" w:rsidR="009A0396" w:rsidRDefault="008152BD">
      <w:pPr>
        <w:spacing w:after="80" w:line="360" w:lineRule="auto"/>
        <w:rPr>
          <w:sz w:val="24"/>
          <w:szCs w:val="24"/>
        </w:rPr>
      </w:pPr>
      <w:r>
        <w:rPr>
          <w:sz w:val="24"/>
          <w:szCs w:val="24"/>
        </w:rPr>
        <w:t xml:space="preserve">Borse, S.P., Chhipa, A.S., Sharma, V., Singh, D.P. and Nivsarkar, M., (2021) Management of type 2 diabetes: current strategies, unfocussed aspects, challenges, and alternatives. </w:t>
      </w:r>
      <w:r>
        <w:rPr>
          <w:i/>
          <w:sz w:val="24"/>
          <w:szCs w:val="24"/>
        </w:rPr>
        <w:t xml:space="preserve">Medical Principles and Practice, </w:t>
      </w:r>
      <w:r>
        <w:rPr>
          <w:sz w:val="24"/>
          <w:szCs w:val="24"/>
        </w:rPr>
        <w:t>30(2), pp.109-121.</w:t>
      </w:r>
    </w:p>
    <w:p w14:paraId="0000001F" w14:textId="77777777" w:rsidR="009A0396" w:rsidRDefault="008152BD">
      <w:pPr>
        <w:spacing w:after="80" w:line="360" w:lineRule="auto"/>
        <w:rPr>
          <w:color w:val="1155CC"/>
          <w:sz w:val="24"/>
          <w:szCs w:val="24"/>
          <w:u w:val="single"/>
        </w:rPr>
      </w:pPr>
      <w:r>
        <w:rPr>
          <w:sz w:val="24"/>
          <w:szCs w:val="24"/>
        </w:rPr>
        <w:t xml:space="preserve">Centers for Disease Control and Prevention. (2024). </w:t>
      </w:r>
      <w:r>
        <w:rPr>
          <w:i/>
          <w:sz w:val="24"/>
          <w:szCs w:val="24"/>
        </w:rPr>
        <w:t>Diabetes risk factors</w:t>
      </w:r>
      <w:r>
        <w:rPr>
          <w:sz w:val="24"/>
          <w:szCs w:val="24"/>
        </w:rPr>
        <w:t xml:space="preserve">. Centers for Disease Control and Prevention. Available at: </w:t>
      </w:r>
      <w:hyperlink r:id="rId7">
        <w:r>
          <w:rPr>
            <w:color w:val="1155CC"/>
            <w:sz w:val="24"/>
            <w:szCs w:val="24"/>
            <w:u w:val="single"/>
          </w:rPr>
          <w:t>https://www.cdc.gov/diabetes/risk-factors/index.html</w:t>
        </w:r>
      </w:hyperlink>
      <w:r>
        <w:rPr>
          <w:sz w:val="24"/>
          <w:szCs w:val="24"/>
        </w:rPr>
        <w:t xml:space="preserve"> [Accessed 14 September 2025].</w:t>
      </w:r>
    </w:p>
    <w:p w14:paraId="00000020" w14:textId="77777777" w:rsidR="009A0396" w:rsidRDefault="008152BD">
      <w:pPr>
        <w:spacing w:after="80" w:line="360" w:lineRule="auto"/>
        <w:rPr>
          <w:sz w:val="24"/>
          <w:szCs w:val="24"/>
        </w:rPr>
      </w:pPr>
      <w:r>
        <w:rPr>
          <w:sz w:val="24"/>
          <w:szCs w:val="24"/>
        </w:rPr>
        <w:t xml:space="preserve">Dimitriadis, G. D., Maratou, E., Kountouri, A., Board, M., and Lambadiari, V. (2021) Regulation of postabsorptive and postprandial glucose metabolism by insulin-dependent and insulin-independent mechanisms: an integrative approach. </w:t>
      </w:r>
      <w:r>
        <w:rPr>
          <w:i/>
          <w:sz w:val="24"/>
          <w:szCs w:val="24"/>
        </w:rPr>
        <w:t>Nutrients</w:t>
      </w:r>
      <w:r>
        <w:rPr>
          <w:sz w:val="24"/>
          <w:szCs w:val="24"/>
        </w:rPr>
        <w:t>, 13(1), 159.</w:t>
      </w:r>
    </w:p>
    <w:p w14:paraId="00000021" w14:textId="77777777" w:rsidR="009A0396" w:rsidRDefault="008152BD">
      <w:pPr>
        <w:spacing w:after="80" w:line="360" w:lineRule="auto"/>
        <w:rPr>
          <w:sz w:val="24"/>
          <w:szCs w:val="24"/>
        </w:rPr>
      </w:pPr>
      <w:r>
        <w:rPr>
          <w:sz w:val="24"/>
          <w:szCs w:val="24"/>
        </w:rPr>
        <w:t xml:space="preserve">Farman, M., Saleem, M. U., Ahmed, M. O., &amp; Ahmad, A. (2018). Stability analysis and control of the glucose insulin glucagon system in humans. </w:t>
      </w:r>
      <w:r>
        <w:rPr>
          <w:i/>
          <w:sz w:val="24"/>
          <w:szCs w:val="24"/>
        </w:rPr>
        <w:t>Chinese Journal of Physics,</w:t>
      </w:r>
      <w:r>
        <w:rPr>
          <w:sz w:val="24"/>
          <w:szCs w:val="24"/>
        </w:rPr>
        <w:t xml:space="preserve"> 56(4), 1362-1369</w:t>
      </w:r>
    </w:p>
    <w:p w14:paraId="00000022" w14:textId="77777777" w:rsidR="009A0396" w:rsidRDefault="008152BD">
      <w:pPr>
        <w:spacing w:after="80" w:line="360" w:lineRule="auto"/>
        <w:rPr>
          <w:sz w:val="24"/>
          <w:szCs w:val="24"/>
        </w:rPr>
      </w:pPr>
      <w:r>
        <w:rPr>
          <w:sz w:val="24"/>
          <w:szCs w:val="24"/>
        </w:rPr>
        <w:t xml:space="preserve">Garg, C., and Daley, S. F. (2025) </w:t>
      </w:r>
      <w:r>
        <w:rPr>
          <w:i/>
          <w:sz w:val="24"/>
          <w:szCs w:val="24"/>
        </w:rPr>
        <w:t>Obesity and type 2 diabetes</w:t>
      </w:r>
      <w:r>
        <w:rPr>
          <w:sz w:val="24"/>
          <w:szCs w:val="24"/>
        </w:rPr>
        <w:t xml:space="preserve">. StatPearls Publishing.  Available at:  </w:t>
      </w:r>
      <w:hyperlink r:id="rId8">
        <w:r>
          <w:rPr>
            <w:color w:val="1155CC"/>
            <w:sz w:val="24"/>
            <w:szCs w:val="24"/>
            <w:u w:val="single"/>
          </w:rPr>
          <w:t>https://www.ncbi.nlm.nih.gov/books/NBK592412/</w:t>
        </w:r>
      </w:hyperlink>
      <w:r>
        <w:rPr>
          <w:sz w:val="24"/>
          <w:szCs w:val="24"/>
        </w:rPr>
        <w:t xml:space="preserve"> [Accessed 14 September 2025].</w:t>
      </w:r>
    </w:p>
    <w:p w14:paraId="00000023" w14:textId="77777777" w:rsidR="009A0396" w:rsidRDefault="008152BD">
      <w:pPr>
        <w:spacing w:after="80" w:line="360" w:lineRule="auto"/>
        <w:rPr>
          <w:color w:val="1155CC"/>
          <w:sz w:val="24"/>
          <w:szCs w:val="24"/>
          <w:u w:val="single"/>
        </w:rPr>
      </w:pPr>
      <w:r>
        <w:rPr>
          <w:sz w:val="24"/>
          <w:szCs w:val="24"/>
        </w:rPr>
        <w:t xml:space="preserve">International Diabetes Federation (2023) </w:t>
      </w:r>
      <w:r>
        <w:rPr>
          <w:i/>
          <w:sz w:val="24"/>
          <w:szCs w:val="24"/>
        </w:rPr>
        <w:t>Quitting smoking cuts your risk of developing type 2 diabetes by up to 40%</w:t>
      </w:r>
      <w:r>
        <w:rPr>
          <w:sz w:val="24"/>
          <w:szCs w:val="24"/>
        </w:rPr>
        <w:t xml:space="preserve">. International Diabetes Federation. Available at: </w:t>
      </w:r>
      <w:hyperlink r:id="rId9">
        <w:r>
          <w:rPr>
            <w:color w:val="1155CC"/>
            <w:sz w:val="24"/>
            <w:szCs w:val="24"/>
            <w:u w:val="single"/>
          </w:rPr>
          <w:t>https://idf.org/news/quitting-smoking-cuts-your-risk-of-developing-type-2-diabetes-by-up-to-40/</w:t>
        </w:r>
      </w:hyperlink>
      <w:r>
        <w:rPr>
          <w:sz w:val="24"/>
          <w:szCs w:val="24"/>
        </w:rPr>
        <w:t xml:space="preserve">  [Accessed 17 September 2025]. </w:t>
      </w:r>
    </w:p>
    <w:p w14:paraId="00000024" w14:textId="77777777" w:rsidR="009A0396" w:rsidRDefault="008152BD">
      <w:pPr>
        <w:spacing w:after="80" w:line="360" w:lineRule="auto"/>
        <w:rPr>
          <w:color w:val="1155CC"/>
          <w:sz w:val="24"/>
          <w:szCs w:val="24"/>
          <w:u w:val="single"/>
        </w:rPr>
      </w:pPr>
      <w:r>
        <w:rPr>
          <w:sz w:val="24"/>
          <w:szCs w:val="24"/>
        </w:rPr>
        <w:t xml:space="preserve">Kirwan, J. P., Sacks, J., and  Nieuwoudt, S. (2017) The essential role of exercise in the management of type 2 diabetes. </w:t>
      </w:r>
      <w:r>
        <w:rPr>
          <w:i/>
          <w:sz w:val="24"/>
          <w:szCs w:val="24"/>
        </w:rPr>
        <w:t>Cleveland Clinic journal of medicine,</w:t>
      </w:r>
      <w:r>
        <w:rPr>
          <w:sz w:val="24"/>
          <w:szCs w:val="24"/>
        </w:rPr>
        <w:t xml:space="preserve"> 84(7 Suppl 1), S15–S21. </w:t>
      </w:r>
      <w:hyperlink r:id="rId10">
        <w:r>
          <w:rPr>
            <w:color w:val="1155CC"/>
            <w:sz w:val="24"/>
            <w:szCs w:val="24"/>
            <w:u w:val="single"/>
          </w:rPr>
          <w:t>https://doi.org/10.3949/ccjm.84.s1.03</w:t>
        </w:r>
      </w:hyperlink>
    </w:p>
    <w:p w14:paraId="00000025" w14:textId="77777777" w:rsidR="009A0396" w:rsidRDefault="008152BD">
      <w:pPr>
        <w:spacing w:after="80" w:line="360" w:lineRule="auto"/>
        <w:rPr>
          <w:sz w:val="24"/>
          <w:szCs w:val="24"/>
        </w:rPr>
      </w:pPr>
      <w:r>
        <w:rPr>
          <w:sz w:val="24"/>
          <w:szCs w:val="24"/>
        </w:rPr>
        <w:t xml:space="preserve">Kraaijeveld, S.R. (2021) Continuous glucose monitoring as a matter of justice. In </w:t>
      </w:r>
      <w:r>
        <w:rPr>
          <w:i/>
          <w:sz w:val="24"/>
          <w:szCs w:val="24"/>
        </w:rPr>
        <w:t xml:space="preserve">Hec Forum </w:t>
      </w:r>
      <w:r>
        <w:rPr>
          <w:sz w:val="24"/>
          <w:szCs w:val="24"/>
        </w:rPr>
        <w:t>(Vol. 33, No. 4, pp. 345-370). Dordrecht: Springer Netherlands.</w:t>
      </w:r>
    </w:p>
    <w:p w14:paraId="00000026" w14:textId="77777777" w:rsidR="009A0396" w:rsidRDefault="008152BD">
      <w:pPr>
        <w:spacing w:after="80" w:line="360" w:lineRule="auto"/>
        <w:rPr>
          <w:sz w:val="24"/>
          <w:szCs w:val="24"/>
        </w:rPr>
      </w:pPr>
      <w:r>
        <w:rPr>
          <w:sz w:val="24"/>
          <w:szCs w:val="24"/>
        </w:rPr>
        <w:t xml:space="preserve">Kumar, S., 2024. Diabetic Patients: Why Stop Sugar?. </w:t>
      </w:r>
      <w:r>
        <w:rPr>
          <w:i/>
          <w:sz w:val="24"/>
          <w:szCs w:val="24"/>
        </w:rPr>
        <w:t>Journal of Mid-life Health,</w:t>
      </w:r>
      <w:r>
        <w:rPr>
          <w:sz w:val="24"/>
          <w:szCs w:val="24"/>
        </w:rPr>
        <w:t xml:space="preserve"> 15(4), pp.240-244. </w:t>
      </w:r>
    </w:p>
    <w:p w14:paraId="00000027" w14:textId="77777777" w:rsidR="009A0396" w:rsidRDefault="008152BD">
      <w:pPr>
        <w:spacing w:after="80" w:line="360" w:lineRule="auto"/>
        <w:rPr>
          <w:sz w:val="24"/>
          <w:szCs w:val="24"/>
        </w:rPr>
      </w:pPr>
      <w:r>
        <w:rPr>
          <w:sz w:val="24"/>
          <w:szCs w:val="24"/>
        </w:rPr>
        <w:lastRenderedPageBreak/>
        <w:t xml:space="preserve">Laccarino, G., Franco, D., Sorriento, D., Strisciuglio, T., Barbato, E. and Morisco, C., (2021) Modulation of insulin sensitivity by exercise training: implications for cardiovascular prevention. </w:t>
      </w:r>
      <w:r>
        <w:rPr>
          <w:i/>
          <w:sz w:val="24"/>
          <w:szCs w:val="24"/>
        </w:rPr>
        <w:t xml:space="preserve">Journal of cardiovascular translational research, </w:t>
      </w:r>
      <w:r>
        <w:rPr>
          <w:sz w:val="24"/>
          <w:szCs w:val="24"/>
        </w:rPr>
        <w:t>14(2), pp.256-270.</w:t>
      </w:r>
    </w:p>
    <w:p w14:paraId="00000028" w14:textId="77777777" w:rsidR="009A0396" w:rsidRDefault="008152BD">
      <w:pPr>
        <w:spacing w:after="80" w:line="360" w:lineRule="auto"/>
        <w:rPr>
          <w:sz w:val="24"/>
          <w:szCs w:val="24"/>
        </w:rPr>
      </w:pPr>
      <w:r>
        <w:rPr>
          <w:sz w:val="24"/>
          <w:szCs w:val="24"/>
        </w:rPr>
        <w:t xml:space="preserve">Lema-Pérez, L., (2021) </w:t>
      </w:r>
      <w:r>
        <w:rPr>
          <w:i/>
          <w:sz w:val="24"/>
          <w:szCs w:val="24"/>
        </w:rPr>
        <w:t>Main Organs Involved in Glucose. Sugar Intake: Risks and Benefits and the Global Diabetes Epidemic</w:t>
      </w:r>
      <w:r>
        <w:rPr>
          <w:sz w:val="24"/>
          <w:szCs w:val="24"/>
        </w:rPr>
        <w:t xml:space="preserve">, p.121. </w:t>
      </w:r>
    </w:p>
    <w:p w14:paraId="00000029" w14:textId="77777777" w:rsidR="009A0396" w:rsidRDefault="008152BD">
      <w:pPr>
        <w:spacing w:after="80" w:line="360" w:lineRule="auto"/>
        <w:rPr>
          <w:sz w:val="24"/>
          <w:szCs w:val="24"/>
        </w:rPr>
      </w:pPr>
      <w:r>
        <w:rPr>
          <w:sz w:val="24"/>
          <w:szCs w:val="24"/>
        </w:rPr>
        <w:t xml:space="preserve">Mahundi, P. and Manwa, L., (2015) Energy nutrient metabolism: the inter-conversions and the chain reaction leading to oxidative-phosphorilation and production of adenosine tri-phosphate (ATP). </w:t>
      </w:r>
      <w:r>
        <w:rPr>
          <w:i/>
          <w:sz w:val="24"/>
          <w:szCs w:val="24"/>
        </w:rPr>
        <w:t xml:space="preserve">Journal of Emerging Trends in Educational Research and Policy Studies, </w:t>
      </w:r>
      <w:r>
        <w:rPr>
          <w:sz w:val="24"/>
          <w:szCs w:val="24"/>
        </w:rPr>
        <w:t>6(5), pp.383-390.</w:t>
      </w:r>
    </w:p>
    <w:p w14:paraId="0000002A" w14:textId="77777777" w:rsidR="009A0396" w:rsidRDefault="008152BD">
      <w:pPr>
        <w:spacing w:after="80" w:line="360" w:lineRule="auto"/>
        <w:rPr>
          <w:sz w:val="24"/>
          <w:szCs w:val="24"/>
        </w:rPr>
      </w:pPr>
      <w:r>
        <w:rPr>
          <w:sz w:val="24"/>
          <w:szCs w:val="24"/>
        </w:rPr>
        <w:t xml:space="preserve">MedlinePlus. (2024) </w:t>
      </w:r>
      <w:r>
        <w:rPr>
          <w:i/>
          <w:sz w:val="24"/>
          <w:szCs w:val="24"/>
        </w:rPr>
        <w:t>Diabetes Type 2 (Adult-Onset Diabetes)</w:t>
      </w:r>
      <w:r>
        <w:rPr>
          <w:sz w:val="24"/>
          <w:szCs w:val="24"/>
        </w:rPr>
        <w:t xml:space="preserve">. U.S. National Library of Medicine. Available at: </w:t>
      </w:r>
      <w:hyperlink r:id="rId11">
        <w:r>
          <w:rPr>
            <w:color w:val="1155CC"/>
            <w:sz w:val="24"/>
            <w:szCs w:val="24"/>
            <w:u w:val="single"/>
          </w:rPr>
          <w:t>https://medlineplus.gov/diabetestype2.html</w:t>
        </w:r>
      </w:hyperlink>
      <w:r>
        <w:rPr>
          <w:sz w:val="24"/>
          <w:szCs w:val="24"/>
        </w:rPr>
        <w:t xml:space="preserve"> [Accessed 14 September 2025].</w:t>
      </w:r>
    </w:p>
    <w:p w14:paraId="0000002B" w14:textId="77777777" w:rsidR="009A0396" w:rsidRDefault="008152BD">
      <w:pPr>
        <w:spacing w:after="80" w:line="360" w:lineRule="auto"/>
        <w:rPr>
          <w:b/>
          <w:sz w:val="24"/>
          <w:szCs w:val="24"/>
        </w:rPr>
      </w:pPr>
      <w:r>
        <w:rPr>
          <w:sz w:val="24"/>
          <w:szCs w:val="24"/>
        </w:rPr>
        <w:t xml:space="preserve">Monnier, L., Colette, C., Boegner, C., Pham, T.C., Lapinski, H. and Boniface, H., (2007) Continuous glucose monitoring in patients with type 2 diabetes: Why? When? Whom?. </w:t>
      </w:r>
      <w:r>
        <w:rPr>
          <w:i/>
          <w:sz w:val="24"/>
          <w:szCs w:val="24"/>
        </w:rPr>
        <w:t>Diabetes &amp; metabolism</w:t>
      </w:r>
      <w:r>
        <w:rPr>
          <w:sz w:val="24"/>
          <w:szCs w:val="24"/>
        </w:rPr>
        <w:t>, 33(4), pp.247-252.</w:t>
      </w:r>
    </w:p>
    <w:p w14:paraId="0000002C" w14:textId="77777777" w:rsidR="009A0396" w:rsidRDefault="008152BD">
      <w:pPr>
        <w:spacing w:after="80" w:line="360" w:lineRule="auto"/>
        <w:rPr>
          <w:color w:val="1155CC"/>
          <w:sz w:val="24"/>
          <w:szCs w:val="24"/>
          <w:u w:val="single"/>
        </w:rPr>
      </w:pPr>
      <w:r>
        <w:rPr>
          <w:sz w:val="24"/>
          <w:szCs w:val="24"/>
        </w:rPr>
        <w:t xml:space="preserve">Nakrani, M. N., Wineland, R. H., and Anjum, F. (2023) </w:t>
      </w:r>
      <w:r>
        <w:rPr>
          <w:i/>
          <w:sz w:val="24"/>
          <w:szCs w:val="24"/>
        </w:rPr>
        <w:t>Physiology, Glucose Metabolism</w:t>
      </w:r>
      <w:r>
        <w:rPr>
          <w:sz w:val="24"/>
          <w:szCs w:val="24"/>
        </w:rPr>
        <w:t xml:space="preserve">. StatPearls Publishing. Retrieved October 2025, from </w:t>
      </w:r>
      <w:hyperlink r:id="rId12">
        <w:r>
          <w:rPr>
            <w:color w:val="1155CC"/>
            <w:sz w:val="24"/>
            <w:szCs w:val="24"/>
            <w:u w:val="single"/>
          </w:rPr>
          <w:t>https://www.ncbi.nlm.nih.gov/books/NBK560599/</w:t>
        </w:r>
      </w:hyperlink>
      <w:r>
        <w:rPr>
          <w:sz w:val="24"/>
          <w:szCs w:val="24"/>
        </w:rPr>
        <w:t xml:space="preserve"> </w:t>
      </w:r>
    </w:p>
    <w:p w14:paraId="0000002D" w14:textId="77777777" w:rsidR="009A0396" w:rsidRDefault="008152BD">
      <w:pPr>
        <w:spacing w:after="80" w:line="360" w:lineRule="auto"/>
        <w:rPr>
          <w:sz w:val="24"/>
          <w:szCs w:val="24"/>
        </w:rPr>
      </w:pPr>
      <w:r>
        <w:rPr>
          <w:sz w:val="24"/>
          <w:szCs w:val="24"/>
        </w:rPr>
        <w:t xml:space="preserve">NHS UK. (2023) </w:t>
      </w:r>
      <w:r>
        <w:rPr>
          <w:i/>
          <w:sz w:val="24"/>
          <w:szCs w:val="24"/>
        </w:rPr>
        <w:t>Treatment for type 2 diabetes</w:t>
      </w:r>
      <w:r>
        <w:rPr>
          <w:sz w:val="24"/>
          <w:szCs w:val="24"/>
        </w:rPr>
        <w:t xml:space="preserve">. Available at: </w:t>
      </w:r>
      <w:hyperlink r:id="rId13">
        <w:r>
          <w:rPr>
            <w:color w:val="1155CC"/>
            <w:sz w:val="24"/>
            <w:szCs w:val="24"/>
            <w:u w:val="single"/>
          </w:rPr>
          <w:t>https://www.nhs.uk/conditions/type-2-diabetes/treatment/</w:t>
        </w:r>
      </w:hyperlink>
      <w:r>
        <w:rPr>
          <w:sz w:val="24"/>
          <w:szCs w:val="24"/>
        </w:rPr>
        <w:t xml:space="preserve">  [Accessed 17 September 2025]. </w:t>
      </w:r>
      <w:hyperlink r:id="rId14" w:anchor=":~:text=Lifestyle%20changes%20can%20sometimes%20lower,remission">
        <w:r>
          <w:rPr>
            <w:sz w:val="24"/>
            <w:szCs w:val="24"/>
          </w:rPr>
          <w:t xml:space="preserve"> </w:t>
        </w:r>
      </w:hyperlink>
    </w:p>
    <w:p w14:paraId="0000002E" w14:textId="77777777" w:rsidR="009A0396" w:rsidRDefault="008152BD">
      <w:pPr>
        <w:spacing w:after="80" w:line="360" w:lineRule="auto"/>
        <w:rPr>
          <w:sz w:val="24"/>
          <w:szCs w:val="24"/>
        </w:rPr>
      </w:pPr>
      <w:r>
        <w:rPr>
          <w:sz w:val="24"/>
          <w:szCs w:val="24"/>
        </w:rPr>
        <w:t xml:space="preserve">Nwanna, J.C., (2025) </w:t>
      </w:r>
      <w:r>
        <w:rPr>
          <w:i/>
          <w:sz w:val="24"/>
          <w:szCs w:val="24"/>
        </w:rPr>
        <w:t>Using Continuous Glucose Monitoring to Improve Type 2 Diabetes Self-Management in Adults</w:t>
      </w:r>
      <w:r>
        <w:rPr>
          <w:sz w:val="24"/>
          <w:szCs w:val="24"/>
        </w:rPr>
        <w:t xml:space="preserve"> (Doctoral dissertation, University of Massachusetts Global).</w:t>
      </w:r>
    </w:p>
    <w:p w14:paraId="0000002F" w14:textId="77777777" w:rsidR="009A0396" w:rsidRDefault="008152BD">
      <w:pPr>
        <w:spacing w:after="80" w:line="360" w:lineRule="auto"/>
        <w:rPr>
          <w:sz w:val="24"/>
          <w:szCs w:val="24"/>
        </w:rPr>
      </w:pPr>
      <w:r>
        <w:rPr>
          <w:sz w:val="24"/>
          <w:szCs w:val="24"/>
        </w:rPr>
        <w:t xml:space="preserve">Oser, S. M., and Oser, T. K. (2024) Medicare coverage of continuous glucose monitoring — 2023 updates. </w:t>
      </w:r>
      <w:r>
        <w:rPr>
          <w:i/>
          <w:sz w:val="24"/>
          <w:szCs w:val="24"/>
        </w:rPr>
        <w:t>Family Practice Management, 31</w:t>
      </w:r>
      <w:r>
        <w:rPr>
          <w:sz w:val="24"/>
          <w:szCs w:val="24"/>
        </w:rPr>
        <w:t xml:space="preserve">(1), 17–18. </w:t>
      </w:r>
    </w:p>
    <w:p w14:paraId="00000030" w14:textId="77777777" w:rsidR="009A0396" w:rsidRDefault="008152BD">
      <w:pPr>
        <w:spacing w:after="80" w:line="360" w:lineRule="auto"/>
        <w:rPr>
          <w:sz w:val="24"/>
          <w:szCs w:val="24"/>
        </w:rPr>
      </w:pPr>
      <w:r>
        <w:rPr>
          <w:sz w:val="24"/>
          <w:szCs w:val="24"/>
        </w:rPr>
        <w:t xml:space="preserve">Park, J.H., Moon, J.H., Kim, H.J., Kong, M.H. and Oh, Y.H., (2020) Sedentary lifestyle: overview of updated evidence of potential health risks. </w:t>
      </w:r>
      <w:r>
        <w:rPr>
          <w:i/>
          <w:sz w:val="24"/>
          <w:szCs w:val="24"/>
        </w:rPr>
        <w:t>Korean journal of family medicine</w:t>
      </w:r>
      <w:r>
        <w:rPr>
          <w:sz w:val="24"/>
          <w:szCs w:val="24"/>
        </w:rPr>
        <w:t>, 41(6), p.365.</w:t>
      </w:r>
    </w:p>
    <w:p w14:paraId="00000031" w14:textId="77777777" w:rsidR="009A0396" w:rsidRDefault="008152BD">
      <w:pPr>
        <w:spacing w:after="80" w:line="360" w:lineRule="auto"/>
        <w:rPr>
          <w:sz w:val="24"/>
          <w:szCs w:val="24"/>
        </w:rPr>
      </w:pPr>
      <w:r>
        <w:rPr>
          <w:sz w:val="24"/>
          <w:szCs w:val="24"/>
        </w:rPr>
        <w:lastRenderedPageBreak/>
        <w:t xml:space="preserve">Peel, E., Douglas, M. and Lawton, J., (2007) Self monitoring of blood glucose in type 2 diabetes: longitudinal qualitative study of patients' perspectives. </w:t>
      </w:r>
      <w:r>
        <w:rPr>
          <w:i/>
          <w:sz w:val="24"/>
          <w:szCs w:val="24"/>
        </w:rPr>
        <w:t>BMJ,</w:t>
      </w:r>
      <w:r>
        <w:rPr>
          <w:sz w:val="24"/>
          <w:szCs w:val="24"/>
        </w:rPr>
        <w:t xml:space="preserve"> 335(7618), p.493.</w:t>
      </w:r>
    </w:p>
    <w:p w14:paraId="00000032" w14:textId="77777777" w:rsidR="009A0396" w:rsidRDefault="008152BD">
      <w:pPr>
        <w:spacing w:after="80" w:line="360" w:lineRule="auto"/>
        <w:rPr>
          <w:sz w:val="24"/>
          <w:szCs w:val="24"/>
        </w:rPr>
      </w:pPr>
      <w:r>
        <w:rPr>
          <w:sz w:val="24"/>
          <w:szCs w:val="24"/>
        </w:rPr>
        <w:t xml:space="preserve">Qaid, M.M. and Abdelrahman, M.M., (2016) Role of insulin and other related hormones in energy metabolism—A review. </w:t>
      </w:r>
      <w:r>
        <w:rPr>
          <w:i/>
          <w:sz w:val="24"/>
          <w:szCs w:val="24"/>
        </w:rPr>
        <w:t>Cogent Food &amp; Agriculture</w:t>
      </w:r>
      <w:r>
        <w:rPr>
          <w:sz w:val="24"/>
          <w:szCs w:val="24"/>
        </w:rPr>
        <w:t>, 2(1), p.1267691.</w:t>
      </w:r>
    </w:p>
    <w:p w14:paraId="00000033" w14:textId="77777777" w:rsidR="009A0396" w:rsidRDefault="008152BD">
      <w:pPr>
        <w:spacing w:after="80" w:line="360" w:lineRule="auto"/>
        <w:rPr>
          <w:sz w:val="24"/>
          <w:szCs w:val="24"/>
        </w:rPr>
      </w:pPr>
      <w:r>
        <w:rPr>
          <w:sz w:val="24"/>
          <w:szCs w:val="24"/>
        </w:rPr>
        <w:t xml:space="preserve">Quesada, I., Tudurí, E., Ripoll, C., and Nadal, A. (2008) Physiology of the pancreatic α-cell and glucagon secretion: role in glucose homeostasis and diabetes. </w:t>
      </w:r>
      <w:r>
        <w:rPr>
          <w:i/>
          <w:sz w:val="24"/>
          <w:szCs w:val="24"/>
        </w:rPr>
        <w:t>Journal of endocrinology,</w:t>
      </w:r>
      <w:r>
        <w:rPr>
          <w:sz w:val="24"/>
          <w:szCs w:val="24"/>
        </w:rPr>
        <w:t xml:space="preserve"> 199(1), 5-19.</w:t>
      </w:r>
    </w:p>
    <w:p w14:paraId="00000034" w14:textId="77777777" w:rsidR="009A0396" w:rsidRDefault="008152BD">
      <w:pPr>
        <w:spacing w:after="80" w:line="360" w:lineRule="auto"/>
        <w:rPr>
          <w:sz w:val="24"/>
          <w:szCs w:val="24"/>
        </w:rPr>
      </w:pPr>
      <w:r>
        <w:rPr>
          <w:sz w:val="24"/>
          <w:szCs w:val="24"/>
        </w:rPr>
        <w:t xml:space="preserve">Tahrani, A.A. and Morton, J., (2022) Benefits of weight loss of 10% or more in patients with overweight or obesity: a review. </w:t>
      </w:r>
      <w:r>
        <w:rPr>
          <w:i/>
          <w:sz w:val="24"/>
          <w:szCs w:val="24"/>
        </w:rPr>
        <w:t>Obesity,</w:t>
      </w:r>
      <w:r>
        <w:rPr>
          <w:sz w:val="24"/>
          <w:szCs w:val="24"/>
        </w:rPr>
        <w:t xml:space="preserve"> 30(4), pp.802-840.</w:t>
      </w:r>
    </w:p>
    <w:p w14:paraId="00000035" w14:textId="77777777" w:rsidR="009A0396" w:rsidRDefault="008152BD">
      <w:pPr>
        <w:spacing w:after="80" w:line="360" w:lineRule="auto"/>
        <w:rPr>
          <w:sz w:val="24"/>
          <w:szCs w:val="24"/>
        </w:rPr>
      </w:pPr>
      <w:r>
        <w:rPr>
          <w:sz w:val="24"/>
          <w:szCs w:val="24"/>
        </w:rPr>
        <w:t xml:space="preserve">Walsh, A. L. (2025) </w:t>
      </w:r>
      <w:r>
        <w:rPr>
          <w:i/>
          <w:sz w:val="24"/>
          <w:szCs w:val="24"/>
        </w:rPr>
        <w:t>Exploring the Impact of the Holiday Period on Continuous Glucose Levels, Physical Activity Levels, Dietary Intake, and Body Composition of College Students</w:t>
      </w:r>
      <w:r>
        <w:rPr>
          <w:sz w:val="24"/>
          <w:szCs w:val="24"/>
        </w:rPr>
        <w:t xml:space="preserve"> (Master's thesis, Miami University).</w:t>
      </w:r>
    </w:p>
    <w:p w14:paraId="00000036" w14:textId="77777777" w:rsidR="009A0396" w:rsidRDefault="008152BD">
      <w:pPr>
        <w:spacing w:after="80" w:line="360" w:lineRule="auto"/>
        <w:sectPr w:rsidR="009A0396">
          <w:pgSz w:w="11909" w:h="16834"/>
          <w:pgMar w:top="1440" w:right="1440" w:bottom="1440" w:left="1440" w:header="720" w:footer="720" w:gutter="0"/>
          <w:cols w:space="720"/>
        </w:sectPr>
      </w:pPr>
      <w:r>
        <w:rPr>
          <w:sz w:val="24"/>
          <w:szCs w:val="24"/>
        </w:rPr>
        <w:t xml:space="preserve">World Health Organization (2024) </w:t>
      </w:r>
      <w:r>
        <w:rPr>
          <w:i/>
          <w:sz w:val="24"/>
          <w:szCs w:val="24"/>
        </w:rPr>
        <w:t>Diabetes</w:t>
      </w:r>
      <w:r>
        <w:rPr>
          <w:sz w:val="24"/>
          <w:szCs w:val="24"/>
        </w:rPr>
        <w:t xml:space="preserve">. Available at: </w:t>
      </w:r>
      <w:hyperlink r:id="rId15">
        <w:r>
          <w:rPr>
            <w:color w:val="1155CC"/>
            <w:sz w:val="24"/>
            <w:szCs w:val="24"/>
            <w:u w:val="single"/>
          </w:rPr>
          <w:t>https://www.who.int/news-room/fact-sheets/detail/diabetes</w:t>
        </w:r>
      </w:hyperlink>
      <w:r>
        <w:rPr>
          <w:sz w:val="24"/>
          <w:szCs w:val="24"/>
        </w:rPr>
        <w:t xml:space="preserve">  [Accessed 17 September 2025].</w:t>
      </w:r>
    </w:p>
    <w:p w14:paraId="00000037" w14:textId="77777777" w:rsidR="009A0396" w:rsidRDefault="009A0396"/>
    <w:p w14:paraId="4C4A90CC" w14:textId="77777777" w:rsidR="00116E05" w:rsidRPr="00116E05" w:rsidRDefault="00116E05" w:rsidP="00116E05"/>
    <w:p w14:paraId="50047BD1" w14:textId="77777777" w:rsidR="00116E05" w:rsidRPr="00116E05" w:rsidRDefault="00116E05" w:rsidP="00116E05"/>
    <w:p w14:paraId="72556711" w14:textId="77777777" w:rsidR="00116E05" w:rsidRPr="00116E05" w:rsidRDefault="00116E05" w:rsidP="00116E05"/>
    <w:p w14:paraId="6903FD05" w14:textId="77777777" w:rsidR="00116E05" w:rsidRPr="00116E05" w:rsidRDefault="00116E05" w:rsidP="00116E05"/>
    <w:p w14:paraId="21DE9D58" w14:textId="77777777" w:rsidR="00116E05" w:rsidRPr="00116E05" w:rsidRDefault="00116E05" w:rsidP="00116E05"/>
    <w:p w14:paraId="63D4D5F3" w14:textId="77777777" w:rsidR="00116E05" w:rsidRPr="00116E05" w:rsidRDefault="00116E05" w:rsidP="00116E05"/>
    <w:p w14:paraId="3D4B2077" w14:textId="77777777" w:rsidR="00116E05" w:rsidRPr="00116E05" w:rsidRDefault="00116E05" w:rsidP="00116E05"/>
    <w:p w14:paraId="506F6F3E" w14:textId="2A743EB2" w:rsidR="00116E05" w:rsidRPr="00116E05" w:rsidRDefault="00116E05" w:rsidP="00116E05"/>
    <w:sectPr w:rsidR="00116E05" w:rsidRPr="00116E05">
      <w:pgSz w:w="11909" w:h="16834"/>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D15D5D" w14:textId="77777777" w:rsidR="00041ABC" w:rsidRDefault="00041ABC" w:rsidP="00197DAA">
      <w:pPr>
        <w:spacing w:line="240" w:lineRule="auto"/>
      </w:pPr>
      <w:r>
        <w:separator/>
      </w:r>
    </w:p>
  </w:endnote>
  <w:endnote w:type="continuationSeparator" w:id="0">
    <w:p w14:paraId="58AF3F8D" w14:textId="77777777" w:rsidR="00041ABC" w:rsidRDefault="00041ABC" w:rsidP="00197DA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9775589"/>
      <w:docPartObj>
        <w:docPartGallery w:val="Page Numbers (Bottom of Page)"/>
        <w:docPartUnique/>
      </w:docPartObj>
    </w:sdtPr>
    <w:sdtEndPr>
      <w:rPr>
        <w:noProof/>
      </w:rPr>
    </w:sdtEndPr>
    <w:sdtContent>
      <w:p w14:paraId="7969E324" w14:textId="00A8E426" w:rsidR="00197DAA" w:rsidRDefault="00197DAA">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6F7BA937" w14:textId="76178DD4" w:rsidR="00B438BF" w:rsidRDefault="00B438B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62DB30" w14:textId="77777777" w:rsidR="00041ABC" w:rsidRDefault="00041ABC" w:rsidP="00197DAA">
      <w:pPr>
        <w:spacing w:line="240" w:lineRule="auto"/>
      </w:pPr>
      <w:r>
        <w:separator/>
      </w:r>
    </w:p>
  </w:footnote>
  <w:footnote w:type="continuationSeparator" w:id="0">
    <w:p w14:paraId="308D791C" w14:textId="77777777" w:rsidR="00041ABC" w:rsidRDefault="00041ABC" w:rsidP="00197DAA">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A0396"/>
    <w:rsid w:val="00041ABC"/>
    <w:rsid w:val="0006201B"/>
    <w:rsid w:val="00116E05"/>
    <w:rsid w:val="00197DAA"/>
    <w:rsid w:val="002A68AC"/>
    <w:rsid w:val="002F6F5F"/>
    <w:rsid w:val="0031035D"/>
    <w:rsid w:val="00370094"/>
    <w:rsid w:val="00453085"/>
    <w:rsid w:val="00496BB0"/>
    <w:rsid w:val="00635FEC"/>
    <w:rsid w:val="008152BD"/>
    <w:rsid w:val="00997D3C"/>
    <w:rsid w:val="009A0396"/>
    <w:rsid w:val="00B438BF"/>
    <w:rsid w:val="00DA0EA9"/>
    <w:rsid w:val="00E9507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64B485A"/>
  <w15:docId w15:val="{961D2D77-3BD5-CE43-B488-C2D4AFDBDB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197DAA"/>
    <w:pPr>
      <w:tabs>
        <w:tab w:val="center" w:pos="4513"/>
        <w:tab w:val="right" w:pos="9026"/>
      </w:tabs>
      <w:spacing w:line="240" w:lineRule="auto"/>
    </w:pPr>
  </w:style>
  <w:style w:type="character" w:customStyle="1" w:styleId="HeaderChar">
    <w:name w:val="Header Char"/>
    <w:basedOn w:val="DefaultParagraphFont"/>
    <w:link w:val="Header"/>
    <w:uiPriority w:val="99"/>
    <w:rsid w:val="00197DAA"/>
  </w:style>
  <w:style w:type="paragraph" w:styleId="Footer">
    <w:name w:val="footer"/>
    <w:basedOn w:val="Normal"/>
    <w:link w:val="FooterChar"/>
    <w:uiPriority w:val="99"/>
    <w:unhideWhenUsed/>
    <w:rsid w:val="00197DAA"/>
    <w:pPr>
      <w:tabs>
        <w:tab w:val="center" w:pos="4513"/>
        <w:tab w:val="right" w:pos="9026"/>
      </w:tabs>
      <w:spacing w:line="240" w:lineRule="auto"/>
    </w:pPr>
  </w:style>
  <w:style w:type="character" w:customStyle="1" w:styleId="FooterChar">
    <w:name w:val="Footer Char"/>
    <w:basedOn w:val="DefaultParagraphFont"/>
    <w:link w:val="Footer"/>
    <w:uiPriority w:val="99"/>
    <w:rsid w:val="00197DA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hyperlink" Target="https://www.ncbi.nlm.nih.gov/books/NBK592412/" TargetMode="External"/><Relationship Id="rId13" Type="http://schemas.openxmlformats.org/officeDocument/2006/relationships/hyperlink" Target="https://www.nhs.uk/conditions/type-2-diabetes/treatment/" TargetMode="External"/><Relationship Id="rId3" Type="http://schemas.openxmlformats.org/officeDocument/2006/relationships/webSettings" Target="webSettings.xml"/><Relationship Id="rId7" Type="http://schemas.openxmlformats.org/officeDocument/2006/relationships/hyperlink" Target="https://www.cdc.gov/diabetes/risk-factors/index.html" TargetMode="External"/><Relationship Id="rId12" Type="http://schemas.openxmlformats.org/officeDocument/2006/relationships/hyperlink" Target="https://www.ncbi.nlm.nih.gov/books/NBK560599/" TargetMode="External"/><Relationship Id="rId17"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fontTable" Target="fontTable.xml"/><Relationship Id="rId1" Type="http://schemas.openxmlformats.org/officeDocument/2006/relationships/styles" Target="styles.xml"/><Relationship Id="rId6" Type="http://schemas.openxmlformats.org/officeDocument/2006/relationships/footer" Target="footer1.xml"/><Relationship Id="rId11" Type="http://schemas.openxmlformats.org/officeDocument/2006/relationships/hyperlink" Target="https://medlineplus.gov/diabetestype2.html" TargetMode="External"/><Relationship Id="rId5" Type="http://schemas.openxmlformats.org/officeDocument/2006/relationships/endnotes" Target="endnotes.xml"/><Relationship Id="rId15" Type="http://schemas.openxmlformats.org/officeDocument/2006/relationships/hyperlink" Target="https://www.who.int/news-room/fact-sheets/detail/diabetes" TargetMode="External"/><Relationship Id="rId10" Type="http://schemas.openxmlformats.org/officeDocument/2006/relationships/hyperlink" Target="https://doi.org/10.3949/ccjm.84.s1.03" TargetMode="External"/><Relationship Id="rId4" Type="http://schemas.openxmlformats.org/officeDocument/2006/relationships/footnotes" Target="footnotes.xml"/><Relationship Id="rId9" Type="http://schemas.openxmlformats.org/officeDocument/2006/relationships/hyperlink" Target="https://idf.org/news/quitting-smoking-cuts-your-risk-of-developing-type-2-diabetes-by-up-to-40/" TargetMode="External"/><Relationship Id="rId14" Type="http://schemas.openxmlformats.org/officeDocument/2006/relationships/hyperlink" Target="https://www.nhs.uk/conditions/type-2-diabetes/treat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11</Pages>
  <Words>2923</Words>
  <Characters>16896</Characters>
  <Application>Microsoft Office Word</Application>
  <DocSecurity>0</DocSecurity>
  <Lines>291</Lines>
  <Paragraphs>69</Paragraphs>
  <ScaleCrop>false</ScaleCrop>
  <Company/>
  <LinksUpToDate>false</LinksUpToDate>
  <CharactersWithSpaces>19750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Aimnumhenfo Iyoha (2329981)</cp:lastModifiedBy>
  <cp:revision>15</cp:revision>
  <dcterms:created xsi:type="dcterms:W3CDTF">2025-11-03T20:23:00Z</dcterms:created>
  <dcterms:modified xsi:type="dcterms:W3CDTF">2025-11-03T20:41:00Z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84803365-3951-4774-9dc9-2f795c2f8e67</vt:lpwstr>
  </property>
</Properties>
</file>