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998391413"/>
        <w:docPartObj>
          <w:docPartGallery w:val="Cover Pages"/>
          <w:docPartUnique/>
        </w:docPartObj>
      </w:sdtPr>
      <w:sdtEndPr>
        <w:rPr>
          <w:color w:val="auto"/>
        </w:rPr>
      </w:sdtEndPr>
      <w:sdtContent>
        <w:p w14:paraId="595127E1" w14:textId="02EEC9D3" w:rsidR="00C60275" w:rsidRDefault="00C60275">
          <w:pPr>
            <w:pStyle w:val="NoSpacing"/>
            <w:spacing w:before="1540" w:after="240"/>
            <w:jc w:val="center"/>
            <w:rPr>
              <w:color w:val="4472C4" w:themeColor="accent1"/>
            </w:rPr>
          </w:pPr>
          <w:r>
            <w:rPr>
              <w:noProof/>
              <w:color w:val="4472C4" w:themeColor="accent1"/>
            </w:rPr>
            <w:drawing>
              <wp:inline distT="0" distB="0" distL="0" distR="0" wp14:anchorId="7C83F8A5" wp14:editId="6DE6C70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F9530CD23B13D4A9014A6A10CF92FDC"/>
            </w:placeholder>
            <w:dataBinding w:prefixMappings="xmlns:ns0='http://purl.org/dc/elements/1.1/' xmlns:ns1='http://schemas.openxmlformats.org/package/2006/metadata/core-properties' " w:xpath="/ns1:coreProperties[1]/ns0:title[1]" w:storeItemID="{6C3C8BC8-F283-45AE-878A-BAB7291924A1}"/>
            <w:text/>
          </w:sdtPr>
          <w:sdtEndPr/>
          <w:sdtContent>
            <w:p w14:paraId="1973B5FC" w14:textId="383B8A15" w:rsidR="00C60275" w:rsidRDefault="00C60275" w:rsidP="00C6027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C60275">
                <w:rPr>
                  <w:rFonts w:asciiTheme="majorHAnsi" w:eastAsiaTheme="majorEastAsia" w:hAnsiTheme="majorHAnsi" w:cstheme="majorBidi"/>
                  <w:caps/>
                  <w:color w:val="4472C4" w:themeColor="accent1"/>
                  <w:sz w:val="72"/>
                  <w:szCs w:val="72"/>
                </w:rPr>
                <w:t>Assessment 1</w:t>
              </w:r>
              <w:r>
                <w:rPr>
                  <w:rFonts w:asciiTheme="majorHAnsi" w:eastAsiaTheme="majorEastAsia" w:hAnsiTheme="majorHAnsi" w:cstheme="majorBidi"/>
                  <w:caps/>
                  <w:color w:val="4472C4" w:themeColor="accent1"/>
                  <w:sz w:val="72"/>
                  <w:szCs w:val="72"/>
                </w:rPr>
                <w:t xml:space="preserve"> </w:t>
              </w:r>
              <w:r w:rsidRPr="00C60275">
                <w:rPr>
                  <w:rFonts w:asciiTheme="majorHAnsi" w:eastAsiaTheme="majorEastAsia" w:hAnsiTheme="majorHAnsi" w:cstheme="majorBidi"/>
                  <w:caps/>
                  <w:color w:val="4472C4" w:themeColor="accent1"/>
                  <w:sz w:val="72"/>
                  <w:szCs w:val="72"/>
                </w:rPr>
                <w:t>Community Engagement</w:t>
              </w:r>
            </w:p>
          </w:sdtContent>
        </w:sdt>
        <w:sdt>
          <w:sdtPr>
            <w:rPr>
              <w:color w:val="4472C4" w:themeColor="accent1"/>
              <w:sz w:val="28"/>
              <w:szCs w:val="28"/>
            </w:rPr>
            <w:alias w:val="Subtitle"/>
            <w:tag w:val=""/>
            <w:id w:val="328029620"/>
            <w:placeholder>
              <w:docPart w:val="E753B96201FE8E44B4F748867094E75E"/>
            </w:placeholder>
            <w:dataBinding w:prefixMappings="xmlns:ns0='http://purl.org/dc/elements/1.1/' xmlns:ns1='http://schemas.openxmlformats.org/package/2006/metadata/core-properties' " w:xpath="/ns1:coreProperties[1]/ns0:subject[1]" w:storeItemID="{6C3C8BC8-F283-45AE-878A-BAB7291924A1}"/>
            <w:text/>
          </w:sdtPr>
          <w:sdtEndPr/>
          <w:sdtContent>
            <w:p w14:paraId="071956D2" w14:textId="1212398F" w:rsidR="00C60275" w:rsidRDefault="00C60275">
              <w:pPr>
                <w:pStyle w:val="NoSpacing"/>
                <w:jc w:val="center"/>
                <w:rPr>
                  <w:color w:val="4472C4" w:themeColor="accent1"/>
                  <w:sz w:val="28"/>
                  <w:szCs w:val="28"/>
                </w:rPr>
              </w:pPr>
              <w:r>
                <w:rPr>
                  <w:color w:val="4472C4" w:themeColor="accent1"/>
                  <w:sz w:val="28"/>
                  <w:szCs w:val="28"/>
                </w:rPr>
                <w:t>LCBB4002</w:t>
              </w:r>
            </w:p>
          </w:sdtContent>
        </w:sdt>
        <w:p w14:paraId="72247AB2" w14:textId="17E91E84" w:rsidR="00C60275" w:rsidRDefault="00C60275">
          <w:pPr>
            <w:pStyle w:val="NoSpacing"/>
            <w:spacing w:before="480"/>
            <w:jc w:val="center"/>
            <w:rPr>
              <w:color w:val="4472C4" w:themeColor="accent1"/>
            </w:rPr>
          </w:pPr>
          <w:r>
            <w:rPr>
              <w:noProof/>
              <w:color w:val="4472C4" w:themeColor="accent1"/>
            </w:rPr>
            <w:drawing>
              <wp:inline distT="0" distB="0" distL="0" distR="0" wp14:anchorId="46862A13" wp14:editId="7912F7D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327EF5" w14:textId="3DF01692" w:rsidR="00D16EE3" w:rsidRDefault="00D16EE3">
          <w:pPr>
            <w:spacing w:after="0" w:line="240" w:lineRule="auto"/>
          </w:pPr>
          <w:r>
            <w:rPr>
              <w:noProof/>
              <w:color w:val="4472C4" w:themeColor="accent1"/>
            </w:rPr>
            <mc:AlternateContent>
              <mc:Choice Requires="wps">
                <w:drawing>
                  <wp:anchor distT="0" distB="0" distL="114300" distR="114300" simplePos="0" relativeHeight="251659264" behindDoc="0" locked="0" layoutInCell="1" allowOverlap="1" wp14:anchorId="496F3A54" wp14:editId="6AA02EAB">
                    <wp:simplePos x="0" y="0"/>
                    <wp:positionH relativeFrom="margin">
                      <wp:posOffset>190500</wp:posOffset>
                    </wp:positionH>
                    <wp:positionV relativeFrom="page">
                      <wp:posOffset>8896350</wp:posOffset>
                    </wp:positionV>
                    <wp:extent cx="5521960" cy="656590"/>
                    <wp:effectExtent l="0" t="0" r="2540" b="10160"/>
                    <wp:wrapNone/>
                    <wp:docPr id="142" name="Text Box 142"/>
                    <wp:cNvGraphicFramePr/>
                    <a:graphic xmlns:a="http://schemas.openxmlformats.org/drawingml/2006/main">
                      <a:graphicData uri="http://schemas.microsoft.com/office/word/2010/wordprocessingShape">
                        <wps:wsp>
                          <wps:cNvSpPr txBox="1"/>
                          <wps:spPr>
                            <a:xfrm>
                              <a:off x="0" y="0"/>
                              <a:ext cx="5521960" cy="6565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5902272" w14:textId="197FBB7F" w:rsidR="00C60275" w:rsidRPr="00C60275" w:rsidRDefault="00C60275">
                                    <w:pPr>
                                      <w:pStyle w:val="NoSpacing"/>
                                      <w:spacing w:after="40"/>
                                      <w:jc w:val="center"/>
                                      <w:rPr>
                                        <w:caps/>
                                        <w:color w:val="4472C4" w:themeColor="accent1"/>
                                        <w:sz w:val="32"/>
                                        <w:szCs w:val="32"/>
                                      </w:rPr>
                                    </w:pPr>
                                    <w:r w:rsidRPr="00C60275">
                                      <w:rPr>
                                        <w:caps/>
                                        <w:color w:val="4472C4" w:themeColor="accent1"/>
                                        <w:sz w:val="32"/>
                                        <w:szCs w:val="32"/>
                                      </w:rPr>
                                      <w:t>STUDENT ID:</w:t>
                                    </w:r>
                                    <w:r w:rsidR="00D16EE3">
                                      <w:rPr>
                                        <w:caps/>
                                        <w:color w:val="4472C4" w:themeColor="accent1"/>
                                        <w:sz w:val="32"/>
                                        <w:szCs w:val="32"/>
                                      </w:rPr>
                                      <w:t>2020080</w:t>
                                    </w:r>
                                  </w:p>
                                </w:sdtContent>
                              </w:sdt>
                              <w:p w14:paraId="3B2B1A7E" w14:textId="34C1A9ED" w:rsidR="00C60275" w:rsidRPr="00C60275" w:rsidRDefault="00AF23EF" w:rsidP="00C60275">
                                <w:pPr>
                                  <w:pStyle w:val="NoSpacing"/>
                                  <w:jc w:val="center"/>
                                  <w:rPr>
                                    <w:color w:val="4472C4" w:themeColor="accent1"/>
                                    <w:sz w:val="24"/>
                                    <w:szCs w:val="24"/>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16EE3" w:rsidRPr="00D16EE3">
                                      <w:rPr>
                                        <w:caps/>
                                        <w:color w:val="4472C4" w:themeColor="accent1"/>
                                        <w:sz w:val="28"/>
                                        <w:szCs w:val="28"/>
                                      </w:rPr>
                                      <w:t>STUDENT NAME: Yordan Gospodinov Gospodinov</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6F3A54" id="_x0000_t202" coordsize="21600,21600" o:spt="202" path="m,l,21600r21600,l21600,xe">
                    <v:stroke joinstyle="miter"/>
                    <v:path gradientshapeok="t" o:connecttype="rect"/>
                  </v:shapetype>
                  <v:shape id="Text Box 142" o:spid="_x0000_s1026" type="#_x0000_t202" style="position:absolute;margin-left:15pt;margin-top:700.5pt;width:434.8pt;height:51.7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" filled="f" stroked="f" strokeweight=".5pt">
                    <v:textbox inset="0,0,0,0">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5902272" w14:textId="197FBB7F" w:rsidR="00C60275" w:rsidRPr="00C60275" w:rsidRDefault="00C60275">
                              <w:pPr>
                                <w:pStyle w:val="NoSpacing"/>
                                <w:spacing w:after="40"/>
                                <w:jc w:val="center"/>
                                <w:rPr>
                                  <w:caps/>
                                  <w:color w:val="4472C4" w:themeColor="accent1"/>
                                  <w:sz w:val="32"/>
                                  <w:szCs w:val="32"/>
                                </w:rPr>
                              </w:pPr>
                              <w:r w:rsidRPr="00C60275">
                                <w:rPr>
                                  <w:caps/>
                                  <w:color w:val="4472C4" w:themeColor="accent1"/>
                                  <w:sz w:val="32"/>
                                  <w:szCs w:val="32"/>
                                </w:rPr>
                                <w:t>STUDENT ID:</w:t>
                              </w:r>
                              <w:r w:rsidR="00D16EE3">
                                <w:rPr>
                                  <w:caps/>
                                  <w:color w:val="4472C4" w:themeColor="accent1"/>
                                  <w:sz w:val="32"/>
                                  <w:szCs w:val="32"/>
                                </w:rPr>
                                <w:t>2020080</w:t>
                              </w:r>
                            </w:p>
                          </w:sdtContent>
                        </w:sdt>
                        <w:p w14:paraId="3B2B1A7E" w14:textId="34C1A9ED" w:rsidR="00C60275" w:rsidRPr="00C60275" w:rsidRDefault="00AF23EF" w:rsidP="00C60275">
                          <w:pPr>
                            <w:pStyle w:val="NoSpacing"/>
                            <w:jc w:val="center"/>
                            <w:rPr>
                              <w:color w:val="4472C4" w:themeColor="accent1"/>
                              <w:sz w:val="24"/>
                              <w:szCs w:val="24"/>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16EE3" w:rsidRPr="00D16EE3">
                                <w:rPr>
                                  <w:caps/>
                                  <w:color w:val="4472C4" w:themeColor="accent1"/>
                                  <w:sz w:val="28"/>
                                  <w:szCs w:val="28"/>
                                </w:rPr>
                                <w:t>STUDENT NAME: Yordan Gospodinov Gospodinov</w:t>
                              </w:r>
                            </w:sdtContent>
                          </w:sdt>
                        </w:p>
                      </w:txbxContent>
                    </v:textbox>
                    <w10:wrap anchorx="margin" anchory="page"/>
                  </v:shape>
                </w:pict>
              </mc:Fallback>
            </mc:AlternateContent>
          </w:r>
        </w:p>
        <w:p w14:paraId="2C123503" w14:textId="77777777" w:rsidR="00D16EE3" w:rsidRPr="00D16EE3" w:rsidRDefault="00D16EE3" w:rsidP="00D16EE3"/>
        <w:p w14:paraId="7DE4FEB3" w14:textId="77777777" w:rsidR="00D16EE3" w:rsidRPr="00D16EE3" w:rsidRDefault="00D16EE3" w:rsidP="00D16EE3"/>
        <w:p w14:paraId="4BD4C252" w14:textId="77777777" w:rsidR="00D16EE3" w:rsidRPr="00D16EE3" w:rsidRDefault="00D16EE3" w:rsidP="00D16EE3"/>
        <w:p w14:paraId="077D3529" w14:textId="77777777" w:rsidR="00D16EE3" w:rsidRPr="00D16EE3" w:rsidRDefault="00D16EE3" w:rsidP="00D16EE3"/>
        <w:p w14:paraId="17091EFE" w14:textId="77777777" w:rsidR="00D16EE3" w:rsidRPr="00D16EE3" w:rsidRDefault="00D16EE3" w:rsidP="00D16EE3"/>
        <w:p w14:paraId="395696DD" w14:textId="77777777" w:rsidR="00D16EE3" w:rsidRPr="00D16EE3" w:rsidRDefault="00D16EE3" w:rsidP="00D16EE3"/>
        <w:p w14:paraId="25AE0512" w14:textId="77777777" w:rsidR="00D16EE3" w:rsidRDefault="00D16EE3">
          <w:pPr>
            <w:spacing w:after="0" w:line="240" w:lineRule="auto"/>
          </w:pPr>
        </w:p>
        <w:p w14:paraId="070D58BC" w14:textId="77777777" w:rsidR="00D16EE3" w:rsidRDefault="00D16EE3">
          <w:pPr>
            <w:spacing w:after="0" w:line="240" w:lineRule="auto"/>
          </w:pPr>
        </w:p>
        <w:p w14:paraId="173065DA" w14:textId="7B80D0F9" w:rsidR="00D16EE3" w:rsidRDefault="00D16EE3" w:rsidP="00D16EE3">
          <w:pPr>
            <w:tabs>
              <w:tab w:val="left" w:pos="3735"/>
            </w:tabs>
            <w:spacing w:after="0" w:line="240" w:lineRule="auto"/>
          </w:pPr>
          <w:r>
            <w:tab/>
            <w:t xml:space="preserve">   </w:t>
          </w:r>
        </w:p>
        <w:p w14:paraId="17DDEC80" w14:textId="37C6B0B5" w:rsidR="00D16EE3" w:rsidRDefault="00D16EE3" w:rsidP="00D16EE3">
          <w:pPr>
            <w:tabs>
              <w:tab w:val="left" w:pos="3735"/>
            </w:tabs>
            <w:spacing w:after="0" w:line="240" w:lineRule="auto"/>
          </w:pPr>
        </w:p>
        <w:p w14:paraId="5C75F129" w14:textId="33B190D4" w:rsidR="00D16EE3" w:rsidRDefault="00D16EE3" w:rsidP="00D16EE3">
          <w:pPr>
            <w:tabs>
              <w:tab w:val="left" w:pos="3735"/>
            </w:tabs>
            <w:spacing w:after="0" w:line="240" w:lineRule="auto"/>
          </w:pPr>
        </w:p>
        <w:p w14:paraId="3E0DF42D" w14:textId="385D300D" w:rsidR="00D16EE3" w:rsidRDefault="00D16EE3" w:rsidP="00D16EE3">
          <w:pPr>
            <w:tabs>
              <w:tab w:val="left" w:pos="3735"/>
            </w:tabs>
            <w:spacing w:after="0" w:line="240" w:lineRule="auto"/>
          </w:pPr>
        </w:p>
        <w:p w14:paraId="6A09240F" w14:textId="7BB93C45" w:rsidR="00D16EE3" w:rsidRDefault="00D16EE3" w:rsidP="00D16EE3">
          <w:pPr>
            <w:tabs>
              <w:tab w:val="left" w:pos="3735"/>
            </w:tabs>
            <w:spacing w:after="0" w:line="240" w:lineRule="auto"/>
          </w:pPr>
        </w:p>
        <w:p w14:paraId="7BADE93F" w14:textId="72CA4785" w:rsidR="00D16EE3" w:rsidRDefault="00D16EE3" w:rsidP="00D16EE3">
          <w:pPr>
            <w:tabs>
              <w:tab w:val="left" w:pos="3735"/>
            </w:tabs>
            <w:spacing w:after="0" w:line="240" w:lineRule="auto"/>
          </w:pPr>
          <w:r>
            <w:t xml:space="preserve">                             </w:t>
          </w:r>
        </w:p>
        <w:p w14:paraId="5526A822" w14:textId="5D4EDD85" w:rsidR="00D16EE3" w:rsidRPr="00D16EE3" w:rsidRDefault="00D16EE3" w:rsidP="00D16EE3">
          <w:pPr>
            <w:tabs>
              <w:tab w:val="left" w:pos="3735"/>
            </w:tabs>
            <w:spacing w:after="0" w:line="240" w:lineRule="auto"/>
            <w:rPr>
              <w:rFonts w:asciiTheme="minorHAnsi" w:hAnsiTheme="minorHAnsi" w:cstheme="minorHAnsi"/>
              <w:sz w:val="32"/>
              <w:szCs w:val="32"/>
            </w:rPr>
          </w:pPr>
          <w:r w:rsidRPr="00D16EE3">
            <w:rPr>
              <w:sz w:val="32"/>
              <w:szCs w:val="32"/>
            </w:rPr>
            <w:t xml:space="preserve">                               </w:t>
          </w:r>
          <w:r w:rsidRPr="00D16EE3">
            <w:rPr>
              <w:rFonts w:asciiTheme="minorHAnsi" w:hAnsiTheme="minorHAnsi" w:cstheme="minorHAnsi"/>
              <w:color w:val="2E74B5" w:themeColor="accent5" w:themeShade="BF"/>
              <w:sz w:val="32"/>
              <w:szCs w:val="32"/>
            </w:rPr>
            <w:t>LECTURER: D</w:t>
          </w:r>
          <w:r>
            <w:rPr>
              <w:rFonts w:asciiTheme="minorHAnsi" w:hAnsiTheme="minorHAnsi" w:cstheme="minorHAnsi"/>
              <w:color w:val="2E74B5" w:themeColor="accent5" w:themeShade="BF"/>
              <w:sz w:val="32"/>
              <w:szCs w:val="32"/>
            </w:rPr>
            <w:t>R GREGORY COWAN</w:t>
          </w:r>
        </w:p>
        <w:p w14:paraId="10424A28" w14:textId="2611E2A4" w:rsidR="00C60275" w:rsidRDefault="00C60275">
          <w:pPr>
            <w:spacing w:after="0" w:line="240" w:lineRule="auto"/>
          </w:pPr>
          <w:r w:rsidRPr="00D16EE3">
            <w:br w:type="page"/>
          </w:r>
          <w:r w:rsidR="00D16EE3">
            <w:t xml:space="preserve">               </w:t>
          </w:r>
        </w:p>
      </w:sdtContent>
    </w:sdt>
    <w:sdt>
      <w:sdtPr>
        <w:rPr>
          <w:rFonts w:ascii="Arial" w:eastAsiaTheme="minorHAnsi" w:hAnsi="Arial" w:cstheme="minorBidi"/>
          <w:b w:val="0"/>
          <w:bCs w:val="0"/>
          <w:color w:val="auto"/>
          <w:sz w:val="24"/>
          <w:szCs w:val="22"/>
          <w:lang w:val="en-GB"/>
        </w:rPr>
        <w:id w:val="-1628230641"/>
        <w:docPartObj>
          <w:docPartGallery w:val="Table of Contents"/>
          <w:docPartUnique/>
        </w:docPartObj>
      </w:sdtPr>
      <w:sdtEndPr>
        <w:rPr>
          <w:noProof/>
        </w:rPr>
      </w:sdtEndPr>
      <w:sdtContent>
        <w:p w14:paraId="11CFE9B0" w14:textId="0EE3AD3F" w:rsidR="00A63E6B" w:rsidRDefault="00A63E6B">
          <w:pPr>
            <w:pStyle w:val="TOCHeading"/>
          </w:pPr>
          <w:r>
            <w:t>Table of Contents</w:t>
          </w:r>
        </w:p>
        <w:p w14:paraId="1D65ADA0" w14:textId="1B31EB04" w:rsidR="00A63E6B" w:rsidRDefault="00A63E6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1154966" w:history="1">
            <w:r w:rsidRPr="00B5529E">
              <w:rPr>
                <w:rStyle w:val="Hyperlink"/>
                <w:noProof/>
              </w:rPr>
              <w:t>Introduction</w:t>
            </w:r>
            <w:r>
              <w:rPr>
                <w:noProof/>
                <w:webHidden/>
              </w:rPr>
              <w:tab/>
            </w:r>
            <w:r>
              <w:rPr>
                <w:noProof/>
                <w:webHidden/>
              </w:rPr>
              <w:fldChar w:fldCharType="begin"/>
            </w:r>
            <w:r>
              <w:rPr>
                <w:noProof/>
                <w:webHidden/>
              </w:rPr>
              <w:instrText xml:space="preserve"> PAGEREF _Toc81154966 \h </w:instrText>
            </w:r>
            <w:r>
              <w:rPr>
                <w:noProof/>
                <w:webHidden/>
              </w:rPr>
            </w:r>
            <w:r>
              <w:rPr>
                <w:noProof/>
                <w:webHidden/>
              </w:rPr>
              <w:fldChar w:fldCharType="separate"/>
            </w:r>
            <w:r>
              <w:rPr>
                <w:noProof/>
                <w:webHidden/>
              </w:rPr>
              <w:t>2</w:t>
            </w:r>
            <w:r>
              <w:rPr>
                <w:noProof/>
                <w:webHidden/>
              </w:rPr>
              <w:fldChar w:fldCharType="end"/>
            </w:r>
          </w:hyperlink>
        </w:p>
        <w:p w14:paraId="60C285B3" w14:textId="20F7D8F5" w:rsidR="00A63E6B" w:rsidRDefault="00AF23EF">
          <w:pPr>
            <w:pStyle w:val="TOC1"/>
            <w:tabs>
              <w:tab w:val="right" w:leader="dot" w:pos="9016"/>
            </w:tabs>
            <w:rPr>
              <w:noProof/>
            </w:rPr>
          </w:pPr>
          <w:hyperlink w:anchor="_Toc81154967" w:history="1">
            <w:r w:rsidR="00A63E6B" w:rsidRPr="00B5529E">
              <w:rPr>
                <w:rStyle w:val="Hyperlink"/>
                <w:noProof/>
              </w:rPr>
              <w:t>Overview of Community Engagement</w:t>
            </w:r>
            <w:r w:rsidR="00A63E6B">
              <w:rPr>
                <w:noProof/>
                <w:webHidden/>
              </w:rPr>
              <w:tab/>
            </w:r>
            <w:r w:rsidR="00A63E6B">
              <w:rPr>
                <w:noProof/>
                <w:webHidden/>
              </w:rPr>
              <w:fldChar w:fldCharType="begin"/>
            </w:r>
            <w:r w:rsidR="00A63E6B">
              <w:rPr>
                <w:noProof/>
                <w:webHidden/>
              </w:rPr>
              <w:instrText xml:space="preserve"> PAGEREF _Toc81154967 \h </w:instrText>
            </w:r>
            <w:r w:rsidR="00A63E6B">
              <w:rPr>
                <w:noProof/>
                <w:webHidden/>
              </w:rPr>
            </w:r>
            <w:r w:rsidR="00A63E6B">
              <w:rPr>
                <w:noProof/>
                <w:webHidden/>
              </w:rPr>
              <w:fldChar w:fldCharType="separate"/>
            </w:r>
            <w:r w:rsidR="00A63E6B">
              <w:rPr>
                <w:noProof/>
                <w:webHidden/>
              </w:rPr>
              <w:t>2</w:t>
            </w:r>
            <w:r w:rsidR="00A63E6B">
              <w:rPr>
                <w:noProof/>
                <w:webHidden/>
              </w:rPr>
              <w:fldChar w:fldCharType="end"/>
            </w:r>
          </w:hyperlink>
        </w:p>
        <w:p w14:paraId="2190152C" w14:textId="6343D83C" w:rsidR="00A63E6B" w:rsidRDefault="00AF23EF">
          <w:pPr>
            <w:pStyle w:val="TOC1"/>
            <w:tabs>
              <w:tab w:val="right" w:leader="dot" w:pos="9016"/>
            </w:tabs>
            <w:rPr>
              <w:noProof/>
            </w:rPr>
          </w:pPr>
          <w:hyperlink w:anchor="_Toc81154968" w:history="1">
            <w:r w:rsidR="00A63E6B" w:rsidRPr="00B5529E">
              <w:rPr>
                <w:rStyle w:val="Hyperlink"/>
                <w:noProof/>
              </w:rPr>
              <w:t>Plan for the Community Engagement Event</w:t>
            </w:r>
            <w:r w:rsidR="00A63E6B">
              <w:rPr>
                <w:noProof/>
                <w:webHidden/>
              </w:rPr>
              <w:tab/>
            </w:r>
            <w:r w:rsidR="00A63E6B">
              <w:rPr>
                <w:noProof/>
                <w:webHidden/>
              </w:rPr>
              <w:fldChar w:fldCharType="begin"/>
            </w:r>
            <w:r w:rsidR="00A63E6B">
              <w:rPr>
                <w:noProof/>
                <w:webHidden/>
              </w:rPr>
              <w:instrText xml:space="preserve"> PAGEREF _Toc81154968 \h </w:instrText>
            </w:r>
            <w:r w:rsidR="00A63E6B">
              <w:rPr>
                <w:noProof/>
                <w:webHidden/>
              </w:rPr>
            </w:r>
            <w:r w:rsidR="00A63E6B">
              <w:rPr>
                <w:noProof/>
                <w:webHidden/>
              </w:rPr>
              <w:fldChar w:fldCharType="separate"/>
            </w:r>
            <w:r w:rsidR="00A63E6B">
              <w:rPr>
                <w:noProof/>
                <w:webHidden/>
              </w:rPr>
              <w:t>3</w:t>
            </w:r>
            <w:r w:rsidR="00A63E6B">
              <w:rPr>
                <w:noProof/>
                <w:webHidden/>
              </w:rPr>
              <w:fldChar w:fldCharType="end"/>
            </w:r>
          </w:hyperlink>
        </w:p>
        <w:p w14:paraId="2F88F71A" w14:textId="1EB13F00" w:rsidR="00A63E6B" w:rsidRDefault="00AF23EF">
          <w:pPr>
            <w:pStyle w:val="TOC2"/>
            <w:tabs>
              <w:tab w:val="right" w:leader="dot" w:pos="9016"/>
            </w:tabs>
            <w:rPr>
              <w:noProof/>
            </w:rPr>
          </w:pPr>
          <w:hyperlink w:anchor="_Toc81154969" w:history="1">
            <w:r w:rsidR="00A63E6B" w:rsidRPr="00B5529E">
              <w:rPr>
                <w:rStyle w:val="Hyperlink"/>
                <w:noProof/>
              </w:rPr>
              <w:t>Objective and goals</w:t>
            </w:r>
            <w:r w:rsidR="00A63E6B">
              <w:rPr>
                <w:noProof/>
                <w:webHidden/>
              </w:rPr>
              <w:tab/>
            </w:r>
            <w:r w:rsidR="00A63E6B">
              <w:rPr>
                <w:noProof/>
                <w:webHidden/>
              </w:rPr>
              <w:fldChar w:fldCharType="begin"/>
            </w:r>
            <w:r w:rsidR="00A63E6B">
              <w:rPr>
                <w:noProof/>
                <w:webHidden/>
              </w:rPr>
              <w:instrText xml:space="preserve"> PAGEREF _Toc81154969 \h </w:instrText>
            </w:r>
            <w:r w:rsidR="00A63E6B">
              <w:rPr>
                <w:noProof/>
                <w:webHidden/>
              </w:rPr>
            </w:r>
            <w:r w:rsidR="00A63E6B">
              <w:rPr>
                <w:noProof/>
                <w:webHidden/>
              </w:rPr>
              <w:fldChar w:fldCharType="separate"/>
            </w:r>
            <w:r w:rsidR="00A63E6B">
              <w:rPr>
                <w:noProof/>
                <w:webHidden/>
              </w:rPr>
              <w:t>3</w:t>
            </w:r>
            <w:r w:rsidR="00A63E6B">
              <w:rPr>
                <w:noProof/>
                <w:webHidden/>
              </w:rPr>
              <w:fldChar w:fldCharType="end"/>
            </w:r>
          </w:hyperlink>
        </w:p>
        <w:p w14:paraId="347C6A2D" w14:textId="2DA0C8E4" w:rsidR="00A63E6B" w:rsidRDefault="00AF23EF">
          <w:pPr>
            <w:pStyle w:val="TOC2"/>
            <w:tabs>
              <w:tab w:val="right" w:leader="dot" w:pos="9016"/>
            </w:tabs>
            <w:rPr>
              <w:noProof/>
            </w:rPr>
          </w:pPr>
          <w:hyperlink w:anchor="_Toc81154970" w:history="1">
            <w:r w:rsidR="00A63E6B" w:rsidRPr="00B5529E">
              <w:rPr>
                <w:rStyle w:val="Hyperlink"/>
                <w:noProof/>
              </w:rPr>
              <w:t>Resources</w:t>
            </w:r>
            <w:r w:rsidR="00A63E6B">
              <w:rPr>
                <w:noProof/>
                <w:webHidden/>
              </w:rPr>
              <w:tab/>
            </w:r>
            <w:r w:rsidR="00A63E6B">
              <w:rPr>
                <w:noProof/>
                <w:webHidden/>
              </w:rPr>
              <w:fldChar w:fldCharType="begin"/>
            </w:r>
            <w:r w:rsidR="00A63E6B">
              <w:rPr>
                <w:noProof/>
                <w:webHidden/>
              </w:rPr>
              <w:instrText xml:space="preserve"> PAGEREF _Toc81154970 \h </w:instrText>
            </w:r>
            <w:r w:rsidR="00A63E6B">
              <w:rPr>
                <w:noProof/>
                <w:webHidden/>
              </w:rPr>
            </w:r>
            <w:r w:rsidR="00A63E6B">
              <w:rPr>
                <w:noProof/>
                <w:webHidden/>
              </w:rPr>
              <w:fldChar w:fldCharType="separate"/>
            </w:r>
            <w:r w:rsidR="00A63E6B">
              <w:rPr>
                <w:noProof/>
                <w:webHidden/>
              </w:rPr>
              <w:t>6</w:t>
            </w:r>
            <w:r w:rsidR="00A63E6B">
              <w:rPr>
                <w:noProof/>
                <w:webHidden/>
              </w:rPr>
              <w:fldChar w:fldCharType="end"/>
            </w:r>
          </w:hyperlink>
        </w:p>
        <w:p w14:paraId="24021000" w14:textId="0F921A8B" w:rsidR="00A63E6B" w:rsidRDefault="00AF23EF">
          <w:pPr>
            <w:pStyle w:val="TOC2"/>
            <w:tabs>
              <w:tab w:val="right" w:leader="dot" w:pos="9016"/>
            </w:tabs>
            <w:rPr>
              <w:noProof/>
            </w:rPr>
          </w:pPr>
          <w:hyperlink w:anchor="_Toc81154971" w:history="1">
            <w:r w:rsidR="00A63E6B" w:rsidRPr="00B5529E">
              <w:rPr>
                <w:rStyle w:val="Hyperlink"/>
                <w:noProof/>
              </w:rPr>
              <w:t>Community empowerment strategies</w:t>
            </w:r>
            <w:r w:rsidR="00A63E6B">
              <w:rPr>
                <w:noProof/>
                <w:webHidden/>
              </w:rPr>
              <w:tab/>
            </w:r>
            <w:r w:rsidR="00A63E6B">
              <w:rPr>
                <w:noProof/>
                <w:webHidden/>
              </w:rPr>
              <w:fldChar w:fldCharType="begin"/>
            </w:r>
            <w:r w:rsidR="00A63E6B">
              <w:rPr>
                <w:noProof/>
                <w:webHidden/>
              </w:rPr>
              <w:instrText xml:space="preserve"> PAGEREF _Toc81154971 \h </w:instrText>
            </w:r>
            <w:r w:rsidR="00A63E6B">
              <w:rPr>
                <w:noProof/>
                <w:webHidden/>
              </w:rPr>
            </w:r>
            <w:r w:rsidR="00A63E6B">
              <w:rPr>
                <w:noProof/>
                <w:webHidden/>
              </w:rPr>
              <w:fldChar w:fldCharType="separate"/>
            </w:r>
            <w:r w:rsidR="00A63E6B">
              <w:rPr>
                <w:noProof/>
                <w:webHidden/>
              </w:rPr>
              <w:t>6</w:t>
            </w:r>
            <w:r w:rsidR="00A63E6B">
              <w:rPr>
                <w:noProof/>
                <w:webHidden/>
              </w:rPr>
              <w:fldChar w:fldCharType="end"/>
            </w:r>
          </w:hyperlink>
        </w:p>
        <w:p w14:paraId="7E2C86B2" w14:textId="4AE58FE8" w:rsidR="00A63E6B" w:rsidRDefault="00AF23EF">
          <w:pPr>
            <w:pStyle w:val="TOC1"/>
            <w:tabs>
              <w:tab w:val="right" w:leader="dot" w:pos="9016"/>
            </w:tabs>
            <w:rPr>
              <w:noProof/>
            </w:rPr>
          </w:pPr>
          <w:hyperlink w:anchor="_Toc81154972" w:history="1">
            <w:r w:rsidR="00A63E6B" w:rsidRPr="00B5529E">
              <w:rPr>
                <w:rStyle w:val="Hyperlink"/>
                <w:noProof/>
              </w:rPr>
              <w:t>Evaluation of Plan</w:t>
            </w:r>
            <w:r w:rsidR="00A63E6B">
              <w:rPr>
                <w:noProof/>
                <w:webHidden/>
              </w:rPr>
              <w:tab/>
            </w:r>
            <w:r w:rsidR="00A63E6B">
              <w:rPr>
                <w:noProof/>
                <w:webHidden/>
              </w:rPr>
              <w:fldChar w:fldCharType="begin"/>
            </w:r>
            <w:r w:rsidR="00A63E6B">
              <w:rPr>
                <w:noProof/>
                <w:webHidden/>
              </w:rPr>
              <w:instrText xml:space="preserve"> PAGEREF _Toc81154972 \h </w:instrText>
            </w:r>
            <w:r w:rsidR="00A63E6B">
              <w:rPr>
                <w:noProof/>
                <w:webHidden/>
              </w:rPr>
            </w:r>
            <w:r w:rsidR="00A63E6B">
              <w:rPr>
                <w:noProof/>
                <w:webHidden/>
              </w:rPr>
              <w:fldChar w:fldCharType="separate"/>
            </w:r>
            <w:r w:rsidR="00A63E6B">
              <w:rPr>
                <w:noProof/>
                <w:webHidden/>
              </w:rPr>
              <w:t>6</w:t>
            </w:r>
            <w:r w:rsidR="00A63E6B">
              <w:rPr>
                <w:noProof/>
                <w:webHidden/>
              </w:rPr>
              <w:fldChar w:fldCharType="end"/>
            </w:r>
          </w:hyperlink>
        </w:p>
        <w:p w14:paraId="0D384B6F" w14:textId="03C15E55" w:rsidR="00A63E6B" w:rsidRDefault="00AF23EF">
          <w:pPr>
            <w:pStyle w:val="TOC1"/>
            <w:tabs>
              <w:tab w:val="right" w:leader="dot" w:pos="9016"/>
            </w:tabs>
            <w:rPr>
              <w:noProof/>
            </w:rPr>
          </w:pPr>
          <w:hyperlink w:anchor="_Toc81154973" w:history="1">
            <w:r w:rsidR="00A63E6B" w:rsidRPr="00B5529E">
              <w:rPr>
                <w:rStyle w:val="Hyperlink"/>
                <w:noProof/>
              </w:rPr>
              <w:t>References</w:t>
            </w:r>
            <w:r w:rsidR="00A63E6B">
              <w:rPr>
                <w:noProof/>
                <w:webHidden/>
              </w:rPr>
              <w:tab/>
            </w:r>
            <w:r w:rsidR="00A63E6B">
              <w:rPr>
                <w:noProof/>
                <w:webHidden/>
              </w:rPr>
              <w:fldChar w:fldCharType="begin"/>
            </w:r>
            <w:r w:rsidR="00A63E6B">
              <w:rPr>
                <w:noProof/>
                <w:webHidden/>
              </w:rPr>
              <w:instrText xml:space="preserve"> PAGEREF _Toc81154973 \h </w:instrText>
            </w:r>
            <w:r w:rsidR="00A63E6B">
              <w:rPr>
                <w:noProof/>
                <w:webHidden/>
              </w:rPr>
            </w:r>
            <w:r w:rsidR="00A63E6B">
              <w:rPr>
                <w:noProof/>
                <w:webHidden/>
              </w:rPr>
              <w:fldChar w:fldCharType="separate"/>
            </w:r>
            <w:r w:rsidR="00A63E6B">
              <w:rPr>
                <w:noProof/>
                <w:webHidden/>
              </w:rPr>
              <w:t>7</w:t>
            </w:r>
            <w:r w:rsidR="00A63E6B">
              <w:rPr>
                <w:noProof/>
                <w:webHidden/>
              </w:rPr>
              <w:fldChar w:fldCharType="end"/>
            </w:r>
          </w:hyperlink>
        </w:p>
        <w:p w14:paraId="7044AF0B" w14:textId="2C4C86FF" w:rsidR="00A63E6B" w:rsidRDefault="00A63E6B">
          <w:r>
            <w:rPr>
              <w:b/>
              <w:bCs/>
              <w:noProof/>
            </w:rPr>
            <w:fldChar w:fldCharType="end"/>
          </w:r>
        </w:p>
      </w:sdtContent>
    </w:sdt>
    <w:p w14:paraId="0DFC6A6E" w14:textId="77777777" w:rsidR="00C60275" w:rsidRDefault="00C60275" w:rsidP="005276E5"/>
    <w:p w14:paraId="24928423" w14:textId="77777777" w:rsidR="00C60275" w:rsidRDefault="00C60275" w:rsidP="005276E5"/>
    <w:p w14:paraId="7DE7FF15" w14:textId="77777777" w:rsidR="00C60275" w:rsidRDefault="00C60275" w:rsidP="005276E5"/>
    <w:p w14:paraId="39D29B0A" w14:textId="77777777" w:rsidR="00C60275" w:rsidRDefault="00C60275" w:rsidP="005276E5"/>
    <w:p w14:paraId="17226978" w14:textId="77777777" w:rsidR="00C60275" w:rsidRDefault="00C60275" w:rsidP="005276E5"/>
    <w:p w14:paraId="6E7E8844" w14:textId="77777777" w:rsidR="00C60275" w:rsidRDefault="00C60275" w:rsidP="005276E5"/>
    <w:p w14:paraId="045AD20A" w14:textId="77777777" w:rsidR="00C60275" w:rsidRDefault="00C60275" w:rsidP="005276E5"/>
    <w:p w14:paraId="30E80F90" w14:textId="77777777" w:rsidR="00C60275" w:rsidRDefault="00C60275" w:rsidP="005276E5"/>
    <w:p w14:paraId="78D6F8E3" w14:textId="77777777" w:rsidR="00C60275" w:rsidRDefault="00C60275" w:rsidP="005276E5"/>
    <w:p w14:paraId="112CDB0B" w14:textId="77777777" w:rsidR="00C60275" w:rsidRDefault="00C60275" w:rsidP="005276E5"/>
    <w:p w14:paraId="1271B91A" w14:textId="77777777" w:rsidR="00C60275" w:rsidRDefault="00C60275" w:rsidP="005276E5"/>
    <w:p w14:paraId="6069FF9A" w14:textId="77777777" w:rsidR="00C60275" w:rsidRDefault="00C60275" w:rsidP="005276E5"/>
    <w:p w14:paraId="04C94F3A" w14:textId="77777777" w:rsidR="00C60275" w:rsidRDefault="00C60275" w:rsidP="005276E5"/>
    <w:p w14:paraId="71DEDEFE" w14:textId="77777777" w:rsidR="00C60275" w:rsidRDefault="00C60275" w:rsidP="005276E5"/>
    <w:p w14:paraId="2458BECB" w14:textId="77777777" w:rsidR="00C60275" w:rsidRDefault="00C60275" w:rsidP="005276E5"/>
    <w:p w14:paraId="34A53B55" w14:textId="77777777" w:rsidR="00C60275" w:rsidRDefault="00C60275" w:rsidP="005276E5"/>
    <w:p w14:paraId="6E61A0BA" w14:textId="77777777" w:rsidR="00C60275" w:rsidRDefault="00C60275" w:rsidP="005276E5"/>
    <w:p w14:paraId="2512A110" w14:textId="77777777" w:rsidR="00C60275" w:rsidRDefault="00C60275" w:rsidP="005276E5"/>
    <w:p w14:paraId="47DB302A" w14:textId="2E3F4793" w:rsidR="005276E5" w:rsidRDefault="005276E5" w:rsidP="00C60275">
      <w:pPr>
        <w:pStyle w:val="Heading1"/>
      </w:pPr>
      <w:bookmarkStart w:id="0" w:name="_Toc81154966"/>
      <w:r>
        <w:t>Introduction</w:t>
      </w:r>
      <w:bookmarkEnd w:id="0"/>
    </w:p>
    <w:p w14:paraId="19BE4FDB" w14:textId="26FE1F9C" w:rsidR="00876DEA" w:rsidRDefault="00DB171E" w:rsidP="00876DEA">
      <w:r w:rsidRPr="00DB171E">
        <w:t>Strengthening the local area through community engagement is more than just the contribution, support or commitment of networks. It suggests ownership and activity in the local area, which explicitly focuses on friendly and political change. It engages people and networks to become central parts of dealing with their own medical conditions</w:t>
      </w:r>
      <w:r w:rsidR="00A63E6B" w:rsidRPr="00A63E6B">
        <w:t xml:space="preserve"> (Community-University Engagement: A Process for Building Democratic Communities, 2014)</w:t>
      </w:r>
      <w:r w:rsidRPr="00DB171E">
        <w:t>.</w:t>
      </w:r>
      <w:r>
        <w:t xml:space="preserve"> The purpose of this report is to create an overall plan that can help the local community within the United Kingdom with the concept and application of community engagement, with particular focus on discouraging crime in the areas of London. Apart from a plan, the report will also include a foremost analysis and evaluation of the overall concept of community engagement and the way it can be applied through empowerment strategies in the plan later on.</w:t>
      </w:r>
    </w:p>
    <w:p w14:paraId="39CEBC78" w14:textId="61A7F7C8" w:rsidR="00876DEA" w:rsidRDefault="00876DEA" w:rsidP="00C60275">
      <w:pPr>
        <w:pStyle w:val="Heading1"/>
      </w:pPr>
      <w:bookmarkStart w:id="1" w:name="_Toc81154967"/>
      <w:r>
        <w:t>Overview of Community Engagement</w:t>
      </w:r>
      <w:bookmarkEnd w:id="1"/>
    </w:p>
    <w:p w14:paraId="7BBC395C" w14:textId="77777777" w:rsidR="00DB171E" w:rsidRDefault="00DB171E" w:rsidP="00DB171E">
      <w:r>
        <w:t>Commitment is largely not determined by a 'model' to the extent that by a structure of core values, methodologies and approaches. This system depends on rules that address the right of all people in the local area to be educated, consulted, involved and engaged. The commitment of the local territory also uses the range of devices and techniques to ensure a good result. In addition, it places a premium on promoting and building trust as a key component in the long run, economic commitment and strong administration.</w:t>
      </w:r>
    </w:p>
    <w:p w14:paraId="7EF17840" w14:textId="77777777" w:rsidR="00DB171E" w:rsidRDefault="00DB171E" w:rsidP="00DB171E">
      <w:r>
        <w:t>A method of ensuring that people in the local area approach reputable group exercises in a sandy environment, feel they can make a real contribution to those exercises, and promote the utilitarian abilities that enable them to take a full interest is known as a commitment study. the local area through a shared way to engage in research that examines all partners during the study course, from asking the exam question to creating tools for an assortment of information to investigating and disseminating findings, is known as Activity-Based Research on local territory (Israel et al., 1998)</w:t>
      </w:r>
    </w:p>
    <w:p w14:paraId="109F3CF1" w14:textId="492FAF6D" w:rsidR="00DB171E" w:rsidRDefault="00DB171E" w:rsidP="00DB171E">
      <w:r>
        <w:t xml:space="preserve">Involvement in the local area or community engagement  is the most common way to work together with and by bringing together people related to geographical location, unusual interest or comparative circumstances to solve problems affecting the prosperity of these people. It is an amazing tool for achieving natural and social change that will work on the strength of the local area and its people. It often includes organizations and unions that help design assets and frameworks for impact, change relationships between actors, and fill in as incentives to develop strategies, projects, and practices </w:t>
      </w:r>
      <w:r w:rsidR="00A63E6B" w:rsidRPr="00A63E6B">
        <w:t>(Sangtongdee, 2018)</w:t>
      </w:r>
      <w:r w:rsidR="00A63E6B">
        <w:t>.</w:t>
      </w:r>
    </w:p>
    <w:p w14:paraId="47F1AF9C" w14:textId="77777777" w:rsidR="00DB171E" w:rsidRDefault="00DB171E" w:rsidP="00DB171E">
      <w:r>
        <w:t>Community engagement is defined as a subsequently an essential interaction with the specific motivation behind working with excellent gatherings of individuals, whether they are related to a geographical area, an exceptional interest or an alliance to identify and solve problems affecting their prosperity. Linking the term 'local area' to engagement serves to expand the extension, to shift concentration from the individual to the group, with the corresponding branches of comprehensiveness, to ensure that the diversity that exists within each local area is thought of.</w:t>
      </w:r>
    </w:p>
    <w:p w14:paraId="1DEAC725" w14:textId="40C3C90F" w:rsidR="00DB171E" w:rsidRDefault="00DB171E" w:rsidP="00DB171E">
      <w:r>
        <w:t>Practically speaking, the involvement of the local territory is a mixture of science and craftsmanship. Science comes from humanism, social order, political theory, the social sciences</w:t>
      </w:r>
      <w:r w:rsidR="00A63E6B" w:rsidRPr="00A63E6B">
        <w:t xml:space="preserve"> (Smith, 2017)</w:t>
      </w:r>
      <w:r>
        <w:t>, the authoritative course of events, brain research, social science, and various disciplines. This also comes from getting neat ideas derived from writing for local support, local area development, the demographic structure of voting, and local area brain science. Mastery comes from the order, expertise and commitment used to apply and correct science in a way that suits the local area, and the reasons for explicit commitments. The consequences of these endeavors can be characterized in different ways and can cover a wide range of structures (eg unions, associations, joint efforts), but they fall entirely under the general heading of local involvement and are similarly addressed in this our conversations</w:t>
      </w:r>
      <w:r w:rsidR="00A63E6B">
        <w:t>.</w:t>
      </w:r>
    </w:p>
    <w:p w14:paraId="697838D6" w14:textId="5304500A" w:rsidR="005276E5" w:rsidRDefault="005276E5" w:rsidP="00C60275">
      <w:pPr>
        <w:pStyle w:val="Heading1"/>
      </w:pPr>
      <w:bookmarkStart w:id="2" w:name="_Toc81154968"/>
      <w:r>
        <w:t>Plan for the Community Engagement Event</w:t>
      </w:r>
      <w:bookmarkEnd w:id="2"/>
    </w:p>
    <w:p w14:paraId="3ED3848A" w14:textId="4ADF61F5" w:rsidR="005276E5" w:rsidRDefault="00DB171E" w:rsidP="005276E5">
      <w:r w:rsidRPr="00DB171E">
        <w:t>By the time the last official team was handed over in the 21st century, the need to engage locally to increase the personal satisfaction of residents in areas affected by disturbances has become a huge concern. The methodologies designed for this arrangement guide workers to see the value in the enterprise with different organizations and the local area to participate in useful activities</w:t>
      </w:r>
      <w:r w:rsidR="00A63E6B" w:rsidRPr="00A63E6B">
        <w:t xml:space="preserve"> (Rowbotham and Stevenson, 2006)</w:t>
      </w:r>
      <w:r w:rsidRPr="00DB171E">
        <w:t xml:space="preserve">. More specifically, this arrangement depicts the possibility of engagement in the local area, the ramifications of the last official report for the team and gives a clear view of the commitment to the local area. The vision of the agreement is to make personal satisfaction appreciated by the residents of the area in sloping areas. The program is ready through various discussions and references from the latest report of the official team and relevant partners. For the implementation of the agreement, an undoubted connection was established between the inhabitants of the area and the appropriate partners from the working group for a smooth course of the </w:t>
      </w:r>
      <w:r w:rsidR="00A63E6B">
        <w:t>such processes</w:t>
      </w:r>
      <w:r w:rsidR="00A63E6B" w:rsidRPr="00A63E6B">
        <w:t xml:space="preserve"> (Rowbotham and Stevenson, 2006)</w:t>
      </w:r>
      <w:r w:rsidRPr="00DB171E">
        <w:t>. The adequacy of the local engagement plan depends on the imagination of the local people and the desire to work on expectations for everyday conveniences.</w:t>
      </w:r>
    </w:p>
    <w:p w14:paraId="53906E56" w14:textId="77777777" w:rsidR="005276E5" w:rsidRDefault="005276E5" w:rsidP="00C60275">
      <w:pPr>
        <w:pStyle w:val="Heading2"/>
      </w:pPr>
      <w:bookmarkStart w:id="3" w:name="_Toc81154969"/>
      <w:r>
        <w:t>Objective and goals</w:t>
      </w:r>
      <w:bookmarkEnd w:id="3"/>
    </w:p>
    <w:p w14:paraId="2B332403" w14:textId="1186057C" w:rsidR="00DB171E" w:rsidRDefault="00DB171E" w:rsidP="00DB171E">
      <w:r>
        <w:t xml:space="preserve">Various goals and objectives have been achieved in promoting the agreement, based on the latest report of the 21st official team. After the evaluation of the data, the accompanying goals and objectives were </w:t>
      </w:r>
      <w:r w:rsidR="00A63E6B">
        <w:t>obtained</w:t>
      </w:r>
      <w:r w:rsidR="00A63E6B" w:rsidRPr="00A63E6B">
        <w:t xml:space="preserve"> (Smith, 2017)</w:t>
      </w:r>
      <w:r w:rsidR="00A63E6B">
        <w:t>.</w:t>
      </w:r>
    </w:p>
    <w:p w14:paraId="63F9461A" w14:textId="38A50599" w:rsidR="00DB171E" w:rsidRDefault="00DB171E" w:rsidP="00DB171E">
      <w:r>
        <w:t>• Exchanges and engagement. Objective correspondence and the purpose of the engagement are to help the local area to formulate formative thought processes with legitimate intentions. The main idea behind improving the commitment to the local area is to give the residents community moral work. The commitment of the local area to this situation is to pay attention to the prosperity of the inhabitants</w:t>
      </w:r>
      <w:r w:rsidR="00A63E6B" w:rsidRPr="00A63E6B">
        <w:t xml:space="preserve"> (Christensen, 2019)</w:t>
      </w:r>
      <w:r>
        <w:t>. Now the offices of legal organizations would help local people to create systems and arrangements in spaces that are simultaneously influenced by the crime rate.</w:t>
      </w:r>
    </w:p>
    <w:p w14:paraId="6D034A6E" w14:textId="77777777" w:rsidR="00DB171E" w:rsidRDefault="00DB171E" w:rsidP="00DB171E">
      <w:r>
        <w:t>• Enable shared investment principles/practices. The aim here is to help residents in illegal activities in sloping regions through joint gatherings, sports exercises and applicable instructive discussions. By performing social exercises, more friendly stages of communication would be made.</w:t>
      </w:r>
    </w:p>
    <w:p w14:paraId="324B48E3" w14:textId="77777777" w:rsidR="00DB171E" w:rsidRDefault="00DB171E" w:rsidP="00DB171E">
      <w:r>
        <w:t>• Arranging missing general administrations. The group engagement plan would also aim to fill in the missing administrations that can be divided between local people and work on the completeness of these administrations. These administrations include the production of sports offices and medical offices.</w:t>
      </w:r>
    </w:p>
    <w:p w14:paraId="0D37E7BD" w14:textId="77777777" w:rsidR="00DB171E" w:rsidRDefault="00DB171E" w:rsidP="00DB171E">
      <w:r>
        <w:t>• Further development of a measure to improve the local territory. Through public engagement in disruptive regions, local people would choose to participate and lead rehearsals for progress in the local area and engage in dynamic interaction. The agreement provides an undoubted helper for the further development of exercises to improve the local territory and legitimate use of local assets. Moreover, law enforcement authorities must have a comprehensive interest in preparing authorities for those who need to be involved in the fight against wrongdoing.</w:t>
      </w:r>
    </w:p>
    <w:p w14:paraId="34C1E4C6" w14:textId="561236EF" w:rsidR="00DB171E" w:rsidRDefault="00DB171E" w:rsidP="00DB171E">
      <w:r>
        <w:t>• Work on shared frameworks. The agreement will give an adequate leap forward in working on the current foundations or creating new ones and keeping pace with the framework everywhere. Having great frameworks would work with the prosperity of the residents, respectively, improving the positive utility</w:t>
      </w:r>
      <w:r w:rsidR="00A63E6B" w:rsidRPr="00A63E6B">
        <w:t xml:space="preserve"> (Christensen, 2019)</w:t>
      </w:r>
      <w:r>
        <w:t>. Moreover, the police services within the established framework will form an audit council for huge cases, consisting of sworn officers and local delegates, to investigate circumstances, including police shootings and other major crimes that could threaten public confidence in the association. The purpose of this advice should be to distinguish between any authoritative, administrative or administrative issues that may arise.</w:t>
      </w:r>
    </w:p>
    <w:p w14:paraId="0D7252BB" w14:textId="5023BAF0" w:rsidR="00DB171E" w:rsidRDefault="00DB171E" w:rsidP="00DB171E">
      <w:r>
        <w:t xml:space="preserve">• Steps to follow when starting a local engagement plan </w:t>
      </w:r>
      <w:r w:rsidR="00A63E6B" w:rsidRPr="00A63E6B">
        <w:t>(Smith, 2017)</w:t>
      </w:r>
      <w:r w:rsidR="00A63E6B">
        <w:t>:</w:t>
      </w:r>
    </w:p>
    <w:p w14:paraId="75DC7864" w14:textId="77777777" w:rsidR="00DB171E" w:rsidRDefault="00DB171E" w:rsidP="00DB171E">
      <w:r>
        <w:t>1. Provide a task plan and schedule</w:t>
      </w:r>
    </w:p>
    <w:p w14:paraId="216BBDEF" w14:textId="45EB0798" w:rsidR="005276E5" w:rsidRDefault="00DB171E" w:rsidP="00DB171E">
      <w:r>
        <w:t>The director of the enterprise must consult other persons from the local council and provide a time frame for the commitment and all general exercises to be carried out within the pre-determined schedule. The given course of events should not think twice about the illustrated engagement for communities into the principles and processes applied.</w:t>
      </w:r>
    </w:p>
    <w:p w14:paraId="48C18FBC" w14:textId="77777777" w:rsidR="00DB171E" w:rsidRDefault="00DB171E" w:rsidP="00DB171E">
      <w:r>
        <w:t>2. Deciding the degree of commitment</w:t>
      </w:r>
    </w:p>
    <w:p w14:paraId="44B40E1E" w14:textId="77777777" w:rsidR="00DB171E" w:rsidRDefault="00DB171E" w:rsidP="00DB171E">
      <w:r>
        <w:t>After encouraging the exhaustion of the task and the exercise of commitments to be accepted by the representatives, the board will now arrange the needs for commitments at the local level to run the enterprise. At this stage, the public will first be educated through the outlines of the task and will give specific goals to guide them. In addition, obtain public information about the company. Finally, small gatherings are held by the general public and orders are placed.</w:t>
      </w:r>
    </w:p>
    <w:p w14:paraId="4A8E612D" w14:textId="77777777" w:rsidR="00DB171E" w:rsidRDefault="00DB171E" w:rsidP="00DB171E">
      <w:r>
        <w:t>3. Recognizable evidence and informing of partners</w:t>
      </w:r>
    </w:p>
    <w:p w14:paraId="5332D1BD" w14:textId="77777777" w:rsidR="00DB171E" w:rsidRDefault="00DB171E" w:rsidP="00DB171E">
      <w:r>
        <w:t>With all that in mind, the jobs have been transferred to the relevant workforce, applicable partners who have discovered the intriguing endeavor. The partners in this situation would be associations, organizations and areas affected by the nearby illegal activities.</w:t>
      </w:r>
    </w:p>
    <w:p w14:paraId="5FA52A0F" w14:textId="77777777" w:rsidR="00DB171E" w:rsidRDefault="00DB171E" w:rsidP="00DB171E">
      <w:r>
        <w:t>4. Arrange updated data</w:t>
      </w:r>
    </w:p>
    <w:p w14:paraId="648F362C" w14:textId="5E4B5897" w:rsidR="00DB171E" w:rsidRDefault="00DB171E" w:rsidP="00DB171E">
      <w:r>
        <w:t>To achieve the representative commitment to reducing the crime rate, it is essential to provide data to the public each time it is updated. Demonstrating up-to-date data will keep the company relevant. In addition, the warranty materials are available in a printed structure for people who do not approach the network. Think about which assets will best represent the order and where they will be used. This will be the most noticeable. Also make sure that the substance can be read. State, government and nearby legislatures must provide reports on public and vote-based data.</w:t>
      </w:r>
    </w:p>
    <w:p w14:paraId="5DBF22B8" w14:textId="77777777" w:rsidR="00DB171E" w:rsidRDefault="00DB171E" w:rsidP="00DB171E">
      <w:r>
        <w:t>5. Commitment to the local territory</w:t>
      </w:r>
    </w:p>
    <w:p w14:paraId="08A3C63D" w14:textId="77777777" w:rsidR="00DB171E" w:rsidRDefault="00DB171E" w:rsidP="00DB171E">
      <w:r>
        <w:t>The central goal of the company should be to welcome the whole local area and to get acquainted with what is happening in order to be fully involved in the local area. Different roads have to be used here to reach a huge number of people. In areas overly affected by trafficking, police organizations need to contact residents to develop strategies and techniques to assess the measure to reduce wrongdoing by improving connections, maintaining the city and coordinating efforts.</w:t>
      </w:r>
    </w:p>
    <w:p w14:paraId="0DF8BA07" w14:textId="77777777" w:rsidR="00DB171E" w:rsidRDefault="00DB171E" w:rsidP="00DB171E">
      <w:r>
        <w:t>6. Evaluation of the cycle and input data</w:t>
      </w:r>
    </w:p>
    <w:p w14:paraId="1A0543EF" w14:textId="77777777" w:rsidR="00DB171E" w:rsidRDefault="00DB171E" w:rsidP="00DB171E">
      <w:r>
        <w:t>At this stage, there are two types of progress assessment. The first involves an assessment of the information and suggestions made by local people, while the next is done after the end of the planned endeavor. Using strategies only to study the task will not provide significant data; in this sense, it will require the board to respond to certain inquiries. For example, do such inquiries include what could be better? Moreover, what was usually expected as a rule? At this stage, the significant administration is exploring how the company can be improved to further develop efficiency and reliability.</w:t>
      </w:r>
    </w:p>
    <w:p w14:paraId="570BF3CD" w14:textId="77777777" w:rsidR="00DB171E" w:rsidRDefault="00DB171E" w:rsidP="00DB171E">
      <w:r>
        <w:t>7. Go through the endeavor with the local area</w:t>
      </w:r>
    </w:p>
    <w:p w14:paraId="0094E05C" w14:textId="77777777" w:rsidR="00DB171E" w:rsidRDefault="00DB171E" w:rsidP="00DB171E">
      <w:r>
        <w:t>Evaluating the collected criticism, the administrator must summarize and justify the achievement of decisions. At this stage, the data provided to the local area should be through similar channels used to receive criticism to ensure that all are reached successfully. Police services will implement strategies to manage huge battles that use a steady stream of key assets to prevent hallucinations in military activities and try not to use provocative strategies and innovations that undermine regular public confidence.</w:t>
      </w:r>
    </w:p>
    <w:p w14:paraId="29A808B9" w14:textId="77777777" w:rsidR="005276E5" w:rsidRDefault="005276E5" w:rsidP="00C60275">
      <w:pPr>
        <w:pStyle w:val="Heading2"/>
      </w:pPr>
      <w:bookmarkStart w:id="4" w:name="_Toc81154970"/>
      <w:r>
        <w:t>Resources</w:t>
      </w:r>
      <w:bookmarkEnd w:id="4"/>
    </w:p>
    <w:p w14:paraId="05C56BEF" w14:textId="7D7533D8" w:rsidR="00FE6EE1" w:rsidRDefault="00DB171E" w:rsidP="005276E5">
      <w:r>
        <w:t>Like other local development programs, the local engagement program would require monetary speculation to reach an agreement. The task must be funded by the national government. In any case, the UK Government will be committed to providing the company's findings through the applicable jobs Local Job Improvement</w:t>
      </w:r>
      <w:r w:rsidR="00A63E6B" w:rsidRPr="00A63E6B">
        <w:t xml:space="preserve"> (Saepudin and Mulyono, 2019)</w:t>
      </w:r>
      <w:r w:rsidR="005276E5">
        <w:t>.</w:t>
      </w:r>
    </w:p>
    <w:p w14:paraId="62C27C22" w14:textId="77777777" w:rsidR="00876DEA" w:rsidRDefault="00876DEA" w:rsidP="00C60275">
      <w:pPr>
        <w:pStyle w:val="Heading2"/>
      </w:pPr>
      <w:bookmarkStart w:id="5" w:name="_Toc81154971"/>
      <w:r>
        <w:t>Community empowerment strategies</w:t>
      </w:r>
      <w:bookmarkEnd w:id="5"/>
    </w:p>
    <w:p w14:paraId="15724FE9" w14:textId="795A2662" w:rsidR="00DB171E" w:rsidRDefault="00DB171E" w:rsidP="00DB171E">
      <w:r>
        <w:t>Reinforcement is an interaction in which a local area, government or organization resolves differences in power relations, appropriation of assets and creates frameworks that will support the correction of these differences and the value of asset distribution</w:t>
      </w:r>
      <w:r w:rsidR="00A63E6B" w:rsidRPr="00A63E6B">
        <w:t xml:space="preserve"> (Saepudin and Mulyono, 2019)</w:t>
      </w:r>
      <w:r>
        <w:t>. Strengthening the well-being of the local area is key to recognizing the momentum, measures and procedures to equalize this force, the contrasts of specialists are also awarded and associations that can be the local area or talented scientific analysts. Different methodologies can be developed to engage the local area to achieve this balance. These procedures are</w:t>
      </w:r>
    </w:p>
    <w:p w14:paraId="5D7058D6" w14:textId="3BD36B95" w:rsidR="00DB171E" w:rsidRDefault="00DB171E" w:rsidP="00A63E6B">
      <w:pPr>
        <w:pStyle w:val="ListParagraph"/>
        <w:numPr>
          <w:ilvl w:val="0"/>
          <w:numId w:val="2"/>
        </w:numPr>
      </w:pPr>
      <w:r>
        <w:t>Mediation.</w:t>
      </w:r>
    </w:p>
    <w:p w14:paraId="3A0CF69D" w14:textId="242B0D5A" w:rsidR="00DB171E" w:rsidRDefault="00DB171E" w:rsidP="00A63E6B">
      <w:pPr>
        <w:pStyle w:val="ListParagraph"/>
        <w:numPr>
          <w:ilvl w:val="0"/>
          <w:numId w:val="2"/>
        </w:numPr>
      </w:pPr>
      <w:r>
        <w:t>Reduce mortality from growth.</w:t>
      </w:r>
    </w:p>
    <w:p w14:paraId="1E5DBBF4" w14:textId="025C16A7" w:rsidR="00DB171E" w:rsidRDefault="00DB171E" w:rsidP="00A63E6B">
      <w:pPr>
        <w:pStyle w:val="ListParagraph"/>
        <w:numPr>
          <w:ilvl w:val="0"/>
          <w:numId w:val="2"/>
        </w:numPr>
      </w:pPr>
      <w:r>
        <w:t>Teenagers have the opportunity to further develop the food climate</w:t>
      </w:r>
    </w:p>
    <w:p w14:paraId="0D004E18" w14:textId="0808DB89" w:rsidR="00DB171E" w:rsidRDefault="00DB171E" w:rsidP="00A63E6B">
      <w:pPr>
        <w:pStyle w:val="ListParagraph"/>
        <w:numPr>
          <w:ilvl w:val="0"/>
          <w:numId w:val="2"/>
        </w:numPr>
      </w:pPr>
      <w:r>
        <w:t>Government mediation</w:t>
      </w:r>
    </w:p>
    <w:p w14:paraId="28F95107" w14:textId="24C79BC2" w:rsidR="00876DEA" w:rsidRDefault="00DB171E" w:rsidP="00A63E6B">
      <w:pPr>
        <w:pStyle w:val="ListParagraph"/>
        <w:numPr>
          <w:ilvl w:val="0"/>
          <w:numId w:val="2"/>
        </w:numPr>
      </w:pPr>
      <w:r>
        <w:t>Free welfare administrations</w:t>
      </w:r>
    </w:p>
    <w:p w14:paraId="0273C7DB" w14:textId="117D322C" w:rsidR="004A7F4A" w:rsidRDefault="004A7F4A" w:rsidP="004A7F4A">
      <w:pPr>
        <w:pStyle w:val="Heading1"/>
      </w:pPr>
      <w:bookmarkStart w:id="6" w:name="_Toc81154972"/>
      <w:r>
        <w:t>Evaluation of Plan</w:t>
      </w:r>
      <w:bookmarkEnd w:id="6"/>
    </w:p>
    <w:p w14:paraId="64A1FD0E" w14:textId="67070851" w:rsidR="00A63E6B" w:rsidRDefault="00DB171E" w:rsidP="00876DEA">
      <w:r w:rsidRPr="00DB171E">
        <w:t>These techniques include investments by a talented well-being workforce, for example a welfare officer who plays a fundamental role in providing important information to the local area in dealing with various medical issues, such as legal cleanliness, disinfection and also medical care, immunization management, participation in awareness-raising and referral programs for the infected, affected and at-risk populations. In order to reach destinations for these procedures, it is important that all associations, politicians, the local area and talented welfare teachers work together.</w:t>
      </w:r>
    </w:p>
    <w:p w14:paraId="01143445" w14:textId="22BBB0DB" w:rsidR="00876DEA" w:rsidRDefault="00876DEA" w:rsidP="00C60275">
      <w:pPr>
        <w:pStyle w:val="Heading1"/>
      </w:pPr>
      <w:bookmarkStart w:id="7" w:name="_Toc81154973"/>
      <w:r>
        <w:t>References</w:t>
      </w:r>
      <w:bookmarkEnd w:id="7"/>
    </w:p>
    <w:p w14:paraId="50B44FB9" w14:textId="74797FA1" w:rsidR="00A63E6B" w:rsidRDefault="00A63E6B" w:rsidP="00876DEA">
      <w:r w:rsidRPr="00A63E6B">
        <w:t>Christensen, H. (2019). Legislating community engagement at the Australian local government level. Commonwealth Journal of Local Governance.</w:t>
      </w:r>
    </w:p>
    <w:p w14:paraId="2FEAC352" w14:textId="2DD49DBE" w:rsidR="00A63E6B" w:rsidRDefault="00A63E6B" w:rsidP="00876DEA">
      <w:r w:rsidRPr="00A63E6B">
        <w:t>Community-University Engagement: A Process for Building Democratic Communities. (2014). ASHE Higher Education Report, 40(2), pp.1–129.</w:t>
      </w:r>
    </w:p>
    <w:p w14:paraId="37CDAAD2" w14:textId="7E0F66E1" w:rsidR="00876DEA" w:rsidRDefault="00876DEA" w:rsidP="00876DEA">
      <w:r>
        <w:t>Minkler M, Wallerstein N, editors. Community-based participatory research for health: from process to outcomes. 2. San Francisco (CA): Jossey-Bass; 2008.</w:t>
      </w:r>
    </w:p>
    <w:p w14:paraId="157C8DD7" w14:textId="681F0B6F" w:rsidR="00876DEA" w:rsidRDefault="00876DEA" w:rsidP="00876DEA">
      <w:r>
        <w:t>Israel BA, Eng E, Schul AJ, Parker E, editors. Methods in community-based participatory research for health. San Francisco (CA): Jossey-Bass; 2005.</w:t>
      </w:r>
    </w:p>
    <w:p w14:paraId="6D8D988C" w14:textId="4569C7D5" w:rsidR="00876DEA" w:rsidRDefault="00A63E6B" w:rsidP="00876DEA">
      <w:r w:rsidRPr="00A63E6B">
        <w:t>Rowbotham, J. and Stevenson, K. (2006). A Question of (dis)engagement? Historical Lessons in Promoting an Effective Public Interface to Address Current Crime Concerns. Crime Prevention and Community Safety, 8(2), pp.69–89.</w:t>
      </w:r>
    </w:p>
    <w:p w14:paraId="4CDCD6D0" w14:textId="567E1813" w:rsidR="00A63E6B" w:rsidRDefault="00A63E6B" w:rsidP="00876DEA">
      <w:r w:rsidRPr="00A63E6B">
        <w:t>Saepudin, A. and Mulyono, D. (2019). COMMUNITY EDUCATION IN COMMUNITY DEVELOPMENT. Empowerment, 8(1), p.65.</w:t>
      </w:r>
    </w:p>
    <w:p w14:paraId="06240B0D" w14:textId="1452F064" w:rsidR="00A63E6B" w:rsidRDefault="00A63E6B" w:rsidP="00876DEA">
      <w:r w:rsidRPr="00A63E6B">
        <w:t>Sangtongdee, U. (2018). Adopting Community Policing Toward Neighborhood Engagement to Reduce Crime Fear in the Central of Thailand. SSRN Electronic Journal.</w:t>
      </w:r>
    </w:p>
    <w:p w14:paraId="785E8D4E" w14:textId="07AF3168" w:rsidR="00A63E6B" w:rsidRDefault="00A63E6B" w:rsidP="00876DEA">
      <w:r w:rsidRPr="00A63E6B">
        <w:t>Smith, L.U. (2017). Community Engagement Framework for Community Assessment and Improvement Planning. Journal of Public Health Management and Practice, 23, pp.S22–S28.</w:t>
      </w:r>
    </w:p>
    <w:sectPr w:rsidR="00A63E6B" w:rsidSect="00C60275">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CB946" w14:textId="77777777" w:rsidR="00AF23EF" w:rsidRDefault="00AF23EF" w:rsidP="00C60275">
      <w:pPr>
        <w:spacing w:after="0" w:line="240" w:lineRule="auto"/>
      </w:pPr>
      <w:r>
        <w:separator/>
      </w:r>
    </w:p>
  </w:endnote>
  <w:endnote w:type="continuationSeparator" w:id="0">
    <w:p w14:paraId="3FCA55DF" w14:textId="77777777" w:rsidR="00AF23EF" w:rsidRDefault="00AF23EF" w:rsidP="00C602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0634636"/>
      <w:docPartObj>
        <w:docPartGallery w:val="Page Numbers (Bottom of Page)"/>
        <w:docPartUnique/>
      </w:docPartObj>
    </w:sdtPr>
    <w:sdtEndPr>
      <w:rPr>
        <w:rStyle w:val="PageNumber"/>
      </w:rPr>
    </w:sdtEndPr>
    <w:sdtContent>
      <w:p w14:paraId="484AF3CD" w14:textId="5562F48C" w:rsidR="00C60275" w:rsidRDefault="00C60275"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9D72D4" w14:textId="77777777" w:rsidR="00C60275" w:rsidRDefault="00C60275" w:rsidP="00C602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641917"/>
      <w:docPartObj>
        <w:docPartGallery w:val="Page Numbers (Bottom of Page)"/>
        <w:docPartUnique/>
      </w:docPartObj>
    </w:sdtPr>
    <w:sdtEndPr>
      <w:rPr>
        <w:rStyle w:val="PageNumber"/>
      </w:rPr>
    </w:sdtEndPr>
    <w:sdtContent>
      <w:p w14:paraId="0C1EACFB" w14:textId="550A5D1B" w:rsidR="00C60275" w:rsidRDefault="00C60275"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58EA3B" w14:textId="77777777" w:rsidR="00C60275" w:rsidRDefault="00C60275" w:rsidP="00C602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2F07B" w14:textId="77777777" w:rsidR="00AF23EF" w:rsidRDefault="00AF23EF" w:rsidP="00C60275">
      <w:pPr>
        <w:spacing w:after="0" w:line="240" w:lineRule="auto"/>
      </w:pPr>
      <w:r>
        <w:separator/>
      </w:r>
    </w:p>
  </w:footnote>
  <w:footnote w:type="continuationSeparator" w:id="0">
    <w:p w14:paraId="746E5B0F" w14:textId="77777777" w:rsidR="00AF23EF" w:rsidRDefault="00AF23EF" w:rsidP="00C602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63BE8"/>
    <w:multiLevelType w:val="hybridMultilevel"/>
    <w:tmpl w:val="DB4EB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D21545"/>
    <w:multiLevelType w:val="hybridMultilevel"/>
    <w:tmpl w:val="15E68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6E5"/>
    <w:rsid w:val="001F3FFC"/>
    <w:rsid w:val="004A7F4A"/>
    <w:rsid w:val="004B7651"/>
    <w:rsid w:val="004C6EE2"/>
    <w:rsid w:val="005276E5"/>
    <w:rsid w:val="005433BA"/>
    <w:rsid w:val="00623EB0"/>
    <w:rsid w:val="007A3D60"/>
    <w:rsid w:val="00876DEA"/>
    <w:rsid w:val="009677C0"/>
    <w:rsid w:val="00A63E6B"/>
    <w:rsid w:val="00AF23EF"/>
    <w:rsid w:val="00C60275"/>
    <w:rsid w:val="00D16EE3"/>
    <w:rsid w:val="00DB171E"/>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776F8"/>
  <w15:chartTrackingRefBased/>
  <w15:docId w15:val="{9F1129D2-767B-7A4A-9A22-B8C3EDA3B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C602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02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2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60275"/>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C602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275"/>
    <w:rPr>
      <w:rFonts w:ascii="Arial" w:hAnsi="Arial"/>
      <w:szCs w:val="22"/>
    </w:rPr>
  </w:style>
  <w:style w:type="character" w:styleId="PageNumber">
    <w:name w:val="page number"/>
    <w:basedOn w:val="DefaultParagraphFont"/>
    <w:uiPriority w:val="99"/>
    <w:semiHidden/>
    <w:unhideWhenUsed/>
    <w:rsid w:val="00C60275"/>
  </w:style>
  <w:style w:type="paragraph" w:styleId="NoSpacing">
    <w:name w:val="No Spacing"/>
    <w:link w:val="NoSpacingChar"/>
    <w:uiPriority w:val="1"/>
    <w:qFormat/>
    <w:rsid w:val="00C60275"/>
    <w:rPr>
      <w:rFonts w:eastAsiaTheme="minorEastAsia"/>
      <w:sz w:val="22"/>
      <w:szCs w:val="22"/>
      <w:lang w:val="en-US" w:eastAsia="zh-CN"/>
    </w:rPr>
  </w:style>
  <w:style w:type="character" w:customStyle="1" w:styleId="NoSpacingChar">
    <w:name w:val="No Spacing Char"/>
    <w:basedOn w:val="DefaultParagraphFont"/>
    <w:link w:val="NoSpacing"/>
    <w:uiPriority w:val="1"/>
    <w:rsid w:val="00C60275"/>
    <w:rPr>
      <w:rFonts w:eastAsiaTheme="minorEastAsia"/>
      <w:sz w:val="22"/>
      <w:szCs w:val="22"/>
      <w:lang w:val="en-US" w:eastAsia="zh-CN"/>
    </w:rPr>
  </w:style>
  <w:style w:type="paragraph" w:styleId="ListParagraph">
    <w:name w:val="List Paragraph"/>
    <w:basedOn w:val="Normal"/>
    <w:uiPriority w:val="34"/>
    <w:qFormat/>
    <w:rsid w:val="00A63E6B"/>
    <w:pPr>
      <w:ind w:left="720"/>
      <w:contextualSpacing/>
    </w:pPr>
  </w:style>
  <w:style w:type="paragraph" w:styleId="TOCHeading">
    <w:name w:val="TOC Heading"/>
    <w:basedOn w:val="Heading1"/>
    <w:next w:val="Normal"/>
    <w:uiPriority w:val="39"/>
    <w:unhideWhenUsed/>
    <w:qFormat/>
    <w:rsid w:val="00A63E6B"/>
    <w:pPr>
      <w:spacing w:before="480"/>
      <w:outlineLvl w:val="9"/>
    </w:pPr>
    <w:rPr>
      <w:b/>
      <w:bCs/>
      <w:sz w:val="28"/>
      <w:szCs w:val="28"/>
      <w:lang w:val="en-US"/>
    </w:rPr>
  </w:style>
  <w:style w:type="paragraph" w:styleId="TOC1">
    <w:name w:val="toc 1"/>
    <w:basedOn w:val="Normal"/>
    <w:next w:val="Normal"/>
    <w:autoRedefine/>
    <w:uiPriority w:val="39"/>
    <w:unhideWhenUsed/>
    <w:rsid w:val="00A63E6B"/>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A63E6B"/>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A63E6B"/>
    <w:rPr>
      <w:color w:val="0563C1" w:themeColor="hyperlink"/>
      <w:u w:val="single"/>
    </w:rPr>
  </w:style>
  <w:style w:type="paragraph" w:styleId="TOC3">
    <w:name w:val="toc 3"/>
    <w:basedOn w:val="Normal"/>
    <w:next w:val="Normal"/>
    <w:autoRedefine/>
    <w:uiPriority w:val="39"/>
    <w:semiHidden/>
    <w:unhideWhenUsed/>
    <w:rsid w:val="00A63E6B"/>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63E6B"/>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63E6B"/>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63E6B"/>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63E6B"/>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63E6B"/>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63E6B"/>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9530CD23B13D4A9014A6A10CF92FDC"/>
        <w:category>
          <w:name w:val="General"/>
          <w:gallery w:val="placeholder"/>
        </w:category>
        <w:types>
          <w:type w:val="bbPlcHdr"/>
        </w:types>
        <w:behaviors>
          <w:behavior w:val="content"/>
        </w:behaviors>
        <w:guid w:val="{5432EB8E-1C82-DF4E-A5AA-D4F8394B39D4}"/>
      </w:docPartPr>
      <w:docPartBody>
        <w:p w:rsidR="00B8711E" w:rsidRDefault="004C7B44" w:rsidP="004C7B44">
          <w:pPr>
            <w:pStyle w:val="5F9530CD23B13D4A9014A6A10CF92FDC"/>
          </w:pPr>
          <w:r>
            <w:rPr>
              <w:rFonts w:asciiTheme="majorHAnsi" w:eastAsiaTheme="majorEastAsia" w:hAnsiTheme="majorHAnsi" w:cstheme="majorBidi"/>
              <w:caps/>
              <w:color w:val="4472C4" w:themeColor="accent1"/>
              <w:sz w:val="80"/>
              <w:szCs w:val="80"/>
            </w:rPr>
            <w:t>[Document title]</w:t>
          </w:r>
        </w:p>
      </w:docPartBody>
    </w:docPart>
    <w:docPart>
      <w:docPartPr>
        <w:name w:val="E753B96201FE8E44B4F748867094E75E"/>
        <w:category>
          <w:name w:val="General"/>
          <w:gallery w:val="placeholder"/>
        </w:category>
        <w:types>
          <w:type w:val="bbPlcHdr"/>
        </w:types>
        <w:behaviors>
          <w:behavior w:val="content"/>
        </w:behaviors>
        <w:guid w:val="{AE748019-9F3E-184F-BC0E-1501B79DB0C0}"/>
      </w:docPartPr>
      <w:docPartBody>
        <w:p w:rsidR="00B8711E" w:rsidRDefault="004C7B44" w:rsidP="004C7B44">
          <w:pPr>
            <w:pStyle w:val="E753B96201FE8E44B4F748867094E75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B44"/>
    <w:rsid w:val="0010611C"/>
    <w:rsid w:val="002973E7"/>
    <w:rsid w:val="004C7B44"/>
    <w:rsid w:val="009331A8"/>
    <w:rsid w:val="00B87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9530CD23B13D4A9014A6A10CF92FDC">
    <w:name w:val="5F9530CD23B13D4A9014A6A10CF92FDC"/>
    <w:rsid w:val="004C7B44"/>
  </w:style>
  <w:style w:type="paragraph" w:customStyle="1" w:styleId="E753B96201FE8E44B4F748867094E75E">
    <w:name w:val="E753B96201FE8E44B4F748867094E75E"/>
    <w:rsid w:val="004C7B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ID:2020080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F2F00A-2BCE-E546-B170-65F6730DC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2361</Words>
  <Characters>13462</Characters>
  <Application>Microsoft Office Word</Application>
  <DocSecurity>0</DocSecurity>
  <Lines>112</Lines>
  <Paragraphs>31</Paragraphs>
  <ScaleCrop>false</ScaleCrop>
  <Company>STUDENT NAME: Yordan Gospodinov Gospodinov</Company>
  <LinksUpToDate>false</LinksUpToDate>
  <CharactersWithSpaces>15792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Community Engagement</dc:title>
  <dc:subject>LCBB4002</dc:subject>
  <dc:creator>Yordan Gospodinov Gospodinov</dc:creator>
  <cp:keywords/>
  <dc:description/>
  <cp:lastModifiedBy>Yordan Gospodinov Gospodinov (2020080)</cp:lastModifiedBy>
  <cp:revision>3</cp:revision>
  <dcterms:created xsi:type="dcterms:W3CDTF">2021-08-29T17:42:00Z</dcterms:created>
  <dcterms:modified xsi:type="dcterms:W3CDTF">2021-09-09T07:17:00Z</dcterms:modified>
</cp:coreProperties>
</file>