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DD6" w:rsidRPr="003D2DD6" w:rsidRDefault="003D2DD6" w:rsidP="003D2DD6">
      <w:pPr>
        <w:pStyle w:val="NormalWeb"/>
        <w:spacing w:before="0" w:beforeAutospacing="0" w:after="200" w:afterAutospacing="0" w:line="360" w:lineRule="auto"/>
        <w:jc w:val="both"/>
        <w:rPr>
          <w:color w:val="212121"/>
          <w:szCs w:val="23"/>
        </w:rPr>
      </w:pPr>
      <w:r w:rsidRPr="003D2DD6">
        <w:rPr>
          <w:b/>
          <w:bCs/>
          <w:color w:val="000000"/>
        </w:rPr>
        <w:t xml:space="preserve">Critically analyse and evaluate the advantages and disadvantages of early intervention for young children with Autism. </w:t>
      </w:r>
    </w:p>
    <w:p w:rsidR="003D2DD6" w:rsidRPr="003D2DD6" w:rsidRDefault="003D2DD6" w:rsidP="003D2DD6">
      <w:pPr>
        <w:pStyle w:val="NormalWeb"/>
        <w:spacing w:before="0" w:beforeAutospacing="0" w:after="200" w:afterAutospacing="0" w:line="360" w:lineRule="auto"/>
        <w:jc w:val="both"/>
        <w:rPr>
          <w:color w:val="212121"/>
          <w:szCs w:val="23"/>
        </w:rPr>
      </w:pPr>
      <w:r w:rsidRPr="003D2DD6">
        <w:rPr>
          <w:color w:val="000000"/>
        </w:rPr>
        <w:t xml:space="preserve">Practitioners working within early years settings will be required to work with and support a variety of children from vulnerable groups with additional learning needs (ALN), including children on the Autistic Spectrum Disorder, with at least one in eighty children being diagnosed with a form of the condition (Knowles, 2006).  Autism can affect both boys and girls; however is more common in boys and, without any physical features to distinctively highlight the condition, it cannot be diagnosed immediately, although many children are diagnosed between the ages of three to five years old (Stakes and Hornby, 2000). According to Dean et al. (2016:14) ‘the conspicuousness of ASD in boys makes it easier for boys to access to intervention.’ </w:t>
      </w:r>
      <w:r w:rsidR="000E30B8">
        <w:rPr>
          <w:color w:val="000000"/>
        </w:rPr>
        <w:t xml:space="preserve">This essay will focus on the advantages and disadvantages of early intervention techniques of children with autism, focusing on one to one support. </w:t>
      </w:r>
    </w:p>
    <w:p w:rsidR="003D2DD6" w:rsidRPr="003D2DD6" w:rsidRDefault="003D2DD6" w:rsidP="003D2DD6">
      <w:pPr>
        <w:pStyle w:val="NormalWeb"/>
        <w:spacing w:before="0" w:beforeAutospacing="0" w:after="200" w:afterAutospacing="0" w:line="360" w:lineRule="auto"/>
        <w:jc w:val="both"/>
        <w:rPr>
          <w:color w:val="212121"/>
          <w:szCs w:val="23"/>
        </w:rPr>
      </w:pPr>
      <w:r w:rsidRPr="003D2DD6">
        <w:rPr>
          <w:color w:val="000000"/>
        </w:rPr>
        <w:t xml:space="preserve">In 1943 Leo Kanner, a child psychiatrist took interest in the symptoms and norms of children with Autism. Kanner discovered that these children shared certain characteristics including an absence of social interaction, lack of speech or speech not used for conversational purposes and lack of eye contact (Glazzard et al., 2015). Knowles (2006: 112) agrees explaining certain characteristics linked to Autism include ‘difficulty in understanding verbal and non-verbal communication, difficulty in flexible thinking and difficulty in understanding social behaviour.’ Kanner originally believed Autism was a biological defect at birth, however then went on to blame the parents and the upbringing of the children (Glazzard et al., 2015). This links to the study a team of British researchers including Dr Andrew Wakefield, conducted in 1995 where the hypothesis explained children who had been vaccinated with the measles-mumps-rubella vaccine were more likely to develop Autism than those who were not vaccinated, resulting in many parents refusing to have their children vaccinated (The College of Physicians of Philadelphia, 2018). On the other hand, Dr Wakefield went on to lose his medical license years later due to reports and statements from the parents of the children he had studied on explaining he has falsified their information (The College of Physicians of Philadelphia, 2018). Knowles (2011) also disagrees with Autism being linked through environmental factors, explaining that Autism is a </w:t>
      </w:r>
      <w:proofErr w:type="spellStart"/>
      <w:r w:rsidRPr="003D2DD6">
        <w:rPr>
          <w:color w:val="000000"/>
        </w:rPr>
        <w:t>neuro</w:t>
      </w:r>
      <w:proofErr w:type="spellEnd"/>
      <w:r w:rsidRPr="003D2DD6">
        <w:rPr>
          <w:color w:val="000000"/>
        </w:rPr>
        <w:t xml:space="preserve">-developmental delay and can range from the seriousness of the condition. Children with Autism are all unique because it is a spectrum. Although there are common characterists of Autism, the condition can affect children differently, resulting in the support they require to be as unique and specific (The National Autistic Society, 2018). </w:t>
      </w:r>
    </w:p>
    <w:p w:rsidR="003D2DD6" w:rsidRPr="003D2DD6" w:rsidRDefault="003D2DD6" w:rsidP="003D2DD6">
      <w:pPr>
        <w:pStyle w:val="NormalWeb"/>
        <w:spacing w:before="0" w:beforeAutospacing="0" w:after="200" w:afterAutospacing="0" w:line="360" w:lineRule="auto"/>
        <w:jc w:val="both"/>
        <w:rPr>
          <w:color w:val="212121"/>
          <w:szCs w:val="23"/>
        </w:rPr>
      </w:pPr>
      <w:proofErr w:type="spellStart"/>
      <w:r w:rsidRPr="003D2DD6">
        <w:rPr>
          <w:color w:val="000000"/>
        </w:rPr>
        <w:lastRenderedPageBreak/>
        <w:t>Koegel</w:t>
      </w:r>
      <w:proofErr w:type="spellEnd"/>
      <w:r w:rsidRPr="003D2DD6">
        <w:rPr>
          <w:color w:val="000000"/>
        </w:rPr>
        <w:t xml:space="preserve"> et al. (2014) explains that early intervention techniques for children with Autism can lose their diagnoses by up to 25% with successful intervention schemes such as socialisation or behaviour management. The Effective Provision of Pre-school Education project (EPPE) studied 3,000 children ages three to seven years old on their </w:t>
      </w:r>
      <w:r w:rsidRPr="003D2DD6">
        <w:rPr>
          <w:color w:val="000000"/>
        </w:rPr>
        <w:t>lifestyles</w:t>
      </w:r>
      <w:r w:rsidRPr="003D2DD6">
        <w:rPr>
          <w:color w:val="000000"/>
        </w:rPr>
        <w:t xml:space="preserve"> at home, educational settings and their parents with the aims of monitoring children’s development and the importance of pre-school education. The EPPE project discovered that the higher qualified members of staff were the more positive outcome it projected on the children’s development and their relationships (Devarakonda, 2013). Practitioners working alongside children with additional learning needs who wish to provide early intervention programmes must ensure they are fully qualified and have a wide knowledge on the additional learning need they are providing support for (Nutbrown et al., 2013). Practitioners can ensure this is done through continuous personal development. When working within the early childhood sector legislation, policies, practice and curriculums are often changing and without continuous development, this may result in the practitioner missing key information that benefits the child, breaking the law or failing to meet the child’s needs (Nutbrown et al., 2013). This can be done through attending courses and speaking to professionals. However, schools and early year settings have recently been under pressure with budgeting due to cuts. According to the National Education Union (2018) two billion pounds has been cut from English school budgets resulting in over 17,000 being affected by this. Due to these cuts, practitioners are required to pay for their own training programmes in order to continue their development; however this may not be accessible for some people, resulting in their practice being out of date. The Welsh Government (2016:8) explains ‘any staff member who provide support to learners with healthcare needs must receive sufficient and suitable training and achieve the necessary level of competence before they take on the responsibility.’ But this leads to the argument of how practitioners are meant to complete training when government cuts are preventing them from doing so. </w:t>
      </w:r>
    </w:p>
    <w:p w:rsidR="003D2DD6" w:rsidRPr="003D2DD6" w:rsidRDefault="003D2DD6" w:rsidP="003D2DD6">
      <w:pPr>
        <w:pStyle w:val="NormalWeb"/>
        <w:spacing w:before="0" w:beforeAutospacing="0" w:after="200" w:afterAutospacing="0" w:line="360" w:lineRule="auto"/>
        <w:jc w:val="both"/>
        <w:rPr>
          <w:color w:val="212121"/>
          <w:szCs w:val="23"/>
        </w:rPr>
      </w:pPr>
      <w:r w:rsidRPr="003D2DD6">
        <w:rPr>
          <w:color w:val="000000"/>
        </w:rPr>
        <w:t xml:space="preserve">The social model of disability is a theory based around disability being caused by society rather than the impairment or health of a person; on the other hand the medical model of disability believes that it is the persons fault (Scope, 2017). For example, a person trying to access a building while using a wheelchair; the medical model would prevent them from accessing whereas the social model would adapt the building and place a ramp so the person does not feel excluded. The social model ensures that people with a disability feel equal, included and a valued member of society, allowing them to overcome barriers and make </w:t>
      </w:r>
      <w:r w:rsidRPr="003D2DD6">
        <w:rPr>
          <w:color w:val="000000"/>
        </w:rPr>
        <w:lastRenderedPageBreak/>
        <w:t>choices (Scope, 2017). However, this model does not work as smoothly due to prejudice and the attitudes some people may still hold over disabilities. People may hold these views due to a lack of knowledge and understand of additional needs thus breaking such laws as the Equality Act 2010. Typically older generations are more likely to discriminate against people with a disability due to the ways in which they were brought up; with people with additional needs being hidden, sent away to residential or separate schools instead of being integrated with mainstream (</w:t>
      </w:r>
      <w:proofErr w:type="spellStart"/>
      <w:r w:rsidRPr="003D2DD6">
        <w:rPr>
          <w:color w:val="000000"/>
        </w:rPr>
        <w:t>Taket</w:t>
      </w:r>
      <w:proofErr w:type="spellEnd"/>
      <w:r w:rsidRPr="003D2DD6">
        <w:rPr>
          <w:color w:val="000000"/>
        </w:rPr>
        <w:t xml:space="preserve"> et al., 2014). According to </w:t>
      </w:r>
      <w:proofErr w:type="spellStart"/>
      <w:r w:rsidRPr="003D2DD6">
        <w:rPr>
          <w:color w:val="000000"/>
        </w:rPr>
        <w:t>Koegel</w:t>
      </w:r>
      <w:proofErr w:type="spellEnd"/>
      <w:r w:rsidRPr="003D2DD6">
        <w:rPr>
          <w:color w:val="000000"/>
        </w:rPr>
        <w:t xml:space="preserve"> et al. (2014: 51) children with Autism in the 1960’s ‘were placed in mental institutions by adolescence, with some placed as early as toddlerhood…the wards of these hospitals would attest to the undesirable living conditions these children had to endure.’ If these generations were integrated and exposed to additional learning needs, they would have a better understanding and show less prejudice.</w:t>
      </w:r>
      <w:r>
        <w:rPr>
          <w:color w:val="000000"/>
        </w:rPr>
        <w:t xml:space="preserve"> Autism is often known as an invisible disability due to the very little to no physical features to indic</w:t>
      </w:r>
      <w:r w:rsidR="00EB5497">
        <w:rPr>
          <w:color w:val="000000"/>
        </w:rPr>
        <w:t>ate if a person has it or not. Due to this and prejudice, when a child with autism does something out of the norm for certain parents, for example having a breakdown in the shop, peoples first thoughts blame the parents and the child’s behaviour, rather than the autism (</w:t>
      </w:r>
      <w:proofErr w:type="spellStart"/>
      <w:r w:rsidR="00EB5497">
        <w:rPr>
          <w:color w:val="000000"/>
        </w:rPr>
        <w:t>Rix</w:t>
      </w:r>
      <w:proofErr w:type="spellEnd"/>
      <w:r w:rsidR="00EB5497">
        <w:rPr>
          <w:color w:val="000000"/>
        </w:rPr>
        <w:t xml:space="preserve"> et al., 2010).  </w:t>
      </w:r>
      <w:r w:rsidRPr="003D2DD6">
        <w:rPr>
          <w:color w:val="000000"/>
        </w:rPr>
        <w:t xml:space="preserve"> </w:t>
      </w:r>
    </w:p>
    <w:p w:rsidR="003D2DD6" w:rsidRPr="00072F85" w:rsidRDefault="003D2DD6" w:rsidP="003D2DD6">
      <w:pPr>
        <w:pStyle w:val="NormalWeb"/>
        <w:spacing w:before="0" w:beforeAutospacing="0" w:after="200" w:afterAutospacing="0" w:line="360" w:lineRule="auto"/>
        <w:jc w:val="both"/>
        <w:rPr>
          <w:color w:val="000000"/>
        </w:rPr>
      </w:pPr>
      <w:r w:rsidRPr="003D2DD6">
        <w:rPr>
          <w:color w:val="000000"/>
        </w:rPr>
        <w:t xml:space="preserve">The Warnock report published in 1978 focused on children with additional learning needs, stating that only 2% of children with an additional learning need needed to be educated in a specialist school and mainstream schools needed to provide the relevant support and equipment if they required. If the school or local authority failed to provide this, the Warnock report made it easier for families to take legal action against the school for discrimination (Stakes and Hornby, 2000). However, according to the National Autistic Society (2018) a school may refuse a child from attending due to the school not being able to afford the support and equipment, the child’s needs failing to be met or other children being affected by the attendance of the child with additional learning needs. With over 81% of schools within the United Kingdom have experienced budget cuts since 2017, a setting may not be able to provide the appropriate resources to meet every child’s needs with additional learning needs resulting in putting their education at risk (National Education Union, 2018). </w:t>
      </w:r>
      <w:r w:rsidR="00072F85">
        <w:rPr>
          <w:color w:val="000000"/>
        </w:rPr>
        <w:t xml:space="preserve">According to an article by </w:t>
      </w:r>
      <w:proofErr w:type="spellStart"/>
      <w:r w:rsidR="00072F85">
        <w:rPr>
          <w:color w:val="000000"/>
        </w:rPr>
        <w:t>Buescher</w:t>
      </w:r>
      <w:proofErr w:type="spellEnd"/>
      <w:r w:rsidR="00072F85">
        <w:rPr>
          <w:color w:val="000000"/>
        </w:rPr>
        <w:t xml:space="preserve"> et al. (2014) ‘the cost of supporting an individual with an ASD and intellectual disability during his lifespan was £1.5 million in the United Kingdom.’ </w:t>
      </w:r>
      <w:r w:rsidRPr="003D2DD6">
        <w:rPr>
          <w:color w:val="000000"/>
        </w:rPr>
        <w:t xml:space="preserve">The parent will have to decide what is best for their children when looking for a setting. The Children and Families Act 2014 ensures ‘all children achieve their best, become confident individuals living fulfilling lives’ (Hodkinson, 2016: 5). This Act ensures all children with </w:t>
      </w:r>
      <w:r w:rsidRPr="003D2DD6">
        <w:rPr>
          <w:color w:val="000000"/>
        </w:rPr>
        <w:lastRenderedPageBreak/>
        <w:t xml:space="preserve">ALN are given a budget by their local authority and the families must be involved in any meeting about their child’s education and services available to them (Legislation.gov, 2014). </w:t>
      </w:r>
    </w:p>
    <w:p w:rsidR="003D2DD6" w:rsidRPr="003D2DD6" w:rsidRDefault="003D2DD6" w:rsidP="003D2DD6">
      <w:pPr>
        <w:pStyle w:val="NormalWeb"/>
        <w:spacing w:before="0" w:beforeAutospacing="0" w:after="200" w:afterAutospacing="0" w:line="360" w:lineRule="auto"/>
        <w:jc w:val="both"/>
        <w:rPr>
          <w:color w:val="212121"/>
          <w:szCs w:val="23"/>
        </w:rPr>
      </w:pPr>
      <w:r w:rsidRPr="003D2DD6">
        <w:rPr>
          <w:color w:val="000000"/>
        </w:rPr>
        <w:t xml:space="preserve">Due to this Act, settings will have strategies put into place in order to meet the needs of the child and also to follow legislation and codes of practice. One strategy that may be used when working with a child with Autism is to offer one to one support. One to one support is usually provided by a teaching assistant in the setting, who is appointed to work alongside the child for as much support as they require. This may range from all day or just specific areas of learning such as English or mathematics. According to an article in the Guardian, when parents and children are going through the statementing process, they hope their child is entitled to one to one support for the children to be able to stay in mainstream settings while still succeeding academically (Webster, 2014). Without a one to one, many children with Autism would not be able to attend a mainstream school because their education may be at risk. This may be due to the work load a classroom teacher has with the average classroom holding thirty children; the child with an additional learning need would be at a disadvantage with their needs not being met if the classroom teacher would not be able to provide the attention the child needs without neglecting the rest of the class (Glazzard et al., 2015). One advantage of this strategy is the practitioner can develop a strong connection with the child.  A characteristic that affects some autistic children is social impairments, with many children having little interest or skills in social interaction with others; however each child is different (Glazzard et al., 2015).   By assigning one member of staff to look after the child, this allows them to build a strong relationship with someone who is not in the immediate family such as parents or siblings. With a member of staff in the school having this bond, the child will be able to trust them which for some children may make school life easier to handle. For some children with Autism a change in routine can be quiet unsettling and settings are often required to change their day to day routines, for example practicing Christmas concert instead of the usual carpet time. The child may feel more comfortable during this distressing time if they are in the presence of someone they trust as the support practitioner is able to explain the circumstances and may understand strategies of calming them in this situation (Riddall-Leech, 2003). One strategy of explaining a change in routine to children is through social stories. Social stories </w:t>
      </w:r>
      <w:r w:rsidR="00142329">
        <w:rPr>
          <w:color w:val="000000"/>
        </w:rPr>
        <w:t>were</w:t>
      </w:r>
      <w:r w:rsidRPr="003D2DD6">
        <w:rPr>
          <w:color w:val="000000"/>
        </w:rPr>
        <w:t xml:space="preserve"> developed in 1991 by Carol Gray in which practitioners can write using the first person to explain a certain scenario and why it may be happening (The National Autistic Society, 2018). For example, a child moving from the year one classroom to the year two classroom. The practitioner may structure the story </w:t>
      </w:r>
      <w:r w:rsidRPr="003D2DD6">
        <w:rPr>
          <w:color w:val="000000"/>
        </w:rPr>
        <w:lastRenderedPageBreak/>
        <w:t xml:space="preserve">similar to ‘I am doing well in school. School is fun. My new teacher is also fun. All my friends will be in my new class. My one to one will also be in my new class.’ Not only can these stories be used for change in routine, they can also be written to ‘help someone understand how others might behave, provide positive feedback and to develop self-care skills such as how to clean teeth or get dressed’ (The National Autistic Society, 2018). However, practitioners must ensure that the information they are writing in these stories is accurate. If practitioners accidently say false information within the story, this can trigger upset for the child </w:t>
      </w:r>
      <w:proofErr w:type="gramStart"/>
      <w:r w:rsidRPr="003D2DD6">
        <w:rPr>
          <w:color w:val="000000"/>
        </w:rPr>
        <w:t>which</w:t>
      </w:r>
      <w:proofErr w:type="gramEnd"/>
      <w:r w:rsidRPr="003D2DD6">
        <w:rPr>
          <w:color w:val="000000"/>
        </w:rPr>
        <w:t xml:space="preserve"> may also have an effect on the forthcoming situation, the family or people working with child. To ensure that the information is correct, the person writing the story can ask for support from others, such as if the child is due to start work with the speech and language therapist, they can ask exactly what the process is going to be in order to be accurate within their stories. </w:t>
      </w:r>
    </w:p>
    <w:p w:rsidR="003D2DD6" w:rsidRPr="003D2DD6" w:rsidRDefault="003D2DD6" w:rsidP="003D2DD6">
      <w:pPr>
        <w:pStyle w:val="NormalWeb"/>
        <w:spacing w:before="0" w:beforeAutospacing="0" w:after="200" w:afterAutospacing="0" w:line="360" w:lineRule="auto"/>
        <w:jc w:val="both"/>
        <w:rPr>
          <w:color w:val="212121"/>
          <w:szCs w:val="23"/>
        </w:rPr>
      </w:pPr>
      <w:r w:rsidRPr="003D2DD6">
        <w:rPr>
          <w:color w:val="000000"/>
        </w:rPr>
        <w:t xml:space="preserve">Theorist Maria Montessori developed her own nursery in Italy which aimed to meet the needs of each individual child. She believed that an important factor towards children’s development was structure and order as this can ensure children feel secure and safe within their environments (Wall, 2003). She also placed emphasis on school environments being uncluttered and simply decorated (Wall, 2003). However, this does not always seem to be the case within mainstream classrooms. With the promotion of the Foundation Phase curriculum, classrooms are often very busy with different groups undertaking different activities at the same time and bright, colourful displays showing off the children’s progress and work. A one to one support worker who has a close, trusting relationship with the child may be able to understand how to calm the child and give suggestions to the classroom teacher such as a plain wall near the carpet where the child can sit during circle time rather than a brightly colour one which may trigger some upset. Montessori also carried out observations within her settings in order to see which aims the children were suited to, but encouraged children to reach these targets at their own pace (Wall, 2003). One advantage of one to one support for children </w:t>
      </w:r>
      <w:proofErr w:type="gramStart"/>
      <w:r w:rsidRPr="003D2DD6">
        <w:rPr>
          <w:color w:val="000000"/>
        </w:rPr>
        <w:t>is knowing</w:t>
      </w:r>
      <w:proofErr w:type="gramEnd"/>
      <w:r w:rsidRPr="003D2DD6">
        <w:rPr>
          <w:color w:val="000000"/>
        </w:rPr>
        <w:t xml:space="preserve"> and understanding appropriate targets for the child due to the amount of time spent together. When children are being observed they can often change their behaviour in order to impress the observer or become timid and shy thus not showing their true abilities (Zeichner and Liston, 2011). However, if the one to one support is spending a significant amount of time with the child, they may be able to undertake observations and discuss appropriate targets with the child’s parents, classroom teacher and the additional learning needs coordinator (ALNCO). </w:t>
      </w:r>
    </w:p>
    <w:p w:rsidR="003D2DD6" w:rsidRPr="003D2DD6" w:rsidRDefault="003D2DD6" w:rsidP="003D2DD6">
      <w:pPr>
        <w:pStyle w:val="NormalWeb"/>
        <w:spacing w:before="0" w:beforeAutospacing="0" w:after="200" w:afterAutospacing="0" w:line="360" w:lineRule="auto"/>
        <w:jc w:val="both"/>
        <w:rPr>
          <w:color w:val="212121"/>
          <w:szCs w:val="23"/>
        </w:rPr>
      </w:pPr>
      <w:r w:rsidRPr="003D2DD6">
        <w:rPr>
          <w:color w:val="000000"/>
        </w:rPr>
        <w:lastRenderedPageBreak/>
        <w:t xml:space="preserve">On the other hand, with the child spending significant amounts of time with only one member of staff, this may cause problems when they are absent. The learning support assistant may be absent due to sickness, maternity or continuous personal development training, especially for the needs of the child they are looking after to ensure they are following the legislations and codes of practice (Nutbrown et al., 2013). This can be a very distressing time for a child with Autism as it is not only a change of routine but the teaching assistant may be the only person in the setting this child has a bond with and communicates with. Although the child will be aware of other members of staff, they may not wish to complete their classwork until their regular support has returned. Practitioners can support this by explaining to the child that they will not be in the setting on a certain day and the reason. They can also introduce the new person who will be with them on their day of absence and allow them to sit in on an activity to allow the child to get use to them and start developing trust (The National Autistic Society, 2018). This can often happen when the child is descending from primary education to secondary.  The one to one support may not be able to leave the setting to continue working with the child. When the child is ready to leave the setting, procedures should be put into place that they visit the new setting as a strategy of getting used to it. The school may allow the one to one support to visit the setting with the child and meet their new support assistant and discuss certain strategies and techniques that are effective while including the child and their families (Zeichner and Liston, 2011). </w:t>
      </w:r>
    </w:p>
    <w:p w:rsidR="003D2DD6" w:rsidRPr="003D2DD6" w:rsidRDefault="003D2DD6" w:rsidP="003D2DD6">
      <w:pPr>
        <w:pStyle w:val="NormalWeb"/>
        <w:spacing w:before="0" w:beforeAutospacing="0" w:after="200" w:afterAutospacing="0" w:line="360" w:lineRule="auto"/>
        <w:jc w:val="both"/>
        <w:rPr>
          <w:color w:val="212121"/>
          <w:szCs w:val="23"/>
        </w:rPr>
      </w:pPr>
      <w:r w:rsidRPr="003D2DD6">
        <w:rPr>
          <w:color w:val="000000"/>
        </w:rPr>
        <w:t xml:space="preserve">Another disadvantage of one to one support is feeling withdrawn from the class. As previously stated a mainstream classroom can often be loud, busy and overpowering which can trigger upset for children with Autism (Riddall-Leech, 2003). Due to this children are often removed from the classroom to a quieter space within the setting, such as the library in order to have a calmer environment to complete their work. Even though this may be an advantage for their cognitive development, it plays a negative role to the development of their social skills and abilities to develop friendships. One characteristic of Autism is difficulty understanding social situations such as non-verbal communication, emotions and jokes and some may have poor speech, resulting in using sign language or visual aids (The National Autism Society, 2018). Even though the one to one support would be providing language, the child would be missing out on vital conversations with children their own age. The child would also be missing out on social skills such as sharing and taking turns. According to Meggitt (2006) children will start to learn to share around the ages of three to four years old, the same time where Autism is usually detected in a child. According to Dean et al. (2016: </w:t>
      </w:r>
      <w:r w:rsidRPr="003D2DD6">
        <w:rPr>
          <w:color w:val="000000"/>
        </w:rPr>
        <w:lastRenderedPageBreak/>
        <w:t xml:space="preserve">11) ‘unlike typically developing girls, who are accepted into activities with peers, girls with ASD appear to use compensatory behaviours to gain access into groups that may mask their social challenges.’ If children are constantly being removed from the classroom to work with their one to one support, they are missing out on forming friendships and developing these life skills. Abraham Maslow developed his theory known as the hierarchy of needs, where he expressed people must go through stages before progressing onto the next. His third stage is known as belongingness and love, where friendships and relationships would fit into the pyramid (Beckley, 2012). This suggests that if children are missing out on the time to form friendships and bonds in order to complete work in a different part of the setting, they are unable to progress onto their full potential of self-actualization. However, some would argue that Maslow’s theory had no actual scientific proof behind his work (Glazzard et al., 2015). </w:t>
      </w:r>
    </w:p>
    <w:p w:rsidR="003D2DD6" w:rsidRPr="003D2DD6" w:rsidRDefault="003D2DD6" w:rsidP="003D2DD6">
      <w:pPr>
        <w:pStyle w:val="NormalWeb"/>
        <w:spacing w:before="0" w:beforeAutospacing="0" w:after="200" w:afterAutospacing="0" w:line="360" w:lineRule="auto"/>
        <w:jc w:val="both"/>
        <w:rPr>
          <w:color w:val="212121"/>
          <w:szCs w:val="23"/>
        </w:rPr>
      </w:pPr>
      <w:r>
        <w:rPr>
          <w:color w:val="000000"/>
        </w:rPr>
        <w:t>To conclude this essay, i</w:t>
      </w:r>
      <w:r w:rsidRPr="003D2DD6">
        <w:rPr>
          <w:color w:val="000000"/>
        </w:rPr>
        <w:t xml:space="preserve">t can be difficult for an education setting to provide general support for all its pupils with additional learning needs when there are different levels of severity on the Autistic Spectrum Disorder. These pupils require individually tailored support that can vary greatly from child to child. This obviously has an impact on the school’s budget, particularly if there are many children with greater needs within the school. However, education is important for all children and schools should adapt to provide the most supportive environment for children with Autism. This could be through one to one support or special areas within the setting that are adapted to accommodate the children with Autism, such as having bare walls not to over stimulate the children. If early years settings provide support for Autistic children from the beginning of their education, they can have greater knowledge and understanding of their needs and the children can settle and gain more from being in school. </w:t>
      </w:r>
    </w:p>
    <w:p w:rsidR="00B4003C" w:rsidRDefault="00B4003C">
      <w:pPr>
        <w:rPr>
          <w:rFonts w:ascii="Times New Roman" w:hAnsi="Times New Roman" w:cs="Times New Roman"/>
          <w:sz w:val="24"/>
          <w:szCs w:val="24"/>
        </w:rPr>
      </w:pPr>
    </w:p>
    <w:p w:rsidR="00E60E76" w:rsidRDefault="00E60E76">
      <w:pPr>
        <w:rPr>
          <w:rFonts w:ascii="Times New Roman" w:hAnsi="Times New Roman" w:cs="Times New Roman"/>
          <w:sz w:val="24"/>
          <w:szCs w:val="24"/>
        </w:rPr>
      </w:pPr>
    </w:p>
    <w:p w:rsidR="00E60E76" w:rsidRDefault="00E60E76">
      <w:pPr>
        <w:rPr>
          <w:rFonts w:ascii="Times New Roman" w:hAnsi="Times New Roman" w:cs="Times New Roman"/>
          <w:sz w:val="24"/>
          <w:szCs w:val="24"/>
        </w:rPr>
      </w:pPr>
    </w:p>
    <w:p w:rsidR="00E60E76" w:rsidRDefault="00E60E76">
      <w:pPr>
        <w:rPr>
          <w:rFonts w:ascii="Times New Roman" w:hAnsi="Times New Roman" w:cs="Times New Roman"/>
          <w:sz w:val="24"/>
          <w:szCs w:val="24"/>
        </w:rPr>
      </w:pPr>
    </w:p>
    <w:p w:rsidR="00E60E76" w:rsidRDefault="00E60E76">
      <w:pPr>
        <w:rPr>
          <w:rFonts w:ascii="Times New Roman" w:hAnsi="Times New Roman" w:cs="Times New Roman"/>
          <w:sz w:val="24"/>
          <w:szCs w:val="24"/>
        </w:rPr>
      </w:pPr>
    </w:p>
    <w:p w:rsidR="00E60E76" w:rsidRDefault="00E60E76">
      <w:pPr>
        <w:rPr>
          <w:rFonts w:ascii="Times New Roman" w:hAnsi="Times New Roman" w:cs="Times New Roman"/>
          <w:sz w:val="24"/>
          <w:szCs w:val="24"/>
        </w:rPr>
      </w:pPr>
    </w:p>
    <w:p w:rsidR="00E60E76" w:rsidRDefault="00E60E76">
      <w:pPr>
        <w:rPr>
          <w:rFonts w:ascii="Times New Roman" w:hAnsi="Times New Roman" w:cs="Times New Roman"/>
          <w:sz w:val="24"/>
          <w:szCs w:val="24"/>
        </w:rPr>
      </w:pPr>
    </w:p>
    <w:p w:rsidR="00E60E76" w:rsidRDefault="00E60E76">
      <w:pPr>
        <w:rPr>
          <w:rFonts w:ascii="Times New Roman" w:hAnsi="Times New Roman" w:cs="Times New Roman"/>
          <w:sz w:val="24"/>
          <w:szCs w:val="24"/>
        </w:rPr>
      </w:pPr>
    </w:p>
    <w:p w:rsidR="00E60E76" w:rsidRDefault="00E60E76" w:rsidP="00E60E76">
      <w:pPr>
        <w:spacing w:line="360" w:lineRule="auto"/>
        <w:jc w:val="both"/>
        <w:rPr>
          <w:rFonts w:ascii="Times New Roman" w:hAnsi="Times New Roman" w:cs="Times New Roman"/>
          <w:sz w:val="24"/>
          <w:szCs w:val="24"/>
        </w:rPr>
      </w:pPr>
      <w:proofErr w:type="gramStart"/>
      <w:r w:rsidRPr="00687215">
        <w:rPr>
          <w:rFonts w:ascii="Times New Roman" w:hAnsi="Times New Roman" w:cs="Times New Roman"/>
          <w:sz w:val="24"/>
          <w:szCs w:val="24"/>
        </w:rPr>
        <w:lastRenderedPageBreak/>
        <w:t xml:space="preserve">Beckley, P. (2012) </w:t>
      </w:r>
      <w:r w:rsidRPr="00687215">
        <w:rPr>
          <w:rFonts w:ascii="Times New Roman" w:hAnsi="Times New Roman" w:cs="Times New Roman"/>
          <w:i/>
          <w:sz w:val="24"/>
          <w:szCs w:val="24"/>
        </w:rPr>
        <w:t>Learning in Early Childhood.</w:t>
      </w:r>
      <w:proofErr w:type="gramEnd"/>
      <w:r w:rsidRPr="00687215">
        <w:rPr>
          <w:rFonts w:ascii="Times New Roman" w:hAnsi="Times New Roman" w:cs="Times New Roman"/>
          <w:sz w:val="24"/>
          <w:szCs w:val="24"/>
        </w:rPr>
        <w:t xml:space="preserve"> London: SAGE Publications Ltd. </w:t>
      </w:r>
    </w:p>
    <w:p w:rsidR="00E60E76" w:rsidRPr="00D97F62" w:rsidRDefault="00E60E76" w:rsidP="00E60E7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Buescher</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Cidav</w:t>
      </w:r>
      <w:proofErr w:type="spellEnd"/>
      <w:r>
        <w:rPr>
          <w:rFonts w:ascii="Times New Roman" w:hAnsi="Times New Roman" w:cs="Times New Roman"/>
          <w:sz w:val="24"/>
          <w:szCs w:val="24"/>
        </w:rPr>
        <w:t xml:space="preserve">, Z. and Knapp, M. (2014) ‘Costs of Autism Spectrum Disorders in the United Kingdom and the United States’, </w:t>
      </w:r>
      <w:r>
        <w:rPr>
          <w:rFonts w:ascii="Times New Roman" w:hAnsi="Times New Roman" w:cs="Times New Roman"/>
          <w:i/>
          <w:sz w:val="24"/>
          <w:szCs w:val="24"/>
        </w:rPr>
        <w:t xml:space="preserve">JAMA Paediatrics, </w:t>
      </w:r>
      <w:r>
        <w:rPr>
          <w:rFonts w:ascii="Times New Roman" w:hAnsi="Times New Roman" w:cs="Times New Roman"/>
          <w:sz w:val="24"/>
          <w:szCs w:val="24"/>
        </w:rPr>
        <w:t>Volume 168, Number 8, pp. 721-728.</w:t>
      </w:r>
    </w:p>
    <w:p w:rsidR="00E60E76" w:rsidRPr="00687215" w:rsidRDefault="00E60E76" w:rsidP="00E60E76">
      <w:pPr>
        <w:rPr>
          <w:rFonts w:ascii="Times New Roman" w:hAnsi="Times New Roman" w:cs="Times New Roman"/>
          <w:sz w:val="24"/>
          <w:szCs w:val="24"/>
        </w:rPr>
      </w:pPr>
      <w:r w:rsidRPr="00687215">
        <w:rPr>
          <w:rFonts w:ascii="Times New Roman" w:hAnsi="Times New Roman" w:cs="Times New Roman"/>
          <w:sz w:val="24"/>
          <w:szCs w:val="24"/>
        </w:rPr>
        <w:t xml:space="preserve">Dean, M., Harwood, R. and </w:t>
      </w:r>
      <w:proofErr w:type="spellStart"/>
      <w:r w:rsidRPr="00687215">
        <w:rPr>
          <w:rFonts w:ascii="Times New Roman" w:hAnsi="Times New Roman" w:cs="Times New Roman"/>
          <w:sz w:val="24"/>
          <w:szCs w:val="24"/>
        </w:rPr>
        <w:t>Kasari</w:t>
      </w:r>
      <w:proofErr w:type="spellEnd"/>
      <w:r w:rsidRPr="00687215">
        <w:rPr>
          <w:rFonts w:ascii="Times New Roman" w:hAnsi="Times New Roman" w:cs="Times New Roman"/>
          <w:sz w:val="24"/>
          <w:szCs w:val="24"/>
        </w:rPr>
        <w:t>, C. (2016) ‘</w:t>
      </w:r>
      <w:proofErr w:type="gramStart"/>
      <w:r w:rsidRPr="00687215">
        <w:rPr>
          <w:rFonts w:ascii="Times New Roman" w:hAnsi="Times New Roman" w:cs="Times New Roman"/>
          <w:sz w:val="24"/>
          <w:szCs w:val="24"/>
        </w:rPr>
        <w:t>The</w:t>
      </w:r>
      <w:proofErr w:type="gramEnd"/>
      <w:r w:rsidRPr="00687215">
        <w:rPr>
          <w:rFonts w:ascii="Times New Roman" w:hAnsi="Times New Roman" w:cs="Times New Roman"/>
          <w:sz w:val="24"/>
          <w:szCs w:val="24"/>
        </w:rPr>
        <w:t xml:space="preserve"> art of </w:t>
      </w:r>
      <w:proofErr w:type="spellStart"/>
      <w:r w:rsidRPr="00687215">
        <w:rPr>
          <w:rFonts w:ascii="Times New Roman" w:hAnsi="Times New Roman" w:cs="Times New Roman"/>
          <w:sz w:val="24"/>
          <w:szCs w:val="24"/>
        </w:rPr>
        <w:t>camourflage</w:t>
      </w:r>
      <w:proofErr w:type="spellEnd"/>
      <w:r w:rsidRPr="00687215">
        <w:rPr>
          <w:rFonts w:ascii="Times New Roman" w:hAnsi="Times New Roman" w:cs="Times New Roman"/>
          <w:sz w:val="24"/>
          <w:szCs w:val="24"/>
        </w:rPr>
        <w:t xml:space="preserve">: Gender differences in the social behaviours of girls and boys with autism spectrum disorder’, </w:t>
      </w:r>
      <w:r w:rsidRPr="00687215">
        <w:rPr>
          <w:rFonts w:ascii="Times New Roman" w:hAnsi="Times New Roman" w:cs="Times New Roman"/>
          <w:i/>
          <w:sz w:val="24"/>
          <w:szCs w:val="24"/>
        </w:rPr>
        <w:t xml:space="preserve">The National Autistic Society, </w:t>
      </w:r>
      <w:r w:rsidRPr="00687215">
        <w:rPr>
          <w:rFonts w:ascii="Times New Roman" w:hAnsi="Times New Roman" w:cs="Times New Roman"/>
          <w:sz w:val="24"/>
          <w:szCs w:val="24"/>
        </w:rPr>
        <w:t>pp. 1-17.</w:t>
      </w:r>
    </w:p>
    <w:p w:rsidR="00E60E76" w:rsidRPr="00687215" w:rsidRDefault="00E60E76" w:rsidP="00E60E76">
      <w:pPr>
        <w:rPr>
          <w:rFonts w:ascii="Times New Roman" w:hAnsi="Times New Roman" w:cs="Times New Roman"/>
          <w:sz w:val="24"/>
          <w:szCs w:val="24"/>
        </w:rPr>
      </w:pPr>
      <w:proofErr w:type="gramStart"/>
      <w:r w:rsidRPr="00687215">
        <w:rPr>
          <w:rFonts w:ascii="Times New Roman" w:hAnsi="Times New Roman" w:cs="Times New Roman"/>
          <w:sz w:val="24"/>
          <w:szCs w:val="24"/>
        </w:rPr>
        <w:t xml:space="preserve">Devarakonda, C. (2013) </w:t>
      </w:r>
      <w:r w:rsidRPr="00687215">
        <w:rPr>
          <w:rFonts w:ascii="Times New Roman" w:hAnsi="Times New Roman" w:cs="Times New Roman"/>
          <w:i/>
          <w:sz w:val="24"/>
          <w:szCs w:val="24"/>
        </w:rPr>
        <w:t>Diversity and Inclusion in Early Childhood.</w:t>
      </w:r>
      <w:proofErr w:type="gramEnd"/>
      <w:r w:rsidRPr="00687215">
        <w:rPr>
          <w:rFonts w:ascii="Times New Roman" w:hAnsi="Times New Roman" w:cs="Times New Roman"/>
          <w:i/>
          <w:sz w:val="24"/>
          <w:szCs w:val="24"/>
        </w:rPr>
        <w:t xml:space="preserve"> </w:t>
      </w:r>
      <w:proofErr w:type="gramStart"/>
      <w:r w:rsidRPr="00687215">
        <w:rPr>
          <w:rFonts w:ascii="Times New Roman" w:hAnsi="Times New Roman" w:cs="Times New Roman"/>
          <w:i/>
          <w:sz w:val="24"/>
          <w:szCs w:val="24"/>
        </w:rPr>
        <w:t>An Introduction.</w:t>
      </w:r>
      <w:proofErr w:type="gramEnd"/>
      <w:r w:rsidRPr="00687215">
        <w:rPr>
          <w:rFonts w:ascii="Times New Roman" w:hAnsi="Times New Roman" w:cs="Times New Roman"/>
          <w:i/>
          <w:sz w:val="24"/>
          <w:szCs w:val="24"/>
        </w:rPr>
        <w:t xml:space="preserve"> </w:t>
      </w:r>
      <w:r w:rsidRPr="00687215">
        <w:rPr>
          <w:rFonts w:ascii="Times New Roman" w:hAnsi="Times New Roman" w:cs="Times New Roman"/>
          <w:sz w:val="24"/>
          <w:szCs w:val="24"/>
        </w:rPr>
        <w:t xml:space="preserve">London: SAGE Publication Ltd. </w:t>
      </w:r>
    </w:p>
    <w:p w:rsidR="00E60E76" w:rsidRPr="00687215" w:rsidRDefault="00E60E76" w:rsidP="00E60E76">
      <w:pPr>
        <w:rPr>
          <w:rFonts w:ascii="Times New Roman" w:hAnsi="Times New Roman" w:cs="Times New Roman"/>
          <w:sz w:val="24"/>
          <w:szCs w:val="24"/>
        </w:rPr>
      </w:pPr>
      <w:r w:rsidRPr="00687215">
        <w:rPr>
          <w:rFonts w:ascii="Times New Roman" w:hAnsi="Times New Roman" w:cs="Times New Roman"/>
          <w:sz w:val="24"/>
          <w:szCs w:val="24"/>
        </w:rPr>
        <w:t xml:space="preserve">Glazzard, J., Stokoe, J., Hughes, A., Netherwood, A., and Neve, L. (2015) </w:t>
      </w:r>
      <w:r w:rsidRPr="00687215">
        <w:rPr>
          <w:rFonts w:ascii="Times New Roman" w:hAnsi="Times New Roman" w:cs="Times New Roman"/>
          <w:i/>
          <w:sz w:val="24"/>
          <w:szCs w:val="24"/>
        </w:rPr>
        <w:t xml:space="preserve">Teaching and Supporting Children with Special Educational Need and Disabilities in Primary Schools. </w:t>
      </w:r>
      <w:r w:rsidRPr="00687215">
        <w:rPr>
          <w:rFonts w:ascii="Times New Roman" w:hAnsi="Times New Roman" w:cs="Times New Roman"/>
          <w:sz w:val="24"/>
          <w:szCs w:val="24"/>
        </w:rPr>
        <w:t>(2</w:t>
      </w:r>
      <w:r w:rsidRPr="00687215">
        <w:rPr>
          <w:rFonts w:ascii="Times New Roman" w:hAnsi="Times New Roman" w:cs="Times New Roman"/>
          <w:sz w:val="24"/>
          <w:szCs w:val="24"/>
          <w:vertAlign w:val="superscript"/>
        </w:rPr>
        <w:t>nd</w:t>
      </w:r>
      <w:r w:rsidRPr="00687215">
        <w:rPr>
          <w:rFonts w:ascii="Times New Roman" w:hAnsi="Times New Roman" w:cs="Times New Roman"/>
          <w:sz w:val="24"/>
          <w:szCs w:val="24"/>
        </w:rPr>
        <w:t xml:space="preserve"> </w:t>
      </w:r>
      <w:proofErr w:type="gramStart"/>
      <w:r w:rsidRPr="00687215">
        <w:rPr>
          <w:rFonts w:ascii="Times New Roman" w:hAnsi="Times New Roman" w:cs="Times New Roman"/>
          <w:sz w:val="24"/>
          <w:szCs w:val="24"/>
        </w:rPr>
        <w:t>ed</w:t>
      </w:r>
      <w:proofErr w:type="gramEnd"/>
      <w:r w:rsidRPr="00687215">
        <w:rPr>
          <w:rFonts w:ascii="Times New Roman" w:hAnsi="Times New Roman" w:cs="Times New Roman"/>
          <w:sz w:val="24"/>
          <w:szCs w:val="24"/>
        </w:rPr>
        <w:t>). London: SAGE Publication Ltd.</w:t>
      </w:r>
    </w:p>
    <w:p w:rsidR="00E60E76" w:rsidRPr="00687215" w:rsidRDefault="00E60E76" w:rsidP="00E60E76">
      <w:pPr>
        <w:rPr>
          <w:rFonts w:ascii="Times New Roman" w:hAnsi="Times New Roman" w:cs="Times New Roman"/>
          <w:sz w:val="24"/>
          <w:szCs w:val="24"/>
        </w:rPr>
      </w:pPr>
      <w:proofErr w:type="gramStart"/>
      <w:r w:rsidRPr="00687215">
        <w:rPr>
          <w:rFonts w:ascii="Times New Roman" w:hAnsi="Times New Roman" w:cs="Times New Roman"/>
          <w:sz w:val="24"/>
          <w:szCs w:val="24"/>
        </w:rPr>
        <w:t xml:space="preserve">Hodkinson, A. (2016) </w:t>
      </w:r>
      <w:r w:rsidRPr="00687215">
        <w:rPr>
          <w:rFonts w:ascii="Times New Roman" w:hAnsi="Times New Roman" w:cs="Times New Roman"/>
          <w:i/>
          <w:sz w:val="24"/>
          <w:szCs w:val="24"/>
        </w:rPr>
        <w:t>Key issues in Special Educational Needs and Inclusion.</w:t>
      </w:r>
      <w:proofErr w:type="gramEnd"/>
      <w:r w:rsidRPr="00687215">
        <w:rPr>
          <w:rFonts w:ascii="Times New Roman" w:hAnsi="Times New Roman" w:cs="Times New Roman"/>
          <w:i/>
          <w:sz w:val="24"/>
          <w:szCs w:val="24"/>
        </w:rPr>
        <w:t xml:space="preserve"> </w:t>
      </w:r>
      <w:r w:rsidRPr="00687215">
        <w:rPr>
          <w:rFonts w:ascii="Times New Roman" w:hAnsi="Times New Roman" w:cs="Times New Roman"/>
          <w:sz w:val="24"/>
          <w:szCs w:val="24"/>
        </w:rPr>
        <w:t>(2</w:t>
      </w:r>
      <w:r w:rsidRPr="00687215">
        <w:rPr>
          <w:rFonts w:ascii="Times New Roman" w:hAnsi="Times New Roman" w:cs="Times New Roman"/>
          <w:sz w:val="24"/>
          <w:szCs w:val="24"/>
          <w:vertAlign w:val="superscript"/>
        </w:rPr>
        <w:t>nd</w:t>
      </w:r>
      <w:r w:rsidRPr="00687215">
        <w:rPr>
          <w:rFonts w:ascii="Times New Roman" w:hAnsi="Times New Roman" w:cs="Times New Roman"/>
          <w:sz w:val="24"/>
          <w:szCs w:val="24"/>
        </w:rPr>
        <w:t xml:space="preserve"> </w:t>
      </w:r>
      <w:proofErr w:type="gramStart"/>
      <w:r w:rsidRPr="00687215">
        <w:rPr>
          <w:rFonts w:ascii="Times New Roman" w:hAnsi="Times New Roman" w:cs="Times New Roman"/>
          <w:sz w:val="24"/>
          <w:szCs w:val="24"/>
        </w:rPr>
        <w:t>ed</w:t>
      </w:r>
      <w:proofErr w:type="gramEnd"/>
      <w:r w:rsidRPr="00687215">
        <w:rPr>
          <w:rFonts w:ascii="Times New Roman" w:hAnsi="Times New Roman" w:cs="Times New Roman"/>
          <w:sz w:val="24"/>
          <w:szCs w:val="24"/>
        </w:rPr>
        <w:t>). London: SAGE Publication Ltd.</w:t>
      </w:r>
    </w:p>
    <w:p w:rsidR="00E60E76" w:rsidRPr="00687215" w:rsidRDefault="00E60E76" w:rsidP="00E60E76">
      <w:pPr>
        <w:rPr>
          <w:rFonts w:ascii="Times New Roman" w:hAnsi="Times New Roman" w:cs="Times New Roman"/>
          <w:sz w:val="24"/>
          <w:szCs w:val="24"/>
        </w:rPr>
      </w:pPr>
      <w:r w:rsidRPr="00687215">
        <w:rPr>
          <w:rFonts w:ascii="Times New Roman" w:hAnsi="Times New Roman" w:cs="Times New Roman"/>
          <w:sz w:val="24"/>
          <w:szCs w:val="24"/>
        </w:rPr>
        <w:t xml:space="preserve">Knowles, G. (2006) </w:t>
      </w:r>
      <w:r w:rsidRPr="00687215">
        <w:rPr>
          <w:rFonts w:ascii="Times New Roman" w:hAnsi="Times New Roman" w:cs="Times New Roman"/>
          <w:i/>
          <w:sz w:val="24"/>
          <w:szCs w:val="24"/>
        </w:rPr>
        <w:t>Supporting Inclusive Practice.</w:t>
      </w:r>
      <w:r w:rsidRPr="00687215">
        <w:rPr>
          <w:rFonts w:ascii="Times New Roman" w:hAnsi="Times New Roman" w:cs="Times New Roman"/>
          <w:sz w:val="24"/>
          <w:szCs w:val="24"/>
        </w:rPr>
        <w:t xml:space="preserve"> London: David Fulton Publishers. </w:t>
      </w:r>
    </w:p>
    <w:p w:rsidR="00E60E76" w:rsidRPr="00687215" w:rsidRDefault="00E60E76" w:rsidP="00E60E76">
      <w:pPr>
        <w:rPr>
          <w:rFonts w:ascii="Times New Roman" w:hAnsi="Times New Roman" w:cs="Times New Roman"/>
          <w:sz w:val="24"/>
          <w:szCs w:val="24"/>
        </w:rPr>
      </w:pPr>
      <w:r w:rsidRPr="00687215">
        <w:rPr>
          <w:rFonts w:ascii="Times New Roman" w:hAnsi="Times New Roman" w:cs="Times New Roman"/>
          <w:sz w:val="24"/>
          <w:szCs w:val="24"/>
        </w:rPr>
        <w:t xml:space="preserve">Knowles, G. (2011) </w:t>
      </w:r>
      <w:r w:rsidRPr="00687215">
        <w:rPr>
          <w:rFonts w:ascii="Times New Roman" w:hAnsi="Times New Roman" w:cs="Times New Roman"/>
          <w:i/>
          <w:sz w:val="24"/>
          <w:szCs w:val="24"/>
        </w:rPr>
        <w:t xml:space="preserve">Supporting Inclusive Practice.  </w:t>
      </w:r>
      <w:r w:rsidRPr="00687215">
        <w:rPr>
          <w:rFonts w:ascii="Times New Roman" w:hAnsi="Times New Roman" w:cs="Times New Roman"/>
          <w:sz w:val="24"/>
          <w:szCs w:val="24"/>
        </w:rPr>
        <w:t>(2</w:t>
      </w:r>
      <w:r w:rsidRPr="00687215">
        <w:rPr>
          <w:rFonts w:ascii="Times New Roman" w:hAnsi="Times New Roman" w:cs="Times New Roman"/>
          <w:sz w:val="24"/>
          <w:szCs w:val="24"/>
          <w:vertAlign w:val="superscript"/>
        </w:rPr>
        <w:t>nd</w:t>
      </w:r>
      <w:r w:rsidRPr="00687215">
        <w:rPr>
          <w:rFonts w:ascii="Times New Roman" w:hAnsi="Times New Roman" w:cs="Times New Roman"/>
          <w:sz w:val="24"/>
          <w:szCs w:val="24"/>
        </w:rPr>
        <w:t xml:space="preserve"> </w:t>
      </w:r>
      <w:proofErr w:type="gramStart"/>
      <w:r w:rsidRPr="00687215">
        <w:rPr>
          <w:rFonts w:ascii="Times New Roman" w:hAnsi="Times New Roman" w:cs="Times New Roman"/>
          <w:sz w:val="24"/>
          <w:szCs w:val="24"/>
        </w:rPr>
        <w:t>ed</w:t>
      </w:r>
      <w:proofErr w:type="gramEnd"/>
      <w:r w:rsidRPr="00687215">
        <w:rPr>
          <w:rFonts w:ascii="Times New Roman" w:hAnsi="Times New Roman" w:cs="Times New Roman"/>
          <w:sz w:val="24"/>
          <w:szCs w:val="24"/>
        </w:rPr>
        <w:t xml:space="preserve">). London: David Fulton Publishers. </w:t>
      </w:r>
    </w:p>
    <w:p w:rsidR="00E60E76" w:rsidRPr="00687215" w:rsidRDefault="00E60E76" w:rsidP="00E60E76">
      <w:pPr>
        <w:rPr>
          <w:rFonts w:ascii="Times New Roman" w:hAnsi="Times New Roman" w:cs="Times New Roman"/>
          <w:sz w:val="24"/>
          <w:szCs w:val="24"/>
        </w:rPr>
      </w:pPr>
      <w:proofErr w:type="spellStart"/>
      <w:proofErr w:type="gramStart"/>
      <w:r w:rsidRPr="00687215">
        <w:rPr>
          <w:rFonts w:ascii="Times New Roman" w:hAnsi="Times New Roman" w:cs="Times New Roman"/>
          <w:sz w:val="24"/>
          <w:szCs w:val="24"/>
        </w:rPr>
        <w:t>Koegel</w:t>
      </w:r>
      <w:proofErr w:type="spellEnd"/>
      <w:r w:rsidRPr="00687215">
        <w:rPr>
          <w:rFonts w:ascii="Times New Roman" w:hAnsi="Times New Roman" w:cs="Times New Roman"/>
          <w:sz w:val="24"/>
          <w:szCs w:val="24"/>
        </w:rPr>
        <w:t xml:space="preserve">, L, K., </w:t>
      </w:r>
      <w:proofErr w:type="spellStart"/>
      <w:r w:rsidRPr="00687215">
        <w:rPr>
          <w:rFonts w:ascii="Times New Roman" w:hAnsi="Times New Roman" w:cs="Times New Roman"/>
          <w:sz w:val="24"/>
          <w:szCs w:val="24"/>
        </w:rPr>
        <w:t>Koegel</w:t>
      </w:r>
      <w:proofErr w:type="spellEnd"/>
      <w:r w:rsidRPr="00687215">
        <w:rPr>
          <w:rFonts w:ascii="Times New Roman" w:hAnsi="Times New Roman" w:cs="Times New Roman"/>
          <w:sz w:val="24"/>
          <w:szCs w:val="24"/>
        </w:rPr>
        <w:t xml:space="preserve">, R, L., </w:t>
      </w:r>
      <w:proofErr w:type="spellStart"/>
      <w:r w:rsidRPr="00687215">
        <w:rPr>
          <w:rFonts w:ascii="Times New Roman" w:hAnsi="Times New Roman" w:cs="Times New Roman"/>
          <w:sz w:val="24"/>
          <w:szCs w:val="24"/>
        </w:rPr>
        <w:t>Ashbaugh</w:t>
      </w:r>
      <w:proofErr w:type="spellEnd"/>
      <w:r w:rsidRPr="00687215">
        <w:rPr>
          <w:rFonts w:ascii="Times New Roman" w:hAnsi="Times New Roman" w:cs="Times New Roman"/>
          <w:sz w:val="24"/>
          <w:szCs w:val="24"/>
        </w:rPr>
        <w:t xml:space="preserve">, K. and Bradshaw, J. (2014) ‘The importance of early identification and intervention for children with or at risk for autism spectrum disorder’, </w:t>
      </w:r>
      <w:r w:rsidRPr="00687215">
        <w:rPr>
          <w:rFonts w:ascii="Times New Roman" w:hAnsi="Times New Roman" w:cs="Times New Roman"/>
          <w:i/>
          <w:sz w:val="24"/>
          <w:szCs w:val="24"/>
        </w:rPr>
        <w:t xml:space="preserve">International journal of speech-language pathology, </w:t>
      </w:r>
      <w:r w:rsidRPr="00687215">
        <w:rPr>
          <w:rFonts w:ascii="Times New Roman" w:hAnsi="Times New Roman" w:cs="Times New Roman"/>
          <w:sz w:val="24"/>
          <w:szCs w:val="24"/>
        </w:rPr>
        <w:t>Volume 16, pp. 50-56.</w:t>
      </w:r>
      <w:proofErr w:type="gramEnd"/>
      <w:r w:rsidRPr="00687215">
        <w:rPr>
          <w:rFonts w:ascii="Times New Roman" w:hAnsi="Times New Roman" w:cs="Times New Roman"/>
          <w:sz w:val="24"/>
          <w:szCs w:val="24"/>
        </w:rPr>
        <w:t xml:space="preserve"> </w:t>
      </w:r>
    </w:p>
    <w:p w:rsidR="00E60E76" w:rsidRPr="00687215" w:rsidRDefault="00E60E76" w:rsidP="00E60E76">
      <w:pPr>
        <w:rPr>
          <w:rFonts w:ascii="Times New Roman" w:hAnsi="Times New Roman" w:cs="Times New Roman"/>
          <w:sz w:val="24"/>
          <w:szCs w:val="24"/>
        </w:rPr>
      </w:pPr>
      <w:r w:rsidRPr="00687215">
        <w:rPr>
          <w:rFonts w:ascii="Times New Roman" w:hAnsi="Times New Roman" w:cs="Times New Roman"/>
          <w:sz w:val="24"/>
          <w:szCs w:val="24"/>
        </w:rPr>
        <w:t xml:space="preserve">Legislation.gov. (2014) ‘Children and Families Act 2014’ </w:t>
      </w:r>
      <w:hyperlink r:id="rId7" w:history="1">
        <w:r w:rsidRPr="00687215">
          <w:rPr>
            <w:rStyle w:val="Hyperlink"/>
            <w:rFonts w:ascii="Times New Roman" w:hAnsi="Times New Roman" w:cs="Times New Roman"/>
            <w:sz w:val="24"/>
            <w:szCs w:val="24"/>
          </w:rPr>
          <w:t>http://www.legislation.gov.uk/ukpga/2014/6/contents/enacted</w:t>
        </w:r>
      </w:hyperlink>
      <w:r w:rsidRPr="00687215">
        <w:rPr>
          <w:rFonts w:ascii="Times New Roman" w:hAnsi="Times New Roman" w:cs="Times New Roman"/>
          <w:sz w:val="24"/>
          <w:szCs w:val="24"/>
        </w:rPr>
        <w:t xml:space="preserve"> [Accessed: 30</w:t>
      </w:r>
      <w:r w:rsidRPr="00687215">
        <w:rPr>
          <w:rFonts w:ascii="Times New Roman" w:hAnsi="Times New Roman" w:cs="Times New Roman"/>
          <w:sz w:val="24"/>
          <w:szCs w:val="24"/>
          <w:vertAlign w:val="superscript"/>
        </w:rPr>
        <w:t>th</w:t>
      </w:r>
      <w:r w:rsidRPr="00687215">
        <w:rPr>
          <w:rFonts w:ascii="Times New Roman" w:hAnsi="Times New Roman" w:cs="Times New Roman"/>
          <w:sz w:val="24"/>
          <w:szCs w:val="24"/>
        </w:rPr>
        <w:t xml:space="preserve"> April 2018]. </w:t>
      </w:r>
    </w:p>
    <w:p w:rsidR="00E60E76" w:rsidRPr="00687215" w:rsidRDefault="00E60E76" w:rsidP="00E60E76">
      <w:pPr>
        <w:rPr>
          <w:rFonts w:ascii="Times New Roman" w:hAnsi="Times New Roman" w:cs="Times New Roman"/>
          <w:color w:val="000000"/>
          <w:sz w:val="24"/>
          <w:szCs w:val="24"/>
        </w:rPr>
      </w:pPr>
      <w:r w:rsidRPr="00687215">
        <w:rPr>
          <w:rFonts w:ascii="Times New Roman" w:hAnsi="Times New Roman" w:cs="Times New Roman"/>
          <w:color w:val="000000"/>
          <w:sz w:val="24"/>
          <w:szCs w:val="24"/>
        </w:rPr>
        <w:t>Meggitt, C (2006)</w:t>
      </w:r>
      <w:r w:rsidRPr="00687215">
        <w:rPr>
          <w:rStyle w:val="apple-converted-space"/>
          <w:rFonts w:ascii="Times New Roman" w:hAnsi="Times New Roman" w:cs="Times New Roman"/>
          <w:color w:val="000000"/>
          <w:sz w:val="24"/>
          <w:szCs w:val="24"/>
        </w:rPr>
        <w:t> </w:t>
      </w:r>
      <w:r w:rsidRPr="00687215">
        <w:rPr>
          <w:rFonts w:ascii="Times New Roman" w:hAnsi="Times New Roman" w:cs="Times New Roman"/>
          <w:i/>
          <w:iCs/>
          <w:color w:val="000000"/>
          <w:sz w:val="24"/>
          <w:szCs w:val="24"/>
        </w:rPr>
        <w:t>Child Development. An Illustrated Guide</w:t>
      </w:r>
      <w:r w:rsidRPr="00687215">
        <w:rPr>
          <w:rFonts w:ascii="Times New Roman" w:hAnsi="Times New Roman" w:cs="Times New Roman"/>
          <w:color w:val="000000"/>
          <w:sz w:val="24"/>
          <w:szCs w:val="24"/>
        </w:rPr>
        <w:t xml:space="preserve"> .(2</w:t>
      </w:r>
      <w:r w:rsidRPr="00687215">
        <w:rPr>
          <w:rFonts w:ascii="Times New Roman" w:hAnsi="Times New Roman" w:cs="Times New Roman"/>
          <w:color w:val="000000"/>
          <w:sz w:val="24"/>
          <w:szCs w:val="24"/>
          <w:vertAlign w:val="superscript"/>
        </w:rPr>
        <w:t>nd</w:t>
      </w:r>
      <w:r w:rsidRPr="00687215">
        <w:rPr>
          <w:rFonts w:ascii="Times New Roman" w:hAnsi="Times New Roman" w:cs="Times New Roman"/>
          <w:color w:val="000000"/>
          <w:sz w:val="24"/>
          <w:szCs w:val="24"/>
        </w:rPr>
        <w:t xml:space="preserve"> </w:t>
      </w:r>
      <w:proofErr w:type="gramStart"/>
      <w:r w:rsidRPr="00687215">
        <w:rPr>
          <w:rFonts w:ascii="Times New Roman" w:hAnsi="Times New Roman" w:cs="Times New Roman"/>
          <w:color w:val="000000"/>
          <w:sz w:val="24"/>
          <w:szCs w:val="24"/>
        </w:rPr>
        <w:t>ed</w:t>
      </w:r>
      <w:proofErr w:type="gramEnd"/>
      <w:r w:rsidRPr="00687215">
        <w:rPr>
          <w:rFonts w:ascii="Times New Roman" w:hAnsi="Times New Roman" w:cs="Times New Roman"/>
          <w:color w:val="000000"/>
          <w:sz w:val="24"/>
          <w:szCs w:val="24"/>
        </w:rPr>
        <w:t>). Essex: Pearson Education Limited.</w:t>
      </w:r>
    </w:p>
    <w:p w:rsidR="00E60E76" w:rsidRPr="00687215" w:rsidRDefault="00E60E76" w:rsidP="00E60E76">
      <w:pPr>
        <w:rPr>
          <w:rFonts w:ascii="Times New Roman" w:hAnsi="Times New Roman" w:cs="Times New Roman"/>
          <w:sz w:val="24"/>
          <w:szCs w:val="24"/>
        </w:rPr>
      </w:pPr>
      <w:proofErr w:type="gramStart"/>
      <w:r w:rsidRPr="00687215">
        <w:rPr>
          <w:rFonts w:ascii="Times New Roman" w:hAnsi="Times New Roman" w:cs="Times New Roman"/>
          <w:sz w:val="24"/>
          <w:szCs w:val="24"/>
        </w:rPr>
        <w:t>National Education Union.</w:t>
      </w:r>
      <w:proofErr w:type="gramEnd"/>
      <w:r w:rsidRPr="00687215">
        <w:rPr>
          <w:rFonts w:ascii="Times New Roman" w:hAnsi="Times New Roman" w:cs="Times New Roman"/>
          <w:sz w:val="24"/>
          <w:szCs w:val="24"/>
        </w:rPr>
        <w:t xml:space="preserve"> (2018) ‘Stop School Cuts’ </w:t>
      </w:r>
      <w:hyperlink r:id="rId8" w:history="1">
        <w:r w:rsidRPr="00687215">
          <w:rPr>
            <w:rStyle w:val="Hyperlink"/>
            <w:rFonts w:ascii="Times New Roman" w:hAnsi="Times New Roman" w:cs="Times New Roman"/>
            <w:sz w:val="24"/>
            <w:szCs w:val="24"/>
          </w:rPr>
          <w:t>https://www.teachers.org.uk/education-policies/funding</w:t>
        </w:r>
      </w:hyperlink>
      <w:r w:rsidRPr="00687215">
        <w:rPr>
          <w:rFonts w:ascii="Times New Roman" w:hAnsi="Times New Roman" w:cs="Times New Roman"/>
          <w:sz w:val="24"/>
          <w:szCs w:val="24"/>
        </w:rPr>
        <w:t xml:space="preserve"> [Accessed: 28</w:t>
      </w:r>
      <w:r w:rsidRPr="00687215">
        <w:rPr>
          <w:rFonts w:ascii="Times New Roman" w:hAnsi="Times New Roman" w:cs="Times New Roman"/>
          <w:sz w:val="24"/>
          <w:szCs w:val="24"/>
          <w:vertAlign w:val="superscript"/>
        </w:rPr>
        <w:t>th</w:t>
      </w:r>
      <w:r w:rsidRPr="00687215">
        <w:rPr>
          <w:rFonts w:ascii="Times New Roman" w:hAnsi="Times New Roman" w:cs="Times New Roman"/>
          <w:sz w:val="24"/>
          <w:szCs w:val="24"/>
        </w:rPr>
        <w:t xml:space="preserve"> April 2018]. </w:t>
      </w:r>
    </w:p>
    <w:p w:rsidR="00E60E76" w:rsidRPr="00687215" w:rsidRDefault="00E60E76" w:rsidP="00E60E76">
      <w:pPr>
        <w:rPr>
          <w:rFonts w:ascii="Times New Roman" w:hAnsi="Times New Roman" w:cs="Times New Roman"/>
          <w:sz w:val="24"/>
          <w:szCs w:val="24"/>
        </w:rPr>
      </w:pPr>
      <w:proofErr w:type="gramStart"/>
      <w:r w:rsidRPr="00687215">
        <w:rPr>
          <w:rFonts w:ascii="Times New Roman" w:hAnsi="Times New Roman" w:cs="Times New Roman"/>
          <w:sz w:val="24"/>
          <w:szCs w:val="24"/>
        </w:rPr>
        <w:t xml:space="preserve">Nutbrown, C., Clough, P., Atherton, F. (2013) </w:t>
      </w:r>
      <w:r w:rsidRPr="00687215">
        <w:rPr>
          <w:rFonts w:ascii="Times New Roman" w:hAnsi="Times New Roman" w:cs="Times New Roman"/>
          <w:i/>
          <w:iCs/>
          <w:sz w:val="24"/>
          <w:szCs w:val="24"/>
        </w:rPr>
        <w:t>Inclusion in the early years.</w:t>
      </w:r>
      <w:proofErr w:type="gramEnd"/>
      <w:r w:rsidRPr="00687215">
        <w:rPr>
          <w:rFonts w:ascii="Times New Roman" w:hAnsi="Times New Roman" w:cs="Times New Roman"/>
          <w:i/>
          <w:iCs/>
          <w:sz w:val="24"/>
          <w:szCs w:val="24"/>
        </w:rPr>
        <w:t xml:space="preserve"> </w:t>
      </w:r>
      <w:r w:rsidRPr="00687215">
        <w:rPr>
          <w:rFonts w:ascii="Times New Roman" w:hAnsi="Times New Roman" w:cs="Times New Roman"/>
          <w:sz w:val="24"/>
          <w:szCs w:val="24"/>
        </w:rPr>
        <w:t>London: Sage Publications Ltd.</w:t>
      </w:r>
    </w:p>
    <w:p w:rsidR="00E60E76" w:rsidRDefault="00E60E76" w:rsidP="00E60E76">
      <w:pPr>
        <w:rPr>
          <w:rFonts w:ascii="Times New Roman" w:hAnsi="Times New Roman" w:cs="Times New Roman"/>
          <w:sz w:val="24"/>
          <w:szCs w:val="24"/>
        </w:rPr>
      </w:pPr>
      <w:r w:rsidRPr="00687215">
        <w:rPr>
          <w:rFonts w:ascii="Times New Roman" w:hAnsi="Times New Roman" w:cs="Times New Roman"/>
          <w:sz w:val="24"/>
          <w:szCs w:val="24"/>
        </w:rPr>
        <w:t xml:space="preserve">Riddall-Leech, S. (2003) </w:t>
      </w:r>
      <w:r w:rsidRPr="00687215">
        <w:rPr>
          <w:rFonts w:ascii="Times New Roman" w:hAnsi="Times New Roman" w:cs="Times New Roman"/>
          <w:i/>
          <w:sz w:val="24"/>
          <w:szCs w:val="24"/>
        </w:rPr>
        <w:t>Managing Children’s Behaviour.</w:t>
      </w:r>
      <w:r w:rsidRPr="00687215">
        <w:rPr>
          <w:rFonts w:ascii="Times New Roman" w:hAnsi="Times New Roman" w:cs="Times New Roman"/>
          <w:sz w:val="24"/>
          <w:szCs w:val="24"/>
        </w:rPr>
        <w:t xml:space="preserve"> Oxford: Heinemann. </w:t>
      </w:r>
    </w:p>
    <w:p w:rsidR="00E60E76" w:rsidRPr="00B131C7" w:rsidRDefault="00E60E76" w:rsidP="00E60E76">
      <w:pPr>
        <w:rPr>
          <w:rFonts w:ascii="Times New Roman" w:hAnsi="Times New Roman" w:cs="Times New Roman"/>
          <w:sz w:val="24"/>
          <w:szCs w:val="24"/>
        </w:rPr>
      </w:pPr>
      <w:proofErr w:type="spellStart"/>
      <w:r>
        <w:rPr>
          <w:rFonts w:ascii="Times New Roman" w:hAnsi="Times New Roman" w:cs="Times New Roman"/>
          <w:sz w:val="24"/>
          <w:szCs w:val="24"/>
        </w:rPr>
        <w:t>Rix</w:t>
      </w:r>
      <w:proofErr w:type="spellEnd"/>
      <w:r>
        <w:rPr>
          <w:rFonts w:ascii="Times New Roman" w:hAnsi="Times New Roman" w:cs="Times New Roman"/>
          <w:sz w:val="24"/>
          <w:szCs w:val="24"/>
        </w:rPr>
        <w:t xml:space="preserve">, J., </w:t>
      </w:r>
      <w:proofErr w:type="spellStart"/>
      <w:r>
        <w:rPr>
          <w:rFonts w:ascii="Times New Roman" w:hAnsi="Times New Roman" w:cs="Times New Roman"/>
          <w:sz w:val="24"/>
          <w:szCs w:val="24"/>
        </w:rPr>
        <w:t>Nind</w:t>
      </w:r>
      <w:proofErr w:type="spellEnd"/>
      <w:r>
        <w:rPr>
          <w:rFonts w:ascii="Times New Roman" w:hAnsi="Times New Roman" w:cs="Times New Roman"/>
          <w:sz w:val="24"/>
          <w:szCs w:val="24"/>
        </w:rPr>
        <w:t xml:space="preserve">, M., Sheehy, K., Simmons, K., Parry, J. and </w:t>
      </w:r>
      <w:proofErr w:type="spellStart"/>
      <w:r>
        <w:rPr>
          <w:rFonts w:ascii="Times New Roman" w:hAnsi="Times New Roman" w:cs="Times New Roman"/>
          <w:sz w:val="24"/>
          <w:szCs w:val="24"/>
        </w:rPr>
        <w:t>Kumrai</w:t>
      </w:r>
      <w:proofErr w:type="spellEnd"/>
      <w:r>
        <w:rPr>
          <w:rFonts w:ascii="Times New Roman" w:hAnsi="Times New Roman" w:cs="Times New Roman"/>
          <w:sz w:val="24"/>
          <w:szCs w:val="24"/>
        </w:rPr>
        <w:t xml:space="preserve">, R. (2010) </w:t>
      </w:r>
      <w:r>
        <w:rPr>
          <w:rFonts w:ascii="Times New Roman" w:hAnsi="Times New Roman" w:cs="Times New Roman"/>
          <w:i/>
          <w:sz w:val="24"/>
          <w:szCs w:val="24"/>
        </w:rPr>
        <w:t xml:space="preserve">Equality, Participation and Inclusion. </w:t>
      </w:r>
      <w:r>
        <w:rPr>
          <w:rFonts w:ascii="Times New Roman" w:hAnsi="Times New Roman" w:cs="Times New Roman"/>
          <w:sz w:val="24"/>
          <w:szCs w:val="24"/>
        </w:rPr>
        <w:t>(2</w:t>
      </w:r>
      <w:r w:rsidRPr="00B131C7">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xml:space="preserve">). Oxon: Routledge. </w:t>
      </w:r>
    </w:p>
    <w:p w:rsidR="00E60E76" w:rsidRPr="00687215" w:rsidRDefault="00E60E76" w:rsidP="00E60E76">
      <w:pPr>
        <w:rPr>
          <w:rFonts w:ascii="Times New Roman" w:hAnsi="Times New Roman" w:cs="Times New Roman"/>
          <w:sz w:val="24"/>
          <w:szCs w:val="24"/>
        </w:rPr>
      </w:pPr>
      <w:proofErr w:type="gramStart"/>
      <w:r w:rsidRPr="00687215">
        <w:rPr>
          <w:rFonts w:ascii="Times New Roman" w:hAnsi="Times New Roman" w:cs="Times New Roman"/>
          <w:sz w:val="24"/>
          <w:szCs w:val="24"/>
        </w:rPr>
        <w:t>Scope.</w:t>
      </w:r>
      <w:proofErr w:type="gramEnd"/>
      <w:r w:rsidRPr="00687215">
        <w:rPr>
          <w:rFonts w:ascii="Times New Roman" w:hAnsi="Times New Roman" w:cs="Times New Roman"/>
          <w:sz w:val="24"/>
          <w:szCs w:val="24"/>
        </w:rPr>
        <w:t xml:space="preserve"> (2017) ‘The Social Model of Disability’ </w:t>
      </w:r>
      <w:hyperlink r:id="rId9" w:history="1">
        <w:r w:rsidRPr="00687215">
          <w:rPr>
            <w:rStyle w:val="Hyperlink"/>
            <w:rFonts w:ascii="Times New Roman" w:hAnsi="Times New Roman" w:cs="Times New Roman"/>
            <w:sz w:val="24"/>
            <w:szCs w:val="24"/>
          </w:rPr>
          <w:t>https://www.scope.org.uk/about-us/our-brand/social-model-of-disability</w:t>
        </w:r>
      </w:hyperlink>
      <w:r w:rsidRPr="00687215">
        <w:rPr>
          <w:rFonts w:ascii="Times New Roman" w:hAnsi="Times New Roman" w:cs="Times New Roman"/>
          <w:sz w:val="24"/>
          <w:szCs w:val="24"/>
        </w:rPr>
        <w:t xml:space="preserve"> [Accessed: 28</w:t>
      </w:r>
      <w:r w:rsidRPr="00687215">
        <w:rPr>
          <w:rFonts w:ascii="Times New Roman" w:hAnsi="Times New Roman" w:cs="Times New Roman"/>
          <w:sz w:val="24"/>
          <w:szCs w:val="24"/>
          <w:vertAlign w:val="superscript"/>
        </w:rPr>
        <w:t>th</w:t>
      </w:r>
      <w:r w:rsidRPr="00687215">
        <w:rPr>
          <w:rFonts w:ascii="Times New Roman" w:hAnsi="Times New Roman" w:cs="Times New Roman"/>
          <w:sz w:val="24"/>
          <w:szCs w:val="24"/>
        </w:rPr>
        <w:t xml:space="preserve"> April 2018].</w:t>
      </w:r>
    </w:p>
    <w:p w:rsidR="00E60E76" w:rsidRPr="00687215" w:rsidRDefault="00E60E76" w:rsidP="00E60E76">
      <w:pPr>
        <w:rPr>
          <w:rFonts w:ascii="Times New Roman" w:hAnsi="Times New Roman" w:cs="Times New Roman"/>
          <w:sz w:val="24"/>
          <w:szCs w:val="24"/>
        </w:rPr>
      </w:pPr>
      <w:proofErr w:type="gramStart"/>
      <w:r w:rsidRPr="00687215">
        <w:rPr>
          <w:rFonts w:ascii="Times New Roman" w:hAnsi="Times New Roman" w:cs="Times New Roman"/>
          <w:sz w:val="24"/>
          <w:szCs w:val="24"/>
        </w:rPr>
        <w:lastRenderedPageBreak/>
        <w:t xml:space="preserve">Stakes, R. and Hornby, G. (2000) </w:t>
      </w:r>
      <w:r w:rsidRPr="00687215">
        <w:rPr>
          <w:rFonts w:ascii="Times New Roman" w:hAnsi="Times New Roman" w:cs="Times New Roman"/>
          <w:i/>
          <w:sz w:val="24"/>
          <w:szCs w:val="24"/>
        </w:rPr>
        <w:t>Meeting Special Needs in Mainstream Schools.</w:t>
      </w:r>
      <w:proofErr w:type="gramEnd"/>
      <w:r w:rsidRPr="00687215">
        <w:rPr>
          <w:rFonts w:ascii="Times New Roman" w:hAnsi="Times New Roman" w:cs="Times New Roman"/>
          <w:i/>
          <w:sz w:val="24"/>
          <w:szCs w:val="24"/>
        </w:rPr>
        <w:t xml:space="preserve"> </w:t>
      </w:r>
      <w:proofErr w:type="gramStart"/>
      <w:r w:rsidRPr="00687215">
        <w:rPr>
          <w:rFonts w:ascii="Times New Roman" w:hAnsi="Times New Roman" w:cs="Times New Roman"/>
          <w:i/>
          <w:sz w:val="24"/>
          <w:szCs w:val="24"/>
        </w:rPr>
        <w:t>A Practical Guide for Teachers.</w:t>
      </w:r>
      <w:proofErr w:type="gramEnd"/>
      <w:r w:rsidRPr="00687215">
        <w:rPr>
          <w:rFonts w:ascii="Times New Roman" w:hAnsi="Times New Roman" w:cs="Times New Roman"/>
          <w:i/>
          <w:sz w:val="24"/>
          <w:szCs w:val="24"/>
        </w:rPr>
        <w:t xml:space="preserve"> </w:t>
      </w:r>
      <w:r w:rsidRPr="00687215">
        <w:rPr>
          <w:rFonts w:ascii="Times New Roman" w:hAnsi="Times New Roman" w:cs="Times New Roman"/>
          <w:sz w:val="24"/>
          <w:szCs w:val="24"/>
        </w:rPr>
        <w:t xml:space="preserve"> (2</w:t>
      </w:r>
      <w:r w:rsidRPr="00687215">
        <w:rPr>
          <w:rFonts w:ascii="Times New Roman" w:hAnsi="Times New Roman" w:cs="Times New Roman"/>
          <w:sz w:val="24"/>
          <w:szCs w:val="24"/>
          <w:vertAlign w:val="superscript"/>
        </w:rPr>
        <w:t>nd</w:t>
      </w:r>
      <w:r w:rsidRPr="00687215">
        <w:rPr>
          <w:rFonts w:ascii="Times New Roman" w:hAnsi="Times New Roman" w:cs="Times New Roman"/>
          <w:sz w:val="24"/>
          <w:szCs w:val="24"/>
        </w:rPr>
        <w:t xml:space="preserve"> </w:t>
      </w:r>
      <w:proofErr w:type="gramStart"/>
      <w:r w:rsidRPr="00687215">
        <w:rPr>
          <w:rFonts w:ascii="Times New Roman" w:hAnsi="Times New Roman" w:cs="Times New Roman"/>
          <w:sz w:val="24"/>
          <w:szCs w:val="24"/>
        </w:rPr>
        <w:t>ed</w:t>
      </w:r>
      <w:proofErr w:type="gramEnd"/>
      <w:r w:rsidRPr="00687215">
        <w:rPr>
          <w:rFonts w:ascii="Times New Roman" w:hAnsi="Times New Roman" w:cs="Times New Roman"/>
          <w:sz w:val="24"/>
          <w:szCs w:val="24"/>
        </w:rPr>
        <w:t>). London: David Fulton Publishers.</w:t>
      </w:r>
    </w:p>
    <w:p w:rsidR="00E60E76" w:rsidRPr="00687215" w:rsidRDefault="00E60E76" w:rsidP="00E60E76">
      <w:pPr>
        <w:rPr>
          <w:rFonts w:ascii="Times New Roman" w:hAnsi="Times New Roman" w:cs="Times New Roman"/>
          <w:sz w:val="24"/>
          <w:szCs w:val="24"/>
        </w:rPr>
      </w:pPr>
      <w:proofErr w:type="spellStart"/>
      <w:r w:rsidRPr="00687215">
        <w:rPr>
          <w:rFonts w:ascii="Times New Roman" w:hAnsi="Times New Roman" w:cs="Times New Roman"/>
          <w:sz w:val="24"/>
          <w:szCs w:val="24"/>
        </w:rPr>
        <w:t>Taket</w:t>
      </w:r>
      <w:proofErr w:type="spellEnd"/>
      <w:r w:rsidRPr="00687215">
        <w:rPr>
          <w:rFonts w:ascii="Times New Roman" w:hAnsi="Times New Roman" w:cs="Times New Roman"/>
          <w:sz w:val="24"/>
          <w:szCs w:val="24"/>
        </w:rPr>
        <w:t xml:space="preserve">, A., Crisp, B., Graham, M., Hanna, L., </w:t>
      </w:r>
      <w:proofErr w:type="spellStart"/>
      <w:r w:rsidRPr="00687215">
        <w:rPr>
          <w:rFonts w:ascii="Times New Roman" w:hAnsi="Times New Roman" w:cs="Times New Roman"/>
          <w:sz w:val="24"/>
          <w:szCs w:val="24"/>
        </w:rPr>
        <w:t>Goldingay</w:t>
      </w:r>
      <w:proofErr w:type="spellEnd"/>
      <w:r w:rsidRPr="00687215">
        <w:rPr>
          <w:rFonts w:ascii="Times New Roman" w:hAnsi="Times New Roman" w:cs="Times New Roman"/>
          <w:sz w:val="24"/>
          <w:szCs w:val="24"/>
        </w:rPr>
        <w:t xml:space="preserve">, S. and Wilson, L. (2014) </w:t>
      </w:r>
      <w:r w:rsidRPr="00687215">
        <w:rPr>
          <w:rFonts w:ascii="Times New Roman" w:hAnsi="Times New Roman" w:cs="Times New Roman"/>
          <w:i/>
          <w:sz w:val="24"/>
          <w:szCs w:val="24"/>
        </w:rPr>
        <w:t xml:space="preserve">Practising Social Inclusion. </w:t>
      </w:r>
      <w:r w:rsidRPr="00687215">
        <w:rPr>
          <w:rFonts w:ascii="Times New Roman" w:hAnsi="Times New Roman" w:cs="Times New Roman"/>
          <w:sz w:val="24"/>
          <w:szCs w:val="24"/>
        </w:rPr>
        <w:t xml:space="preserve">London: Routledge. </w:t>
      </w:r>
    </w:p>
    <w:p w:rsidR="00E60E76" w:rsidRPr="00687215" w:rsidRDefault="00E60E76" w:rsidP="00E60E76">
      <w:pPr>
        <w:rPr>
          <w:rFonts w:ascii="Times New Roman" w:hAnsi="Times New Roman" w:cs="Times New Roman"/>
          <w:sz w:val="24"/>
          <w:szCs w:val="24"/>
        </w:rPr>
      </w:pPr>
      <w:proofErr w:type="gramStart"/>
      <w:r w:rsidRPr="00687215">
        <w:rPr>
          <w:rFonts w:ascii="Times New Roman" w:hAnsi="Times New Roman" w:cs="Times New Roman"/>
          <w:sz w:val="24"/>
          <w:szCs w:val="24"/>
        </w:rPr>
        <w:t>The College of Physicians of Philadelphia.</w:t>
      </w:r>
      <w:proofErr w:type="gramEnd"/>
      <w:r w:rsidRPr="00687215">
        <w:rPr>
          <w:rFonts w:ascii="Times New Roman" w:hAnsi="Times New Roman" w:cs="Times New Roman"/>
          <w:sz w:val="24"/>
          <w:szCs w:val="24"/>
        </w:rPr>
        <w:t xml:space="preserve"> (2018) ‘Do Vaccines cause Autism’ </w:t>
      </w:r>
      <w:hyperlink r:id="rId10" w:history="1">
        <w:r w:rsidRPr="00687215">
          <w:rPr>
            <w:rStyle w:val="Hyperlink"/>
            <w:rFonts w:ascii="Times New Roman" w:hAnsi="Times New Roman" w:cs="Times New Roman"/>
            <w:sz w:val="24"/>
            <w:szCs w:val="24"/>
          </w:rPr>
          <w:t>https://www.historyofvaccines.org/content/articles/do-vaccines-cause-autism</w:t>
        </w:r>
      </w:hyperlink>
      <w:r w:rsidRPr="00687215">
        <w:rPr>
          <w:rFonts w:ascii="Times New Roman" w:hAnsi="Times New Roman" w:cs="Times New Roman"/>
          <w:sz w:val="24"/>
          <w:szCs w:val="24"/>
        </w:rPr>
        <w:t xml:space="preserve"> [Accessed: 26</w:t>
      </w:r>
      <w:r w:rsidRPr="00687215">
        <w:rPr>
          <w:rFonts w:ascii="Times New Roman" w:hAnsi="Times New Roman" w:cs="Times New Roman"/>
          <w:sz w:val="24"/>
          <w:szCs w:val="24"/>
          <w:vertAlign w:val="superscript"/>
        </w:rPr>
        <w:t>th</w:t>
      </w:r>
      <w:r w:rsidRPr="00687215">
        <w:rPr>
          <w:rFonts w:ascii="Times New Roman" w:hAnsi="Times New Roman" w:cs="Times New Roman"/>
          <w:sz w:val="24"/>
          <w:szCs w:val="24"/>
        </w:rPr>
        <w:t xml:space="preserve"> April 2018]. </w:t>
      </w:r>
    </w:p>
    <w:p w:rsidR="00E60E76" w:rsidRPr="00687215" w:rsidRDefault="00E60E76" w:rsidP="00E60E76">
      <w:pPr>
        <w:rPr>
          <w:rFonts w:ascii="Times New Roman" w:hAnsi="Times New Roman" w:cs="Times New Roman"/>
          <w:sz w:val="24"/>
          <w:szCs w:val="24"/>
        </w:rPr>
      </w:pPr>
      <w:proofErr w:type="gramStart"/>
      <w:r w:rsidRPr="00687215">
        <w:rPr>
          <w:rFonts w:ascii="Times New Roman" w:hAnsi="Times New Roman" w:cs="Times New Roman"/>
          <w:sz w:val="24"/>
          <w:szCs w:val="24"/>
        </w:rPr>
        <w:t>The National Autistic Society.</w:t>
      </w:r>
      <w:proofErr w:type="gramEnd"/>
      <w:r w:rsidRPr="00687215">
        <w:rPr>
          <w:rFonts w:ascii="Times New Roman" w:hAnsi="Times New Roman" w:cs="Times New Roman"/>
          <w:sz w:val="24"/>
          <w:szCs w:val="24"/>
        </w:rPr>
        <w:t xml:space="preserve"> (2018) ‘What is autism?’ </w:t>
      </w:r>
      <w:hyperlink r:id="rId11" w:history="1">
        <w:r w:rsidRPr="00687215">
          <w:rPr>
            <w:rStyle w:val="Hyperlink"/>
            <w:rFonts w:ascii="Times New Roman" w:hAnsi="Times New Roman" w:cs="Times New Roman"/>
            <w:sz w:val="24"/>
            <w:szCs w:val="24"/>
          </w:rPr>
          <w:t>http://www.autism.org.uk/about/what-is/asd.aspx?gclid=Cj0KCQjw8YXXBRDXARIsAMzsQuVmpctqx5xxFowpzn2ZJNzC72IBT-liSfPITeYMIatILMEURiWrZRYaAqEUEALw_wcB</w:t>
        </w:r>
      </w:hyperlink>
      <w:r w:rsidRPr="00687215">
        <w:rPr>
          <w:rFonts w:ascii="Times New Roman" w:hAnsi="Times New Roman" w:cs="Times New Roman"/>
          <w:sz w:val="24"/>
          <w:szCs w:val="24"/>
        </w:rPr>
        <w:t xml:space="preserve"> [Accessed: 26</w:t>
      </w:r>
      <w:r w:rsidRPr="00687215">
        <w:rPr>
          <w:rFonts w:ascii="Times New Roman" w:hAnsi="Times New Roman" w:cs="Times New Roman"/>
          <w:sz w:val="24"/>
          <w:szCs w:val="24"/>
          <w:vertAlign w:val="superscript"/>
        </w:rPr>
        <w:t>th</w:t>
      </w:r>
      <w:r w:rsidRPr="00687215">
        <w:rPr>
          <w:rFonts w:ascii="Times New Roman" w:hAnsi="Times New Roman" w:cs="Times New Roman"/>
          <w:sz w:val="24"/>
          <w:szCs w:val="24"/>
        </w:rPr>
        <w:t xml:space="preserve"> April 2018].</w:t>
      </w:r>
    </w:p>
    <w:p w:rsidR="00E60E76" w:rsidRPr="00687215" w:rsidRDefault="00E60E76" w:rsidP="00E60E76">
      <w:pPr>
        <w:rPr>
          <w:rFonts w:ascii="Times New Roman" w:hAnsi="Times New Roman" w:cs="Times New Roman"/>
          <w:sz w:val="24"/>
          <w:szCs w:val="24"/>
        </w:rPr>
      </w:pPr>
      <w:proofErr w:type="gramStart"/>
      <w:r w:rsidRPr="00687215">
        <w:rPr>
          <w:rFonts w:ascii="Times New Roman" w:hAnsi="Times New Roman" w:cs="Times New Roman"/>
          <w:sz w:val="24"/>
          <w:szCs w:val="24"/>
        </w:rPr>
        <w:t xml:space="preserve">Wall, K. (2003) </w:t>
      </w:r>
      <w:r w:rsidRPr="00687215">
        <w:rPr>
          <w:rFonts w:ascii="Times New Roman" w:hAnsi="Times New Roman" w:cs="Times New Roman"/>
          <w:i/>
          <w:sz w:val="24"/>
          <w:szCs w:val="24"/>
        </w:rPr>
        <w:t>Special Needs and Early Years.</w:t>
      </w:r>
      <w:proofErr w:type="gramEnd"/>
      <w:r w:rsidRPr="00687215">
        <w:rPr>
          <w:rFonts w:ascii="Times New Roman" w:hAnsi="Times New Roman" w:cs="Times New Roman"/>
          <w:i/>
          <w:sz w:val="24"/>
          <w:szCs w:val="24"/>
        </w:rPr>
        <w:t xml:space="preserve"> </w:t>
      </w:r>
      <w:proofErr w:type="gramStart"/>
      <w:r w:rsidRPr="00687215">
        <w:rPr>
          <w:rFonts w:ascii="Times New Roman" w:hAnsi="Times New Roman" w:cs="Times New Roman"/>
          <w:i/>
          <w:sz w:val="24"/>
          <w:szCs w:val="24"/>
        </w:rPr>
        <w:t>A Practitioner’s Guide.</w:t>
      </w:r>
      <w:proofErr w:type="gramEnd"/>
      <w:r w:rsidRPr="00687215">
        <w:rPr>
          <w:rFonts w:ascii="Times New Roman" w:hAnsi="Times New Roman" w:cs="Times New Roman"/>
          <w:i/>
          <w:sz w:val="24"/>
          <w:szCs w:val="24"/>
        </w:rPr>
        <w:t xml:space="preserve"> </w:t>
      </w:r>
      <w:r w:rsidRPr="00687215">
        <w:rPr>
          <w:rFonts w:ascii="Times New Roman" w:hAnsi="Times New Roman" w:cs="Times New Roman"/>
          <w:sz w:val="24"/>
          <w:szCs w:val="24"/>
        </w:rPr>
        <w:t xml:space="preserve">London: Paul Chapman Publishing. </w:t>
      </w:r>
    </w:p>
    <w:p w:rsidR="00E60E76" w:rsidRPr="00687215" w:rsidRDefault="00E60E76" w:rsidP="00E60E76">
      <w:pPr>
        <w:rPr>
          <w:rFonts w:ascii="Times New Roman" w:hAnsi="Times New Roman" w:cs="Times New Roman"/>
          <w:sz w:val="24"/>
          <w:szCs w:val="24"/>
        </w:rPr>
      </w:pPr>
      <w:r w:rsidRPr="00687215">
        <w:rPr>
          <w:rFonts w:ascii="Times New Roman" w:hAnsi="Times New Roman" w:cs="Times New Roman"/>
          <w:sz w:val="24"/>
          <w:szCs w:val="24"/>
        </w:rPr>
        <w:t xml:space="preserve">Webster, R. (2014) ‘Relying on teaching assistant support for SEN students is a false economy’ </w:t>
      </w:r>
      <w:hyperlink r:id="rId12" w:history="1">
        <w:r w:rsidRPr="00687215">
          <w:rPr>
            <w:rStyle w:val="Hyperlink"/>
            <w:rFonts w:ascii="Times New Roman" w:hAnsi="Times New Roman" w:cs="Times New Roman"/>
            <w:sz w:val="24"/>
            <w:szCs w:val="24"/>
          </w:rPr>
          <w:t>https://www.theguardian.com/teacher-network/teacher-blog/2014/apr/17/special-educational-needs-teaching-assistant-support-sen-students</w:t>
        </w:r>
      </w:hyperlink>
      <w:r w:rsidRPr="00687215">
        <w:rPr>
          <w:rFonts w:ascii="Times New Roman" w:hAnsi="Times New Roman" w:cs="Times New Roman"/>
          <w:sz w:val="24"/>
          <w:szCs w:val="24"/>
        </w:rPr>
        <w:t xml:space="preserve"> [Accessed: 26</w:t>
      </w:r>
      <w:r w:rsidRPr="00687215">
        <w:rPr>
          <w:rFonts w:ascii="Times New Roman" w:hAnsi="Times New Roman" w:cs="Times New Roman"/>
          <w:sz w:val="24"/>
          <w:szCs w:val="24"/>
          <w:vertAlign w:val="superscript"/>
        </w:rPr>
        <w:t>th</w:t>
      </w:r>
      <w:r w:rsidRPr="00687215">
        <w:rPr>
          <w:rFonts w:ascii="Times New Roman" w:hAnsi="Times New Roman" w:cs="Times New Roman"/>
          <w:sz w:val="24"/>
          <w:szCs w:val="24"/>
        </w:rPr>
        <w:t xml:space="preserve"> April 2018].</w:t>
      </w:r>
    </w:p>
    <w:p w:rsidR="00E60E76" w:rsidRPr="00687215" w:rsidRDefault="00E60E76" w:rsidP="00E60E76">
      <w:pPr>
        <w:rPr>
          <w:rFonts w:ascii="Times New Roman" w:hAnsi="Times New Roman" w:cs="Times New Roman"/>
          <w:sz w:val="24"/>
          <w:szCs w:val="24"/>
        </w:rPr>
      </w:pPr>
      <w:proofErr w:type="gramStart"/>
      <w:r w:rsidRPr="00687215">
        <w:rPr>
          <w:rFonts w:ascii="Times New Roman" w:hAnsi="Times New Roman" w:cs="Times New Roman"/>
          <w:sz w:val="24"/>
          <w:szCs w:val="24"/>
        </w:rPr>
        <w:t xml:space="preserve">Zeichner, K. and Liston, D. (2011) </w:t>
      </w:r>
      <w:r w:rsidRPr="00687215">
        <w:rPr>
          <w:rFonts w:ascii="Times New Roman" w:hAnsi="Times New Roman" w:cs="Times New Roman"/>
          <w:i/>
          <w:sz w:val="24"/>
          <w:szCs w:val="24"/>
        </w:rPr>
        <w:t>Reflective Teaching: An Introduction.</w:t>
      </w:r>
      <w:proofErr w:type="gramEnd"/>
      <w:r w:rsidRPr="00687215">
        <w:rPr>
          <w:rFonts w:ascii="Times New Roman" w:hAnsi="Times New Roman" w:cs="Times New Roman"/>
          <w:i/>
          <w:sz w:val="24"/>
          <w:szCs w:val="24"/>
        </w:rPr>
        <w:t xml:space="preserve"> </w:t>
      </w:r>
      <w:r w:rsidRPr="00687215">
        <w:rPr>
          <w:rFonts w:ascii="Times New Roman" w:hAnsi="Times New Roman" w:cs="Times New Roman"/>
          <w:sz w:val="24"/>
          <w:szCs w:val="24"/>
        </w:rPr>
        <w:t xml:space="preserve">New York: Routledge. </w:t>
      </w:r>
      <w:bookmarkStart w:id="0" w:name="_GoBack"/>
      <w:bookmarkEnd w:id="0"/>
    </w:p>
    <w:p w:rsidR="00E60E76" w:rsidRPr="003D2DD6" w:rsidRDefault="00E60E76">
      <w:pPr>
        <w:rPr>
          <w:rFonts w:ascii="Times New Roman" w:hAnsi="Times New Roman" w:cs="Times New Roman"/>
          <w:sz w:val="24"/>
          <w:szCs w:val="24"/>
        </w:rPr>
      </w:pPr>
    </w:p>
    <w:sectPr w:rsidR="00E60E76" w:rsidRPr="003D2DD6">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569" w:rsidRDefault="00997569" w:rsidP="003D2DD6">
      <w:pPr>
        <w:spacing w:after="0" w:line="240" w:lineRule="auto"/>
      </w:pPr>
      <w:r>
        <w:separator/>
      </w:r>
    </w:p>
  </w:endnote>
  <w:endnote w:type="continuationSeparator" w:id="0">
    <w:p w:rsidR="00997569" w:rsidRDefault="00997569" w:rsidP="003D2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2309565"/>
      <w:docPartObj>
        <w:docPartGallery w:val="Page Numbers (Bottom of Page)"/>
        <w:docPartUnique/>
      </w:docPartObj>
    </w:sdtPr>
    <w:sdtEndPr>
      <w:rPr>
        <w:noProof/>
      </w:rPr>
    </w:sdtEndPr>
    <w:sdtContent>
      <w:p w:rsidR="003D2DD6" w:rsidRDefault="003D2DD6">
        <w:pPr>
          <w:pStyle w:val="Footer"/>
          <w:jc w:val="center"/>
        </w:pPr>
        <w:r>
          <w:fldChar w:fldCharType="begin"/>
        </w:r>
        <w:r>
          <w:instrText xml:space="preserve"> PAGE   \* MERGEFORMAT </w:instrText>
        </w:r>
        <w:r>
          <w:fldChar w:fldCharType="separate"/>
        </w:r>
        <w:r w:rsidR="00E60E76">
          <w:rPr>
            <w:noProof/>
          </w:rPr>
          <w:t>9</w:t>
        </w:r>
        <w:r>
          <w:rPr>
            <w:noProof/>
          </w:rPr>
          <w:fldChar w:fldCharType="end"/>
        </w:r>
      </w:p>
    </w:sdtContent>
  </w:sdt>
  <w:p w:rsidR="003D2DD6" w:rsidRDefault="003D2D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569" w:rsidRDefault="00997569" w:rsidP="003D2DD6">
      <w:pPr>
        <w:spacing w:after="0" w:line="240" w:lineRule="auto"/>
      </w:pPr>
      <w:r>
        <w:separator/>
      </w:r>
    </w:p>
  </w:footnote>
  <w:footnote w:type="continuationSeparator" w:id="0">
    <w:p w:rsidR="00997569" w:rsidRDefault="00997569" w:rsidP="003D2D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DD6" w:rsidRDefault="003D2DD6">
    <w:pPr>
      <w:pStyle w:val="Header"/>
    </w:pPr>
    <w:r>
      <w:t>EAEC6002</w:t>
    </w:r>
    <w:r>
      <w:ptab w:relativeTo="margin" w:alignment="center" w:leader="none"/>
    </w:r>
    <w:r>
      <w:t>Words: 3</w:t>
    </w:r>
    <w:r w:rsidR="00142329">
      <w:t>1</w:t>
    </w:r>
    <w:r w:rsidR="008E1E5D">
      <w:t>98</w:t>
    </w:r>
    <w:r>
      <w:ptab w:relativeTo="margin" w:alignment="right" w:leader="none"/>
    </w:r>
    <w:r>
      <w:t>1500481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41C"/>
    <w:rsid w:val="00072F85"/>
    <w:rsid w:val="000E30B8"/>
    <w:rsid w:val="00142329"/>
    <w:rsid w:val="003D2DD6"/>
    <w:rsid w:val="008E1E5D"/>
    <w:rsid w:val="00997569"/>
    <w:rsid w:val="00A1241C"/>
    <w:rsid w:val="00B4003C"/>
    <w:rsid w:val="00D97A53"/>
    <w:rsid w:val="00E60E76"/>
    <w:rsid w:val="00EB5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D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DD6"/>
  </w:style>
  <w:style w:type="paragraph" w:styleId="Footer">
    <w:name w:val="footer"/>
    <w:basedOn w:val="Normal"/>
    <w:link w:val="FooterChar"/>
    <w:uiPriority w:val="99"/>
    <w:unhideWhenUsed/>
    <w:rsid w:val="003D2D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DD6"/>
  </w:style>
  <w:style w:type="paragraph" w:styleId="BalloonText">
    <w:name w:val="Balloon Text"/>
    <w:basedOn w:val="Normal"/>
    <w:link w:val="BalloonTextChar"/>
    <w:uiPriority w:val="99"/>
    <w:semiHidden/>
    <w:unhideWhenUsed/>
    <w:rsid w:val="003D2D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2DD6"/>
    <w:rPr>
      <w:rFonts w:ascii="Tahoma" w:hAnsi="Tahoma" w:cs="Tahoma"/>
      <w:sz w:val="16"/>
      <w:szCs w:val="16"/>
    </w:rPr>
  </w:style>
  <w:style w:type="paragraph" w:styleId="NormalWeb">
    <w:name w:val="Normal (Web)"/>
    <w:basedOn w:val="Normal"/>
    <w:uiPriority w:val="99"/>
    <w:semiHidden/>
    <w:unhideWhenUsed/>
    <w:rsid w:val="003D2D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60E76"/>
    <w:rPr>
      <w:color w:val="0000FF" w:themeColor="hyperlink"/>
      <w:u w:val="single"/>
    </w:rPr>
  </w:style>
  <w:style w:type="character" w:customStyle="1" w:styleId="apple-converted-space">
    <w:name w:val="apple-converted-space"/>
    <w:basedOn w:val="DefaultParagraphFont"/>
    <w:rsid w:val="00E60E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D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DD6"/>
  </w:style>
  <w:style w:type="paragraph" w:styleId="Footer">
    <w:name w:val="footer"/>
    <w:basedOn w:val="Normal"/>
    <w:link w:val="FooterChar"/>
    <w:uiPriority w:val="99"/>
    <w:unhideWhenUsed/>
    <w:rsid w:val="003D2D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DD6"/>
  </w:style>
  <w:style w:type="paragraph" w:styleId="BalloonText">
    <w:name w:val="Balloon Text"/>
    <w:basedOn w:val="Normal"/>
    <w:link w:val="BalloonTextChar"/>
    <w:uiPriority w:val="99"/>
    <w:semiHidden/>
    <w:unhideWhenUsed/>
    <w:rsid w:val="003D2D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2DD6"/>
    <w:rPr>
      <w:rFonts w:ascii="Tahoma" w:hAnsi="Tahoma" w:cs="Tahoma"/>
      <w:sz w:val="16"/>
      <w:szCs w:val="16"/>
    </w:rPr>
  </w:style>
  <w:style w:type="paragraph" w:styleId="NormalWeb">
    <w:name w:val="Normal (Web)"/>
    <w:basedOn w:val="Normal"/>
    <w:uiPriority w:val="99"/>
    <w:semiHidden/>
    <w:unhideWhenUsed/>
    <w:rsid w:val="003D2D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60E76"/>
    <w:rPr>
      <w:color w:val="0000FF" w:themeColor="hyperlink"/>
      <w:u w:val="single"/>
    </w:rPr>
  </w:style>
  <w:style w:type="character" w:customStyle="1" w:styleId="apple-converted-space">
    <w:name w:val="apple-converted-space"/>
    <w:basedOn w:val="DefaultParagraphFont"/>
    <w:rsid w:val="00E60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9566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ers.org.uk/education-policies/fundin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legislation.gov.uk/ukpga/2014/6/contents/enacted" TargetMode="External"/><Relationship Id="rId12" Type="http://schemas.openxmlformats.org/officeDocument/2006/relationships/hyperlink" Target="https://www.theguardian.com/teacher-network/teacher-blog/2014/apr/17/special-educational-needs-teaching-assistant-support-sen-students"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autism.org.uk/about/what-is/asd.aspx?gclid=Cj0KCQjw8YXXBRDXARIsAMzsQuVmpctqx5xxFowpzn2ZJNzC72IBT-liSfPITeYMIatILMEURiWrZRYaAqEUEALw_wcB"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istoryofvaccines.org/content/articles/do-vaccines-cause-autism" TargetMode="External"/><Relationship Id="rId4" Type="http://schemas.openxmlformats.org/officeDocument/2006/relationships/webSettings" Target="webSettings.xml"/><Relationship Id="rId9" Type="http://schemas.openxmlformats.org/officeDocument/2006/relationships/hyperlink" Target="https://www.scope.org.uk/about-us/our-brand/social-model-of-disability"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464"/>
    <w:rsid w:val="00E7270B"/>
    <w:rsid w:val="00EE0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D2F7FB79CC448BCACD4FC811F7F3B65">
    <w:name w:val="7D2F7FB79CC448BCACD4FC811F7F3B65"/>
    <w:rsid w:val="00EE04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D2F7FB79CC448BCACD4FC811F7F3B65">
    <w:name w:val="7D2F7FB79CC448BCACD4FC811F7F3B65"/>
    <w:rsid w:val="00EE04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9</Pages>
  <Words>3538</Words>
  <Characters>20167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Monica</cp:lastModifiedBy>
  <cp:revision>6</cp:revision>
  <dcterms:created xsi:type="dcterms:W3CDTF">2018-05-03T15:35:00Z</dcterms:created>
  <dcterms:modified xsi:type="dcterms:W3CDTF">2018-05-03T16:07:00Z</dcterms:modified>
</cp:coreProperties>
</file>