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9FBE4E5" w14:textId="77777777" w:rsidR="00F70EBC" w:rsidRPr="00EF3725" w:rsidRDefault="00F70EBC" w:rsidP="00F70EBC">
      <w:pPr>
        <w:spacing w:line="360" w:lineRule="auto"/>
        <w:jc w:val="center"/>
        <w:rPr>
          <w:rFonts w:eastAsia="Times New Roman"/>
          <w:b/>
          <w:color w:val="000000" w:themeColor="text1"/>
          <w:sz w:val="24"/>
          <w:szCs w:val="24"/>
        </w:rPr>
      </w:pPr>
    </w:p>
    <w:p w14:paraId="0F890088" w14:textId="77777777" w:rsidR="00F70EBC" w:rsidRPr="00EF3725" w:rsidRDefault="00F70EBC" w:rsidP="00F70EBC">
      <w:pPr>
        <w:spacing w:line="360" w:lineRule="auto"/>
        <w:jc w:val="center"/>
        <w:rPr>
          <w:rFonts w:eastAsia="Times New Roman"/>
          <w:b/>
          <w:color w:val="000000" w:themeColor="text1"/>
          <w:sz w:val="24"/>
          <w:szCs w:val="24"/>
        </w:rPr>
      </w:pPr>
      <w:bookmarkStart w:id="0" w:name="_eiv3o8z9we5w" w:colFirst="0" w:colLast="0"/>
      <w:bookmarkEnd w:id="0"/>
      <w:r>
        <w:rPr>
          <w:noProof/>
        </w:rPr>
        <w:drawing>
          <wp:inline distT="0" distB="0" distL="0" distR="0" wp14:anchorId="42051F75" wp14:editId="5994B2E7">
            <wp:extent cx="5715000" cy="1895475"/>
            <wp:effectExtent l="0" t="0" r="0" b="9525"/>
            <wp:docPr id="432139336" name="Picture 432139336" descr="A black background with white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black background with white tex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5000" cy="18954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5E624FF" w14:textId="77777777" w:rsidR="00F70EBC" w:rsidRPr="00EF3725" w:rsidRDefault="00F70EBC" w:rsidP="00F70EBC">
      <w:pPr>
        <w:spacing w:line="360" w:lineRule="auto"/>
        <w:jc w:val="center"/>
        <w:rPr>
          <w:rFonts w:eastAsia="Times New Roman"/>
          <w:b/>
          <w:color w:val="000000" w:themeColor="text1"/>
          <w:sz w:val="24"/>
          <w:szCs w:val="24"/>
        </w:rPr>
      </w:pPr>
    </w:p>
    <w:p w14:paraId="3925F7F8" w14:textId="77777777" w:rsidR="00F70EBC" w:rsidRDefault="00F70EBC" w:rsidP="00F70EBC">
      <w:pPr>
        <w:spacing w:line="360" w:lineRule="auto"/>
        <w:jc w:val="center"/>
        <w:rPr>
          <w:rFonts w:eastAsia="Times New Roman"/>
          <w:b/>
          <w:color w:val="000000" w:themeColor="text1"/>
          <w:sz w:val="24"/>
          <w:szCs w:val="24"/>
        </w:rPr>
      </w:pPr>
    </w:p>
    <w:p w14:paraId="00A6BAD1" w14:textId="77777777" w:rsidR="00F70EBC" w:rsidRDefault="00F70EBC" w:rsidP="00F70EBC">
      <w:pPr>
        <w:spacing w:line="360" w:lineRule="auto"/>
        <w:jc w:val="center"/>
        <w:rPr>
          <w:rFonts w:eastAsia="Times New Roman"/>
          <w:b/>
          <w:color w:val="000000" w:themeColor="text1"/>
          <w:sz w:val="24"/>
          <w:szCs w:val="24"/>
        </w:rPr>
      </w:pPr>
    </w:p>
    <w:p w14:paraId="17598F9D" w14:textId="77777777" w:rsidR="00F70EBC" w:rsidRPr="00EF3725" w:rsidRDefault="00F70EBC" w:rsidP="00F70EBC">
      <w:pPr>
        <w:spacing w:line="360" w:lineRule="auto"/>
        <w:jc w:val="center"/>
        <w:rPr>
          <w:rFonts w:eastAsia="Times New Roman"/>
          <w:b/>
          <w:color w:val="000000" w:themeColor="text1"/>
          <w:sz w:val="24"/>
          <w:szCs w:val="24"/>
        </w:rPr>
      </w:pPr>
    </w:p>
    <w:p w14:paraId="61E7298A" w14:textId="77777777" w:rsidR="00F70EBC" w:rsidRPr="00EF3725" w:rsidRDefault="00F70EBC" w:rsidP="00F70EBC">
      <w:pPr>
        <w:spacing w:line="360" w:lineRule="auto"/>
        <w:jc w:val="center"/>
        <w:rPr>
          <w:rFonts w:eastAsia="Times New Roman"/>
          <w:b/>
          <w:color w:val="000000" w:themeColor="text1"/>
          <w:sz w:val="24"/>
          <w:szCs w:val="24"/>
        </w:rPr>
      </w:pPr>
      <w:r w:rsidRPr="00EF3725">
        <w:rPr>
          <w:rFonts w:eastAsia="Times New Roman"/>
          <w:b/>
          <w:color w:val="000000" w:themeColor="text1"/>
          <w:sz w:val="24"/>
          <w:szCs w:val="24"/>
        </w:rPr>
        <w:t xml:space="preserve"> </w:t>
      </w:r>
    </w:p>
    <w:p w14:paraId="7C317E9D" w14:textId="77777777" w:rsidR="00F70EBC" w:rsidRDefault="00F70EBC" w:rsidP="00F70EBC">
      <w:pPr>
        <w:spacing w:line="360" w:lineRule="auto"/>
        <w:jc w:val="center"/>
        <w:rPr>
          <w:rFonts w:eastAsia="Times New Roman"/>
          <w:bCs/>
          <w:color w:val="000000" w:themeColor="text1"/>
          <w:sz w:val="32"/>
          <w:szCs w:val="24"/>
        </w:rPr>
      </w:pPr>
      <w:r w:rsidRPr="00EF3725">
        <w:rPr>
          <w:rFonts w:eastAsia="Times New Roman"/>
          <w:b/>
          <w:color w:val="000000" w:themeColor="text1"/>
          <w:sz w:val="32"/>
          <w:szCs w:val="24"/>
        </w:rPr>
        <w:t xml:space="preserve">PROGRAMME: </w:t>
      </w:r>
      <w:r>
        <w:rPr>
          <w:rFonts w:eastAsia="Times New Roman"/>
          <w:bCs/>
          <w:color w:val="000000" w:themeColor="text1"/>
          <w:sz w:val="32"/>
          <w:szCs w:val="24"/>
        </w:rPr>
        <w:t>MBA – International Business</w:t>
      </w:r>
    </w:p>
    <w:p w14:paraId="11D34FB7" w14:textId="77777777" w:rsidR="00F70EBC" w:rsidRDefault="00F70EBC" w:rsidP="00F70EBC">
      <w:pPr>
        <w:spacing w:line="360" w:lineRule="auto"/>
        <w:jc w:val="center"/>
        <w:rPr>
          <w:rFonts w:eastAsia="Times New Roman"/>
          <w:bCs/>
          <w:color w:val="000000" w:themeColor="text1"/>
          <w:sz w:val="32"/>
          <w:szCs w:val="24"/>
        </w:rPr>
      </w:pPr>
      <w:r>
        <w:rPr>
          <w:rFonts w:eastAsia="Times New Roman"/>
          <w:bCs/>
          <w:color w:val="000000" w:themeColor="text1"/>
          <w:sz w:val="32"/>
          <w:szCs w:val="24"/>
        </w:rPr>
        <w:t>Term 1</w:t>
      </w:r>
    </w:p>
    <w:p w14:paraId="6FB5E841" w14:textId="77777777" w:rsidR="00F70EBC" w:rsidRDefault="00F70EBC" w:rsidP="00F70EBC">
      <w:pPr>
        <w:spacing w:line="360" w:lineRule="auto"/>
        <w:jc w:val="center"/>
        <w:rPr>
          <w:rFonts w:eastAsia="Times New Roman"/>
          <w:bCs/>
          <w:color w:val="000000" w:themeColor="text1"/>
          <w:sz w:val="32"/>
          <w:szCs w:val="24"/>
        </w:rPr>
      </w:pPr>
    </w:p>
    <w:p w14:paraId="1FC5F83A" w14:textId="77777777" w:rsidR="00DB2A56" w:rsidRDefault="00F70EBC" w:rsidP="00F70EBC">
      <w:pPr>
        <w:spacing w:line="360" w:lineRule="auto"/>
        <w:jc w:val="center"/>
        <w:rPr>
          <w:rFonts w:eastAsia="Times New Roman"/>
          <w:bCs/>
          <w:color w:val="000000" w:themeColor="text1"/>
          <w:sz w:val="32"/>
          <w:szCs w:val="32"/>
        </w:rPr>
      </w:pPr>
      <w:r w:rsidRPr="00F70EBC">
        <w:rPr>
          <w:rFonts w:eastAsia="Times New Roman"/>
          <w:b/>
          <w:color w:val="000000" w:themeColor="text1"/>
          <w:sz w:val="32"/>
          <w:szCs w:val="32"/>
        </w:rPr>
        <w:t>ASSIGNMENT</w:t>
      </w:r>
      <w:r>
        <w:rPr>
          <w:rFonts w:eastAsia="Times New Roman"/>
          <w:bCs/>
          <w:color w:val="000000" w:themeColor="text1"/>
          <w:sz w:val="32"/>
          <w:szCs w:val="32"/>
        </w:rPr>
        <w:t xml:space="preserve"> </w:t>
      </w:r>
      <w:r w:rsidR="00DB2A56">
        <w:rPr>
          <w:rFonts w:eastAsia="Times New Roman"/>
          <w:bCs/>
          <w:color w:val="000000" w:themeColor="text1"/>
          <w:sz w:val="32"/>
          <w:szCs w:val="32"/>
        </w:rPr>
        <w:t>–</w:t>
      </w:r>
      <w:r>
        <w:rPr>
          <w:rFonts w:eastAsia="Times New Roman"/>
          <w:bCs/>
          <w:color w:val="000000" w:themeColor="text1"/>
          <w:sz w:val="32"/>
          <w:szCs w:val="32"/>
        </w:rPr>
        <w:t xml:space="preserve"> 2</w:t>
      </w:r>
      <w:r w:rsidR="00DB2A56">
        <w:rPr>
          <w:rFonts w:eastAsia="Times New Roman"/>
          <w:bCs/>
          <w:color w:val="000000" w:themeColor="text1"/>
          <w:sz w:val="32"/>
          <w:szCs w:val="32"/>
        </w:rPr>
        <w:t xml:space="preserve"> </w:t>
      </w:r>
    </w:p>
    <w:p w14:paraId="6A1F911F" w14:textId="786041B7" w:rsidR="00F70EBC" w:rsidRPr="00DB2A56" w:rsidRDefault="00DB2A56" w:rsidP="00F70EBC">
      <w:pPr>
        <w:spacing w:line="360" w:lineRule="auto"/>
        <w:jc w:val="center"/>
        <w:rPr>
          <w:rFonts w:eastAsia="Times New Roman"/>
          <w:b/>
          <w:color w:val="000000" w:themeColor="text1"/>
          <w:sz w:val="32"/>
          <w:szCs w:val="24"/>
        </w:rPr>
      </w:pPr>
      <w:r w:rsidRPr="00DB2A56">
        <w:rPr>
          <w:rFonts w:eastAsia="Times New Roman"/>
          <w:b/>
          <w:color w:val="000000" w:themeColor="text1"/>
          <w:sz w:val="32"/>
          <w:szCs w:val="32"/>
        </w:rPr>
        <w:t>POSTER PRESENTATION</w:t>
      </w:r>
    </w:p>
    <w:p w14:paraId="72A5CA90" w14:textId="77777777" w:rsidR="00F70EBC" w:rsidRPr="00B420D9" w:rsidRDefault="00F70EBC" w:rsidP="00F70EBC">
      <w:pPr>
        <w:spacing w:line="360" w:lineRule="auto"/>
        <w:jc w:val="center"/>
        <w:rPr>
          <w:rFonts w:eastAsia="Times New Roman"/>
          <w:bCs/>
          <w:color w:val="000000" w:themeColor="text1"/>
          <w:sz w:val="32"/>
          <w:szCs w:val="24"/>
        </w:rPr>
      </w:pPr>
    </w:p>
    <w:p w14:paraId="5D58E129" w14:textId="77777777" w:rsidR="00F70EBC" w:rsidRPr="00B420D9" w:rsidRDefault="00F70EBC" w:rsidP="00F70EBC">
      <w:pPr>
        <w:spacing w:line="360" w:lineRule="auto"/>
        <w:jc w:val="center"/>
        <w:rPr>
          <w:rFonts w:eastAsia="Times New Roman"/>
          <w:b/>
          <w:color w:val="000000" w:themeColor="text1"/>
          <w:sz w:val="32"/>
          <w:szCs w:val="24"/>
        </w:rPr>
      </w:pPr>
      <w:r w:rsidRPr="00B420D9">
        <w:rPr>
          <w:rFonts w:eastAsia="Times New Roman"/>
          <w:b/>
          <w:color w:val="000000" w:themeColor="text1"/>
          <w:sz w:val="32"/>
          <w:szCs w:val="24"/>
        </w:rPr>
        <w:t xml:space="preserve">STUDENT NAME: </w:t>
      </w:r>
      <w:r w:rsidRPr="00B420D9">
        <w:rPr>
          <w:rFonts w:eastAsia="Times New Roman"/>
          <w:bCs/>
          <w:color w:val="000000" w:themeColor="text1"/>
          <w:sz w:val="32"/>
          <w:szCs w:val="24"/>
        </w:rPr>
        <w:t>YASHKUMAR DHOLAKIYA</w:t>
      </w:r>
    </w:p>
    <w:p w14:paraId="35C2BCA2" w14:textId="77777777" w:rsidR="00F70EBC" w:rsidRDefault="00F70EBC" w:rsidP="00F70EBC">
      <w:pPr>
        <w:spacing w:line="360" w:lineRule="auto"/>
        <w:jc w:val="center"/>
        <w:rPr>
          <w:rFonts w:eastAsia="Times New Roman"/>
          <w:b/>
          <w:color w:val="000000" w:themeColor="text1"/>
          <w:sz w:val="32"/>
          <w:szCs w:val="24"/>
        </w:rPr>
      </w:pPr>
      <w:r w:rsidRPr="00B420D9">
        <w:rPr>
          <w:rFonts w:eastAsia="Times New Roman"/>
          <w:b/>
          <w:color w:val="000000" w:themeColor="text1"/>
          <w:sz w:val="32"/>
          <w:szCs w:val="24"/>
        </w:rPr>
        <w:t xml:space="preserve">STUDENT ID: </w:t>
      </w:r>
      <w:r w:rsidRPr="00B420D9">
        <w:rPr>
          <w:rFonts w:eastAsia="Times New Roman"/>
          <w:bCs/>
          <w:color w:val="000000" w:themeColor="text1"/>
          <w:sz w:val="32"/>
          <w:szCs w:val="24"/>
        </w:rPr>
        <w:t>2505243</w:t>
      </w:r>
      <w:r w:rsidRPr="00B420D9">
        <w:rPr>
          <w:rFonts w:eastAsia="Times New Roman"/>
          <w:b/>
          <w:color w:val="000000" w:themeColor="text1"/>
          <w:sz w:val="32"/>
          <w:szCs w:val="24"/>
        </w:rPr>
        <w:t xml:space="preserve"> </w:t>
      </w:r>
    </w:p>
    <w:p w14:paraId="0ACB6B6C" w14:textId="77777777" w:rsidR="00F70EBC" w:rsidRDefault="00F70EBC" w:rsidP="00F70EBC">
      <w:pPr>
        <w:spacing w:line="360" w:lineRule="auto"/>
        <w:jc w:val="center"/>
        <w:rPr>
          <w:rFonts w:eastAsia="Times New Roman"/>
          <w:b/>
          <w:color w:val="000000" w:themeColor="text1"/>
          <w:sz w:val="32"/>
          <w:szCs w:val="24"/>
        </w:rPr>
      </w:pPr>
    </w:p>
    <w:p w14:paraId="38E4B62C" w14:textId="77777777" w:rsidR="00F70EBC" w:rsidRPr="00EF3725" w:rsidRDefault="00F70EBC" w:rsidP="00F70EBC">
      <w:pPr>
        <w:spacing w:line="360" w:lineRule="auto"/>
        <w:jc w:val="center"/>
        <w:rPr>
          <w:rFonts w:eastAsia="Times New Roman"/>
          <w:b/>
          <w:color w:val="000000" w:themeColor="text1"/>
          <w:sz w:val="32"/>
          <w:szCs w:val="24"/>
        </w:rPr>
      </w:pPr>
      <w:r w:rsidRPr="00EF3725">
        <w:rPr>
          <w:rFonts w:eastAsia="Times New Roman"/>
          <w:b/>
          <w:color w:val="000000" w:themeColor="text1"/>
          <w:sz w:val="32"/>
          <w:szCs w:val="24"/>
        </w:rPr>
        <w:t xml:space="preserve">MODULE: </w:t>
      </w:r>
      <w:r w:rsidRPr="00285FF1">
        <w:rPr>
          <w:rFonts w:eastAsia="Times New Roman"/>
          <w:sz w:val="32"/>
          <w:szCs w:val="32"/>
        </w:rPr>
        <w:t>MARKETING MANAGEMENT</w:t>
      </w:r>
    </w:p>
    <w:p w14:paraId="392D88B5" w14:textId="77777777" w:rsidR="00F70EBC" w:rsidRDefault="00F70EBC" w:rsidP="00F70EBC">
      <w:pPr>
        <w:spacing w:line="360" w:lineRule="auto"/>
        <w:jc w:val="center"/>
        <w:rPr>
          <w:rFonts w:eastAsia="Times New Roman"/>
          <w:b/>
          <w:color w:val="000000" w:themeColor="text1"/>
          <w:sz w:val="32"/>
          <w:szCs w:val="32"/>
        </w:rPr>
      </w:pPr>
      <w:r w:rsidRPr="00EF3725">
        <w:rPr>
          <w:rFonts w:eastAsia="Times New Roman"/>
          <w:b/>
          <w:color w:val="000000" w:themeColor="text1"/>
          <w:sz w:val="32"/>
          <w:szCs w:val="32"/>
        </w:rPr>
        <w:t xml:space="preserve">MODULE CODE: </w:t>
      </w:r>
      <w:r w:rsidRPr="00B420D9">
        <w:rPr>
          <w:rFonts w:eastAsia="Times New Roman"/>
          <w:bCs/>
          <w:color w:val="000000" w:themeColor="text1"/>
          <w:sz w:val="32"/>
          <w:szCs w:val="32"/>
        </w:rPr>
        <w:t>LCMB702</w:t>
      </w:r>
      <w:r>
        <w:rPr>
          <w:rFonts w:eastAsia="Times New Roman"/>
          <w:bCs/>
          <w:color w:val="000000" w:themeColor="text1"/>
          <w:sz w:val="32"/>
          <w:szCs w:val="32"/>
        </w:rPr>
        <w:t>4</w:t>
      </w:r>
      <w:r w:rsidRPr="00EF3725">
        <w:rPr>
          <w:rFonts w:eastAsia="Times New Roman"/>
          <w:b/>
          <w:color w:val="000000" w:themeColor="text1"/>
          <w:sz w:val="32"/>
          <w:szCs w:val="32"/>
        </w:rPr>
        <w:t xml:space="preserve"> </w:t>
      </w:r>
    </w:p>
    <w:p w14:paraId="22E24F9D" w14:textId="77777777" w:rsidR="00F70EBC" w:rsidRDefault="00F70EBC" w:rsidP="00F70EBC">
      <w:pPr>
        <w:spacing w:line="360" w:lineRule="auto"/>
        <w:jc w:val="center"/>
        <w:rPr>
          <w:rFonts w:eastAsia="Times New Roman"/>
          <w:b/>
          <w:color w:val="000000" w:themeColor="text1"/>
          <w:sz w:val="32"/>
          <w:szCs w:val="32"/>
        </w:rPr>
      </w:pPr>
    </w:p>
    <w:p w14:paraId="5F14F4ED" w14:textId="77777777" w:rsidR="00F70EBC" w:rsidRDefault="00F70EBC" w:rsidP="00F70EBC">
      <w:pPr>
        <w:spacing w:line="360" w:lineRule="auto"/>
        <w:jc w:val="center"/>
        <w:rPr>
          <w:rFonts w:eastAsia="Times New Roman"/>
          <w:bCs/>
          <w:color w:val="000000" w:themeColor="text1"/>
          <w:sz w:val="32"/>
          <w:szCs w:val="32"/>
        </w:rPr>
      </w:pPr>
      <w:r>
        <w:rPr>
          <w:rFonts w:eastAsia="Times New Roman"/>
          <w:b/>
          <w:color w:val="000000" w:themeColor="text1"/>
          <w:sz w:val="32"/>
          <w:szCs w:val="32"/>
        </w:rPr>
        <w:t xml:space="preserve">Lecturer’s Name: </w:t>
      </w:r>
      <w:r w:rsidRPr="00285FF1">
        <w:rPr>
          <w:rFonts w:eastAsia="Times New Roman"/>
          <w:bCs/>
          <w:color w:val="000000" w:themeColor="text1"/>
          <w:sz w:val="32"/>
          <w:szCs w:val="32"/>
        </w:rPr>
        <w:t>Laila Maazouz</w:t>
      </w:r>
    </w:p>
    <w:p w14:paraId="2C5BD38F" w14:textId="406F9E4D" w:rsidR="00F70EBC" w:rsidRDefault="00F70EBC" w:rsidP="00F70EBC">
      <w:pPr>
        <w:spacing w:line="360" w:lineRule="auto"/>
        <w:jc w:val="center"/>
        <w:rPr>
          <w:rFonts w:eastAsia="Times New Roman"/>
          <w:bCs/>
          <w:color w:val="000000" w:themeColor="text1"/>
          <w:sz w:val="32"/>
          <w:szCs w:val="32"/>
        </w:rPr>
      </w:pPr>
    </w:p>
    <w:p w14:paraId="7BEB3102" w14:textId="50D9C1F1" w:rsidR="00DB2A56" w:rsidRDefault="00DB2A56" w:rsidP="00F70EBC">
      <w:pPr>
        <w:spacing w:line="360" w:lineRule="auto"/>
        <w:jc w:val="center"/>
        <w:rPr>
          <w:rFonts w:eastAsia="Times New Roman"/>
          <w:bCs/>
          <w:color w:val="000000" w:themeColor="text1"/>
          <w:sz w:val="32"/>
          <w:szCs w:val="32"/>
        </w:rPr>
      </w:pPr>
      <w:r>
        <w:rPr>
          <w:noProof/>
        </w:rPr>
        <w:lastRenderedPageBreak/>
        <w:drawing>
          <wp:inline distT="0" distB="0" distL="0" distR="0" wp14:anchorId="4CF2143E" wp14:editId="71E68507">
            <wp:extent cx="5731510" cy="8105358"/>
            <wp:effectExtent l="0" t="0" r="2540" b="0"/>
            <wp:docPr id="10435716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10535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AE5809E" w14:textId="77777777" w:rsidR="00DB2A56" w:rsidRDefault="00DB2A56" w:rsidP="00DB2A56">
      <w:pPr>
        <w:rPr>
          <w:b/>
          <w:noProof/>
          <w:lang w:val="en-IN"/>
        </w:rPr>
      </w:pPr>
      <w:bookmarkStart w:id="1" w:name="_Toc214875659"/>
    </w:p>
    <w:p w14:paraId="328F0FE4" w14:textId="77777777" w:rsidR="00DB2A56" w:rsidRDefault="00DB2A56" w:rsidP="00DB2A56">
      <w:pPr>
        <w:rPr>
          <w:b/>
          <w:noProof/>
          <w:lang w:val="en-IN"/>
        </w:rPr>
      </w:pPr>
    </w:p>
    <w:p w14:paraId="78FC6679" w14:textId="77777777" w:rsidR="00DB2A56" w:rsidRDefault="00DB2A56" w:rsidP="00DB2A56">
      <w:pPr>
        <w:rPr>
          <w:b/>
          <w:noProof/>
          <w:lang w:val="en-IN"/>
        </w:rPr>
      </w:pPr>
    </w:p>
    <w:p w14:paraId="23801BA4" w14:textId="5D8601B5" w:rsidR="00DB2A56" w:rsidRDefault="00DB2A56" w:rsidP="00DB2A56">
      <w:pPr>
        <w:rPr>
          <w:b/>
          <w:noProof/>
          <w:lang w:val="en-IN"/>
        </w:rPr>
      </w:pPr>
      <w:r w:rsidRPr="00DB2A56">
        <w:rPr>
          <w:b/>
          <w:noProof/>
          <w:lang w:val="en-IN"/>
        </w:rPr>
        <w:lastRenderedPageBreak/>
        <w:t>References</w:t>
      </w:r>
      <w:bookmarkEnd w:id="1"/>
    </w:p>
    <w:p w14:paraId="059A7331" w14:textId="77777777" w:rsidR="00DB2A56" w:rsidRPr="00DB2A56" w:rsidRDefault="00DB2A56" w:rsidP="00DB2A56">
      <w:pPr>
        <w:rPr>
          <w:b/>
          <w:noProof/>
          <w:lang w:val="en-IN"/>
        </w:rPr>
      </w:pPr>
    </w:p>
    <w:p w14:paraId="04B11E4D" w14:textId="77777777" w:rsidR="00DB2A56" w:rsidRDefault="00DB2A56" w:rsidP="00DB2A56">
      <w:pPr>
        <w:rPr>
          <w:noProof/>
          <w:lang w:val="en-IN"/>
        </w:rPr>
      </w:pPr>
      <w:r w:rsidRPr="00DB2A56">
        <w:rPr>
          <w:noProof/>
          <w:lang w:val="en-IN"/>
        </w:rPr>
        <w:t xml:space="preserve">Al Mahmud, A., Wickramarathne, T. and Kuys, B. (2023). Affordable and Sustainable Cooling Sportswear for Cycling Athletes: A Design Case Study. </w:t>
      </w:r>
      <w:r w:rsidRPr="00DB2A56">
        <w:rPr>
          <w:i/>
          <w:iCs/>
          <w:noProof/>
          <w:lang w:val="en-IN"/>
        </w:rPr>
        <w:t>Sustainability</w:t>
      </w:r>
      <w:r w:rsidRPr="00DB2A56">
        <w:rPr>
          <w:noProof/>
          <w:lang w:val="en-IN"/>
        </w:rPr>
        <w:t xml:space="preserve">, [online] 15(4), p.3033. doi: </w:t>
      </w:r>
      <w:hyperlink r:id="rId6" w:history="1">
        <w:r w:rsidRPr="00DB2A56">
          <w:rPr>
            <w:rStyle w:val="Hyperlink"/>
            <w:noProof/>
            <w:lang w:val="en-IN"/>
          </w:rPr>
          <w:t>https://doi.org/10.3390/su15043033</w:t>
        </w:r>
      </w:hyperlink>
      <w:r w:rsidRPr="00DB2A56">
        <w:rPr>
          <w:noProof/>
          <w:lang w:val="en-IN"/>
        </w:rPr>
        <w:t xml:space="preserve">. </w:t>
      </w:r>
    </w:p>
    <w:p w14:paraId="25ED56CD" w14:textId="77777777" w:rsidR="00DB2A56" w:rsidRPr="00DB2A56" w:rsidRDefault="00DB2A56" w:rsidP="00DB2A56">
      <w:pPr>
        <w:rPr>
          <w:noProof/>
          <w:lang w:val="en-IN"/>
        </w:rPr>
      </w:pPr>
    </w:p>
    <w:p w14:paraId="19E41A89" w14:textId="77777777" w:rsidR="00DB2A56" w:rsidRDefault="00DB2A56" w:rsidP="00DB2A56">
      <w:pPr>
        <w:rPr>
          <w:noProof/>
          <w:lang w:val="en-IN"/>
        </w:rPr>
      </w:pPr>
      <w:r w:rsidRPr="00DB2A56">
        <w:rPr>
          <w:noProof/>
          <w:lang w:val="en-IN"/>
        </w:rPr>
        <w:t xml:space="preserve">Borchardt, M., Pereira, G., Milan, G., Pereira, E., Lima, L., Bianchi, R. and do, S. (2025). Are Sustainable Supply Chains Managing Scope 3 Emissions? A Systematic Literature Review. </w:t>
      </w:r>
      <w:r w:rsidRPr="00DB2A56">
        <w:rPr>
          <w:i/>
          <w:iCs/>
          <w:noProof/>
          <w:lang w:val="en-IN"/>
        </w:rPr>
        <w:t>Sustainability</w:t>
      </w:r>
      <w:r w:rsidRPr="00DB2A56">
        <w:rPr>
          <w:noProof/>
          <w:lang w:val="en-IN"/>
        </w:rPr>
        <w:t xml:space="preserve">, [online] 17(13), pp.6066–6066. doi: </w:t>
      </w:r>
      <w:hyperlink r:id="rId7" w:history="1">
        <w:r w:rsidRPr="00DB2A56">
          <w:rPr>
            <w:rStyle w:val="Hyperlink"/>
            <w:noProof/>
            <w:lang w:val="en-IN"/>
          </w:rPr>
          <w:t>https://doi.org/10.3390/su17136066</w:t>
        </w:r>
      </w:hyperlink>
      <w:r w:rsidRPr="00DB2A56">
        <w:rPr>
          <w:noProof/>
          <w:lang w:val="en-IN"/>
        </w:rPr>
        <w:t xml:space="preserve">. </w:t>
      </w:r>
    </w:p>
    <w:p w14:paraId="1A3BCC93" w14:textId="77777777" w:rsidR="00DB2A56" w:rsidRPr="00DB2A56" w:rsidRDefault="00DB2A56" w:rsidP="00DB2A56">
      <w:pPr>
        <w:rPr>
          <w:noProof/>
          <w:lang w:val="en-IN"/>
        </w:rPr>
      </w:pPr>
    </w:p>
    <w:p w14:paraId="5EDAB3D6" w14:textId="77777777" w:rsidR="00DB2A56" w:rsidRDefault="00DB2A56" w:rsidP="00DB2A56">
      <w:pPr>
        <w:rPr>
          <w:noProof/>
          <w:lang w:val="en-IN"/>
        </w:rPr>
      </w:pPr>
      <w:r w:rsidRPr="00DB2A56">
        <w:rPr>
          <w:noProof/>
          <w:lang w:val="en-IN"/>
        </w:rPr>
        <w:t xml:space="preserve">Chan, E.M.H., Hui, F.W.-C., Suen, D.W.-S. and Tsang, C.-W. (2025). Synergistic Integration of ESG Across Life Essentials: A Comparative Study of Clothing, Energy, and Transportation Industries Using CEPAR® Methodology. </w:t>
      </w:r>
      <w:r w:rsidRPr="00DB2A56">
        <w:rPr>
          <w:i/>
          <w:iCs/>
          <w:noProof/>
          <w:lang w:val="en-IN"/>
        </w:rPr>
        <w:t>Standards</w:t>
      </w:r>
      <w:r w:rsidRPr="00DB2A56">
        <w:rPr>
          <w:noProof/>
          <w:lang w:val="en-IN"/>
        </w:rPr>
        <w:t xml:space="preserve">, 5(3), p.17. doi: </w:t>
      </w:r>
      <w:hyperlink r:id="rId8" w:history="1">
        <w:r w:rsidRPr="00DB2A56">
          <w:rPr>
            <w:rStyle w:val="Hyperlink"/>
            <w:noProof/>
            <w:lang w:val="en-IN"/>
          </w:rPr>
          <w:t>https://doi.org/10.3390/standards5030017</w:t>
        </w:r>
      </w:hyperlink>
      <w:r w:rsidRPr="00DB2A56">
        <w:rPr>
          <w:noProof/>
          <w:lang w:val="en-IN"/>
        </w:rPr>
        <w:t xml:space="preserve">. </w:t>
      </w:r>
    </w:p>
    <w:p w14:paraId="13BD4778" w14:textId="77777777" w:rsidR="00DB2A56" w:rsidRPr="00DB2A56" w:rsidRDefault="00DB2A56" w:rsidP="00DB2A56">
      <w:pPr>
        <w:rPr>
          <w:noProof/>
          <w:lang w:val="en-IN"/>
        </w:rPr>
      </w:pPr>
    </w:p>
    <w:p w14:paraId="0732102F" w14:textId="77777777" w:rsidR="00DB2A56" w:rsidRDefault="00DB2A56" w:rsidP="00DB2A56">
      <w:pPr>
        <w:rPr>
          <w:noProof/>
          <w:lang w:val="en-IN"/>
        </w:rPr>
      </w:pPr>
      <w:r w:rsidRPr="00DB2A56">
        <w:rPr>
          <w:noProof/>
          <w:lang w:val="en-IN"/>
        </w:rPr>
        <w:t xml:space="preserve">Chen, T. (2024). A study on nike’s digital marketing strategy based on the 4ps theory and analysis of competitiveness maintenance methods. </w:t>
      </w:r>
      <w:r w:rsidRPr="00DB2A56">
        <w:rPr>
          <w:i/>
          <w:iCs/>
          <w:noProof/>
          <w:lang w:val="en-IN"/>
        </w:rPr>
        <w:t>SHS Web of Conferences</w:t>
      </w:r>
      <w:r w:rsidRPr="00DB2A56">
        <w:rPr>
          <w:noProof/>
          <w:lang w:val="en-IN"/>
        </w:rPr>
        <w:t xml:space="preserve">, [online] 207(01007). doi: </w:t>
      </w:r>
      <w:hyperlink r:id="rId9" w:history="1">
        <w:r w:rsidRPr="00DB2A56">
          <w:rPr>
            <w:rStyle w:val="Hyperlink"/>
            <w:noProof/>
            <w:lang w:val="en-IN"/>
          </w:rPr>
          <w:t>https://doi.org/10.1051/shsconf/202420701007</w:t>
        </w:r>
      </w:hyperlink>
      <w:r w:rsidRPr="00DB2A56">
        <w:rPr>
          <w:noProof/>
          <w:lang w:val="en-IN"/>
        </w:rPr>
        <w:t xml:space="preserve">. </w:t>
      </w:r>
    </w:p>
    <w:p w14:paraId="3BD4AF15" w14:textId="77777777" w:rsidR="00DB2A56" w:rsidRPr="00DB2A56" w:rsidRDefault="00DB2A56" w:rsidP="00DB2A56">
      <w:pPr>
        <w:rPr>
          <w:noProof/>
          <w:lang w:val="en-IN"/>
        </w:rPr>
      </w:pPr>
    </w:p>
    <w:p w14:paraId="26A37CB8" w14:textId="77777777" w:rsidR="00DB2A56" w:rsidRPr="00DB2A56" w:rsidRDefault="00DB2A56" w:rsidP="00DB2A56">
      <w:pPr>
        <w:rPr>
          <w:noProof/>
          <w:lang w:val="en-IN"/>
        </w:rPr>
      </w:pPr>
      <w:r w:rsidRPr="00DB2A56">
        <w:rPr>
          <w:noProof/>
          <w:lang w:val="en-IN"/>
        </w:rPr>
        <w:t xml:space="preserve">Hąbek, P. and Lavios, J.J. (2021). Striving for Enterprise Sustainability through Supplier Development Process. </w:t>
      </w:r>
      <w:r w:rsidRPr="00DB2A56">
        <w:rPr>
          <w:i/>
          <w:iCs/>
          <w:noProof/>
          <w:lang w:val="en-IN"/>
        </w:rPr>
        <w:t>Energies</w:t>
      </w:r>
      <w:r w:rsidRPr="00DB2A56">
        <w:rPr>
          <w:noProof/>
          <w:lang w:val="en-IN"/>
        </w:rPr>
        <w:t xml:space="preserve">, 14(19), p.6256. doi: </w:t>
      </w:r>
      <w:hyperlink r:id="rId10" w:history="1">
        <w:r w:rsidRPr="00DB2A56">
          <w:rPr>
            <w:rStyle w:val="Hyperlink"/>
            <w:noProof/>
            <w:lang w:val="en-IN"/>
          </w:rPr>
          <w:t>https://doi.org/10.3390/en14196256</w:t>
        </w:r>
      </w:hyperlink>
      <w:r w:rsidRPr="00DB2A56">
        <w:rPr>
          <w:noProof/>
          <w:lang w:val="en-IN"/>
        </w:rPr>
        <w:t xml:space="preserve">. </w:t>
      </w:r>
    </w:p>
    <w:p w14:paraId="68F467AC" w14:textId="77777777" w:rsidR="00DB2A56" w:rsidRDefault="00DB2A56" w:rsidP="00DB2A56">
      <w:pPr>
        <w:rPr>
          <w:noProof/>
          <w:lang w:val="en-IN"/>
        </w:rPr>
      </w:pPr>
      <w:r w:rsidRPr="00DB2A56">
        <w:rPr>
          <w:noProof/>
          <w:lang w:val="en-IN"/>
        </w:rPr>
        <w:t xml:space="preserve">Jing, Y. and Liu, F. (2025). Sales Mode Selection and Blockchain Adoption for Platform Supply Chain Under Risk Aversion. </w:t>
      </w:r>
      <w:r w:rsidRPr="00DB2A56">
        <w:rPr>
          <w:i/>
          <w:iCs/>
          <w:noProof/>
          <w:lang w:val="en-IN"/>
        </w:rPr>
        <w:t>Mathematics</w:t>
      </w:r>
      <w:r w:rsidRPr="00DB2A56">
        <w:rPr>
          <w:noProof/>
          <w:lang w:val="en-IN"/>
        </w:rPr>
        <w:t xml:space="preserve">, [online] 13(13), pp.2184–2184. doi: </w:t>
      </w:r>
      <w:hyperlink r:id="rId11" w:history="1">
        <w:r w:rsidRPr="00DB2A56">
          <w:rPr>
            <w:rStyle w:val="Hyperlink"/>
            <w:noProof/>
            <w:lang w:val="en-IN"/>
          </w:rPr>
          <w:t>https://doi.org/10.3390/math13132184</w:t>
        </w:r>
      </w:hyperlink>
      <w:r w:rsidRPr="00DB2A56">
        <w:rPr>
          <w:noProof/>
          <w:lang w:val="en-IN"/>
        </w:rPr>
        <w:t xml:space="preserve">. </w:t>
      </w:r>
    </w:p>
    <w:p w14:paraId="5E60A9A1" w14:textId="77777777" w:rsidR="00DB2A56" w:rsidRPr="00DB2A56" w:rsidRDefault="00DB2A56" w:rsidP="00DB2A56">
      <w:pPr>
        <w:rPr>
          <w:noProof/>
          <w:lang w:val="en-IN"/>
        </w:rPr>
      </w:pPr>
    </w:p>
    <w:p w14:paraId="033A209B" w14:textId="77777777" w:rsidR="00DB2A56" w:rsidRDefault="00DB2A56" w:rsidP="00DB2A56">
      <w:pPr>
        <w:rPr>
          <w:noProof/>
          <w:lang w:val="en-IN"/>
        </w:rPr>
      </w:pPr>
      <w:r w:rsidRPr="00DB2A56">
        <w:rPr>
          <w:noProof/>
          <w:lang w:val="en-IN"/>
        </w:rPr>
        <w:t xml:space="preserve">Lee, S., Kim, H. and Choi, S. (2021). Corporate Glocalization Strategy of Nongshim in America: The ‘Pendulum Theory’ of Globalized Localization. </w:t>
      </w:r>
      <w:r w:rsidRPr="00DB2A56">
        <w:rPr>
          <w:i/>
          <w:iCs/>
          <w:noProof/>
          <w:lang w:val="en-IN"/>
        </w:rPr>
        <w:t>Journal of Open Innovation: Technology, Market, and Complexity</w:t>
      </w:r>
      <w:r w:rsidRPr="00DB2A56">
        <w:rPr>
          <w:noProof/>
          <w:lang w:val="en-IN"/>
        </w:rPr>
        <w:t xml:space="preserve">, 7(4), p.205. doi: </w:t>
      </w:r>
      <w:hyperlink r:id="rId12" w:history="1">
        <w:r w:rsidRPr="00DB2A56">
          <w:rPr>
            <w:rStyle w:val="Hyperlink"/>
            <w:noProof/>
            <w:lang w:val="en-IN"/>
          </w:rPr>
          <w:t>https://doi.org/10.3390/joitmc7040205</w:t>
        </w:r>
      </w:hyperlink>
      <w:r w:rsidRPr="00DB2A56">
        <w:rPr>
          <w:noProof/>
          <w:lang w:val="en-IN"/>
        </w:rPr>
        <w:t xml:space="preserve">. </w:t>
      </w:r>
    </w:p>
    <w:p w14:paraId="03B25B28" w14:textId="77777777" w:rsidR="00DB2A56" w:rsidRPr="00DB2A56" w:rsidRDefault="00DB2A56" w:rsidP="00DB2A56">
      <w:pPr>
        <w:rPr>
          <w:noProof/>
          <w:lang w:val="en-IN"/>
        </w:rPr>
      </w:pPr>
    </w:p>
    <w:p w14:paraId="68019C18" w14:textId="77777777" w:rsidR="00DB2A56" w:rsidRPr="00DB2A56" w:rsidRDefault="00DB2A56" w:rsidP="00DB2A56">
      <w:pPr>
        <w:rPr>
          <w:noProof/>
          <w:lang w:val="en-IN"/>
        </w:rPr>
      </w:pPr>
      <w:r w:rsidRPr="00DB2A56">
        <w:rPr>
          <w:noProof/>
          <w:lang w:val="en-IN"/>
        </w:rPr>
        <w:t xml:space="preserve">Lopes, J.M. and Oliveira, J. (2022). The New Times of Social Media Marketing in the B2B Framework. </w:t>
      </w:r>
      <w:r w:rsidRPr="00DB2A56">
        <w:rPr>
          <w:i/>
          <w:iCs/>
          <w:noProof/>
          <w:lang w:val="en-IN"/>
        </w:rPr>
        <w:t>Businesses</w:t>
      </w:r>
      <w:r w:rsidRPr="00DB2A56">
        <w:rPr>
          <w:noProof/>
          <w:lang w:val="en-IN"/>
        </w:rPr>
        <w:t xml:space="preserve">, 2(2), pp.156–167. doi: </w:t>
      </w:r>
      <w:hyperlink r:id="rId13" w:history="1">
        <w:r w:rsidRPr="00DB2A56">
          <w:rPr>
            <w:rStyle w:val="Hyperlink"/>
            <w:noProof/>
            <w:lang w:val="en-IN"/>
          </w:rPr>
          <w:t>https://doi.org/10.3390/businesses2020011</w:t>
        </w:r>
      </w:hyperlink>
      <w:r w:rsidRPr="00DB2A56">
        <w:rPr>
          <w:noProof/>
          <w:lang w:val="en-IN"/>
        </w:rPr>
        <w:t xml:space="preserve">. </w:t>
      </w:r>
    </w:p>
    <w:p w14:paraId="20CE30FF" w14:textId="77777777" w:rsidR="00DB2A56" w:rsidRDefault="00DB2A56" w:rsidP="00DB2A56">
      <w:pPr>
        <w:rPr>
          <w:noProof/>
          <w:lang w:val="en-IN"/>
        </w:rPr>
      </w:pPr>
      <w:r w:rsidRPr="00DB2A56">
        <w:rPr>
          <w:noProof/>
          <w:lang w:val="en-IN"/>
        </w:rPr>
        <w:t xml:space="preserve">Mukherjee, A. and Bharti, L. (2025). </w:t>
      </w:r>
      <w:r w:rsidRPr="00DB2A56">
        <w:rPr>
          <w:i/>
          <w:iCs/>
          <w:noProof/>
          <w:lang w:val="en-IN"/>
        </w:rPr>
        <w:t>Present Challenges and Future Opportunities of Sustainable Retailing in the Apparel Industry</w:t>
      </w:r>
      <w:r w:rsidRPr="00DB2A56">
        <w:rPr>
          <w:noProof/>
          <w:lang w:val="en-IN"/>
        </w:rPr>
        <w:t xml:space="preserve">. [online] doi: </w:t>
      </w:r>
      <w:hyperlink r:id="rId14" w:history="1">
        <w:r w:rsidRPr="00DB2A56">
          <w:rPr>
            <w:rStyle w:val="Hyperlink"/>
            <w:noProof/>
            <w:lang w:val="en-IN"/>
          </w:rPr>
          <w:t>https://doi.org/10.1007/978-3-031-83875-0_4</w:t>
        </w:r>
      </w:hyperlink>
      <w:r w:rsidRPr="00DB2A56">
        <w:rPr>
          <w:noProof/>
          <w:lang w:val="en-IN"/>
        </w:rPr>
        <w:t xml:space="preserve">. </w:t>
      </w:r>
    </w:p>
    <w:p w14:paraId="2E939163" w14:textId="77777777" w:rsidR="00DB2A56" w:rsidRPr="00DB2A56" w:rsidRDefault="00DB2A56" w:rsidP="00DB2A56">
      <w:pPr>
        <w:rPr>
          <w:noProof/>
          <w:lang w:val="en-IN"/>
        </w:rPr>
      </w:pPr>
    </w:p>
    <w:p w14:paraId="213A5CD0" w14:textId="77777777" w:rsidR="00DB2A56" w:rsidRDefault="00DB2A56" w:rsidP="00DB2A56">
      <w:pPr>
        <w:rPr>
          <w:noProof/>
          <w:lang w:val="en-IN"/>
        </w:rPr>
      </w:pPr>
      <w:r w:rsidRPr="00DB2A56">
        <w:rPr>
          <w:noProof/>
          <w:lang w:val="en-IN"/>
        </w:rPr>
        <w:t xml:space="preserve">Paramio-Salcines, J.L. and Llopis-Goig, R. (2022). Key Strategic Decisions and Their Influences on the Management and Success of the Bank of America Chicago Marathon and the Marathon Valencia Trinidad Alfonso. </w:t>
      </w:r>
      <w:r w:rsidRPr="00DB2A56">
        <w:rPr>
          <w:i/>
          <w:iCs/>
          <w:noProof/>
          <w:lang w:val="en-IN"/>
        </w:rPr>
        <w:t>International Journal of Financial Studies</w:t>
      </w:r>
      <w:r w:rsidRPr="00DB2A56">
        <w:rPr>
          <w:noProof/>
          <w:lang w:val="en-IN"/>
        </w:rPr>
        <w:t xml:space="preserve">, 10(3), p.74. doi: </w:t>
      </w:r>
      <w:hyperlink r:id="rId15" w:history="1">
        <w:r w:rsidRPr="00DB2A56">
          <w:rPr>
            <w:rStyle w:val="Hyperlink"/>
            <w:noProof/>
            <w:lang w:val="en-IN"/>
          </w:rPr>
          <w:t>https://doi.org/10.3390/ijfs10030074</w:t>
        </w:r>
      </w:hyperlink>
      <w:r w:rsidRPr="00DB2A56">
        <w:rPr>
          <w:noProof/>
          <w:lang w:val="en-IN"/>
        </w:rPr>
        <w:t xml:space="preserve">. </w:t>
      </w:r>
    </w:p>
    <w:p w14:paraId="3ECE4E2B" w14:textId="77777777" w:rsidR="00DB2A56" w:rsidRPr="00DB2A56" w:rsidRDefault="00DB2A56" w:rsidP="00DB2A56">
      <w:pPr>
        <w:rPr>
          <w:noProof/>
          <w:lang w:val="en-IN"/>
        </w:rPr>
      </w:pPr>
    </w:p>
    <w:p w14:paraId="5707578D" w14:textId="77777777" w:rsidR="00DB2A56" w:rsidRDefault="00DB2A56" w:rsidP="00DB2A56">
      <w:pPr>
        <w:rPr>
          <w:noProof/>
          <w:lang w:val="en-IN"/>
        </w:rPr>
      </w:pPr>
      <w:r w:rsidRPr="00DB2A56">
        <w:rPr>
          <w:noProof/>
          <w:lang w:val="en-IN"/>
        </w:rPr>
        <w:t xml:space="preserve">Shmelev, S.E. and Gilardi, E. (2025). Sustainable Business as a Force for Good in the Context of Climate Change: An Econometric Modelling Approach. </w:t>
      </w:r>
      <w:r w:rsidRPr="00DB2A56">
        <w:rPr>
          <w:i/>
          <w:iCs/>
          <w:noProof/>
          <w:lang w:val="en-IN"/>
        </w:rPr>
        <w:t>Sustainability</w:t>
      </w:r>
      <w:r w:rsidRPr="00DB2A56">
        <w:rPr>
          <w:noProof/>
          <w:lang w:val="en-IN"/>
        </w:rPr>
        <w:t xml:space="preserve">, 17(4), p.1530. doi: </w:t>
      </w:r>
      <w:hyperlink r:id="rId16" w:history="1">
        <w:r w:rsidRPr="00DB2A56">
          <w:rPr>
            <w:rStyle w:val="Hyperlink"/>
            <w:noProof/>
            <w:lang w:val="en-IN"/>
          </w:rPr>
          <w:t>https://doi.org/10.3390/su17041530</w:t>
        </w:r>
      </w:hyperlink>
      <w:r w:rsidRPr="00DB2A56">
        <w:rPr>
          <w:noProof/>
          <w:lang w:val="en-IN"/>
        </w:rPr>
        <w:t xml:space="preserve">. </w:t>
      </w:r>
    </w:p>
    <w:p w14:paraId="21386D81" w14:textId="77777777" w:rsidR="00DB2A56" w:rsidRPr="00DB2A56" w:rsidRDefault="00DB2A56" w:rsidP="00DB2A56">
      <w:pPr>
        <w:rPr>
          <w:noProof/>
          <w:lang w:val="en-IN"/>
        </w:rPr>
      </w:pPr>
    </w:p>
    <w:p w14:paraId="4FB69AB5" w14:textId="77777777" w:rsidR="00DB2A56" w:rsidRPr="00DB2A56" w:rsidRDefault="00DB2A56" w:rsidP="00DB2A56">
      <w:pPr>
        <w:rPr>
          <w:noProof/>
          <w:lang w:val="en-IN"/>
        </w:rPr>
      </w:pPr>
      <w:r w:rsidRPr="00DB2A56">
        <w:rPr>
          <w:noProof/>
          <w:lang w:val="en-IN"/>
        </w:rPr>
        <w:t xml:space="preserve">Taherdoost, H. and Madanchian, M. (2023). Blockchain-Based New Business Models: A Systematic Review. </w:t>
      </w:r>
      <w:r w:rsidRPr="00DB2A56">
        <w:rPr>
          <w:i/>
          <w:iCs/>
          <w:noProof/>
          <w:lang w:val="en-IN"/>
        </w:rPr>
        <w:t>Electronics</w:t>
      </w:r>
      <w:r w:rsidRPr="00DB2A56">
        <w:rPr>
          <w:noProof/>
          <w:lang w:val="en-IN"/>
        </w:rPr>
        <w:t xml:space="preserve">, 12(6), p.1479. doi: </w:t>
      </w:r>
      <w:hyperlink r:id="rId17" w:history="1">
        <w:r w:rsidRPr="00DB2A56">
          <w:rPr>
            <w:rStyle w:val="Hyperlink"/>
            <w:noProof/>
            <w:lang w:val="en-IN"/>
          </w:rPr>
          <w:t>https://doi.org/10.3390/electronics12061479</w:t>
        </w:r>
      </w:hyperlink>
      <w:r w:rsidRPr="00DB2A56">
        <w:rPr>
          <w:noProof/>
          <w:lang w:val="en-IN"/>
        </w:rPr>
        <w:t xml:space="preserve">. </w:t>
      </w:r>
    </w:p>
    <w:p w14:paraId="2B59ED78" w14:textId="77777777" w:rsidR="00DB2A56" w:rsidRPr="00DB2A56" w:rsidRDefault="00DB2A56" w:rsidP="00DB2A56">
      <w:pPr>
        <w:rPr>
          <w:noProof/>
          <w:lang w:val="en-IN"/>
        </w:rPr>
      </w:pPr>
      <w:r w:rsidRPr="00DB2A56">
        <w:rPr>
          <w:noProof/>
          <w:lang w:val="en-IN"/>
        </w:rPr>
        <w:lastRenderedPageBreak/>
        <w:t xml:space="preserve">Tripti Dhote, Pathak, P. and Samaya Pillai Iyengar (2023). Futuristic Approach of 5G in Marketing and Branding Through Entertainment. pp.91–105. doi: </w:t>
      </w:r>
      <w:hyperlink r:id="rId18" w:history="1">
        <w:r w:rsidRPr="00DB2A56">
          <w:rPr>
            <w:rStyle w:val="Hyperlink"/>
            <w:noProof/>
            <w:lang w:val="en-IN"/>
          </w:rPr>
          <w:t>https://doi.org/10.1007/978-981-19-8121-0_7</w:t>
        </w:r>
      </w:hyperlink>
      <w:r w:rsidRPr="00DB2A56">
        <w:rPr>
          <w:noProof/>
          <w:lang w:val="en-IN"/>
        </w:rPr>
        <w:t xml:space="preserve">. </w:t>
      </w:r>
    </w:p>
    <w:p w14:paraId="502AEA4A" w14:textId="48C9F052" w:rsidR="0000120A" w:rsidRDefault="0000120A"/>
    <w:sectPr w:rsidR="0000120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70EBC"/>
    <w:rsid w:val="0000120A"/>
    <w:rsid w:val="001F7311"/>
    <w:rsid w:val="005B00B0"/>
    <w:rsid w:val="005F6966"/>
    <w:rsid w:val="007E5D4F"/>
    <w:rsid w:val="00B73C49"/>
    <w:rsid w:val="00C0426D"/>
    <w:rsid w:val="00DB2A56"/>
    <w:rsid w:val="00F70E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43DCBC"/>
  <w15:chartTrackingRefBased/>
  <w15:docId w15:val="{378AD6E7-9FB3-4E73-BDD5-4707AB64D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IN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70EBC"/>
    <w:pPr>
      <w:spacing w:after="0" w:line="276" w:lineRule="auto"/>
    </w:pPr>
    <w:rPr>
      <w:rFonts w:ascii="Arial" w:eastAsia="Arial" w:hAnsi="Arial" w:cs="Arial"/>
      <w:kern w:val="0"/>
      <w:sz w:val="22"/>
      <w:szCs w:val="22"/>
      <w:lang w:val="en-GB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F70EBC"/>
    <w:pPr>
      <w:keepNext/>
      <w:keepLines/>
      <w:spacing w:before="360" w:after="80" w:line="278" w:lineRule="auto"/>
      <w:outlineLvl w:val="0"/>
    </w:pPr>
    <w:rPr>
      <w:rFonts w:asciiTheme="majorHAnsi" w:eastAsiaTheme="majorEastAsia" w:hAnsiTheme="majorHAnsi" w:cstheme="majorBidi"/>
      <w:color w:val="2F5496" w:themeColor="accent1" w:themeShade="BF"/>
      <w:kern w:val="2"/>
      <w:sz w:val="40"/>
      <w:szCs w:val="40"/>
      <w:lang w:val="en-IN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70EBC"/>
    <w:pPr>
      <w:keepNext/>
      <w:keepLines/>
      <w:spacing w:before="160" w:after="80" w:line="278" w:lineRule="auto"/>
      <w:outlineLvl w:val="1"/>
    </w:pPr>
    <w:rPr>
      <w:rFonts w:asciiTheme="majorHAnsi" w:eastAsiaTheme="majorEastAsia" w:hAnsiTheme="majorHAnsi" w:cstheme="majorBidi"/>
      <w:color w:val="2F5496" w:themeColor="accent1" w:themeShade="BF"/>
      <w:kern w:val="2"/>
      <w:sz w:val="32"/>
      <w:szCs w:val="32"/>
      <w:lang w:val="en-IN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70EBC"/>
    <w:pPr>
      <w:keepNext/>
      <w:keepLines/>
      <w:spacing w:before="160" w:after="80" w:line="278" w:lineRule="auto"/>
      <w:outlineLvl w:val="2"/>
    </w:pPr>
    <w:rPr>
      <w:rFonts w:asciiTheme="minorHAnsi" w:eastAsiaTheme="majorEastAsia" w:hAnsiTheme="minorHAnsi" w:cstheme="majorBidi"/>
      <w:color w:val="2F5496" w:themeColor="accent1" w:themeShade="BF"/>
      <w:kern w:val="2"/>
      <w:sz w:val="28"/>
      <w:szCs w:val="28"/>
      <w:lang w:val="en-IN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70EBC"/>
    <w:pPr>
      <w:keepNext/>
      <w:keepLines/>
      <w:spacing w:before="80" w:after="40" w:line="278" w:lineRule="auto"/>
      <w:outlineLvl w:val="3"/>
    </w:pPr>
    <w:rPr>
      <w:rFonts w:asciiTheme="minorHAnsi" w:eastAsiaTheme="majorEastAsia" w:hAnsiTheme="minorHAnsi" w:cstheme="majorBidi"/>
      <w:i/>
      <w:iCs/>
      <w:color w:val="2F5496" w:themeColor="accent1" w:themeShade="BF"/>
      <w:kern w:val="2"/>
      <w:sz w:val="24"/>
      <w:szCs w:val="24"/>
      <w:lang w:val="en-IN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70EBC"/>
    <w:pPr>
      <w:keepNext/>
      <w:keepLines/>
      <w:spacing w:before="80" w:after="40" w:line="278" w:lineRule="auto"/>
      <w:outlineLvl w:val="4"/>
    </w:pPr>
    <w:rPr>
      <w:rFonts w:asciiTheme="minorHAnsi" w:eastAsiaTheme="majorEastAsia" w:hAnsiTheme="minorHAnsi" w:cstheme="majorBidi"/>
      <w:color w:val="2F5496" w:themeColor="accent1" w:themeShade="BF"/>
      <w:kern w:val="2"/>
      <w:sz w:val="24"/>
      <w:szCs w:val="24"/>
      <w:lang w:val="en-IN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70EBC"/>
    <w:pPr>
      <w:keepNext/>
      <w:keepLines/>
      <w:spacing w:before="40" w:line="278" w:lineRule="auto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  <w:kern w:val="2"/>
      <w:sz w:val="24"/>
      <w:szCs w:val="24"/>
      <w:lang w:val="en-IN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70EBC"/>
    <w:pPr>
      <w:keepNext/>
      <w:keepLines/>
      <w:spacing w:before="40" w:line="278" w:lineRule="auto"/>
      <w:outlineLvl w:val="6"/>
    </w:pPr>
    <w:rPr>
      <w:rFonts w:asciiTheme="minorHAnsi" w:eastAsiaTheme="majorEastAsia" w:hAnsiTheme="minorHAnsi" w:cstheme="majorBidi"/>
      <w:color w:val="595959" w:themeColor="text1" w:themeTint="A6"/>
      <w:kern w:val="2"/>
      <w:sz w:val="24"/>
      <w:szCs w:val="24"/>
      <w:lang w:val="en-IN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70EBC"/>
    <w:pPr>
      <w:keepNext/>
      <w:keepLines/>
      <w:spacing w:line="278" w:lineRule="auto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  <w:kern w:val="2"/>
      <w:sz w:val="24"/>
      <w:szCs w:val="24"/>
      <w:lang w:val="en-IN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70EBC"/>
    <w:pPr>
      <w:keepNext/>
      <w:keepLines/>
      <w:spacing w:line="278" w:lineRule="auto"/>
      <w:outlineLvl w:val="8"/>
    </w:pPr>
    <w:rPr>
      <w:rFonts w:asciiTheme="minorHAnsi" w:eastAsiaTheme="majorEastAsia" w:hAnsiTheme="minorHAnsi" w:cstheme="majorBidi"/>
      <w:color w:val="272727" w:themeColor="text1" w:themeTint="D8"/>
      <w:kern w:val="2"/>
      <w:sz w:val="24"/>
      <w:szCs w:val="24"/>
      <w:lang w:val="en-IN"/>
      <w14:ligatures w14:val="standardContextual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70EBC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70EB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70EBC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70EBC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70EBC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70EB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70EB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70EB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70EB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70EB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val="en-IN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F70EB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70EBC"/>
    <w:pPr>
      <w:numPr>
        <w:ilvl w:val="1"/>
      </w:numPr>
      <w:spacing w:after="160" w:line="278" w:lineRule="auto"/>
    </w:pPr>
    <w:rPr>
      <w:rFonts w:asciiTheme="minorHAnsi" w:eastAsiaTheme="majorEastAsia" w:hAnsiTheme="minorHAnsi" w:cstheme="majorBidi"/>
      <w:color w:val="595959" w:themeColor="text1" w:themeTint="A6"/>
      <w:spacing w:val="15"/>
      <w:kern w:val="2"/>
      <w:sz w:val="28"/>
      <w:szCs w:val="28"/>
      <w:lang w:val="en-IN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F70EB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70EBC"/>
    <w:pPr>
      <w:spacing w:before="160" w:after="160" w:line="278" w:lineRule="auto"/>
      <w:jc w:val="center"/>
    </w:pPr>
    <w:rPr>
      <w:rFonts w:asciiTheme="minorHAnsi" w:eastAsiaTheme="minorHAnsi" w:hAnsiTheme="minorHAnsi" w:cstheme="minorBidi"/>
      <w:i/>
      <w:iCs/>
      <w:color w:val="404040" w:themeColor="text1" w:themeTint="BF"/>
      <w:kern w:val="2"/>
      <w:sz w:val="24"/>
      <w:szCs w:val="24"/>
      <w:lang w:val="en-IN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F70EB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70EBC"/>
    <w:pPr>
      <w:spacing w:after="160" w:line="278" w:lineRule="auto"/>
      <w:ind w:left="720"/>
      <w:contextualSpacing/>
    </w:pPr>
    <w:rPr>
      <w:rFonts w:asciiTheme="minorHAnsi" w:eastAsiaTheme="minorHAnsi" w:hAnsiTheme="minorHAnsi" w:cstheme="minorBidi"/>
      <w:kern w:val="2"/>
      <w:sz w:val="24"/>
      <w:szCs w:val="24"/>
      <w:lang w:val="en-IN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F70EBC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70EBC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 w:line="278" w:lineRule="auto"/>
      <w:ind w:left="864" w:right="864"/>
      <w:jc w:val="center"/>
    </w:pPr>
    <w:rPr>
      <w:rFonts w:asciiTheme="minorHAnsi" w:eastAsiaTheme="minorHAnsi" w:hAnsiTheme="minorHAnsi" w:cstheme="minorBidi"/>
      <w:i/>
      <w:iCs/>
      <w:color w:val="2F5496" w:themeColor="accent1" w:themeShade="BF"/>
      <w:kern w:val="2"/>
      <w:sz w:val="24"/>
      <w:szCs w:val="24"/>
      <w:lang w:val="en-IN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70EBC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70EBC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DB2A5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B2A5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3390/standards5030017" TargetMode="External"/><Relationship Id="rId13" Type="http://schemas.openxmlformats.org/officeDocument/2006/relationships/hyperlink" Target="https://doi.org/10.3390/businesses2020011" TargetMode="External"/><Relationship Id="rId18" Type="http://schemas.openxmlformats.org/officeDocument/2006/relationships/hyperlink" Target="https://doi.org/10.1007/978-981-19-8121-0_7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doi.org/10.3390/su17136066" TargetMode="External"/><Relationship Id="rId12" Type="http://schemas.openxmlformats.org/officeDocument/2006/relationships/hyperlink" Target="https://doi.org/10.3390/joitmc7040205" TargetMode="External"/><Relationship Id="rId17" Type="http://schemas.openxmlformats.org/officeDocument/2006/relationships/hyperlink" Target="https://doi.org/10.3390/electronics12061479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doi.org/10.3390/su17041530" TargetMode="External"/><Relationship Id="rId20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doi.org/10.3390/su15043033" TargetMode="External"/><Relationship Id="rId11" Type="http://schemas.openxmlformats.org/officeDocument/2006/relationships/hyperlink" Target="https://doi.org/10.3390/math13132184" TargetMode="External"/><Relationship Id="rId5" Type="http://schemas.openxmlformats.org/officeDocument/2006/relationships/image" Target="media/image2.jpeg"/><Relationship Id="rId15" Type="http://schemas.openxmlformats.org/officeDocument/2006/relationships/hyperlink" Target="https://doi.org/10.3390/ijfs10030074" TargetMode="External"/><Relationship Id="rId10" Type="http://schemas.openxmlformats.org/officeDocument/2006/relationships/hyperlink" Target="https://doi.org/10.3390/en14196256" TargetMode="External"/><Relationship Id="rId19" Type="http://schemas.openxmlformats.org/officeDocument/2006/relationships/fontTable" Target="fontTable.xml"/><Relationship Id="rId4" Type="http://schemas.openxmlformats.org/officeDocument/2006/relationships/image" Target="media/image1.png"/><Relationship Id="rId9" Type="http://schemas.openxmlformats.org/officeDocument/2006/relationships/hyperlink" Target="https://doi.org/10.1051/shsconf/202420701007" TargetMode="External"/><Relationship Id="rId14" Type="http://schemas.openxmlformats.org/officeDocument/2006/relationships/hyperlink" Target="https://doi.org/10.1007/978-3-031-83875-0_4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4</Pages>
  <Words>585</Words>
  <Characters>3341</Characters>
  <Application>Microsoft Office Word</Application>
  <DocSecurity>0</DocSecurity>
  <Lines>27</Lines>
  <Paragraphs>7</Paragraphs>
  <ScaleCrop>false</ScaleCrop>
  <Company/>
  <LinksUpToDate>false</LinksUpToDate>
  <CharactersWithSpaces>3919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PREMIUM</dc:creator>
  <cp:keywords/>
  <dc:description/>
  <cp:lastModifiedBy>PREMIUM</cp:lastModifiedBy>
  <cp:revision>2</cp:revision>
  <dcterms:created xsi:type="dcterms:W3CDTF">2025-11-29T01:16:00Z</dcterms:created>
  <dcterms:modified xsi:type="dcterms:W3CDTF">2025-11-29T14:49:00Z</dcterms:modified>
</cp:coreProperties>
</file>