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015B1" w14:textId="77777777" w:rsidR="003173FD" w:rsidRDefault="003173FD" w:rsidP="003173FD">
      <w:bookmarkStart w:id="0" w:name="_Hlk128950595"/>
      <w:r>
        <w:rPr>
          <w:noProof/>
        </w:rPr>
        <mc:AlternateContent>
          <mc:Choice Requires="wps">
            <w:drawing>
              <wp:anchor distT="0" distB="0" distL="114300" distR="114300" simplePos="0" relativeHeight="251660288" behindDoc="0" locked="0" layoutInCell="1" allowOverlap="1" wp14:anchorId="1A8A56A1" wp14:editId="482A1363">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2143125"/>
                <wp:effectExtent l="0" t="0" r="635" b="9525"/>
                <wp:wrapNone/>
                <wp:docPr id="467" name="Rectangle 467"/>
                <wp:cNvGraphicFramePr/>
                <a:graphic xmlns:a="http://schemas.openxmlformats.org/drawingml/2006/main">
                  <a:graphicData uri="http://schemas.microsoft.com/office/word/2010/wordprocessingShape">
                    <wps:wsp>
                      <wps:cNvSpPr/>
                      <wps:spPr>
                        <a:xfrm>
                          <a:off x="0" y="0"/>
                          <a:ext cx="2875915" cy="214312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788D88" w14:textId="77777777" w:rsidR="003173FD" w:rsidRDefault="003173FD" w:rsidP="003173FD">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1A8A56A1" id="Rectangle 467" o:spid="_x0000_s1026" style="position:absolute;margin-left:0;margin-top:0;width:226.45pt;height:168.75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" fillcolor="#1f497d [3215]" stroked="f" strokeweight="2pt">
                <v:textbox inset="14.4pt,14.4pt,14.4pt,28.8pt">
                  <w:txbxContent>
                    <w:p w14:paraId="1A788D88" w14:textId="77777777" w:rsidR="003173FD" w:rsidRDefault="003173FD" w:rsidP="003173FD">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45720" distB="45720" distL="114300" distR="114300" simplePos="0" relativeHeight="251663360" behindDoc="0" locked="0" layoutInCell="1" allowOverlap="1" wp14:anchorId="11369FF3" wp14:editId="77A2DEBA">
                <wp:simplePos x="0" y="0"/>
                <wp:positionH relativeFrom="column">
                  <wp:posOffset>2935605</wp:posOffset>
                </wp:positionH>
                <wp:positionV relativeFrom="paragraph">
                  <wp:posOffset>201930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BAE1FFA" w14:textId="3FB2ACB0" w:rsidR="003173FD" w:rsidRPr="00B03D83" w:rsidRDefault="00EC54AB" w:rsidP="00EC54AB">
                            <w:pPr>
                              <w:rPr>
                                <w:color w:val="FFFFFF" w:themeColor="background1"/>
                              </w:rPr>
                            </w:pPr>
                            <w:r>
                              <w:rPr>
                                <w:rFonts w:ascii="Arial" w:hAnsi="Arial" w:cs="Arial"/>
                                <w:b/>
                                <w:color w:val="FFFFFF" w:themeColor="background1"/>
                                <w:sz w:val="28"/>
                                <w:szCs w:val="28"/>
                              </w:rPr>
                              <w:t>Introduction to Public Health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1369FF3" id="_x0000_t202" coordsize="21600,21600" o:spt="202" path="m,l,21600r21600,l21600,xe">
                <v:stroke joinstyle="miter"/>
                <v:path gradientshapeok="t" o:connecttype="rect"/>
              </v:shapetype>
              <v:shape id="Text Box 2" o:spid="_x0000_s1027" type="#_x0000_t202" style="position:absolute;margin-left:231.15pt;margin-top:15.9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" filled="f" stroked="f">
                <v:textbox style="mso-fit-shape-to-text:t">
                  <w:txbxContent>
                    <w:p w14:paraId="5BAE1FFA" w14:textId="3FB2ACB0" w:rsidR="003173FD" w:rsidRPr="00B03D83" w:rsidRDefault="00EC54AB" w:rsidP="00EC54AB">
                      <w:pPr>
                        <w:rPr>
                          <w:color w:val="FFFFFF" w:themeColor="background1"/>
                        </w:rPr>
                      </w:pPr>
                      <w:r>
                        <w:rPr>
                          <w:rFonts w:ascii="Arial" w:hAnsi="Arial" w:cs="Arial"/>
                          <w:b/>
                          <w:color w:val="FFFFFF" w:themeColor="background1"/>
                          <w:sz w:val="28"/>
                          <w:szCs w:val="28"/>
                        </w:rPr>
                        <w:t>Introduction to Public Health</w:t>
                      </w:r>
                    </w:p>
                  </w:txbxContent>
                </v:textbox>
                <w10:wrap type="square"/>
              </v:shape>
            </w:pict>
          </mc:Fallback>
        </mc:AlternateContent>
      </w:r>
    </w:p>
    <w:p w14:paraId="4DBCDA67" w14:textId="77777777" w:rsidR="003173FD" w:rsidRDefault="003173FD" w:rsidP="003173FD"/>
    <w:sdt>
      <w:sdtPr>
        <w:id w:val="2069766034"/>
        <w:docPartObj>
          <w:docPartGallery w:val="Cover Pages"/>
          <w:docPartUnique/>
        </w:docPartObj>
      </w:sdtPr>
      <w:sdtEndPr>
        <w:rPr>
          <w:rFonts w:ascii="Arial" w:hAnsi="Arial" w:cs="Arial"/>
          <w:b/>
          <w:sz w:val="28"/>
          <w:szCs w:val="28"/>
        </w:rPr>
      </w:sdtEndPr>
      <w:sdtContent>
        <w:p w14:paraId="6113821C" w14:textId="77777777" w:rsidR="003173FD" w:rsidRDefault="003173FD" w:rsidP="003173FD">
          <w:r>
            <w:rPr>
              <w:noProof/>
            </w:rPr>
            <mc:AlternateContent>
              <mc:Choice Requires="wps">
                <w:drawing>
                  <wp:anchor distT="0" distB="0" distL="114300" distR="114300" simplePos="0" relativeHeight="251662336" behindDoc="1" locked="0" layoutInCell="1" allowOverlap="1" wp14:anchorId="3E478147" wp14:editId="5837566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1D49ECE" w14:textId="77777777" w:rsidR="003173FD" w:rsidRDefault="003173FD" w:rsidP="003173F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478147" id="Rectangle 466" o:spid="_x0000_s1028" style="position:absolute;margin-left:0;margin-top:0;width:581.4pt;height:752.4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" fillcolor="#dbe5f1 [660]" stroked="f" strokeweight="2pt">
                    <v:fill color2="#95b3d7 [1940]" rotate="t" focusposition=".5,.5" focussize="" focus="100%" type="gradientRadial"/>
                    <v:textbox inset="21.6pt,,21.6pt">
                      <w:txbxContent>
                        <w:p w14:paraId="21D49ECE" w14:textId="77777777" w:rsidR="003173FD" w:rsidRDefault="003173FD" w:rsidP="003173FD"/>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DFBD1C4" wp14:editId="20AB2632">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F70C19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0E50568" wp14:editId="4D0D5E4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4F57DFE" id="Rectangle 469" o:spid="_x0000_s1026" style="position:absolute;margin-left:0;margin-top:0;width:226.45pt;height:9.35pt;z-index:25166131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mc:Fallback>
            </mc:AlternateContent>
          </w:r>
        </w:p>
        <w:p w14:paraId="42CC7CEE" w14:textId="2929814C" w:rsidR="003173FD" w:rsidRPr="003173FD" w:rsidRDefault="003173FD">
          <w:pPr>
            <w:rPr>
              <w:rFonts w:ascii="Arial" w:hAnsi="Arial" w:cs="Arial"/>
              <w:b/>
              <w:sz w:val="28"/>
              <w:szCs w:val="28"/>
            </w:rPr>
          </w:pPr>
          <w:r>
            <w:rPr>
              <w:noProof/>
            </w:rPr>
            <mc:AlternateContent>
              <mc:Choice Requires="wps">
                <w:drawing>
                  <wp:anchor distT="45720" distB="45720" distL="114300" distR="114300" simplePos="0" relativeHeight="251664384" behindDoc="0" locked="0" layoutInCell="1" allowOverlap="1" wp14:anchorId="14E73239" wp14:editId="047E796C">
                    <wp:simplePos x="0" y="0"/>
                    <wp:positionH relativeFrom="column">
                      <wp:posOffset>2599690</wp:posOffset>
                    </wp:positionH>
                    <wp:positionV relativeFrom="paragraph">
                      <wp:posOffset>3324860</wp:posOffset>
                    </wp:positionV>
                    <wp:extent cx="2905125" cy="1666875"/>
                    <wp:effectExtent l="57150" t="38100" r="66675" b="857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1666875"/>
                            </a:xfrm>
                            <a:prstGeom prst="rect">
                              <a:avLst/>
                            </a:prstGeom>
                            <a:ln>
                              <a:headEnd/>
                              <a:tailEnd/>
                            </a:ln>
                          </wps:spPr>
                          <wps:style>
                            <a:lnRef idx="0">
                              <a:schemeClr val="accent5"/>
                            </a:lnRef>
                            <a:fillRef idx="3">
                              <a:schemeClr val="accent5"/>
                            </a:fillRef>
                            <a:effectRef idx="3">
                              <a:schemeClr val="accent5"/>
                            </a:effectRef>
                            <a:fontRef idx="minor">
                              <a:schemeClr val="lt1"/>
                            </a:fontRef>
                          </wps:style>
                          <wps:txbx>
                            <w:txbxContent>
                              <w:p w14:paraId="5E6DCCDE" w14:textId="77777777" w:rsidR="003173FD" w:rsidRPr="00B03D83" w:rsidRDefault="003173FD" w:rsidP="003173FD">
                                <w:pPr>
                                  <w:rPr>
                                    <w:rFonts w:ascii="Arial" w:hAnsi="Arial" w:cs="Arial"/>
                                    <w:sz w:val="28"/>
                                    <w:szCs w:val="28"/>
                                  </w:rPr>
                                </w:pPr>
                                <w:r w:rsidRPr="00B03D83">
                                  <w:rPr>
                                    <w:rFonts w:ascii="Arial" w:hAnsi="Arial" w:cs="Arial"/>
                                    <w:sz w:val="28"/>
                                    <w:szCs w:val="28"/>
                                  </w:rPr>
                                  <w:t xml:space="preserve">Student Name: </w:t>
                                </w:r>
                                <w:proofErr w:type="spellStart"/>
                                <w:r w:rsidRPr="00B03D83">
                                  <w:rPr>
                                    <w:rFonts w:ascii="Arial" w:hAnsi="Arial" w:cs="Arial"/>
                                    <w:sz w:val="28"/>
                                    <w:szCs w:val="28"/>
                                  </w:rPr>
                                  <w:t>Ambia</w:t>
                                </w:r>
                                <w:proofErr w:type="spellEnd"/>
                                <w:r w:rsidRPr="00B03D83">
                                  <w:rPr>
                                    <w:rFonts w:ascii="Arial" w:hAnsi="Arial" w:cs="Arial"/>
                                    <w:sz w:val="28"/>
                                    <w:szCs w:val="28"/>
                                  </w:rPr>
                                  <w:t xml:space="preserve"> </w:t>
                                </w:r>
                                <w:proofErr w:type="spellStart"/>
                                <w:r w:rsidRPr="00B03D83">
                                  <w:rPr>
                                    <w:rFonts w:ascii="Arial" w:hAnsi="Arial" w:cs="Arial"/>
                                    <w:sz w:val="28"/>
                                    <w:szCs w:val="28"/>
                                  </w:rPr>
                                  <w:t>Tabasum</w:t>
                                </w:r>
                                <w:proofErr w:type="spellEnd"/>
                              </w:p>
                              <w:p w14:paraId="35594DF8" w14:textId="77777777" w:rsidR="003173FD" w:rsidRPr="00B03D83" w:rsidRDefault="003173FD" w:rsidP="003173FD">
                                <w:pPr>
                                  <w:rPr>
                                    <w:rFonts w:ascii="Arial" w:hAnsi="Arial" w:cs="Arial"/>
                                    <w:sz w:val="28"/>
                                    <w:szCs w:val="28"/>
                                  </w:rPr>
                                </w:pPr>
                                <w:r w:rsidRPr="00B03D83">
                                  <w:rPr>
                                    <w:rFonts w:ascii="Arial" w:hAnsi="Arial" w:cs="Arial"/>
                                    <w:sz w:val="28"/>
                                    <w:szCs w:val="28"/>
                                  </w:rPr>
                                  <w:t>Student ID: 2215213</w:t>
                                </w:r>
                              </w:p>
                              <w:p w14:paraId="3E10FD75" w14:textId="0B398410" w:rsidR="003173FD" w:rsidRPr="00B03D83" w:rsidRDefault="003173FD" w:rsidP="003173FD">
                                <w:pPr>
                                  <w:rPr>
                                    <w:rFonts w:ascii="Arial" w:hAnsi="Arial" w:cs="Arial"/>
                                    <w:sz w:val="28"/>
                                    <w:szCs w:val="28"/>
                                  </w:rPr>
                                </w:pPr>
                                <w:r w:rsidRPr="00B03D83">
                                  <w:rPr>
                                    <w:rFonts w:ascii="Arial" w:hAnsi="Arial" w:cs="Arial"/>
                                    <w:sz w:val="28"/>
                                    <w:szCs w:val="28"/>
                                  </w:rPr>
                                  <w:t>Module Code: LCHS400</w:t>
                                </w:r>
                                <w:r w:rsidR="00EC54AB">
                                  <w:rPr>
                                    <w:rFonts w:ascii="Arial" w:hAnsi="Arial" w:cs="Arial"/>
                                    <w:sz w:val="28"/>
                                    <w:szCs w:val="28"/>
                                  </w:rPr>
                                  <w:t>4</w:t>
                                </w:r>
                                <w:bookmarkStart w:id="1" w:name="_GoBack"/>
                                <w:bookmarkEnd w:id="1"/>
                              </w:p>
                              <w:p w14:paraId="2CD84D98" w14:textId="09F80E89" w:rsidR="003173FD" w:rsidRPr="00B03D83" w:rsidRDefault="003173FD" w:rsidP="003173FD">
                                <w:pPr>
                                  <w:rPr>
                                    <w:rFonts w:ascii="Arial" w:hAnsi="Arial" w:cs="Arial"/>
                                    <w:sz w:val="28"/>
                                    <w:szCs w:val="28"/>
                                  </w:rPr>
                                </w:pPr>
                                <w:r w:rsidRPr="00B03D83">
                                  <w:rPr>
                                    <w:rFonts w:ascii="Arial" w:hAnsi="Arial" w:cs="Arial"/>
                                    <w:sz w:val="28"/>
                                    <w:szCs w:val="28"/>
                                  </w:rPr>
                                  <w:t xml:space="preserve">Lecturer’s Name: </w:t>
                                </w:r>
                                <w:r w:rsidR="00EC54AB">
                                  <w:rPr>
                                    <w:rFonts w:ascii="Arial" w:hAnsi="Arial" w:cs="Arial"/>
                                    <w:sz w:val="28"/>
                                    <w:szCs w:val="28"/>
                                  </w:rPr>
                                  <w:t xml:space="preserve"> Robert Ashford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73239" id="_x0000_s1029" type="#_x0000_t202" style="position:absolute;margin-left:204.7pt;margin-top:261.8pt;width:228.75pt;height:131.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" fillcolor="#215a69 [1640]" stroked="f">
                    <v:fill color2="#3da5c1 [3016]" rotate="t" angle="180" colors="0 #2787a0;52429f #36b1d2;1 #34b3d6" focus="100%" type="gradient">
                      <o:fill v:ext="view" type="gradientUnscaled"/>
                    </v:fill>
                    <v:shadow on="t" color="black" opacity="22937f" origin=",.5" offset="0,.63889mm"/>
                    <v:textbox>
                      <w:txbxContent>
                        <w:p w14:paraId="5E6DCCDE" w14:textId="77777777" w:rsidR="003173FD" w:rsidRPr="00B03D83" w:rsidRDefault="003173FD" w:rsidP="003173FD">
                          <w:pPr>
                            <w:rPr>
                              <w:rFonts w:ascii="Arial" w:hAnsi="Arial" w:cs="Arial"/>
                              <w:sz w:val="28"/>
                              <w:szCs w:val="28"/>
                            </w:rPr>
                          </w:pPr>
                          <w:r w:rsidRPr="00B03D83">
                            <w:rPr>
                              <w:rFonts w:ascii="Arial" w:hAnsi="Arial" w:cs="Arial"/>
                              <w:sz w:val="28"/>
                              <w:szCs w:val="28"/>
                            </w:rPr>
                            <w:t xml:space="preserve">Student Name: </w:t>
                          </w:r>
                          <w:proofErr w:type="spellStart"/>
                          <w:r w:rsidRPr="00B03D83">
                            <w:rPr>
                              <w:rFonts w:ascii="Arial" w:hAnsi="Arial" w:cs="Arial"/>
                              <w:sz w:val="28"/>
                              <w:szCs w:val="28"/>
                            </w:rPr>
                            <w:t>Ambia</w:t>
                          </w:r>
                          <w:proofErr w:type="spellEnd"/>
                          <w:r w:rsidRPr="00B03D83">
                            <w:rPr>
                              <w:rFonts w:ascii="Arial" w:hAnsi="Arial" w:cs="Arial"/>
                              <w:sz w:val="28"/>
                              <w:szCs w:val="28"/>
                            </w:rPr>
                            <w:t xml:space="preserve"> </w:t>
                          </w:r>
                          <w:proofErr w:type="spellStart"/>
                          <w:r w:rsidRPr="00B03D83">
                            <w:rPr>
                              <w:rFonts w:ascii="Arial" w:hAnsi="Arial" w:cs="Arial"/>
                              <w:sz w:val="28"/>
                              <w:szCs w:val="28"/>
                            </w:rPr>
                            <w:t>Tabasum</w:t>
                          </w:r>
                          <w:proofErr w:type="spellEnd"/>
                        </w:p>
                        <w:p w14:paraId="35594DF8" w14:textId="77777777" w:rsidR="003173FD" w:rsidRPr="00B03D83" w:rsidRDefault="003173FD" w:rsidP="003173FD">
                          <w:pPr>
                            <w:rPr>
                              <w:rFonts w:ascii="Arial" w:hAnsi="Arial" w:cs="Arial"/>
                              <w:sz w:val="28"/>
                              <w:szCs w:val="28"/>
                            </w:rPr>
                          </w:pPr>
                          <w:r w:rsidRPr="00B03D83">
                            <w:rPr>
                              <w:rFonts w:ascii="Arial" w:hAnsi="Arial" w:cs="Arial"/>
                              <w:sz w:val="28"/>
                              <w:szCs w:val="28"/>
                            </w:rPr>
                            <w:t>Student ID: 2215213</w:t>
                          </w:r>
                        </w:p>
                        <w:p w14:paraId="3E10FD75" w14:textId="0B398410" w:rsidR="003173FD" w:rsidRPr="00B03D83" w:rsidRDefault="003173FD" w:rsidP="003173FD">
                          <w:pPr>
                            <w:rPr>
                              <w:rFonts w:ascii="Arial" w:hAnsi="Arial" w:cs="Arial"/>
                              <w:sz w:val="28"/>
                              <w:szCs w:val="28"/>
                            </w:rPr>
                          </w:pPr>
                          <w:r w:rsidRPr="00B03D83">
                            <w:rPr>
                              <w:rFonts w:ascii="Arial" w:hAnsi="Arial" w:cs="Arial"/>
                              <w:sz w:val="28"/>
                              <w:szCs w:val="28"/>
                            </w:rPr>
                            <w:t>Module Code: LCHS400</w:t>
                          </w:r>
                          <w:r w:rsidR="00EC54AB">
                            <w:rPr>
                              <w:rFonts w:ascii="Arial" w:hAnsi="Arial" w:cs="Arial"/>
                              <w:sz w:val="28"/>
                              <w:szCs w:val="28"/>
                            </w:rPr>
                            <w:t>4</w:t>
                          </w:r>
                          <w:bookmarkStart w:id="2" w:name="_GoBack"/>
                          <w:bookmarkEnd w:id="2"/>
                        </w:p>
                        <w:p w14:paraId="2CD84D98" w14:textId="09F80E89" w:rsidR="003173FD" w:rsidRPr="00B03D83" w:rsidRDefault="003173FD" w:rsidP="003173FD">
                          <w:pPr>
                            <w:rPr>
                              <w:rFonts w:ascii="Arial" w:hAnsi="Arial" w:cs="Arial"/>
                              <w:sz w:val="28"/>
                              <w:szCs w:val="28"/>
                            </w:rPr>
                          </w:pPr>
                          <w:r w:rsidRPr="00B03D83">
                            <w:rPr>
                              <w:rFonts w:ascii="Arial" w:hAnsi="Arial" w:cs="Arial"/>
                              <w:sz w:val="28"/>
                              <w:szCs w:val="28"/>
                            </w:rPr>
                            <w:t xml:space="preserve">Lecturer’s Name: </w:t>
                          </w:r>
                          <w:r w:rsidR="00EC54AB">
                            <w:rPr>
                              <w:rFonts w:ascii="Arial" w:hAnsi="Arial" w:cs="Arial"/>
                              <w:sz w:val="28"/>
                              <w:szCs w:val="28"/>
                            </w:rPr>
                            <w:t xml:space="preserve"> Robert Ashford</w:t>
                          </w:r>
                        </w:p>
                      </w:txbxContent>
                    </v:textbox>
                    <w10:wrap type="square"/>
                  </v:shape>
                </w:pict>
              </mc:Fallback>
            </mc:AlternateContent>
          </w:r>
          <w:r>
            <w:rPr>
              <w:rFonts w:ascii="Arial" w:hAnsi="Arial" w:cs="Arial"/>
              <w:b/>
              <w:sz w:val="28"/>
              <w:szCs w:val="28"/>
            </w:rPr>
            <w:br w:type="page"/>
          </w:r>
        </w:p>
      </w:sdtContent>
    </w:sdt>
    <w:p w14:paraId="72CC10E5" w14:textId="4257F12F" w:rsidR="00095CEE" w:rsidRPr="00095CEE" w:rsidRDefault="00095CEE" w:rsidP="00095CEE">
      <w:pPr>
        <w:spacing w:line="360" w:lineRule="auto"/>
        <w:jc w:val="both"/>
        <w:rPr>
          <w:rFonts w:ascii="Arial" w:hAnsi="Arial" w:cs="Arial"/>
          <w:b/>
          <w:bCs/>
          <w:sz w:val="24"/>
          <w:szCs w:val="24"/>
        </w:rPr>
      </w:pPr>
      <w:r w:rsidRPr="00095CEE">
        <w:rPr>
          <w:rFonts w:ascii="Arial" w:hAnsi="Arial" w:cs="Arial"/>
          <w:b/>
          <w:bCs/>
          <w:sz w:val="24"/>
          <w:szCs w:val="24"/>
        </w:rPr>
        <w:lastRenderedPageBreak/>
        <w:t>Introduction</w:t>
      </w:r>
    </w:p>
    <w:p w14:paraId="1FA5C4C7" w14:textId="77777777" w:rsidR="00050019" w:rsidRDefault="00050019" w:rsidP="00095CEE">
      <w:pPr>
        <w:spacing w:line="360" w:lineRule="auto"/>
        <w:jc w:val="both"/>
        <w:rPr>
          <w:rFonts w:ascii="Arial" w:hAnsi="Arial" w:cs="Arial"/>
          <w:sz w:val="24"/>
          <w:szCs w:val="24"/>
        </w:rPr>
      </w:pPr>
      <w:r w:rsidRPr="00050019">
        <w:rPr>
          <w:rFonts w:ascii="Arial" w:hAnsi="Arial" w:cs="Arial"/>
          <w:sz w:val="24"/>
          <w:szCs w:val="24"/>
        </w:rPr>
        <w:t>Influenza is a highly contagious respiratory illness that affects millions of people globally each year. In the UK, measures have been put in place to measure, monitor, and control the incidence of influenza through various strategies. This report aims to describe and explain the key strategies used in the UK to measure the incidence of influenza, monitor its spread, and control its impact. These strategies include surveillance systems, laboratory testing, sentinel surveillance, Flu Watch program, National Flu Immunization Program, public health campaigns, antiviral medications, vaccination programs, outbreak response plans, and pandemic preparedness plans. The effective implementation of these strategies has helped the UK to control the incidence of influenza and protect vulnerable populations from the complications of the illness.</w:t>
      </w:r>
    </w:p>
    <w:p w14:paraId="13AA47DC" w14:textId="37A3BD66" w:rsidR="00095CEE" w:rsidRPr="00095CEE" w:rsidRDefault="00095CEE" w:rsidP="00095CEE">
      <w:pPr>
        <w:spacing w:line="360" w:lineRule="auto"/>
        <w:jc w:val="both"/>
        <w:rPr>
          <w:rFonts w:ascii="Arial" w:hAnsi="Arial" w:cs="Arial"/>
          <w:b/>
          <w:bCs/>
          <w:sz w:val="24"/>
          <w:szCs w:val="24"/>
        </w:rPr>
      </w:pPr>
      <w:r w:rsidRPr="00095CEE">
        <w:rPr>
          <w:rFonts w:ascii="Arial" w:hAnsi="Arial" w:cs="Arial"/>
          <w:b/>
          <w:bCs/>
          <w:sz w:val="24"/>
          <w:szCs w:val="24"/>
        </w:rPr>
        <w:t>Strategies used in the UK to measure the incidence of influenza.</w:t>
      </w:r>
    </w:p>
    <w:p w14:paraId="61436375" w14:textId="500B462C" w:rsidR="00095CEE" w:rsidRPr="00095CEE" w:rsidRDefault="008E7033" w:rsidP="00095CEE">
      <w:pPr>
        <w:spacing w:line="360" w:lineRule="auto"/>
        <w:jc w:val="both"/>
        <w:rPr>
          <w:rFonts w:ascii="Arial" w:hAnsi="Arial" w:cs="Arial"/>
          <w:sz w:val="24"/>
          <w:szCs w:val="24"/>
        </w:rPr>
      </w:pPr>
      <w:r w:rsidRPr="008E7033">
        <w:rPr>
          <w:rFonts w:ascii="Arial" w:hAnsi="Arial" w:cs="Arial"/>
          <w:sz w:val="24"/>
          <w:szCs w:val="24"/>
        </w:rPr>
        <w:t>To measure the incidence of influenza, the UK government has implemented several strategies. Surveillance systems such as the Weekly National Influenza Report provide information on the incidence of influenza-like illness (ILI) in the community. These reports are generated through a combination of data sources, including laboratory reports, primary care consultations, and calls to NHS Direct. Laboratory testing is used to confirm the diagnosis of influenza and to monitor the circulating strains. The UK uses a network of specialist laboratories to provide timely and accurate laboratory confirmation of influenza cases. Sentinel surveillance involves monitoring a sample of general practices across the UK to provide an early warning of influenza activity. The UK has established the Royal College of General Practitioners (RCGP) Weekly Returns Service, which collects data from general practices across the country to detect early signs of influenza activity.</w:t>
      </w:r>
    </w:p>
    <w:p w14:paraId="77E23AC2" w14:textId="5B534A60" w:rsidR="00095CEE" w:rsidRPr="00095CEE" w:rsidRDefault="00095CEE" w:rsidP="00095CEE">
      <w:pPr>
        <w:spacing w:line="360" w:lineRule="auto"/>
        <w:jc w:val="both"/>
        <w:rPr>
          <w:rFonts w:ascii="Arial" w:hAnsi="Arial" w:cs="Arial"/>
          <w:b/>
          <w:bCs/>
          <w:sz w:val="24"/>
          <w:szCs w:val="24"/>
        </w:rPr>
      </w:pPr>
      <w:r w:rsidRPr="00095CEE">
        <w:rPr>
          <w:rFonts w:ascii="Arial" w:hAnsi="Arial" w:cs="Arial"/>
          <w:b/>
          <w:bCs/>
          <w:sz w:val="24"/>
          <w:szCs w:val="24"/>
        </w:rPr>
        <w:t>Strategies used in the UK to monitor the incidence of influenza.</w:t>
      </w:r>
    </w:p>
    <w:p w14:paraId="2502A826" w14:textId="7BFECC47" w:rsidR="00095CEE" w:rsidRPr="00095CEE" w:rsidRDefault="008E7033" w:rsidP="00095CEE">
      <w:pPr>
        <w:spacing w:line="360" w:lineRule="auto"/>
        <w:jc w:val="both"/>
        <w:rPr>
          <w:rFonts w:ascii="Arial" w:hAnsi="Arial" w:cs="Arial"/>
          <w:sz w:val="24"/>
          <w:szCs w:val="24"/>
        </w:rPr>
      </w:pPr>
      <w:r w:rsidRPr="008E7033">
        <w:rPr>
          <w:rFonts w:ascii="Arial" w:hAnsi="Arial" w:cs="Arial"/>
          <w:sz w:val="24"/>
          <w:szCs w:val="24"/>
        </w:rPr>
        <w:t xml:space="preserve">To monitor the incidence of influenza, the UK government has implemented various strategies. The Flu Watch program involves monitoring the spread of influenza and collecting data on the severity of the illness. The program collects data from a range of </w:t>
      </w:r>
      <w:r w:rsidRPr="008E7033">
        <w:rPr>
          <w:rFonts w:ascii="Arial" w:hAnsi="Arial" w:cs="Arial"/>
          <w:sz w:val="24"/>
          <w:szCs w:val="24"/>
        </w:rPr>
        <w:lastRenderedPageBreak/>
        <w:t>sources, including primary care consultations, laboratory reports, and hospital admissions. The data collected is used to produce weekly reports on influenza activity and to inform public health actions. The National Flu Immunization Program aims to protect vulnerable populations by providing free vaccinations to those at risk of complications from influenza. The program provides vaccinations to pregnant women, elderly individuals, and those with underlying health conditions. The program also provides vaccinations to healthcare workers to protect them from influenza and to reduce the risk of transmission to patients.</w:t>
      </w:r>
    </w:p>
    <w:p w14:paraId="0A100741" w14:textId="4491B098" w:rsidR="00095CEE" w:rsidRPr="00095CEE" w:rsidRDefault="00095CEE" w:rsidP="00095CEE">
      <w:pPr>
        <w:spacing w:line="360" w:lineRule="auto"/>
        <w:jc w:val="both"/>
        <w:rPr>
          <w:rFonts w:ascii="Arial" w:hAnsi="Arial" w:cs="Arial"/>
          <w:b/>
          <w:bCs/>
          <w:sz w:val="24"/>
          <w:szCs w:val="24"/>
        </w:rPr>
      </w:pPr>
      <w:r w:rsidRPr="00095CEE">
        <w:rPr>
          <w:rFonts w:ascii="Arial" w:hAnsi="Arial" w:cs="Arial"/>
          <w:b/>
          <w:bCs/>
          <w:sz w:val="24"/>
          <w:szCs w:val="24"/>
        </w:rPr>
        <w:t>Strategies used in the UK to control the incidence of influenza.</w:t>
      </w:r>
    </w:p>
    <w:p w14:paraId="51B4C20A" w14:textId="4A8197F0" w:rsidR="00095CEE" w:rsidRPr="00095CEE" w:rsidRDefault="008E7033" w:rsidP="00095CEE">
      <w:pPr>
        <w:spacing w:line="360" w:lineRule="auto"/>
        <w:jc w:val="both"/>
        <w:rPr>
          <w:rFonts w:ascii="Arial" w:hAnsi="Arial" w:cs="Arial"/>
          <w:sz w:val="24"/>
          <w:szCs w:val="24"/>
        </w:rPr>
      </w:pPr>
      <w:r w:rsidRPr="008E7033">
        <w:rPr>
          <w:rFonts w:ascii="Arial" w:hAnsi="Arial" w:cs="Arial"/>
          <w:sz w:val="24"/>
          <w:szCs w:val="24"/>
        </w:rPr>
        <w:t xml:space="preserve">To control the incidence of influenza, the UK government has implemented several strategies. Public health campaigns are one of the primary strategies used to control the spread of influenza. These campaigns aim to promote good respiratory hygiene and reduce the spread of influenza. The UK has implemented several public health campaigns, including the Catch It, Bin It, Kill It campaign, which encourages individuals to cover their mouth and nose when coughing or sneezing, dispose of used tissues properly, and wash their hands regularly. Antiviral medications such as oseltamivir and zanamivir are used to treat influenza and to prevent its spread in high-risk individuals. These medications are typically used for the treatment of severe cases of influenza and for individuals at high risk of complications from influenza. Vaccination programs are one of the most effective strategies to control the incidence of influenza. The UK offers free vaccinations to those at risk of complications from influenza, including the elderly, pregnant women, and those with underlying health conditions. The program also provides vaccinations to children between the ages of 2 and 12 years to reduce the spread of influenza in the community. In addition, the UK government has plans in place to respond to outbreaks of influenza. These plans include the use of antiviral medications, vaccination campaigns, and infection control measures in healthcare settings. The UK also has a pandemic influenza preparedness plan, which outlines the government's response to a potential influenza pandemic. The plan includes measures to limit the spread of influenza, provide medical care to those affected, and maintain </w:t>
      </w:r>
      <w:r w:rsidRPr="008E7033">
        <w:rPr>
          <w:rFonts w:ascii="Arial" w:hAnsi="Arial" w:cs="Arial"/>
          <w:sz w:val="24"/>
          <w:szCs w:val="24"/>
        </w:rPr>
        <w:lastRenderedPageBreak/>
        <w:t>essential services. The plan also includes measures to minimize the social and economic impact of a pandemic.</w:t>
      </w:r>
    </w:p>
    <w:p w14:paraId="69F38C24" w14:textId="4B9BDD8C" w:rsidR="00095CEE" w:rsidRPr="00095CEE" w:rsidRDefault="00095CEE" w:rsidP="00095CEE">
      <w:pPr>
        <w:spacing w:line="360" w:lineRule="auto"/>
        <w:jc w:val="both"/>
        <w:rPr>
          <w:rFonts w:ascii="Arial" w:hAnsi="Arial" w:cs="Arial"/>
          <w:b/>
          <w:bCs/>
          <w:sz w:val="24"/>
          <w:szCs w:val="24"/>
        </w:rPr>
      </w:pPr>
      <w:r w:rsidRPr="00095CEE">
        <w:rPr>
          <w:rFonts w:ascii="Arial" w:hAnsi="Arial" w:cs="Arial"/>
          <w:b/>
          <w:bCs/>
          <w:sz w:val="24"/>
          <w:szCs w:val="24"/>
        </w:rPr>
        <w:t>Conclusion</w:t>
      </w:r>
    </w:p>
    <w:p w14:paraId="335FC203" w14:textId="7DAA3B58" w:rsidR="00576FC5" w:rsidRDefault="00095CEE" w:rsidP="00095CEE">
      <w:pPr>
        <w:spacing w:line="360" w:lineRule="auto"/>
        <w:jc w:val="both"/>
        <w:rPr>
          <w:rFonts w:ascii="Arial" w:hAnsi="Arial" w:cs="Arial"/>
          <w:sz w:val="24"/>
          <w:szCs w:val="24"/>
        </w:rPr>
      </w:pPr>
      <w:r w:rsidRPr="00095CEE">
        <w:rPr>
          <w:rFonts w:ascii="Arial" w:hAnsi="Arial" w:cs="Arial"/>
          <w:sz w:val="24"/>
          <w:szCs w:val="24"/>
        </w:rPr>
        <w:t>In conclusion, the UK government has implemented various approaches and strategies to measure, monitor, and control the incidence of influenza. Surveillance systems, laboratory testing, and sentinel surveillance are used to measure the incidence of influenza. The Flu Watch program and the National Flu Immunization Program are used to monitor the incidence of influenza. Public health campaigns, antiviral medications, and vaccination programs are used to control the incidence of influenza. These strategies have been successful in reducing the incidence of influenza in the UK, but continued efforts are needed to prevent and control future outbreaks.</w:t>
      </w:r>
    </w:p>
    <w:bookmarkEnd w:id="0"/>
    <w:p w14:paraId="06B3A000" w14:textId="77777777" w:rsidR="008E7033" w:rsidRDefault="008E7033" w:rsidP="00095CEE">
      <w:pPr>
        <w:spacing w:line="360" w:lineRule="auto"/>
        <w:jc w:val="both"/>
        <w:rPr>
          <w:rFonts w:ascii="Arial" w:hAnsi="Arial" w:cs="Arial"/>
          <w:sz w:val="24"/>
          <w:szCs w:val="24"/>
        </w:rPr>
      </w:pPr>
    </w:p>
    <w:p w14:paraId="5405D57E" w14:textId="7EDC1C62" w:rsidR="008E7033" w:rsidRDefault="008E7033" w:rsidP="00095CEE">
      <w:pPr>
        <w:spacing w:line="360" w:lineRule="auto"/>
        <w:jc w:val="both"/>
        <w:rPr>
          <w:rFonts w:ascii="Arial" w:hAnsi="Arial" w:cs="Arial"/>
          <w:sz w:val="24"/>
          <w:szCs w:val="24"/>
        </w:rPr>
      </w:pPr>
    </w:p>
    <w:p w14:paraId="5D39E518" w14:textId="1116AF8D" w:rsidR="008E7033" w:rsidRDefault="008E7033" w:rsidP="00095CEE">
      <w:pPr>
        <w:spacing w:line="360" w:lineRule="auto"/>
        <w:jc w:val="both"/>
        <w:rPr>
          <w:rFonts w:ascii="Arial" w:hAnsi="Arial" w:cs="Arial"/>
          <w:sz w:val="24"/>
          <w:szCs w:val="24"/>
        </w:rPr>
      </w:pPr>
    </w:p>
    <w:p w14:paraId="2E5961EE" w14:textId="360EB9A9" w:rsidR="008E7033" w:rsidRDefault="008E7033" w:rsidP="00095CEE">
      <w:pPr>
        <w:spacing w:line="360" w:lineRule="auto"/>
        <w:jc w:val="both"/>
        <w:rPr>
          <w:rFonts w:ascii="Arial" w:hAnsi="Arial" w:cs="Arial"/>
          <w:sz w:val="24"/>
          <w:szCs w:val="24"/>
        </w:rPr>
      </w:pPr>
    </w:p>
    <w:p w14:paraId="6DF545D5" w14:textId="7584FA7B" w:rsidR="008E7033" w:rsidRDefault="008E7033" w:rsidP="00095CEE">
      <w:pPr>
        <w:spacing w:line="360" w:lineRule="auto"/>
        <w:jc w:val="both"/>
        <w:rPr>
          <w:rFonts w:ascii="Arial" w:hAnsi="Arial" w:cs="Arial"/>
          <w:sz w:val="24"/>
          <w:szCs w:val="24"/>
        </w:rPr>
      </w:pPr>
    </w:p>
    <w:p w14:paraId="098A3580" w14:textId="163329DF" w:rsidR="008E7033" w:rsidRDefault="008E7033" w:rsidP="00095CEE">
      <w:pPr>
        <w:spacing w:line="360" w:lineRule="auto"/>
        <w:jc w:val="both"/>
        <w:rPr>
          <w:rFonts w:ascii="Arial" w:hAnsi="Arial" w:cs="Arial"/>
          <w:sz w:val="24"/>
          <w:szCs w:val="24"/>
        </w:rPr>
      </w:pPr>
    </w:p>
    <w:p w14:paraId="43DA1698" w14:textId="20A1A31B" w:rsidR="008E7033" w:rsidRDefault="008E7033" w:rsidP="00095CEE">
      <w:pPr>
        <w:spacing w:line="360" w:lineRule="auto"/>
        <w:jc w:val="both"/>
        <w:rPr>
          <w:rFonts w:ascii="Arial" w:hAnsi="Arial" w:cs="Arial"/>
          <w:sz w:val="24"/>
          <w:szCs w:val="24"/>
        </w:rPr>
      </w:pPr>
    </w:p>
    <w:p w14:paraId="73FB0D22" w14:textId="0133D8C0" w:rsidR="008E7033" w:rsidRDefault="008E7033" w:rsidP="00095CEE">
      <w:pPr>
        <w:spacing w:line="360" w:lineRule="auto"/>
        <w:jc w:val="both"/>
        <w:rPr>
          <w:rFonts w:ascii="Arial" w:hAnsi="Arial" w:cs="Arial"/>
          <w:sz w:val="24"/>
          <w:szCs w:val="24"/>
        </w:rPr>
      </w:pPr>
    </w:p>
    <w:p w14:paraId="3D0EF9EB" w14:textId="6124667F" w:rsidR="008E7033" w:rsidRDefault="008E7033" w:rsidP="00095CEE">
      <w:pPr>
        <w:spacing w:line="360" w:lineRule="auto"/>
        <w:jc w:val="both"/>
        <w:rPr>
          <w:rFonts w:ascii="Arial" w:hAnsi="Arial" w:cs="Arial"/>
          <w:sz w:val="24"/>
          <w:szCs w:val="24"/>
        </w:rPr>
      </w:pPr>
    </w:p>
    <w:p w14:paraId="4C7CF0A6" w14:textId="7028FA53" w:rsidR="00221D28" w:rsidRDefault="00221D28" w:rsidP="00095CEE">
      <w:pPr>
        <w:spacing w:line="360" w:lineRule="auto"/>
        <w:jc w:val="both"/>
        <w:rPr>
          <w:rFonts w:ascii="Arial" w:hAnsi="Arial" w:cs="Arial"/>
          <w:sz w:val="24"/>
          <w:szCs w:val="24"/>
        </w:rPr>
      </w:pPr>
    </w:p>
    <w:p w14:paraId="6F18432D" w14:textId="10D60D76" w:rsidR="00221D28" w:rsidRDefault="00221D28" w:rsidP="00095CEE">
      <w:pPr>
        <w:spacing w:line="360" w:lineRule="auto"/>
        <w:jc w:val="both"/>
        <w:rPr>
          <w:rFonts w:ascii="Arial" w:hAnsi="Arial" w:cs="Arial"/>
          <w:sz w:val="24"/>
          <w:szCs w:val="24"/>
        </w:rPr>
      </w:pPr>
    </w:p>
    <w:p w14:paraId="7ECF21EF" w14:textId="77777777" w:rsidR="00221D28" w:rsidRDefault="00221D28" w:rsidP="00095CEE">
      <w:pPr>
        <w:spacing w:line="360" w:lineRule="auto"/>
        <w:jc w:val="both"/>
        <w:rPr>
          <w:rFonts w:ascii="Arial" w:hAnsi="Arial" w:cs="Arial"/>
          <w:sz w:val="24"/>
          <w:szCs w:val="24"/>
        </w:rPr>
      </w:pPr>
    </w:p>
    <w:p w14:paraId="19CC8C21" w14:textId="5728982B" w:rsidR="008E7033" w:rsidRDefault="008E7033" w:rsidP="00095CEE">
      <w:pPr>
        <w:spacing w:line="360" w:lineRule="auto"/>
        <w:jc w:val="both"/>
        <w:rPr>
          <w:rFonts w:ascii="Arial" w:hAnsi="Arial" w:cs="Arial"/>
          <w:sz w:val="24"/>
          <w:szCs w:val="24"/>
        </w:rPr>
      </w:pPr>
    </w:p>
    <w:p w14:paraId="4B627CB7" w14:textId="4D7DDF01" w:rsidR="008E7033" w:rsidRDefault="008E7033" w:rsidP="00095CEE">
      <w:pPr>
        <w:spacing w:line="360" w:lineRule="auto"/>
        <w:jc w:val="both"/>
        <w:rPr>
          <w:rFonts w:ascii="Arial" w:hAnsi="Arial" w:cs="Arial"/>
          <w:b/>
          <w:bCs/>
          <w:sz w:val="24"/>
          <w:szCs w:val="24"/>
        </w:rPr>
      </w:pPr>
      <w:r w:rsidRPr="008E7033">
        <w:rPr>
          <w:rFonts w:ascii="Arial" w:hAnsi="Arial" w:cs="Arial"/>
          <w:b/>
          <w:bCs/>
          <w:sz w:val="24"/>
          <w:szCs w:val="24"/>
        </w:rPr>
        <w:lastRenderedPageBreak/>
        <w:t>References</w:t>
      </w:r>
    </w:p>
    <w:p w14:paraId="594B14E6" w14:textId="77777777" w:rsidR="00221D28" w:rsidRDefault="00221D28" w:rsidP="00095CEE">
      <w:pPr>
        <w:spacing w:line="360" w:lineRule="auto"/>
        <w:jc w:val="both"/>
        <w:rPr>
          <w:rFonts w:ascii="Arial" w:hAnsi="Arial" w:cs="Arial"/>
          <w:sz w:val="24"/>
          <w:szCs w:val="24"/>
        </w:rPr>
      </w:pPr>
      <w:r w:rsidRPr="00221D28">
        <w:rPr>
          <w:rFonts w:ascii="Arial" w:hAnsi="Arial" w:cs="Arial"/>
          <w:sz w:val="24"/>
          <w:szCs w:val="24"/>
        </w:rPr>
        <w:t xml:space="preserve">Edwards, D.J., </w:t>
      </w:r>
      <w:proofErr w:type="spellStart"/>
      <w:r w:rsidRPr="00221D28">
        <w:rPr>
          <w:rFonts w:ascii="Arial" w:hAnsi="Arial" w:cs="Arial"/>
          <w:sz w:val="24"/>
          <w:szCs w:val="24"/>
        </w:rPr>
        <w:t>Chugani</w:t>
      </w:r>
      <w:proofErr w:type="spellEnd"/>
      <w:r w:rsidRPr="00221D28">
        <w:rPr>
          <w:rFonts w:ascii="Arial" w:hAnsi="Arial" w:cs="Arial"/>
          <w:sz w:val="24"/>
          <w:szCs w:val="24"/>
        </w:rPr>
        <w:t xml:space="preserve">, D.C., </w:t>
      </w:r>
      <w:proofErr w:type="spellStart"/>
      <w:r w:rsidRPr="00221D28">
        <w:rPr>
          <w:rFonts w:ascii="Arial" w:hAnsi="Arial" w:cs="Arial"/>
          <w:sz w:val="24"/>
          <w:szCs w:val="24"/>
        </w:rPr>
        <w:t>Chugani</w:t>
      </w:r>
      <w:proofErr w:type="spellEnd"/>
      <w:r w:rsidRPr="00221D28">
        <w:rPr>
          <w:rFonts w:ascii="Arial" w:hAnsi="Arial" w:cs="Arial"/>
          <w:sz w:val="24"/>
          <w:szCs w:val="24"/>
        </w:rPr>
        <w:t>, H.T., Chehab, J., Malian, M. and Aranda, J.V., 2006. Pharmacokinetics of buspirone in autistic children. </w:t>
      </w:r>
      <w:r w:rsidRPr="00221D28">
        <w:rPr>
          <w:rFonts w:ascii="Arial" w:hAnsi="Arial" w:cs="Arial"/>
          <w:i/>
          <w:iCs/>
          <w:sz w:val="24"/>
          <w:szCs w:val="24"/>
        </w:rPr>
        <w:t>The Journal of Clinical Pharmacology</w:t>
      </w:r>
      <w:r w:rsidRPr="00221D28">
        <w:rPr>
          <w:rFonts w:ascii="Arial" w:hAnsi="Arial" w:cs="Arial"/>
          <w:sz w:val="24"/>
          <w:szCs w:val="24"/>
        </w:rPr>
        <w:t>, </w:t>
      </w:r>
      <w:r w:rsidRPr="00221D28">
        <w:rPr>
          <w:rFonts w:ascii="Arial" w:hAnsi="Arial" w:cs="Arial"/>
          <w:i/>
          <w:iCs/>
          <w:sz w:val="24"/>
          <w:szCs w:val="24"/>
        </w:rPr>
        <w:t>46</w:t>
      </w:r>
      <w:r w:rsidRPr="00221D28">
        <w:rPr>
          <w:rFonts w:ascii="Arial" w:hAnsi="Arial" w:cs="Arial"/>
          <w:sz w:val="24"/>
          <w:szCs w:val="24"/>
        </w:rPr>
        <w:t>(5), pp.508-514.</w:t>
      </w:r>
    </w:p>
    <w:p w14:paraId="306DA0DC" w14:textId="77777777" w:rsidR="00221D28" w:rsidRDefault="00221D28" w:rsidP="00095CEE">
      <w:pPr>
        <w:spacing w:line="360" w:lineRule="auto"/>
        <w:jc w:val="both"/>
        <w:rPr>
          <w:rFonts w:ascii="Arial" w:hAnsi="Arial" w:cs="Arial"/>
          <w:sz w:val="24"/>
          <w:szCs w:val="24"/>
        </w:rPr>
      </w:pPr>
      <w:r w:rsidRPr="00221D28">
        <w:rPr>
          <w:rFonts w:ascii="Arial" w:hAnsi="Arial" w:cs="Arial"/>
          <w:sz w:val="24"/>
          <w:szCs w:val="24"/>
        </w:rPr>
        <w:t xml:space="preserve">Kara, E.O., Elliot, A.J., Bagnall, H., </w:t>
      </w:r>
      <w:proofErr w:type="spellStart"/>
      <w:r w:rsidRPr="00221D28">
        <w:rPr>
          <w:rFonts w:ascii="Arial" w:hAnsi="Arial" w:cs="Arial"/>
          <w:sz w:val="24"/>
          <w:szCs w:val="24"/>
        </w:rPr>
        <w:t>Foord</w:t>
      </w:r>
      <w:proofErr w:type="spellEnd"/>
      <w:r w:rsidRPr="00221D28">
        <w:rPr>
          <w:rFonts w:ascii="Arial" w:hAnsi="Arial" w:cs="Arial"/>
          <w:sz w:val="24"/>
          <w:szCs w:val="24"/>
        </w:rPr>
        <w:t xml:space="preserve">, D.G.F., </w:t>
      </w:r>
      <w:proofErr w:type="spellStart"/>
      <w:r w:rsidRPr="00221D28">
        <w:rPr>
          <w:rFonts w:ascii="Arial" w:hAnsi="Arial" w:cs="Arial"/>
          <w:sz w:val="24"/>
          <w:szCs w:val="24"/>
        </w:rPr>
        <w:t>Pnaiser</w:t>
      </w:r>
      <w:proofErr w:type="spellEnd"/>
      <w:r w:rsidRPr="00221D28">
        <w:rPr>
          <w:rFonts w:ascii="Arial" w:hAnsi="Arial" w:cs="Arial"/>
          <w:sz w:val="24"/>
          <w:szCs w:val="24"/>
        </w:rPr>
        <w:t xml:space="preserve">, R., Osman, H., Smith, G.E. and </w:t>
      </w:r>
      <w:proofErr w:type="spellStart"/>
      <w:r w:rsidRPr="00221D28">
        <w:rPr>
          <w:rFonts w:ascii="Arial" w:hAnsi="Arial" w:cs="Arial"/>
          <w:sz w:val="24"/>
          <w:szCs w:val="24"/>
        </w:rPr>
        <w:t>Olowokure</w:t>
      </w:r>
      <w:proofErr w:type="spellEnd"/>
      <w:r w:rsidRPr="00221D28">
        <w:rPr>
          <w:rFonts w:ascii="Arial" w:hAnsi="Arial" w:cs="Arial"/>
          <w:sz w:val="24"/>
          <w:szCs w:val="24"/>
        </w:rPr>
        <w:t xml:space="preserve">, B., 2012. Absenteeism in schools during the 2009 influenza A (H1N1) pandemic: a useful tool for early detection of influenza activity in the </w:t>
      </w:r>
      <w:proofErr w:type="gramStart"/>
      <w:r w:rsidRPr="00221D28">
        <w:rPr>
          <w:rFonts w:ascii="Arial" w:hAnsi="Arial" w:cs="Arial"/>
          <w:sz w:val="24"/>
          <w:szCs w:val="24"/>
        </w:rPr>
        <w:t>community?.</w:t>
      </w:r>
      <w:proofErr w:type="gramEnd"/>
      <w:r w:rsidRPr="00221D28">
        <w:rPr>
          <w:rFonts w:ascii="Arial" w:hAnsi="Arial" w:cs="Arial"/>
          <w:sz w:val="24"/>
          <w:szCs w:val="24"/>
        </w:rPr>
        <w:t> </w:t>
      </w:r>
      <w:r w:rsidRPr="00221D28">
        <w:rPr>
          <w:rFonts w:ascii="Arial" w:hAnsi="Arial" w:cs="Arial"/>
          <w:i/>
          <w:iCs/>
          <w:sz w:val="24"/>
          <w:szCs w:val="24"/>
        </w:rPr>
        <w:t>Epidemiology &amp; Infection</w:t>
      </w:r>
      <w:r w:rsidRPr="00221D28">
        <w:rPr>
          <w:rFonts w:ascii="Arial" w:hAnsi="Arial" w:cs="Arial"/>
          <w:sz w:val="24"/>
          <w:szCs w:val="24"/>
        </w:rPr>
        <w:t>, </w:t>
      </w:r>
      <w:r w:rsidRPr="00221D28">
        <w:rPr>
          <w:rFonts w:ascii="Arial" w:hAnsi="Arial" w:cs="Arial"/>
          <w:i/>
          <w:iCs/>
          <w:sz w:val="24"/>
          <w:szCs w:val="24"/>
        </w:rPr>
        <w:t>140</w:t>
      </w:r>
      <w:r w:rsidRPr="00221D28">
        <w:rPr>
          <w:rFonts w:ascii="Arial" w:hAnsi="Arial" w:cs="Arial"/>
          <w:sz w:val="24"/>
          <w:szCs w:val="24"/>
        </w:rPr>
        <w:t>(7), pp.1328-1336.</w:t>
      </w:r>
    </w:p>
    <w:p w14:paraId="78C0E193" w14:textId="77777777" w:rsidR="00221D28" w:rsidRDefault="00221D28" w:rsidP="00095CEE">
      <w:pPr>
        <w:spacing w:line="360" w:lineRule="auto"/>
        <w:jc w:val="both"/>
        <w:rPr>
          <w:rFonts w:ascii="Arial" w:hAnsi="Arial" w:cs="Arial"/>
          <w:sz w:val="24"/>
          <w:szCs w:val="24"/>
        </w:rPr>
      </w:pPr>
      <w:r w:rsidRPr="008E7033">
        <w:rPr>
          <w:rFonts w:ascii="Arial" w:hAnsi="Arial" w:cs="Arial"/>
          <w:sz w:val="24"/>
          <w:szCs w:val="24"/>
        </w:rPr>
        <w:t xml:space="preserve">Nazareth, J., Pan, D., Martin, C.A., Barr, I., Sullivan, S.G., Stephenson, I., Sahota, A., Clark, T.W., </w:t>
      </w:r>
      <w:proofErr w:type="spellStart"/>
      <w:r w:rsidRPr="008E7033">
        <w:rPr>
          <w:rFonts w:ascii="Arial" w:hAnsi="Arial" w:cs="Arial"/>
          <w:sz w:val="24"/>
          <w:szCs w:val="24"/>
        </w:rPr>
        <w:t>Nellums</w:t>
      </w:r>
      <w:proofErr w:type="spellEnd"/>
      <w:r w:rsidRPr="008E7033">
        <w:rPr>
          <w:rFonts w:ascii="Arial" w:hAnsi="Arial" w:cs="Arial"/>
          <w:sz w:val="24"/>
          <w:szCs w:val="24"/>
        </w:rPr>
        <w:t xml:space="preserve">, L.B., Tang, J.W. and </w:t>
      </w:r>
      <w:proofErr w:type="spellStart"/>
      <w:r w:rsidRPr="008E7033">
        <w:rPr>
          <w:rFonts w:ascii="Arial" w:hAnsi="Arial" w:cs="Arial"/>
          <w:sz w:val="24"/>
          <w:szCs w:val="24"/>
        </w:rPr>
        <w:t>Pareek</w:t>
      </w:r>
      <w:proofErr w:type="spellEnd"/>
      <w:r w:rsidRPr="008E7033">
        <w:rPr>
          <w:rFonts w:ascii="Arial" w:hAnsi="Arial" w:cs="Arial"/>
          <w:sz w:val="24"/>
          <w:szCs w:val="24"/>
        </w:rPr>
        <w:t xml:space="preserve">, M., 2022. Is the UK prepared for seasonal influenza in 2022–23 and </w:t>
      </w:r>
      <w:proofErr w:type="gramStart"/>
      <w:r w:rsidRPr="008E7033">
        <w:rPr>
          <w:rFonts w:ascii="Arial" w:hAnsi="Arial" w:cs="Arial"/>
          <w:sz w:val="24"/>
          <w:szCs w:val="24"/>
        </w:rPr>
        <w:t>beyond?.</w:t>
      </w:r>
      <w:proofErr w:type="gramEnd"/>
      <w:r w:rsidRPr="008E7033">
        <w:rPr>
          <w:rFonts w:ascii="Arial" w:hAnsi="Arial" w:cs="Arial"/>
          <w:sz w:val="24"/>
          <w:szCs w:val="24"/>
        </w:rPr>
        <w:t> </w:t>
      </w:r>
      <w:r w:rsidRPr="008E7033">
        <w:rPr>
          <w:rFonts w:ascii="Arial" w:hAnsi="Arial" w:cs="Arial"/>
          <w:i/>
          <w:iCs/>
          <w:sz w:val="24"/>
          <w:szCs w:val="24"/>
        </w:rPr>
        <w:t>The Lancet Infectious Diseases</w:t>
      </w:r>
      <w:r w:rsidRPr="008E7033">
        <w:rPr>
          <w:rFonts w:ascii="Arial" w:hAnsi="Arial" w:cs="Arial"/>
          <w:sz w:val="24"/>
          <w:szCs w:val="24"/>
        </w:rPr>
        <w:t>, </w:t>
      </w:r>
      <w:r w:rsidRPr="008E7033">
        <w:rPr>
          <w:rFonts w:ascii="Arial" w:hAnsi="Arial" w:cs="Arial"/>
          <w:i/>
          <w:iCs/>
          <w:sz w:val="24"/>
          <w:szCs w:val="24"/>
        </w:rPr>
        <w:t>22</w:t>
      </w:r>
      <w:r w:rsidRPr="008E7033">
        <w:rPr>
          <w:rFonts w:ascii="Arial" w:hAnsi="Arial" w:cs="Arial"/>
          <w:sz w:val="24"/>
          <w:szCs w:val="24"/>
        </w:rPr>
        <w:t>(9), pp.1280-1281.</w:t>
      </w:r>
    </w:p>
    <w:p w14:paraId="26091DA5" w14:textId="77777777" w:rsidR="00221D28" w:rsidRDefault="00221D28" w:rsidP="00095CEE">
      <w:pPr>
        <w:spacing w:line="360" w:lineRule="auto"/>
        <w:jc w:val="both"/>
        <w:rPr>
          <w:rFonts w:ascii="Arial" w:hAnsi="Arial" w:cs="Arial"/>
          <w:sz w:val="24"/>
          <w:szCs w:val="24"/>
        </w:rPr>
      </w:pPr>
    </w:p>
    <w:p w14:paraId="1B822745" w14:textId="77777777" w:rsidR="008E7033" w:rsidRPr="008E7033" w:rsidRDefault="008E7033" w:rsidP="00095CEE">
      <w:pPr>
        <w:spacing w:line="360" w:lineRule="auto"/>
        <w:jc w:val="both"/>
        <w:rPr>
          <w:rFonts w:ascii="Arial" w:hAnsi="Arial" w:cs="Arial"/>
          <w:sz w:val="24"/>
          <w:szCs w:val="24"/>
        </w:rPr>
      </w:pPr>
    </w:p>
    <w:sectPr w:rsidR="008E7033" w:rsidRPr="008E70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310DA"/>
    <w:rsid w:val="00050019"/>
    <w:rsid w:val="0007642C"/>
    <w:rsid w:val="00095CEE"/>
    <w:rsid w:val="0013784C"/>
    <w:rsid w:val="00221D28"/>
    <w:rsid w:val="003173FD"/>
    <w:rsid w:val="00576FC5"/>
    <w:rsid w:val="008E7033"/>
    <w:rsid w:val="00A72E3C"/>
    <w:rsid w:val="00C310DA"/>
    <w:rsid w:val="00EC54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8458E"/>
  <w15:chartTrackingRefBased/>
  <w15:docId w15:val="{EE82669E-6755-41A0-8076-59ED8E498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370467">
      <w:bodyDiv w:val="1"/>
      <w:marLeft w:val="0"/>
      <w:marRight w:val="0"/>
      <w:marTop w:val="0"/>
      <w:marBottom w:val="0"/>
      <w:divBdr>
        <w:top w:val="none" w:sz="0" w:space="0" w:color="auto"/>
        <w:left w:val="none" w:sz="0" w:space="0" w:color="auto"/>
        <w:bottom w:val="none" w:sz="0" w:space="0" w:color="auto"/>
        <w:right w:val="none" w:sz="0" w:space="0" w:color="auto"/>
      </w:divBdr>
    </w:div>
    <w:div w:id="1184592833">
      <w:bodyDiv w:val="1"/>
      <w:marLeft w:val="0"/>
      <w:marRight w:val="0"/>
      <w:marTop w:val="0"/>
      <w:marBottom w:val="0"/>
      <w:divBdr>
        <w:top w:val="none" w:sz="0" w:space="0" w:color="auto"/>
        <w:left w:val="none" w:sz="0" w:space="0" w:color="auto"/>
        <w:bottom w:val="none" w:sz="0" w:space="0" w:color="auto"/>
        <w:right w:val="none" w:sz="0" w:space="0" w:color="auto"/>
      </w:divBdr>
      <w:divsChild>
        <w:div w:id="1851531597">
          <w:marLeft w:val="0"/>
          <w:marRight w:val="0"/>
          <w:marTop w:val="0"/>
          <w:marBottom w:val="0"/>
          <w:divBdr>
            <w:top w:val="single" w:sz="2" w:space="0" w:color="D9D9E3"/>
            <w:left w:val="single" w:sz="2" w:space="0" w:color="D9D9E3"/>
            <w:bottom w:val="single" w:sz="2" w:space="0" w:color="D9D9E3"/>
            <w:right w:val="single" w:sz="2" w:space="0" w:color="D9D9E3"/>
          </w:divBdr>
          <w:divsChild>
            <w:div w:id="771169638">
              <w:marLeft w:val="0"/>
              <w:marRight w:val="0"/>
              <w:marTop w:val="0"/>
              <w:marBottom w:val="0"/>
              <w:divBdr>
                <w:top w:val="single" w:sz="2" w:space="0" w:color="D9D9E3"/>
                <w:left w:val="single" w:sz="2" w:space="0" w:color="D9D9E3"/>
                <w:bottom w:val="single" w:sz="2" w:space="0" w:color="D9D9E3"/>
                <w:right w:val="single" w:sz="2" w:space="0" w:color="D9D9E3"/>
              </w:divBdr>
              <w:divsChild>
                <w:div w:id="2031486817">
                  <w:marLeft w:val="0"/>
                  <w:marRight w:val="0"/>
                  <w:marTop w:val="0"/>
                  <w:marBottom w:val="0"/>
                  <w:divBdr>
                    <w:top w:val="single" w:sz="2" w:space="0" w:color="D9D9E3"/>
                    <w:left w:val="single" w:sz="2" w:space="0" w:color="D9D9E3"/>
                    <w:bottom w:val="single" w:sz="2" w:space="0" w:color="D9D9E3"/>
                    <w:right w:val="single" w:sz="2" w:space="0" w:color="D9D9E3"/>
                  </w:divBdr>
                  <w:divsChild>
                    <w:div w:id="1458378536">
                      <w:marLeft w:val="0"/>
                      <w:marRight w:val="0"/>
                      <w:marTop w:val="0"/>
                      <w:marBottom w:val="0"/>
                      <w:divBdr>
                        <w:top w:val="single" w:sz="2" w:space="0" w:color="D9D9E3"/>
                        <w:left w:val="single" w:sz="2" w:space="0" w:color="D9D9E3"/>
                        <w:bottom w:val="single" w:sz="2" w:space="0" w:color="D9D9E3"/>
                        <w:right w:val="single" w:sz="2" w:space="0" w:color="D9D9E3"/>
                      </w:divBdr>
                      <w:divsChild>
                        <w:div w:id="1147169738">
                          <w:marLeft w:val="0"/>
                          <w:marRight w:val="0"/>
                          <w:marTop w:val="0"/>
                          <w:marBottom w:val="0"/>
                          <w:divBdr>
                            <w:top w:val="single" w:sz="2" w:space="0" w:color="auto"/>
                            <w:left w:val="single" w:sz="2" w:space="0" w:color="auto"/>
                            <w:bottom w:val="single" w:sz="6" w:space="0" w:color="auto"/>
                            <w:right w:val="single" w:sz="2" w:space="0" w:color="auto"/>
                          </w:divBdr>
                          <w:divsChild>
                            <w:div w:id="15800919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91800">
                                  <w:marLeft w:val="0"/>
                                  <w:marRight w:val="0"/>
                                  <w:marTop w:val="0"/>
                                  <w:marBottom w:val="0"/>
                                  <w:divBdr>
                                    <w:top w:val="single" w:sz="2" w:space="0" w:color="D9D9E3"/>
                                    <w:left w:val="single" w:sz="2" w:space="0" w:color="D9D9E3"/>
                                    <w:bottom w:val="single" w:sz="2" w:space="0" w:color="D9D9E3"/>
                                    <w:right w:val="single" w:sz="2" w:space="0" w:color="D9D9E3"/>
                                  </w:divBdr>
                                  <w:divsChild>
                                    <w:div w:id="2061903968">
                                      <w:marLeft w:val="0"/>
                                      <w:marRight w:val="0"/>
                                      <w:marTop w:val="0"/>
                                      <w:marBottom w:val="0"/>
                                      <w:divBdr>
                                        <w:top w:val="single" w:sz="2" w:space="0" w:color="D9D9E3"/>
                                        <w:left w:val="single" w:sz="2" w:space="0" w:color="D9D9E3"/>
                                        <w:bottom w:val="single" w:sz="2" w:space="0" w:color="D9D9E3"/>
                                        <w:right w:val="single" w:sz="2" w:space="0" w:color="D9D9E3"/>
                                      </w:divBdr>
                                      <w:divsChild>
                                        <w:div w:id="2128040989">
                                          <w:marLeft w:val="0"/>
                                          <w:marRight w:val="0"/>
                                          <w:marTop w:val="0"/>
                                          <w:marBottom w:val="0"/>
                                          <w:divBdr>
                                            <w:top w:val="single" w:sz="2" w:space="0" w:color="D9D9E3"/>
                                            <w:left w:val="single" w:sz="2" w:space="0" w:color="D9D9E3"/>
                                            <w:bottom w:val="single" w:sz="2" w:space="0" w:color="D9D9E3"/>
                                            <w:right w:val="single" w:sz="2" w:space="0" w:color="D9D9E3"/>
                                          </w:divBdr>
                                          <w:divsChild>
                                            <w:div w:id="1541894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19271617">
          <w:marLeft w:val="0"/>
          <w:marRight w:val="0"/>
          <w:marTop w:val="0"/>
          <w:marBottom w:val="0"/>
          <w:divBdr>
            <w:top w:val="none" w:sz="0" w:space="0" w:color="auto"/>
            <w:left w:val="none" w:sz="0" w:space="0" w:color="auto"/>
            <w:bottom w:val="none" w:sz="0" w:space="0" w:color="auto"/>
            <w:right w:val="none" w:sz="0" w:space="0" w:color="auto"/>
          </w:divBdr>
          <w:divsChild>
            <w:div w:id="1833984915">
              <w:marLeft w:val="0"/>
              <w:marRight w:val="0"/>
              <w:marTop w:val="0"/>
              <w:marBottom w:val="0"/>
              <w:divBdr>
                <w:top w:val="single" w:sz="2" w:space="0" w:color="D9D9E3"/>
                <w:left w:val="single" w:sz="2" w:space="0" w:color="D9D9E3"/>
                <w:bottom w:val="single" w:sz="2" w:space="0" w:color="D9D9E3"/>
                <w:right w:val="single" w:sz="2" w:space="0" w:color="D9D9E3"/>
              </w:divBdr>
              <w:divsChild>
                <w:div w:id="168952591">
                  <w:marLeft w:val="0"/>
                  <w:marRight w:val="0"/>
                  <w:marTop w:val="0"/>
                  <w:marBottom w:val="0"/>
                  <w:divBdr>
                    <w:top w:val="single" w:sz="2" w:space="0" w:color="D9D9E3"/>
                    <w:left w:val="single" w:sz="2" w:space="0" w:color="D9D9E3"/>
                    <w:bottom w:val="single" w:sz="2" w:space="0" w:color="D9D9E3"/>
                    <w:right w:val="single" w:sz="2" w:space="0" w:color="D9D9E3"/>
                  </w:divBdr>
                  <w:divsChild>
                    <w:div w:id="655574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20466926">
      <w:bodyDiv w:val="1"/>
      <w:marLeft w:val="0"/>
      <w:marRight w:val="0"/>
      <w:marTop w:val="0"/>
      <w:marBottom w:val="0"/>
      <w:divBdr>
        <w:top w:val="none" w:sz="0" w:space="0" w:color="auto"/>
        <w:left w:val="none" w:sz="0" w:space="0" w:color="auto"/>
        <w:bottom w:val="none" w:sz="0" w:space="0" w:color="auto"/>
        <w:right w:val="none" w:sz="0" w:space="0" w:color="auto"/>
      </w:divBdr>
      <w:divsChild>
        <w:div w:id="831025163">
          <w:marLeft w:val="0"/>
          <w:marRight w:val="0"/>
          <w:marTop w:val="0"/>
          <w:marBottom w:val="0"/>
          <w:divBdr>
            <w:top w:val="single" w:sz="2" w:space="0" w:color="auto"/>
            <w:left w:val="single" w:sz="2" w:space="0" w:color="auto"/>
            <w:bottom w:val="single" w:sz="6" w:space="0" w:color="auto"/>
            <w:right w:val="single" w:sz="2" w:space="0" w:color="auto"/>
          </w:divBdr>
          <w:divsChild>
            <w:div w:id="1750342155">
              <w:marLeft w:val="0"/>
              <w:marRight w:val="0"/>
              <w:marTop w:val="100"/>
              <w:marBottom w:val="100"/>
              <w:divBdr>
                <w:top w:val="single" w:sz="2" w:space="0" w:color="D9D9E3"/>
                <w:left w:val="single" w:sz="2" w:space="0" w:color="D9D9E3"/>
                <w:bottom w:val="single" w:sz="2" w:space="0" w:color="D9D9E3"/>
                <w:right w:val="single" w:sz="2" w:space="0" w:color="D9D9E3"/>
              </w:divBdr>
              <w:divsChild>
                <w:div w:id="665744098">
                  <w:marLeft w:val="0"/>
                  <w:marRight w:val="0"/>
                  <w:marTop w:val="0"/>
                  <w:marBottom w:val="0"/>
                  <w:divBdr>
                    <w:top w:val="single" w:sz="2" w:space="0" w:color="D9D9E3"/>
                    <w:left w:val="single" w:sz="2" w:space="0" w:color="D9D9E3"/>
                    <w:bottom w:val="single" w:sz="2" w:space="0" w:color="D9D9E3"/>
                    <w:right w:val="single" w:sz="2" w:space="0" w:color="D9D9E3"/>
                  </w:divBdr>
                  <w:divsChild>
                    <w:div w:id="1762873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12171066">
                  <w:marLeft w:val="0"/>
                  <w:marRight w:val="0"/>
                  <w:marTop w:val="0"/>
                  <w:marBottom w:val="0"/>
                  <w:divBdr>
                    <w:top w:val="single" w:sz="2" w:space="0" w:color="D9D9E3"/>
                    <w:left w:val="single" w:sz="2" w:space="0" w:color="D9D9E3"/>
                    <w:bottom w:val="single" w:sz="2" w:space="0" w:color="D9D9E3"/>
                    <w:right w:val="single" w:sz="2" w:space="0" w:color="D9D9E3"/>
                  </w:divBdr>
                  <w:divsChild>
                    <w:div w:id="1339697524">
                      <w:marLeft w:val="0"/>
                      <w:marRight w:val="0"/>
                      <w:marTop w:val="0"/>
                      <w:marBottom w:val="0"/>
                      <w:divBdr>
                        <w:top w:val="single" w:sz="2" w:space="0" w:color="D9D9E3"/>
                        <w:left w:val="single" w:sz="2" w:space="0" w:color="D9D9E3"/>
                        <w:bottom w:val="single" w:sz="2" w:space="0" w:color="D9D9E3"/>
                        <w:right w:val="single" w:sz="2" w:space="0" w:color="D9D9E3"/>
                      </w:divBdr>
                      <w:divsChild>
                        <w:div w:id="1948779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9548031">
          <w:marLeft w:val="0"/>
          <w:marRight w:val="0"/>
          <w:marTop w:val="0"/>
          <w:marBottom w:val="0"/>
          <w:divBdr>
            <w:top w:val="single" w:sz="2" w:space="0" w:color="auto"/>
            <w:left w:val="single" w:sz="2" w:space="0" w:color="auto"/>
            <w:bottom w:val="single" w:sz="6" w:space="0" w:color="auto"/>
            <w:right w:val="single" w:sz="2" w:space="0" w:color="auto"/>
          </w:divBdr>
          <w:divsChild>
            <w:div w:id="2000377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1055043">
                  <w:marLeft w:val="0"/>
                  <w:marRight w:val="0"/>
                  <w:marTop w:val="0"/>
                  <w:marBottom w:val="0"/>
                  <w:divBdr>
                    <w:top w:val="single" w:sz="2" w:space="0" w:color="D9D9E3"/>
                    <w:left w:val="single" w:sz="2" w:space="0" w:color="D9D9E3"/>
                    <w:bottom w:val="single" w:sz="2" w:space="0" w:color="D9D9E3"/>
                    <w:right w:val="single" w:sz="2" w:space="0" w:color="D9D9E3"/>
                  </w:divBdr>
                  <w:divsChild>
                    <w:div w:id="839344344">
                      <w:marLeft w:val="0"/>
                      <w:marRight w:val="0"/>
                      <w:marTop w:val="0"/>
                      <w:marBottom w:val="0"/>
                      <w:divBdr>
                        <w:top w:val="single" w:sz="2" w:space="0" w:color="D9D9E3"/>
                        <w:left w:val="single" w:sz="2" w:space="0" w:color="D9D9E3"/>
                        <w:bottom w:val="single" w:sz="2" w:space="0" w:color="D9D9E3"/>
                        <w:right w:val="single" w:sz="2" w:space="0" w:color="D9D9E3"/>
                      </w:divBdr>
                      <w:divsChild>
                        <w:div w:id="1664697550">
                          <w:marLeft w:val="0"/>
                          <w:marRight w:val="0"/>
                          <w:marTop w:val="0"/>
                          <w:marBottom w:val="0"/>
                          <w:divBdr>
                            <w:top w:val="single" w:sz="2" w:space="0" w:color="D9D9E3"/>
                            <w:left w:val="single" w:sz="2" w:space="0" w:color="D9D9E3"/>
                            <w:bottom w:val="single" w:sz="2" w:space="0" w:color="D9D9E3"/>
                            <w:right w:val="single" w:sz="2" w:space="0" w:color="D9D9E3"/>
                          </w:divBdr>
                          <w:divsChild>
                            <w:div w:id="31002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760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628</TotalTime>
  <Pages>5</Pages>
  <Words>923</Words>
  <Characters>5266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HARRIS KHAN</dc:creator>
  <cp:keywords/>
  <dc:description/>
  <cp:lastModifiedBy>Fatiha Abid</cp:lastModifiedBy>
  <cp:revision>7</cp:revision>
  <dcterms:created xsi:type="dcterms:W3CDTF">2023-03-05T07:45:00Z</dcterms:created>
  <dcterms:modified xsi:type="dcterms:W3CDTF">2023-03-05T18:42:00Z</dcterms:modified>
</cp:coreProperties>
</file>