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A0E57E" w14:textId="77777777" w:rsidR="000A0C63" w:rsidRDefault="000A0C63" w:rsidP="000A0C63">
      <w:pPr>
        <w:spacing w:line="360" w:lineRule="auto"/>
        <w:rPr>
          <w:rFonts w:ascii="Times New Roman" w:hAnsi="Times New Roman" w:cs="Times New Roman"/>
          <w:sz w:val="24"/>
          <w:szCs w:val="24"/>
        </w:rPr>
      </w:pPr>
      <w:r w:rsidRPr="008F13A2">
        <w:rPr>
          <w:rFonts w:ascii="Times New Roman" w:hAnsi="Times New Roman" w:cs="Times New Roman"/>
          <w:sz w:val="24"/>
          <w:szCs w:val="24"/>
        </w:rPr>
        <w:t xml:space="preserve">I acknowledge the use of </w:t>
      </w:r>
      <w:r>
        <w:rPr>
          <w:rFonts w:ascii="Times New Roman" w:hAnsi="Times New Roman" w:cs="Times New Roman"/>
          <w:sz w:val="24"/>
          <w:szCs w:val="24"/>
        </w:rPr>
        <w:t xml:space="preserve">Google Scholar </w:t>
      </w:r>
      <w:r w:rsidRPr="008F13A2">
        <w:rPr>
          <w:rFonts w:ascii="Times New Roman" w:hAnsi="Times New Roman" w:cs="Times New Roman"/>
          <w:sz w:val="24"/>
          <w:szCs w:val="24"/>
        </w:rPr>
        <w:t xml:space="preserve">on </w:t>
      </w:r>
      <w:r>
        <w:rPr>
          <w:rFonts w:ascii="Times New Roman" w:hAnsi="Times New Roman" w:cs="Times New Roman"/>
          <w:sz w:val="24"/>
          <w:szCs w:val="24"/>
        </w:rPr>
        <w:t xml:space="preserve">3/11/2024 – 26/11/2024 </w:t>
      </w:r>
      <w:r w:rsidRPr="008F13A2">
        <w:rPr>
          <w:rFonts w:ascii="Times New Roman" w:hAnsi="Times New Roman" w:cs="Times New Roman"/>
          <w:sz w:val="24"/>
          <w:szCs w:val="24"/>
        </w:rPr>
        <w:t xml:space="preserve">to support my research using the prompt(s): </w:t>
      </w:r>
    </w:p>
    <w:p w14:paraId="5690D9E1" w14:textId="77777777" w:rsidR="000A0C63" w:rsidRDefault="000A0C63" w:rsidP="000A0C63">
      <w:pPr>
        <w:spacing w:line="360" w:lineRule="auto"/>
        <w:rPr>
          <w:rFonts w:ascii="Times New Roman" w:hAnsi="Times New Roman" w:cs="Times New Roman"/>
          <w:sz w:val="24"/>
          <w:szCs w:val="24"/>
        </w:rPr>
      </w:pPr>
      <w:r w:rsidRPr="008F13A2">
        <w:rPr>
          <w:rFonts w:ascii="Times New Roman" w:hAnsi="Times New Roman" w:cs="Times New Roman"/>
          <w:sz w:val="24"/>
          <w:szCs w:val="24"/>
        </w:rPr>
        <w:t xml:space="preserve">1. </w:t>
      </w:r>
      <w:r>
        <w:rPr>
          <w:rFonts w:ascii="Times New Roman" w:hAnsi="Times New Roman" w:cs="Times New Roman"/>
          <w:sz w:val="24"/>
          <w:szCs w:val="24"/>
        </w:rPr>
        <w:t>Eyewitness testimony and false memory</w:t>
      </w:r>
    </w:p>
    <w:p w14:paraId="0E03750B" w14:textId="77777777" w:rsidR="000A0C63" w:rsidRDefault="000A0C63" w:rsidP="000A0C63">
      <w:pPr>
        <w:spacing w:line="360" w:lineRule="auto"/>
        <w:rPr>
          <w:rFonts w:ascii="Times New Roman" w:hAnsi="Times New Roman" w:cs="Times New Roman"/>
          <w:sz w:val="24"/>
          <w:szCs w:val="24"/>
        </w:rPr>
      </w:pPr>
      <w:r w:rsidRPr="008F13A2">
        <w:rPr>
          <w:rFonts w:ascii="Times New Roman" w:hAnsi="Times New Roman" w:cs="Times New Roman"/>
          <w:sz w:val="24"/>
          <w:szCs w:val="24"/>
        </w:rPr>
        <w:t xml:space="preserve">2. </w:t>
      </w:r>
      <w:r>
        <w:rPr>
          <w:rFonts w:ascii="Times New Roman" w:hAnsi="Times New Roman" w:cs="Times New Roman"/>
          <w:sz w:val="24"/>
          <w:szCs w:val="24"/>
        </w:rPr>
        <w:t>Eyewitness testimony misidentification errors</w:t>
      </w:r>
      <w:r w:rsidRPr="008F13A2">
        <w:rPr>
          <w:rFonts w:ascii="Times New Roman" w:hAnsi="Times New Roman" w:cs="Times New Roman"/>
          <w:sz w:val="24"/>
          <w:szCs w:val="24"/>
        </w:rPr>
        <w:t>.</w:t>
      </w:r>
    </w:p>
    <w:p w14:paraId="35ADD47B" w14:textId="77777777" w:rsidR="000A0C63" w:rsidRDefault="000A0C63" w:rsidP="000A0C63">
      <w:pPr>
        <w:spacing w:line="360" w:lineRule="auto"/>
        <w:rPr>
          <w:rFonts w:ascii="Times New Roman" w:hAnsi="Times New Roman" w:cs="Times New Roman"/>
          <w:sz w:val="24"/>
          <w:szCs w:val="24"/>
        </w:rPr>
      </w:pPr>
      <w:r>
        <w:rPr>
          <w:rFonts w:ascii="Times New Roman" w:hAnsi="Times New Roman" w:cs="Times New Roman"/>
          <w:sz w:val="24"/>
          <w:szCs w:val="24"/>
        </w:rPr>
        <w:t>3. Eyewitness confidence accuracy relationship</w:t>
      </w:r>
    </w:p>
    <w:p w14:paraId="68BD2FF9" w14:textId="77777777" w:rsidR="000A0C63" w:rsidRDefault="000A0C63" w:rsidP="000A0C63">
      <w:pPr>
        <w:spacing w:line="360" w:lineRule="auto"/>
        <w:rPr>
          <w:rFonts w:ascii="Times New Roman" w:hAnsi="Times New Roman" w:cs="Times New Roman"/>
          <w:sz w:val="24"/>
          <w:szCs w:val="24"/>
        </w:rPr>
      </w:pPr>
      <w:r>
        <w:rPr>
          <w:rFonts w:ascii="Times New Roman" w:hAnsi="Times New Roman" w:cs="Times New Roman"/>
          <w:sz w:val="24"/>
          <w:szCs w:val="24"/>
        </w:rPr>
        <w:t>4. Negative arousal and eyewitness memory accuracy</w:t>
      </w:r>
    </w:p>
    <w:p w14:paraId="3CE653A0" w14:textId="77777777" w:rsidR="000A0C63" w:rsidRDefault="000A0C63" w:rsidP="000A0C63">
      <w:pPr>
        <w:spacing w:line="360" w:lineRule="auto"/>
        <w:rPr>
          <w:rFonts w:ascii="Times New Roman" w:hAnsi="Times New Roman" w:cs="Times New Roman"/>
          <w:sz w:val="24"/>
          <w:szCs w:val="24"/>
        </w:rPr>
      </w:pPr>
      <w:r>
        <w:rPr>
          <w:rFonts w:ascii="Times New Roman" w:hAnsi="Times New Roman" w:cs="Times New Roman"/>
          <w:sz w:val="24"/>
          <w:szCs w:val="24"/>
        </w:rPr>
        <w:t xml:space="preserve">5. Jury knowledge of eyewitness memory </w:t>
      </w:r>
    </w:p>
    <w:p w14:paraId="6B22F7BD" w14:textId="77777777" w:rsidR="000A0C63" w:rsidRDefault="000A0C63" w:rsidP="000A0C63">
      <w:pPr>
        <w:spacing w:line="360" w:lineRule="auto"/>
        <w:rPr>
          <w:rFonts w:ascii="Times New Roman" w:hAnsi="Times New Roman" w:cs="Times New Roman"/>
          <w:sz w:val="24"/>
          <w:szCs w:val="24"/>
        </w:rPr>
      </w:pPr>
      <w:r>
        <w:rPr>
          <w:rFonts w:ascii="Times New Roman" w:hAnsi="Times New Roman" w:cs="Times New Roman"/>
          <w:sz w:val="24"/>
          <w:szCs w:val="24"/>
        </w:rPr>
        <w:t xml:space="preserve">6. Wrongful conviction due to eyewitness testimony </w:t>
      </w:r>
    </w:p>
    <w:p w14:paraId="37870CF7" w14:textId="77777777" w:rsidR="000A0C63" w:rsidRDefault="000A0C63" w:rsidP="000A0C63">
      <w:pPr>
        <w:spacing w:line="360" w:lineRule="auto"/>
      </w:pPr>
      <w:r w:rsidRPr="008F13A2">
        <w:rPr>
          <w:rFonts w:ascii="Times New Roman" w:hAnsi="Times New Roman" w:cs="Times New Roman"/>
          <w:sz w:val="24"/>
          <w:szCs w:val="24"/>
        </w:rPr>
        <w:t xml:space="preserve"> I confirm that I have not presented any AI generated text as my own work. I confirm I have copies of my drafts, notes, and other resources I used before, and after the use of AI tools which I may be asked to provide in evidence</w:t>
      </w:r>
      <w:r>
        <w:t>.</w:t>
      </w:r>
    </w:p>
    <w:p w14:paraId="48ED62A2" w14:textId="77777777" w:rsidR="000A0C63" w:rsidRDefault="000A0C63" w:rsidP="00EB318A">
      <w:pPr>
        <w:rPr>
          <w:rFonts w:ascii="Times New Roman" w:hAnsi="Times New Roman" w:cs="Times New Roman"/>
          <w:b/>
          <w:bCs/>
          <w:sz w:val="24"/>
          <w:szCs w:val="24"/>
          <w:u w:val="single"/>
        </w:rPr>
      </w:pPr>
    </w:p>
    <w:p w14:paraId="1A4B5F0E" w14:textId="77777777" w:rsidR="000A0C63" w:rsidRDefault="000A0C63" w:rsidP="00EB318A">
      <w:pPr>
        <w:rPr>
          <w:rFonts w:ascii="Times New Roman" w:hAnsi="Times New Roman" w:cs="Times New Roman"/>
          <w:b/>
          <w:bCs/>
          <w:sz w:val="24"/>
          <w:szCs w:val="24"/>
          <w:u w:val="single"/>
        </w:rPr>
      </w:pPr>
    </w:p>
    <w:p w14:paraId="4FF81801" w14:textId="77777777" w:rsidR="000A0C63" w:rsidRDefault="000A0C63" w:rsidP="00EB318A">
      <w:pPr>
        <w:rPr>
          <w:rFonts w:ascii="Times New Roman" w:hAnsi="Times New Roman" w:cs="Times New Roman"/>
          <w:b/>
          <w:bCs/>
          <w:sz w:val="24"/>
          <w:szCs w:val="24"/>
          <w:u w:val="single"/>
        </w:rPr>
      </w:pPr>
    </w:p>
    <w:p w14:paraId="3BBD2D1E" w14:textId="77777777" w:rsidR="000A0C63" w:rsidRDefault="000A0C63" w:rsidP="00EB318A">
      <w:pPr>
        <w:rPr>
          <w:rFonts w:ascii="Times New Roman" w:hAnsi="Times New Roman" w:cs="Times New Roman"/>
          <w:b/>
          <w:bCs/>
          <w:sz w:val="24"/>
          <w:szCs w:val="24"/>
          <w:u w:val="single"/>
        </w:rPr>
      </w:pPr>
    </w:p>
    <w:p w14:paraId="21B38194" w14:textId="77777777" w:rsidR="000A0C63" w:rsidRDefault="000A0C63" w:rsidP="00EB318A">
      <w:pPr>
        <w:rPr>
          <w:rFonts w:ascii="Times New Roman" w:hAnsi="Times New Roman" w:cs="Times New Roman"/>
          <w:b/>
          <w:bCs/>
          <w:sz w:val="24"/>
          <w:szCs w:val="24"/>
          <w:u w:val="single"/>
        </w:rPr>
      </w:pPr>
    </w:p>
    <w:p w14:paraId="620CC2E6" w14:textId="77777777" w:rsidR="000A0C63" w:rsidRDefault="000A0C63" w:rsidP="00EB318A">
      <w:pPr>
        <w:rPr>
          <w:rFonts w:ascii="Times New Roman" w:hAnsi="Times New Roman" w:cs="Times New Roman"/>
          <w:b/>
          <w:bCs/>
          <w:sz w:val="24"/>
          <w:szCs w:val="24"/>
          <w:u w:val="single"/>
        </w:rPr>
      </w:pPr>
    </w:p>
    <w:p w14:paraId="268533E2" w14:textId="77777777" w:rsidR="000A0C63" w:rsidRDefault="000A0C63" w:rsidP="00EB318A">
      <w:pPr>
        <w:rPr>
          <w:rFonts w:ascii="Times New Roman" w:hAnsi="Times New Roman" w:cs="Times New Roman"/>
          <w:b/>
          <w:bCs/>
          <w:sz w:val="24"/>
          <w:szCs w:val="24"/>
          <w:u w:val="single"/>
        </w:rPr>
      </w:pPr>
    </w:p>
    <w:p w14:paraId="0936DBC4" w14:textId="77777777" w:rsidR="000A0C63" w:rsidRDefault="000A0C63" w:rsidP="00EB318A">
      <w:pPr>
        <w:rPr>
          <w:rFonts w:ascii="Times New Roman" w:hAnsi="Times New Roman" w:cs="Times New Roman"/>
          <w:b/>
          <w:bCs/>
          <w:sz w:val="24"/>
          <w:szCs w:val="24"/>
          <w:u w:val="single"/>
        </w:rPr>
      </w:pPr>
    </w:p>
    <w:p w14:paraId="58DC61E2" w14:textId="77777777" w:rsidR="000A0C63" w:rsidRDefault="000A0C63" w:rsidP="00EB318A">
      <w:pPr>
        <w:rPr>
          <w:rFonts w:ascii="Times New Roman" w:hAnsi="Times New Roman" w:cs="Times New Roman"/>
          <w:b/>
          <w:bCs/>
          <w:sz w:val="24"/>
          <w:szCs w:val="24"/>
          <w:u w:val="single"/>
        </w:rPr>
      </w:pPr>
    </w:p>
    <w:p w14:paraId="41E75400" w14:textId="77777777" w:rsidR="000A0C63" w:rsidRDefault="000A0C63" w:rsidP="00EB318A">
      <w:pPr>
        <w:rPr>
          <w:rFonts w:ascii="Times New Roman" w:hAnsi="Times New Roman" w:cs="Times New Roman"/>
          <w:b/>
          <w:bCs/>
          <w:sz w:val="24"/>
          <w:szCs w:val="24"/>
          <w:u w:val="single"/>
        </w:rPr>
      </w:pPr>
    </w:p>
    <w:p w14:paraId="08966B18" w14:textId="77777777" w:rsidR="000A0C63" w:rsidRDefault="000A0C63" w:rsidP="00EB318A">
      <w:pPr>
        <w:rPr>
          <w:rFonts w:ascii="Times New Roman" w:hAnsi="Times New Roman" w:cs="Times New Roman"/>
          <w:b/>
          <w:bCs/>
          <w:sz w:val="24"/>
          <w:szCs w:val="24"/>
          <w:u w:val="single"/>
        </w:rPr>
      </w:pPr>
    </w:p>
    <w:p w14:paraId="7C6F22AD" w14:textId="77777777" w:rsidR="000A0C63" w:rsidRDefault="000A0C63" w:rsidP="00EB318A">
      <w:pPr>
        <w:rPr>
          <w:rFonts w:ascii="Times New Roman" w:hAnsi="Times New Roman" w:cs="Times New Roman"/>
          <w:b/>
          <w:bCs/>
          <w:sz w:val="24"/>
          <w:szCs w:val="24"/>
          <w:u w:val="single"/>
        </w:rPr>
      </w:pPr>
    </w:p>
    <w:p w14:paraId="5C1B96B6" w14:textId="77777777" w:rsidR="000A0C63" w:rsidRDefault="000A0C63" w:rsidP="00EB318A">
      <w:pPr>
        <w:rPr>
          <w:rFonts w:ascii="Times New Roman" w:hAnsi="Times New Roman" w:cs="Times New Roman"/>
          <w:b/>
          <w:bCs/>
          <w:sz w:val="24"/>
          <w:szCs w:val="24"/>
          <w:u w:val="single"/>
        </w:rPr>
      </w:pPr>
    </w:p>
    <w:p w14:paraId="07D6A565" w14:textId="77777777" w:rsidR="000A0C63" w:rsidRDefault="000A0C63" w:rsidP="00EB318A">
      <w:pPr>
        <w:rPr>
          <w:rFonts w:ascii="Times New Roman" w:hAnsi="Times New Roman" w:cs="Times New Roman"/>
          <w:b/>
          <w:bCs/>
          <w:sz w:val="24"/>
          <w:szCs w:val="24"/>
          <w:u w:val="single"/>
        </w:rPr>
      </w:pPr>
    </w:p>
    <w:p w14:paraId="4F0D7CA6" w14:textId="77777777" w:rsidR="000A0C63" w:rsidRDefault="000A0C63" w:rsidP="00EB318A">
      <w:pPr>
        <w:rPr>
          <w:rFonts w:ascii="Times New Roman" w:hAnsi="Times New Roman" w:cs="Times New Roman"/>
          <w:b/>
          <w:bCs/>
          <w:sz w:val="24"/>
          <w:szCs w:val="24"/>
          <w:u w:val="single"/>
        </w:rPr>
      </w:pPr>
    </w:p>
    <w:p w14:paraId="1B03F0EF" w14:textId="77777777" w:rsidR="000A0C63" w:rsidRDefault="000A0C63" w:rsidP="00EB318A">
      <w:pPr>
        <w:rPr>
          <w:rFonts w:ascii="Times New Roman" w:hAnsi="Times New Roman" w:cs="Times New Roman"/>
          <w:b/>
          <w:bCs/>
          <w:sz w:val="24"/>
          <w:szCs w:val="24"/>
          <w:u w:val="single"/>
        </w:rPr>
      </w:pPr>
    </w:p>
    <w:p w14:paraId="2994E255" w14:textId="77777777" w:rsidR="000A0C63" w:rsidRDefault="000A0C63" w:rsidP="00EB318A">
      <w:pPr>
        <w:rPr>
          <w:rFonts w:ascii="Times New Roman" w:hAnsi="Times New Roman" w:cs="Times New Roman"/>
          <w:b/>
          <w:bCs/>
          <w:sz w:val="24"/>
          <w:szCs w:val="24"/>
          <w:u w:val="single"/>
        </w:rPr>
      </w:pPr>
    </w:p>
    <w:p w14:paraId="6BBFB3CF" w14:textId="77777777" w:rsidR="000A0C63" w:rsidRDefault="000A0C63" w:rsidP="00EB318A">
      <w:pPr>
        <w:rPr>
          <w:rFonts w:ascii="Times New Roman" w:hAnsi="Times New Roman" w:cs="Times New Roman"/>
          <w:b/>
          <w:bCs/>
          <w:sz w:val="24"/>
          <w:szCs w:val="24"/>
          <w:u w:val="single"/>
        </w:rPr>
      </w:pPr>
    </w:p>
    <w:p w14:paraId="121F8A5A" w14:textId="4FBB9E96" w:rsidR="00EB318A" w:rsidRPr="00387B4A" w:rsidRDefault="00EB318A" w:rsidP="00EB318A">
      <w:pP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Critically discuss the reliability of </w:t>
      </w:r>
      <w:r w:rsidRPr="00387B4A">
        <w:rPr>
          <w:rFonts w:ascii="Times New Roman" w:hAnsi="Times New Roman" w:cs="Times New Roman"/>
          <w:b/>
          <w:bCs/>
          <w:sz w:val="24"/>
          <w:szCs w:val="24"/>
          <w:u w:val="single"/>
        </w:rPr>
        <w:t>eye-witness testimony</w:t>
      </w:r>
      <w:r>
        <w:rPr>
          <w:rFonts w:ascii="Times New Roman" w:hAnsi="Times New Roman" w:cs="Times New Roman"/>
          <w:b/>
          <w:bCs/>
          <w:sz w:val="24"/>
          <w:szCs w:val="24"/>
          <w:u w:val="single"/>
        </w:rPr>
        <w:t xml:space="preserve"> and its</w:t>
      </w:r>
      <w:r w:rsidRPr="00387B4A">
        <w:rPr>
          <w:rFonts w:ascii="Times New Roman" w:hAnsi="Times New Roman" w:cs="Times New Roman"/>
          <w:b/>
          <w:bCs/>
          <w:sz w:val="24"/>
          <w:szCs w:val="24"/>
          <w:u w:val="single"/>
        </w:rPr>
        <w:t xml:space="preserve"> use in judicial process</w:t>
      </w:r>
      <w:r>
        <w:rPr>
          <w:rFonts w:ascii="Times New Roman" w:hAnsi="Times New Roman" w:cs="Times New Roman"/>
          <w:b/>
          <w:bCs/>
          <w:sz w:val="24"/>
          <w:szCs w:val="24"/>
          <w:u w:val="single"/>
        </w:rPr>
        <w:t>.</w:t>
      </w:r>
    </w:p>
    <w:p w14:paraId="5F0B6A4C" w14:textId="77777777" w:rsidR="00EB318A" w:rsidRDefault="00EB318A" w:rsidP="00EB318A"/>
    <w:p w14:paraId="53F9CA03" w14:textId="16B6395D" w:rsidR="00EB318A" w:rsidRPr="00357BC7" w:rsidRDefault="00EB318A" w:rsidP="00357BC7">
      <w:pPr>
        <w:spacing w:line="360" w:lineRule="auto"/>
        <w:ind w:firstLine="720"/>
        <w:rPr>
          <w:rFonts w:ascii="Times New Roman" w:hAnsi="Times New Roman" w:cs="Times New Roman"/>
          <w:sz w:val="24"/>
          <w:szCs w:val="24"/>
        </w:rPr>
      </w:pPr>
      <w:r w:rsidRPr="00357BC7">
        <w:rPr>
          <w:rFonts w:ascii="Times New Roman" w:hAnsi="Times New Roman" w:cs="Times New Roman"/>
          <w:sz w:val="24"/>
          <w:szCs w:val="24"/>
        </w:rPr>
        <w:t xml:space="preserve">Traditionally, eye-witness testimony (EWT) has been relied on heavily as evidence throughout the judicial process, during court trials, and through investigation phases of crime, to convict, or defend perpetrators (Berkowitz et al., 2022). However, errors in EWT have been found to be the largest contributing factor to the wrongful convictions of innocent people globally (Davies &amp; Griffith, 2008; Garrett, 2020; Helm, 2021; Wise et al., 2014). According to the Innocence Project in New York, almost 75% of all DNA exoneration cases they have overturned, were due to unreliable EWT and misidentification errors at conviction. One such instance is the case of Damon </w:t>
      </w:r>
      <w:proofErr w:type="spellStart"/>
      <w:r w:rsidRPr="00357BC7">
        <w:rPr>
          <w:rFonts w:ascii="Times New Roman" w:hAnsi="Times New Roman" w:cs="Times New Roman"/>
          <w:sz w:val="24"/>
          <w:szCs w:val="24"/>
        </w:rPr>
        <w:t>Thibodeux</w:t>
      </w:r>
      <w:proofErr w:type="spellEnd"/>
      <w:r w:rsidRPr="00357BC7">
        <w:rPr>
          <w:rFonts w:ascii="Times New Roman" w:hAnsi="Times New Roman" w:cs="Times New Roman"/>
          <w:sz w:val="24"/>
          <w:szCs w:val="24"/>
        </w:rPr>
        <w:t>, who was wrongfully convicted of the murder of his cousin and spent 15 years on death row in Louisianna</w:t>
      </w:r>
      <w:r w:rsidR="001D009A" w:rsidRPr="00357BC7">
        <w:rPr>
          <w:rFonts w:ascii="Times New Roman" w:hAnsi="Times New Roman" w:cs="Times New Roman"/>
          <w:sz w:val="24"/>
          <w:szCs w:val="24"/>
        </w:rPr>
        <w:t xml:space="preserve"> (The innocence project, 2024)</w:t>
      </w:r>
      <w:r w:rsidRPr="00357BC7">
        <w:rPr>
          <w:rFonts w:ascii="Times New Roman" w:hAnsi="Times New Roman" w:cs="Times New Roman"/>
          <w:sz w:val="24"/>
          <w:szCs w:val="24"/>
        </w:rPr>
        <w:t>. This suggests that the use of EWT in a court of law should be carefully considered and assessed for accuracy due to the apparent fallible nature of human memory (Devlin, 1976).</w:t>
      </w:r>
    </w:p>
    <w:p w14:paraId="4B793861" w14:textId="3607DED2" w:rsidR="001D009A" w:rsidRPr="00357BC7" w:rsidRDefault="00EB318A" w:rsidP="00357BC7">
      <w:pPr>
        <w:spacing w:line="360" w:lineRule="auto"/>
        <w:ind w:firstLine="720"/>
        <w:rPr>
          <w:rFonts w:ascii="Times New Roman" w:hAnsi="Times New Roman" w:cs="Times New Roman"/>
          <w:sz w:val="24"/>
          <w:szCs w:val="24"/>
        </w:rPr>
      </w:pPr>
      <w:r w:rsidRPr="00357BC7">
        <w:rPr>
          <w:rFonts w:ascii="Times New Roman" w:hAnsi="Times New Roman" w:cs="Times New Roman"/>
          <w:sz w:val="24"/>
          <w:szCs w:val="24"/>
        </w:rPr>
        <w:t xml:space="preserve">The controversy surrounding the use of EWT in the judicial process is not a recent issue, the complexities involved in utilising and assessing eyewitness evidence have long been recognised. A report produced by Lord Devlin in 1976, reviewed current policy and procedures, that were influencing factors on the reliability of eyewitness evidence in England and Wales. It outlined several protocols that should be followed to improve EWT outcomes, and therefore, improve legal practice. </w:t>
      </w:r>
      <w:r w:rsidR="001D009A" w:rsidRPr="00357BC7">
        <w:rPr>
          <w:rFonts w:ascii="Times New Roman" w:hAnsi="Times New Roman" w:cs="Times New Roman"/>
          <w:sz w:val="24"/>
          <w:szCs w:val="24"/>
        </w:rPr>
        <w:t>Delivering</w:t>
      </w:r>
      <w:r w:rsidRPr="00357BC7">
        <w:rPr>
          <w:rFonts w:ascii="Times New Roman" w:hAnsi="Times New Roman" w:cs="Times New Roman"/>
          <w:sz w:val="24"/>
          <w:szCs w:val="24"/>
        </w:rPr>
        <w:t xml:space="preserve"> some stark warnings to law enforcement, legal professionals and judges (Davies &amp; Griffiths, 2008), clearly stating that, according to science-based findings on eyewitness memory, there are significant errors in eyewitness evidence</w:t>
      </w:r>
      <w:r w:rsidR="001D009A" w:rsidRPr="00357BC7">
        <w:rPr>
          <w:rFonts w:ascii="Times New Roman" w:hAnsi="Times New Roman" w:cs="Times New Roman"/>
          <w:sz w:val="24"/>
          <w:szCs w:val="24"/>
        </w:rPr>
        <w:t>.</w:t>
      </w:r>
      <w:r w:rsidRPr="00357BC7">
        <w:rPr>
          <w:rFonts w:ascii="Times New Roman" w:hAnsi="Times New Roman" w:cs="Times New Roman"/>
          <w:sz w:val="24"/>
          <w:szCs w:val="24"/>
        </w:rPr>
        <w:t xml:space="preserve"> </w:t>
      </w:r>
      <w:r w:rsidR="001D009A" w:rsidRPr="00357BC7">
        <w:rPr>
          <w:rFonts w:ascii="Times New Roman" w:hAnsi="Times New Roman" w:cs="Times New Roman"/>
          <w:sz w:val="24"/>
          <w:szCs w:val="24"/>
        </w:rPr>
        <w:t>R</w:t>
      </w:r>
      <w:r w:rsidRPr="00357BC7">
        <w:rPr>
          <w:rFonts w:ascii="Times New Roman" w:hAnsi="Times New Roman" w:cs="Times New Roman"/>
          <w:sz w:val="24"/>
          <w:szCs w:val="24"/>
        </w:rPr>
        <w:t xml:space="preserve">isk of wrongful conviction is too great, and it is not safe to convict on EWT </w:t>
      </w:r>
      <w:r w:rsidR="001D009A" w:rsidRPr="00357BC7">
        <w:rPr>
          <w:rFonts w:ascii="Times New Roman" w:hAnsi="Times New Roman" w:cs="Times New Roman"/>
          <w:sz w:val="24"/>
          <w:szCs w:val="24"/>
        </w:rPr>
        <w:t>alone in</w:t>
      </w:r>
      <w:r w:rsidRPr="00357BC7">
        <w:rPr>
          <w:rFonts w:ascii="Times New Roman" w:hAnsi="Times New Roman" w:cs="Times New Roman"/>
          <w:sz w:val="24"/>
          <w:szCs w:val="24"/>
        </w:rPr>
        <w:t xml:space="preserve"> criminal cases reliant on EWT in a court proceeding (Devlin, 1976). While the call for reform was heeded, no such radical approach was adopted, however, important reforms to policy and procedures in eyewitness evidence gathering and reporting have since been implemented (Helm, 2021)</w:t>
      </w:r>
      <w:r w:rsidR="001D009A" w:rsidRPr="00357BC7">
        <w:rPr>
          <w:rFonts w:ascii="Times New Roman" w:hAnsi="Times New Roman" w:cs="Times New Roman"/>
          <w:sz w:val="24"/>
          <w:szCs w:val="24"/>
        </w:rPr>
        <w:t>.</w:t>
      </w:r>
    </w:p>
    <w:p w14:paraId="64CDB5F2" w14:textId="50D00357" w:rsidR="00EB318A" w:rsidRPr="00357BC7" w:rsidRDefault="00EB318A" w:rsidP="00357BC7">
      <w:pPr>
        <w:spacing w:line="360" w:lineRule="auto"/>
        <w:ind w:firstLine="720"/>
        <w:rPr>
          <w:rFonts w:ascii="Times New Roman" w:hAnsi="Times New Roman" w:cs="Times New Roman"/>
          <w:sz w:val="24"/>
          <w:szCs w:val="24"/>
        </w:rPr>
      </w:pPr>
      <w:r w:rsidRPr="00357BC7">
        <w:rPr>
          <w:rFonts w:ascii="Times New Roman" w:hAnsi="Times New Roman" w:cs="Times New Roman"/>
          <w:sz w:val="24"/>
          <w:szCs w:val="24"/>
        </w:rPr>
        <w:t xml:space="preserve">There are serious consequences that come from unreliable EWT throughout legal proceedings, </w:t>
      </w:r>
      <w:r w:rsidR="001D009A" w:rsidRPr="00357BC7">
        <w:rPr>
          <w:rFonts w:ascii="Times New Roman" w:hAnsi="Times New Roman" w:cs="Times New Roman"/>
          <w:sz w:val="24"/>
          <w:szCs w:val="24"/>
        </w:rPr>
        <w:t>and</w:t>
      </w:r>
      <w:r w:rsidRPr="00357BC7">
        <w:rPr>
          <w:rFonts w:ascii="Times New Roman" w:hAnsi="Times New Roman" w:cs="Times New Roman"/>
          <w:sz w:val="24"/>
          <w:szCs w:val="24"/>
        </w:rPr>
        <w:t xml:space="preserve"> the powerful extent to which </w:t>
      </w:r>
      <w:r w:rsidR="001D009A" w:rsidRPr="00357BC7">
        <w:rPr>
          <w:rFonts w:ascii="Times New Roman" w:hAnsi="Times New Roman" w:cs="Times New Roman"/>
          <w:sz w:val="24"/>
          <w:szCs w:val="24"/>
        </w:rPr>
        <w:t>j</w:t>
      </w:r>
      <w:r w:rsidRPr="00357BC7">
        <w:rPr>
          <w:rFonts w:ascii="Times New Roman" w:hAnsi="Times New Roman" w:cs="Times New Roman"/>
          <w:sz w:val="24"/>
          <w:szCs w:val="24"/>
        </w:rPr>
        <w:t>uries have been found to rely on EWT in their decision making (Garrett et al., 2020). Eyewitness errors can cause miscarriages of justice, and it is essential that EWT must be evaluated and assessed to identify how and why errors in EWT occur (</w:t>
      </w:r>
      <w:proofErr w:type="spellStart"/>
      <w:r w:rsidRPr="00357BC7">
        <w:rPr>
          <w:rFonts w:ascii="Times New Roman" w:hAnsi="Times New Roman" w:cs="Times New Roman"/>
          <w:sz w:val="24"/>
          <w:szCs w:val="24"/>
        </w:rPr>
        <w:t>Ikier</w:t>
      </w:r>
      <w:proofErr w:type="spellEnd"/>
      <w:r w:rsidRPr="00357BC7">
        <w:rPr>
          <w:rFonts w:ascii="Times New Roman" w:hAnsi="Times New Roman" w:cs="Times New Roman"/>
          <w:sz w:val="24"/>
          <w:szCs w:val="24"/>
        </w:rPr>
        <w:t xml:space="preserve"> et al., 2024). Extensive research has been carried out into the reliability of EWT, leading academics, and law experts to question the reliability and validity of witness statements due to cognitive aspects of an individual’s potential deficits in attention, perception and memory, which has significant implications on the use of EWT as evidence for prosecuting offenders (</w:t>
      </w:r>
      <w:proofErr w:type="spellStart"/>
      <w:r w:rsidRPr="00357BC7">
        <w:rPr>
          <w:rFonts w:ascii="Times New Roman" w:hAnsi="Times New Roman" w:cs="Times New Roman"/>
          <w:sz w:val="24"/>
          <w:szCs w:val="24"/>
        </w:rPr>
        <w:t>Kapardis</w:t>
      </w:r>
      <w:proofErr w:type="spellEnd"/>
      <w:r w:rsidRPr="00357BC7">
        <w:rPr>
          <w:rFonts w:ascii="Times New Roman" w:hAnsi="Times New Roman" w:cs="Times New Roman"/>
          <w:sz w:val="24"/>
          <w:szCs w:val="24"/>
        </w:rPr>
        <w:t xml:space="preserve">, 2014). </w:t>
      </w:r>
    </w:p>
    <w:p w14:paraId="713CB1B0" w14:textId="77777777" w:rsidR="00357BC7" w:rsidRPr="00357BC7" w:rsidRDefault="00EB318A" w:rsidP="00357BC7">
      <w:pPr>
        <w:spacing w:line="360" w:lineRule="auto"/>
        <w:ind w:firstLine="720"/>
        <w:rPr>
          <w:rFonts w:ascii="Times New Roman" w:hAnsi="Times New Roman" w:cs="Times New Roman"/>
          <w:sz w:val="24"/>
          <w:szCs w:val="24"/>
        </w:rPr>
      </w:pPr>
      <w:r w:rsidRPr="00357BC7">
        <w:rPr>
          <w:rFonts w:ascii="Times New Roman" w:hAnsi="Times New Roman" w:cs="Times New Roman"/>
          <w:sz w:val="24"/>
          <w:szCs w:val="24"/>
        </w:rPr>
        <w:t>An important factor in eyewitness theory is the role of attention. It is suggested that there are many variables that can influence how a visual scene or event is attended to (</w:t>
      </w:r>
      <w:proofErr w:type="spellStart"/>
      <w:r w:rsidRPr="00357BC7">
        <w:rPr>
          <w:rFonts w:ascii="Times New Roman" w:hAnsi="Times New Roman" w:cs="Times New Roman"/>
          <w:sz w:val="24"/>
          <w:szCs w:val="24"/>
        </w:rPr>
        <w:t>Kapardis</w:t>
      </w:r>
      <w:proofErr w:type="spellEnd"/>
      <w:r w:rsidRPr="00357BC7">
        <w:rPr>
          <w:rFonts w:ascii="Times New Roman" w:hAnsi="Times New Roman" w:cs="Times New Roman"/>
          <w:sz w:val="24"/>
          <w:szCs w:val="24"/>
        </w:rPr>
        <w:t xml:space="preserve">, 2014).  It is widely accepted that witnesses have limited resources with which to encode visual information, and so individuals must prioritise where to direct their attentional focus (Erikson et al., 2014). Research suggests that during negative event experiences when the witness is in a state of arousal, then a narrowing of attentional focus occurs (Fawcett et al., 2011), onto central or event relevant details, and peripheral or background details are less well attended to (Housten et al., 2012). Housten et al., (2012) found that when witnesses observed an emotional, criminal event (a woman being mugged), that participants were able to give a more complete description of the perpetrator, compared to a neutral event, showing improved memory recall performance due to the narrowing of attention on the central details in negative arousal condition. However, surprisingly, under the recognition condition, this did not lead on to increased identification of the perpetrator in a photo line-up scenario. Meaning that although memory recall was improved by arousal, memory retrieval was not. This is an important consideration in the identification of suspects during criminal investigations and questions the reliability of eyewitness memory (Van de Walt, 2016). </w:t>
      </w:r>
    </w:p>
    <w:p w14:paraId="0345D353" w14:textId="4597F271" w:rsidR="00EB318A" w:rsidRPr="00357BC7" w:rsidRDefault="00EB318A" w:rsidP="00357BC7">
      <w:pPr>
        <w:spacing w:line="360" w:lineRule="auto"/>
        <w:ind w:firstLine="720"/>
        <w:rPr>
          <w:rFonts w:ascii="Times New Roman" w:hAnsi="Times New Roman" w:cs="Times New Roman"/>
          <w:sz w:val="24"/>
          <w:szCs w:val="24"/>
        </w:rPr>
      </w:pPr>
      <w:r w:rsidRPr="00357BC7">
        <w:rPr>
          <w:rFonts w:ascii="Times New Roman" w:hAnsi="Times New Roman" w:cs="Times New Roman"/>
          <w:sz w:val="24"/>
          <w:szCs w:val="24"/>
        </w:rPr>
        <w:t>Furthermore, high stress situations are known to reduce accuracy in eye-witness memory due to reduced focus of attention (Fawcett et al., 2011). For example, the study by Morgan et al., (2004) that demonstrated significantly reduced recall and reduced accuracy of interrogator in a high-stress condition compared to low-stress condition during soldier interrogation training. Therefore indicating a bell curve relationship between eyewitness attention and stress, that a moderate amount of arousal can increase eyewitness memory performance, but highly stressful situations will significantly impair eyewitness memory performance, increasing identification errors (Houston et al., 2012).</w:t>
      </w:r>
    </w:p>
    <w:p w14:paraId="28C8BD11" w14:textId="77777777" w:rsidR="00EB318A" w:rsidRPr="00357BC7" w:rsidRDefault="00EB318A" w:rsidP="00357BC7">
      <w:pPr>
        <w:spacing w:line="360" w:lineRule="auto"/>
        <w:ind w:firstLine="720"/>
        <w:rPr>
          <w:rFonts w:ascii="Times New Roman" w:hAnsi="Times New Roman" w:cs="Times New Roman"/>
          <w:sz w:val="24"/>
          <w:szCs w:val="24"/>
        </w:rPr>
      </w:pPr>
      <w:r w:rsidRPr="00357BC7">
        <w:rPr>
          <w:rFonts w:ascii="Times New Roman" w:hAnsi="Times New Roman" w:cs="Times New Roman"/>
          <w:sz w:val="24"/>
          <w:szCs w:val="24"/>
        </w:rPr>
        <w:t xml:space="preserve">Further theories on high-stress crime types have been put forward to explain accuracy of EWT include the ‘weapons focus effect’ (WFE). It suggests that eyewitness focus is drawn to the presence of a threat, in this case a weapon such as a gun or a knife, and narrows the focus of attention and impairs encoding of other visual details, such as the perpetrator description or event details (Erikson et al., 2014). Erikson et al., (2014) presented participants with still photographs of either a glass (neutral), a rubber chicken (unusual object) or a gun (threat) and found reduced target (suspect) selections in the weapon condition suggesting participant attention was focused on the threat and not the actor. However, during the line-up task both the unusual object and weapon groups had higher rates of false identifications indicating mixed results for WFE. This aligns with other studies where findings are conflicting. In an eye-tracking study, Korner et al., (2023) found that participants gaze was on the perpetrator for equal amounts of time in all conditions indicating no WFE, although increased weapon focus was found in the static visual scene (photo) compared to the dynamic (video) visual scene. While the findings are unclear, it indicates that video material and naturalistic settings should be used in EWT research (Korner et al., 2023) and points to a lack ecological validity, which can hinder real world application of EWT research and the potential for WFE to be dismissed due to conflicting results (Fawcett et al., 2011). </w:t>
      </w:r>
    </w:p>
    <w:p w14:paraId="380A0B92" w14:textId="77777777" w:rsidR="00EB318A" w:rsidRPr="00357BC7" w:rsidRDefault="00EB318A" w:rsidP="00357BC7">
      <w:pPr>
        <w:spacing w:line="360" w:lineRule="auto"/>
        <w:ind w:firstLine="720"/>
        <w:rPr>
          <w:rFonts w:ascii="Times New Roman" w:hAnsi="Times New Roman" w:cs="Times New Roman"/>
          <w:sz w:val="24"/>
          <w:szCs w:val="24"/>
        </w:rPr>
      </w:pPr>
      <w:r w:rsidRPr="00357BC7">
        <w:rPr>
          <w:rFonts w:ascii="Times New Roman" w:hAnsi="Times New Roman" w:cs="Times New Roman"/>
          <w:sz w:val="24"/>
          <w:szCs w:val="24"/>
        </w:rPr>
        <w:t xml:space="preserve">Even without the presence of a weapon it has been suggested that attention and memory during witnessing a visual scene is malleable and easily manipulated. Change blindness (Simons and Levins, 1998) could account for attentional deficits in a visual scene. According to Nelson et al., (2011), 95% of undergraduate students failed to detect a change in visual scene either in person in a live interaction, or by video observation. 35% of those went on to select an innocent actor in a line-up, suggesting that when a change is not detected, misidentification rates increase in EWT. This is described as unconscious transference, whereby an innocent may be accused of being a perpetrator due to their proximity to a crime. This is prevalent across EWT wrongful convictions and has been seen in DNA exoneration cases by the Innocence project (2024). Although some caution should be taken with the previous study due to the inclusion of participants who answered ‘I don’t know’ in the incorrect answer group. This may have skewed the results to appear more significant than they were.    </w:t>
      </w:r>
    </w:p>
    <w:p w14:paraId="127F1C65" w14:textId="77777777" w:rsidR="00EB318A" w:rsidRPr="00357BC7" w:rsidRDefault="00EB318A" w:rsidP="00357BC7">
      <w:pPr>
        <w:spacing w:line="360" w:lineRule="auto"/>
        <w:ind w:firstLine="720"/>
        <w:rPr>
          <w:rFonts w:ascii="Times New Roman" w:hAnsi="Times New Roman" w:cs="Times New Roman"/>
          <w:sz w:val="24"/>
          <w:szCs w:val="24"/>
        </w:rPr>
      </w:pPr>
      <w:r w:rsidRPr="00357BC7">
        <w:rPr>
          <w:rFonts w:ascii="Times New Roman" w:hAnsi="Times New Roman" w:cs="Times New Roman"/>
          <w:sz w:val="24"/>
          <w:szCs w:val="24"/>
        </w:rPr>
        <w:t>Many studies have tried to explain weaknesses in attention and memory encoding for witnesses of crimes (</w:t>
      </w:r>
      <w:proofErr w:type="spellStart"/>
      <w:r w:rsidRPr="00357BC7">
        <w:rPr>
          <w:rFonts w:ascii="Times New Roman" w:hAnsi="Times New Roman" w:cs="Times New Roman"/>
          <w:sz w:val="24"/>
          <w:szCs w:val="24"/>
        </w:rPr>
        <w:t>Ikier</w:t>
      </w:r>
      <w:proofErr w:type="spellEnd"/>
      <w:r w:rsidRPr="00357BC7">
        <w:rPr>
          <w:rFonts w:ascii="Times New Roman" w:hAnsi="Times New Roman" w:cs="Times New Roman"/>
          <w:sz w:val="24"/>
          <w:szCs w:val="24"/>
        </w:rPr>
        <w:t xml:space="preserve"> et al., 2024). Nyman et al., (2019) found that both age of witness and distance from event are crucial factors for witness accuracy, and stated that increased distance from an event reduces the accuracy of suspect identification, as you would expect. Distance thresholds of a static, live target scenario in an outdoor, naturalistic setting, and under different lighting conditions were investigated, by testing witness observations at four different distances between 5m-110m. There was little confidence in accuracy past 40m with young adults (age 18-44) performing best however, the large categorical age groups may have reduced accuracy of the study (Bainter et al., 2020). Further criticisms are that participants had an unobstructed view of the target in all conditions, which is rarely the case in a real life witness situation, so caution should be taken when generalising to eyewitness evidence data (Flowe et al., 2018) . Meaning that accuracy of perpetrator identification may be further reduced in a real world situation. </w:t>
      </w:r>
      <w:proofErr w:type="spellStart"/>
      <w:r w:rsidRPr="00357BC7">
        <w:rPr>
          <w:rFonts w:ascii="Times New Roman" w:hAnsi="Times New Roman" w:cs="Times New Roman"/>
          <w:sz w:val="24"/>
          <w:szCs w:val="24"/>
        </w:rPr>
        <w:t>Lockamyeir</w:t>
      </w:r>
      <w:proofErr w:type="spellEnd"/>
      <w:r w:rsidRPr="00357BC7">
        <w:rPr>
          <w:rFonts w:ascii="Times New Roman" w:hAnsi="Times New Roman" w:cs="Times New Roman"/>
          <w:sz w:val="24"/>
          <w:szCs w:val="24"/>
        </w:rPr>
        <w:t xml:space="preserve"> et al., (2020) supported the study by Nyman et al., (2019), but suggested a distance threshold of just 20m before identification accuracy is significantly diminished.</w:t>
      </w:r>
    </w:p>
    <w:p w14:paraId="31710085" w14:textId="77777777" w:rsidR="00EB318A" w:rsidRPr="00357BC7" w:rsidRDefault="00EB318A" w:rsidP="00357BC7">
      <w:pPr>
        <w:spacing w:line="360" w:lineRule="auto"/>
        <w:ind w:firstLine="720"/>
        <w:rPr>
          <w:rFonts w:ascii="Times New Roman" w:hAnsi="Times New Roman" w:cs="Times New Roman"/>
          <w:sz w:val="24"/>
          <w:szCs w:val="24"/>
        </w:rPr>
      </w:pPr>
      <w:r w:rsidRPr="00357BC7">
        <w:rPr>
          <w:rFonts w:ascii="Times New Roman" w:hAnsi="Times New Roman" w:cs="Times New Roman"/>
          <w:sz w:val="24"/>
          <w:szCs w:val="24"/>
        </w:rPr>
        <w:t xml:space="preserve">Surprisingly, although accuracy of identification decreased as distance increased, false positive identification increased as distance increased during the recall stage in a photo identification. Suggesting that witnesses are more likely to confirm a false identification of an innocent suspect even when accuracy is low (Smith et al., 2019), further suggesting that witnesses are unable to gauge when a task is hard, and so are still likely to make a choice in an identification process leading to an increase in identification error rates (Brewer &amp; Wells, 2011). This supports the notion that eyewitness evidence accuracy reports should be conveyed in criminal trials (Norris et al., 2017). </w:t>
      </w:r>
    </w:p>
    <w:p w14:paraId="799EF714" w14:textId="6FC02445" w:rsidR="00F44786" w:rsidRPr="00357BC7" w:rsidRDefault="00F44786" w:rsidP="00357BC7">
      <w:pPr>
        <w:spacing w:line="360" w:lineRule="auto"/>
        <w:ind w:firstLine="720"/>
        <w:rPr>
          <w:rFonts w:ascii="Times New Roman" w:hAnsi="Times New Roman" w:cs="Times New Roman"/>
          <w:sz w:val="24"/>
          <w:szCs w:val="24"/>
        </w:rPr>
      </w:pPr>
      <w:r w:rsidRPr="00357BC7">
        <w:rPr>
          <w:rFonts w:ascii="Times New Roman" w:hAnsi="Times New Roman" w:cs="Times New Roman"/>
          <w:sz w:val="24"/>
          <w:szCs w:val="24"/>
        </w:rPr>
        <w:t xml:space="preserve">One potential explanation for these findings suggests that when memory encoding is weaker, due to compromising factors such as, long distances, a short duration, the presence of a disguise on the perpetrator, or high stress, then the witness will lower the criteria needed for a positive identification of a suspect (Smith et al., 2019). This leads to an increase of misidentifications and has the potential for increasing wrongful convictions based on EWT (Norris et al., 2017). Further research into identification accuracy suggests line-up type heavily influences witness accuracy and error rates. In an experimental study, Smith et al., (2019) states that witness accuracy could be influenced at both the memory encoding stage (the time of the witnessed event) and the memory retrieval stage (suspect line-up) by identifying the impact of degraded images in photo identification and manipulating the line-up with a culprit – present group and a culprit – absent group. In the weak memory encoding group (with low resolution images) low match to memory was found at memory recall stage with mistaken identification increasing from 21% to 57%, as previous studies have found. But when encoding was clear, and degraded cues were presented in the line-up scenario, error rates still increased. Furthermore, in the culprit – absent line-up more frequent false alarms occurred, adding further support to the idea that criteria for identification is not fixed, but malleable and affected by the line-up presentation. The experimental study may lack ecological validity due to the safe environment the participant is in without any real danger of the crime or offender affecting them, it still strongly suggests that the way in which a line-up is presented to a witness is important for witness accuracy (Garrett, 2020; Norris et al., 2017; Wixted, 2018). </w:t>
      </w:r>
    </w:p>
    <w:p w14:paraId="4C3103C6" w14:textId="77777777" w:rsidR="00F44786" w:rsidRPr="00357BC7" w:rsidRDefault="00F44786" w:rsidP="00357BC7">
      <w:pPr>
        <w:spacing w:line="360" w:lineRule="auto"/>
        <w:ind w:firstLine="720"/>
        <w:rPr>
          <w:rFonts w:ascii="Times New Roman" w:hAnsi="Times New Roman" w:cs="Times New Roman"/>
          <w:sz w:val="24"/>
          <w:szCs w:val="24"/>
        </w:rPr>
      </w:pPr>
      <w:r w:rsidRPr="00357BC7">
        <w:rPr>
          <w:rFonts w:ascii="Times New Roman" w:hAnsi="Times New Roman" w:cs="Times New Roman"/>
          <w:sz w:val="24"/>
          <w:szCs w:val="24"/>
        </w:rPr>
        <w:t>Importantly, when there is an absence of the suspect in the identification parade, it highlights the effect of memory reconstruction when there are memory gaps. It is well known that memory is not like a video recording, but a mental reconstruction (Wise et al. 2014) or representation of a visual scene (Helm, 2021). This occurred when an incorrect foil was selected during recognition (Smith et al. 2019), memory was distorted by filling in the details and creating a false memory (</w:t>
      </w:r>
      <w:proofErr w:type="spellStart"/>
      <w:r w:rsidRPr="00357BC7">
        <w:rPr>
          <w:rFonts w:ascii="Times New Roman" w:hAnsi="Times New Roman" w:cs="Times New Roman"/>
          <w:sz w:val="24"/>
          <w:szCs w:val="24"/>
        </w:rPr>
        <w:t>Ikier</w:t>
      </w:r>
      <w:proofErr w:type="spellEnd"/>
      <w:r w:rsidRPr="00357BC7">
        <w:rPr>
          <w:rFonts w:ascii="Times New Roman" w:hAnsi="Times New Roman" w:cs="Times New Roman"/>
          <w:sz w:val="24"/>
          <w:szCs w:val="24"/>
        </w:rPr>
        <w:t xml:space="preserve"> et al., 2024). There may be a number of reasons why memory is impaired in this way, such as familiarity (Loftus, 2013), or previous schemas of non-presented information (</w:t>
      </w:r>
      <w:proofErr w:type="spellStart"/>
      <w:r w:rsidRPr="00357BC7">
        <w:rPr>
          <w:rFonts w:ascii="Times New Roman" w:hAnsi="Times New Roman" w:cs="Times New Roman"/>
          <w:sz w:val="24"/>
          <w:szCs w:val="24"/>
        </w:rPr>
        <w:t>Ikier</w:t>
      </w:r>
      <w:proofErr w:type="spellEnd"/>
      <w:r w:rsidRPr="00357BC7">
        <w:rPr>
          <w:rFonts w:ascii="Times New Roman" w:hAnsi="Times New Roman" w:cs="Times New Roman"/>
          <w:sz w:val="24"/>
          <w:szCs w:val="24"/>
        </w:rPr>
        <w:t xml:space="preserve"> et al., 2024), memory decay due to intervals before recall, the effect of stress or trauma on the witness involved in a crime (Erikson et al., 2014; Houston et al., 2012), which ultimately lead to the wrongful conviction of the accused and a miscarriage of justice (Norris et al., 2017). </w:t>
      </w:r>
    </w:p>
    <w:p w14:paraId="6333534F" w14:textId="2A83B0CD" w:rsidR="00F44786" w:rsidRPr="00357BC7" w:rsidRDefault="00F44786" w:rsidP="00357BC7">
      <w:pPr>
        <w:spacing w:line="360" w:lineRule="auto"/>
        <w:ind w:firstLine="720"/>
        <w:rPr>
          <w:rFonts w:ascii="Times New Roman" w:hAnsi="Times New Roman" w:cs="Times New Roman"/>
          <w:sz w:val="24"/>
          <w:szCs w:val="24"/>
        </w:rPr>
      </w:pPr>
      <w:r w:rsidRPr="00357BC7">
        <w:rPr>
          <w:rFonts w:ascii="Times New Roman" w:hAnsi="Times New Roman" w:cs="Times New Roman"/>
          <w:sz w:val="24"/>
          <w:szCs w:val="24"/>
        </w:rPr>
        <w:t>Significant research on EWT variables is notably focused on eyewitness confidence. Known as the confidence – accuracy relationship and reported to be a valuable factor to eyewitness research due to its importance to police officers during crime investigation for resource allocation (Brewer &amp; Wells, 2011; Palmer et al., 2013), and the amount of influence witness confidence in court has on a jury  (Berkowitz et al., 2022). According to Garrett (2020), witness confidence was the most important factor to jury decision making in an online, mock jury, experimental study watching EWT videos only. Although this was not in a real setting, and there was no other court proceedings involved such as judge summarising or jury deliberation, it is still a highly significant finding (Magn</w:t>
      </w:r>
      <w:r w:rsidR="001D009A" w:rsidRPr="00357BC7">
        <w:rPr>
          <w:rFonts w:ascii="Times New Roman" w:hAnsi="Times New Roman" w:cs="Times New Roman"/>
          <w:sz w:val="24"/>
          <w:szCs w:val="24"/>
        </w:rPr>
        <w:t>u</w:t>
      </w:r>
      <w:r w:rsidRPr="00357BC7">
        <w:rPr>
          <w:rFonts w:ascii="Times New Roman" w:hAnsi="Times New Roman" w:cs="Times New Roman"/>
          <w:sz w:val="24"/>
          <w:szCs w:val="24"/>
        </w:rPr>
        <w:t>ss</w:t>
      </w:r>
      <w:r w:rsidR="001D009A" w:rsidRPr="00357BC7">
        <w:rPr>
          <w:rFonts w:ascii="Times New Roman" w:hAnsi="Times New Roman" w:cs="Times New Roman"/>
          <w:sz w:val="24"/>
          <w:szCs w:val="24"/>
        </w:rPr>
        <w:t>e</w:t>
      </w:r>
      <w:r w:rsidRPr="00357BC7">
        <w:rPr>
          <w:rFonts w:ascii="Times New Roman" w:hAnsi="Times New Roman" w:cs="Times New Roman"/>
          <w:sz w:val="24"/>
          <w:szCs w:val="24"/>
        </w:rPr>
        <w:t>n et al., 2010) as it demonstrates that even when other EWT variables are taken into consideration, eyewitness confidence is the most persuasive variable to potential jurors. The reason for its importance is due to the wealth of studies that suggest there is little to no relationship found between the confidence of a witness and the accuracy of a witness (Garrett et al., 2020; Loftus, 2013), suggesting that even witnesses who appear confident when identifying a suspect, are still prone to witness/memory errors at each stage of giving eyewitness evidence (Berkowitz et al., 2022) by providing misidentification that may lead to wrongful conviction.</w:t>
      </w:r>
    </w:p>
    <w:p w14:paraId="1C754E3B" w14:textId="2C25E154" w:rsidR="001D009A" w:rsidRPr="00357BC7" w:rsidRDefault="00F44786" w:rsidP="00357BC7">
      <w:pPr>
        <w:spacing w:line="360" w:lineRule="auto"/>
        <w:ind w:firstLine="720"/>
        <w:rPr>
          <w:rFonts w:ascii="Times New Roman" w:hAnsi="Times New Roman" w:cs="Times New Roman"/>
          <w:sz w:val="24"/>
          <w:szCs w:val="24"/>
        </w:rPr>
      </w:pPr>
      <w:r w:rsidRPr="00357BC7">
        <w:rPr>
          <w:rFonts w:ascii="Times New Roman" w:hAnsi="Times New Roman" w:cs="Times New Roman"/>
          <w:sz w:val="24"/>
          <w:szCs w:val="24"/>
        </w:rPr>
        <w:t>There are many system variables that have been indicated to influence eyewitness confidence, specifically, during identification parade procedures, for example, Smalarz and Wells (2015) state that post-identification feedback or confirmatory feedback is damaging to the accuracy of EWT, and may impair the memory of the perpetrator encouraging memory distortion by increasing confidence in false memories (</w:t>
      </w:r>
      <w:proofErr w:type="spellStart"/>
      <w:r w:rsidRPr="00357BC7">
        <w:rPr>
          <w:rFonts w:ascii="Times New Roman" w:hAnsi="Times New Roman" w:cs="Times New Roman"/>
          <w:sz w:val="24"/>
          <w:szCs w:val="24"/>
        </w:rPr>
        <w:t>Ikier</w:t>
      </w:r>
      <w:proofErr w:type="spellEnd"/>
      <w:r w:rsidRPr="00357BC7">
        <w:rPr>
          <w:rFonts w:ascii="Times New Roman" w:hAnsi="Times New Roman" w:cs="Times New Roman"/>
          <w:sz w:val="24"/>
          <w:szCs w:val="24"/>
        </w:rPr>
        <w:t xml:space="preserve"> et al., 2024).</w:t>
      </w:r>
      <w:r w:rsidR="001D009A" w:rsidRPr="00357BC7">
        <w:rPr>
          <w:rFonts w:ascii="Times New Roman" w:hAnsi="Times New Roman" w:cs="Times New Roman"/>
          <w:sz w:val="24"/>
          <w:szCs w:val="24"/>
        </w:rPr>
        <w:t xml:space="preserve"> To avoid bias, double-blind line-ups should be administered by a naïve officer to negate misdirection (Brewer &amp; Wells, 2011; Houses of Parliament, 2019).</w:t>
      </w:r>
      <w:r w:rsidRPr="00357BC7">
        <w:rPr>
          <w:rFonts w:ascii="Times New Roman" w:hAnsi="Times New Roman" w:cs="Times New Roman"/>
          <w:sz w:val="24"/>
          <w:szCs w:val="24"/>
        </w:rPr>
        <w:t xml:space="preserve"> </w:t>
      </w:r>
      <w:r w:rsidR="001D009A" w:rsidRPr="00357BC7">
        <w:rPr>
          <w:rFonts w:ascii="Times New Roman" w:hAnsi="Times New Roman" w:cs="Times New Roman"/>
          <w:sz w:val="24"/>
          <w:szCs w:val="24"/>
        </w:rPr>
        <w:t xml:space="preserve">Additionally, </w:t>
      </w:r>
      <w:r w:rsidR="001D009A" w:rsidRPr="00357BC7">
        <w:rPr>
          <w:rFonts w:ascii="Times New Roman" w:hAnsi="Times New Roman" w:cs="Times New Roman"/>
          <w:sz w:val="24"/>
          <w:szCs w:val="24"/>
        </w:rPr>
        <w:t>eyewitnesses must receive instruction that the suspect may be absent from the identification parade to mitigate false positive identifications</w:t>
      </w:r>
      <w:r w:rsidR="001D009A" w:rsidRPr="00357BC7">
        <w:rPr>
          <w:rFonts w:ascii="Times New Roman" w:hAnsi="Times New Roman" w:cs="Times New Roman"/>
          <w:sz w:val="24"/>
          <w:szCs w:val="24"/>
        </w:rPr>
        <w:t xml:space="preserve"> (Norris et al., 2017)</w:t>
      </w:r>
      <w:r w:rsidR="001D009A" w:rsidRPr="00357BC7">
        <w:rPr>
          <w:rFonts w:ascii="Times New Roman" w:hAnsi="Times New Roman" w:cs="Times New Roman"/>
          <w:sz w:val="24"/>
          <w:szCs w:val="24"/>
        </w:rPr>
        <w:t>.</w:t>
      </w:r>
      <w:r w:rsidR="001D009A" w:rsidRPr="00357BC7">
        <w:rPr>
          <w:rFonts w:ascii="Times New Roman" w:hAnsi="Times New Roman" w:cs="Times New Roman"/>
          <w:sz w:val="24"/>
          <w:szCs w:val="24"/>
        </w:rPr>
        <w:t xml:space="preserve"> There is serious risk of memory contamination during line-up procedures which may have important consequences for eyewitness reliability (</w:t>
      </w:r>
      <w:proofErr w:type="spellStart"/>
      <w:r w:rsidR="001D009A" w:rsidRPr="00357BC7">
        <w:rPr>
          <w:rFonts w:ascii="Times New Roman" w:hAnsi="Times New Roman" w:cs="Times New Roman"/>
          <w:sz w:val="24"/>
          <w:szCs w:val="24"/>
        </w:rPr>
        <w:t>Ikier</w:t>
      </w:r>
      <w:proofErr w:type="spellEnd"/>
      <w:r w:rsidR="001D009A" w:rsidRPr="00357BC7">
        <w:rPr>
          <w:rFonts w:ascii="Times New Roman" w:hAnsi="Times New Roman" w:cs="Times New Roman"/>
          <w:sz w:val="24"/>
          <w:szCs w:val="24"/>
        </w:rPr>
        <w:t xml:space="preserve"> et al., 2024).</w:t>
      </w:r>
      <w:r w:rsidR="001D009A" w:rsidRPr="00357BC7">
        <w:rPr>
          <w:rFonts w:ascii="Times New Roman" w:hAnsi="Times New Roman" w:cs="Times New Roman"/>
          <w:sz w:val="24"/>
          <w:szCs w:val="24"/>
        </w:rPr>
        <w:t xml:space="preserve">    </w:t>
      </w:r>
    </w:p>
    <w:p w14:paraId="25E1CD4D" w14:textId="77777777" w:rsidR="001D009A" w:rsidRPr="00357BC7" w:rsidRDefault="00F44786" w:rsidP="00357BC7">
      <w:pPr>
        <w:spacing w:line="360" w:lineRule="auto"/>
        <w:ind w:firstLine="720"/>
        <w:rPr>
          <w:rFonts w:ascii="Times New Roman" w:hAnsi="Times New Roman" w:cs="Times New Roman"/>
          <w:sz w:val="24"/>
          <w:szCs w:val="24"/>
        </w:rPr>
      </w:pPr>
      <w:r w:rsidRPr="00357BC7">
        <w:rPr>
          <w:rFonts w:ascii="Times New Roman" w:hAnsi="Times New Roman" w:cs="Times New Roman"/>
          <w:sz w:val="24"/>
          <w:szCs w:val="24"/>
        </w:rPr>
        <w:t xml:space="preserve">A false conviction of a sexual assault case, Jenifer Thompson Vs Ronald Cotton resulted in false imprisonment for 13 years due to a number of system variable errors leading to confirmation bias of false memory (Garrett et al., 2020). Misidentification can be very convincing to the victim of the crime and therefore the confidence and conviction with which they speak during trial is very convincing for a jury (Devlin, 1976). Smalarz and Wells (2015) suggested that it is very difficult for a mock jury to determine the accuracy of EWT in cases where there was confirmatory feedback leading to confidence inflation, compared to genuinely accurate EWT. Therefore, it is crucial that correct policy and procedures should be followed to reduce the opportunity for memory contamination to occur, and to measure initial eyewitness confidence, and accuracy (Houses of Parliament, 2019).  </w:t>
      </w:r>
    </w:p>
    <w:p w14:paraId="0920A943" w14:textId="5F140AA3" w:rsidR="001D009A" w:rsidRPr="00357BC7" w:rsidRDefault="001D009A" w:rsidP="00357BC7">
      <w:pPr>
        <w:spacing w:line="360" w:lineRule="auto"/>
        <w:ind w:firstLine="720"/>
        <w:rPr>
          <w:rFonts w:ascii="Times New Roman" w:hAnsi="Times New Roman" w:cs="Times New Roman"/>
          <w:sz w:val="24"/>
          <w:szCs w:val="24"/>
        </w:rPr>
      </w:pPr>
      <w:r w:rsidRPr="00357BC7">
        <w:rPr>
          <w:rFonts w:ascii="Times New Roman" w:hAnsi="Times New Roman" w:cs="Times New Roman"/>
          <w:sz w:val="24"/>
          <w:szCs w:val="24"/>
        </w:rPr>
        <w:t xml:space="preserve">In spite of the evidence of EWT being unreliable, </w:t>
      </w:r>
      <w:r w:rsidR="00F44786" w:rsidRPr="00357BC7">
        <w:rPr>
          <w:rFonts w:ascii="Times New Roman" w:hAnsi="Times New Roman" w:cs="Times New Roman"/>
          <w:sz w:val="24"/>
          <w:szCs w:val="24"/>
        </w:rPr>
        <w:t xml:space="preserve"> </w:t>
      </w:r>
      <w:r w:rsidRPr="00357BC7">
        <w:rPr>
          <w:rFonts w:ascii="Times New Roman" w:hAnsi="Times New Roman" w:cs="Times New Roman"/>
          <w:sz w:val="24"/>
          <w:szCs w:val="24"/>
        </w:rPr>
        <w:t>Wixted (2018) argues that memory may be more reliable than scientists are stating, and that witness confidence measured at initial identification is related to the accuracy of the of the witness identification</w:t>
      </w:r>
      <w:r w:rsidRPr="00357BC7">
        <w:rPr>
          <w:rFonts w:ascii="Times New Roman" w:hAnsi="Times New Roman" w:cs="Times New Roman"/>
          <w:sz w:val="24"/>
          <w:szCs w:val="24"/>
        </w:rPr>
        <w:t>. If high confidence at first identification, this indicates high eyewitness accuracy and low confidence indicates low accuracy (</w:t>
      </w:r>
      <w:proofErr w:type="spellStart"/>
      <w:r w:rsidRPr="00357BC7">
        <w:rPr>
          <w:rFonts w:ascii="Times New Roman" w:hAnsi="Times New Roman" w:cs="Times New Roman"/>
          <w:sz w:val="24"/>
          <w:szCs w:val="24"/>
        </w:rPr>
        <w:t>Ikier</w:t>
      </w:r>
      <w:proofErr w:type="spellEnd"/>
      <w:r w:rsidRPr="00357BC7">
        <w:rPr>
          <w:rFonts w:ascii="Times New Roman" w:hAnsi="Times New Roman" w:cs="Times New Roman"/>
          <w:sz w:val="24"/>
          <w:szCs w:val="24"/>
        </w:rPr>
        <w:t xml:space="preserve"> et al., 2024; Wixted et al., 2018) </w:t>
      </w:r>
      <w:r w:rsidRPr="00357BC7">
        <w:rPr>
          <w:rFonts w:ascii="Times New Roman" w:hAnsi="Times New Roman" w:cs="Times New Roman"/>
          <w:sz w:val="24"/>
          <w:szCs w:val="24"/>
        </w:rPr>
        <w:t>US courts have introduced eyewitness confidence reporting (Brewer &amp; Wells, 2011) in a court trial that assesses initial EWT confidence, and often allow eyewitness experts to give evidence on EWT issues by speaking directly to the court</w:t>
      </w:r>
      <w:r w:rsidRPr="00357BC7">
        <w:rPr>
          <w:rFonts w:ascii="Times New Roman" w:hAnsi="Times New Roman" w:cs="Times New Roman"/>
          <w:sz w:val="24"/>
          <w:szCs w:val="24"/>
        </w:rPr>
        <w:t xml:space="preserve">, to direct juries decision with regard to reliability of EWT </w:t>
      </w:r>
      <w:r w:rsidRPr="00357BC7">
        <w:rPr>
          <w:rFonts w:ascii="Times New Roman" w:hAnsi="Times New Roman" w:cs="Times New Roman"/>
          <w:sz w:val="24"/>
          <w:szCs w:val="24"/>
        </w:rPr>
        <w:t xml:space="preserve">. </w:t>
      </w:r>
    </w:p>
    <w:p w14:paraId="7E1E0AC6" w14:textId="77777777" w:rsidR="001D009A" w:rsidRPr="00357BC7" w:rsidRDefault="001D009A" w:rsidP="00357BC7">
      <w:pPr>
        <w:spacing w:line="360" w:lineRule="auto"/>
        <w:ind w:firstLine="720"/>
        <w:rPr>
          <w:rFonts w:ascii="Times New Roman" w:hAnsi="Times New Roman" w:cs="Times New Roman"/>
          <w:sz w:val="24"/>
          <w:szCs w:val="24"/>
        </w:rPr>
      </w:pPr>
      <w:r w:rsidRPr="00357BC7">
        <w:rPr>
          <w:rFonts w:ascii="Times New Roman" w:hAnsi="Times New Roman" w:cs="Times New Roman"/>
          <w:sz w:val="24"/>
          <w:szCs w:val="24"/>
        </w:rPr>
        <w:t xml:space="preserve">   Ecological validity of EWT studies is still debated among researchers, due to the mixed findings and disconnection between experimental settings and real-world applications from field or archival research (Fawcett et al., 2011). Questions have been raised regarding the generalisability of experimental findings into real EWT scenarios (Flowe et al., 2018), because the very nature of witnessing a crime increases arousal due to threat to self or others, and this is impossible to recreate in experimental settings. One cannot ignore the wealth of research into attention and memory of EWT to identify what, and why effects are seen in the accuracy and reliability of EWT throughout the judicial process (Helm, 2021). The use of reporting estimator variables and consideration for system variables to promote accuracy and to protect the reliability of EWT in a modern approach to the judicial system (Davies &amp; Griffith, 2008; House of Parliament, 2019). Helm (2021) conducted a mock jury experiment and suggests that Jury training would increase identifying accuracy and EWT strength, therefore reducing wrongful convictions.   The advancement of our understanding through education in this area shall continue to influence reform to policy and procedures (Wise et al., 2014) set out for individuals working within the criminal and legal professions.  </w:t>
      </w:r>
    </w:p>
    <w:p w14:paraId="66669E62" w14:textId="61904ECE" w:rsidR="001D009A" w:rsidRDefault="001D009A" w:rsidP="001D009A">
      <w:pPr>
        <w:spacing w:line="360" w:lineRule="auto"/>
        <w:ind w:firstLine="720"/>
        <w:rPr>
          <w:rFonts w:ascii="Times New Roman" w:hAnsi="Times New Roman" w:cs="Times New Roman"/>
          <w:sz w:val="24"/>
          <w:szCs w:val="24"/>
        </w:rPr>
      </w:pPr>
    </w:p>
    <w:p w14:paraId="6699DA24" w14:textId="09D6FFA1" w:rsidR="00F44786" w:rsidRDefault="00F44786" w:rsidP="00F44786">
      <w:pPr>
        <w:spacing w:line="360" w:lineRule="auto"/>
        <w:ind w:firstLine="720"/>
        <w:rPr>
          <w:rFonts w:ascii="Times New Roman" w:hAnsi="Times New Roman" w:cs="Times New Roman"/>
          <w:sz w:val="24"/>
          <w:szCs w:val="24"/>
        </w:rPr>
      </w:pPr>
    </w:p>
    <w:p w14:paraId="6A17FA77" w14:textId="77777777" w:rsidR="00F44786" w:rsidRDefault="00F44786" w:rsidP="00F44786">
      <w:pPr>
        <w:spacing w:line="360" w:lineRule="auto"/>
        <w:ind w:firstLine="720"/>
        <w:rPr>
          <w:rFonts w:ascii="Times New Roman" w:hAnsi="Times New Roman" w:cs="Times New Roman"/>
          <w:sz w:val="24"/>
          <w:szCs w:val="24"/>
        </w:rPr>
      </w:pPr>
    </w:p>
    <w:p w14:paraId="42DAF83D" w14:textId="77777777" w:rsidR="00F44786" w:rsidRDefault="00F44786" w:rsidP="00F44786">
      <w:pPr>
        <w:spacing w:line="360" w:lineRule="auto"/>
        <w:ind w:firstLine="720"/>
        <w:rPr>
          <w:rFonts w:ascii="Times New Roman" w:hAnsi="Times New Roman" w:cs="Times New Roman"/>
          <w:sz w:val="24"/>
          <w:szCs w:val="24"/>
        </w:rPr>
      </w:pPr>
    </w:p>
    <w:p w14:paraId="743A4A3F" w14:textId="77777777" w:rsidR="00F44786" w:rsidRDefault="00F44786" w:rsidP="00EB318A">
      <w:pPr>
        <w:spacing w:line="360" w:lineRule="auto"/>
        <w:ind w:firstLine="720"/>
        <w:rPr>
          <w:rFonts w:ascii="Times New Roman" w:hAnsi="Times New Roman" w:cs="Times New Roman"/>
          <w:sz w:val="24"/>
          <w:szCs w:val="24"/>
        </w:rPr>
      </w:pPr>
    </w:p>
    <w:p w14:paraId="515EFC90" w14:textId="77777777" w:rsidR="00EB318A" w:rsidRDefault="00EB318A" w:rsidP="00EB318A">
      <w:pPr>
        <w:spacing w:line="360" w:lineRule="auto"/>
        <w:ind w:firstLine="720"/>
        <w:rPr>
          <w:rFonts w:ascii="Times New Roman" w:hAnsi="Times New Roman" w:cs="Times New Roman"/>
          <w:sz w:val="24"/>
          <w:szCs w:val="24"/>
        </w:rPr>
      </w:pPr>
    </w:p>
    <w:p w14:paraId="30C7BE37" w14:textId="42C9FAED" w:rsidR="00EB318A" w:rsidRDefault="00EB318A" w:rsidP="00EB318A">
      <w:pPr>
        <w:spacing w:line="360" w:lineRule="auto"/>
        <w:ind w:firstLine="720"/>
        <w:rPr>
          <w:rFonts w:ascii="Times New Roman" w:hAnsi="Times New Roman" w:cs="Times New Roman"/>
          <w:sz w:val="24"/>
          <w:szCs w:val="24"/>
        </w:rPr>
      </w:pPr>
    </w:p>
    <w:p w14:paraId="3525CB42" w14:textId="77777777" w:rsidR="00EB318A" w:rsidRDefault="00EB318A" w:rsidP="00EB318A">
      <w:pPr>
        <w:spacing w:line="360" w:lineRule="auto"/>
        <w:ind w:firstLine="720"/>
        <w:rPr>
          <w:rFonts w:ascii="Times New Roman" w:hAnsi="Times New Roman" w:cs="Times New Roman"/>
          <w:sz w:val="24"/>
          <w:szCs w:val="24"/>
        </w:rPr>
      </w:pPr>
    </w:p>
    <w:p w14:paraId="79D917BF" w14:textId="77777777" w:rsidR="0049315C" w:rsidRDefault="0049315C"/>
    <w:p w14:paraId="08836CC8" w14:textId="77777777" w:rsidR="00357BC7" w:rsidRDefault="00357BC7"/>
    <w:p w14:paraId="19C6C95C" w14:textId="77777777" w:rsidR="00357BC7" w:rsidRDefault="00357BC7"/>
    <w:p w14:paraId="5D3B51D9" w14:textId="77777777" w:rsidR="00357BC7" w:rsidRDefault="00357BC7"/>
    <w:p w14:paraId="26BE3716" w14:textId="77777777" w:rsidR="00357BC7" w:rsidRDefault="00357BC7"/>
    <w:p w14:paraId="34BC483F" w14:textId="77777777" w:rsidR="00357BC7" w:rsidRDefault="00357BC7"/>
    <w:p w14:paraId="6176A409" w14:textId="77777777" w:rsidR="00357BC7" w:rsidRDefault="00357BC7"/>
    <w:p w14:paraId="05B57B73" w14:textId="77777777" w:rsidR="00357BC7" w:rsidRDefault="00357BC7"/>
    <w:p w14:paraId="2204FD90" w14:textId="77777777" w:rsidR="00357BC7" w:rsidRDefault="00357BC7"/>
    <w:p w14:paraId="39D30DE5" w14:textId="77777777" w:rsidR="00357BC7" w:rsidRDefault="00357BC7"/>
    <w:p w14:paraId="630C792B" w14:textId="77777777" w:rsidR="00357BC7" w:rsidRDefault="00357BC7"/>
    <w:p w14:paraId="0FBEBC67" w14:textId="77777777" w:rsidR="00357BC7" w:rsidRDefault="00357BC7"/>
    <w:p w14:paraId="2483F33B" w14:textId="77777777" w:rsidR="00357BC7" w:rsidRPr="00357BC7" w:rsidRDefault="00357BC7" w:rsidP="00357BC7">
      <w:pPr>
        <w:jc w:val="center"/>
        <w:rPr>
          <w:rFonts w:ascii="Times New Roman" w:hAnsi="Times New Roman" w:cs="Times New Roman"/>
          <w:b/>
          <w:bCs/>
          <w:sz w:val="24"/>
          <w:szCs w:val="24"/>
          <w:u w:val="single"/>
        </w:rPr>
      </w:pPr>
      <w:r w:rsidRPr="00357BC7">
        <w:rPr>
          <w:rFonts w:ascii="Times New Roman" w:hAnsi="Times New Roman" w:cs="Times New Roman"/>
          <w:b/>
          <w:bCs/>
          <w:sz w:val="24"/>
          <w:szCs w:val="24"/>
          <w:u w:val="single"/>
        </w:rPr>
        <w:t>Reference List</w:t>
      </w:r>
    </w:p>
    <w:p w14:paraId="7516F580" w14:textId="77777777" w:rsidR="00357BC7" w:rsidRDefault="00357BC7" w:rsidP="00357BC7">
      <w:pPr>
        <w:ind w:left="720" w:hanging="720"/>
        <w:rPr>
          <w:rFonts w:ascii="Times New Roman" w:hAnsi="Times New Roman" w:cs="Times New Roman"/>
          <w:sz w:val="28"/>
          <w:szCs w:val="28"/>
        </w:rPr>
      </w:pPr>
    </w:p>
    <w:p w14:paraId="0CD51764" w14:textId="77777777" w:rsidR="00357BC7" w:rsidRPr="00FF64EF" w:rsidRDefault="00357BC7" w:rsidP="00357BC7">
      <w:pPr>
        <w:ind w:left="720" w:hanging="720"/>
        <w:rPr>
          <w:rFonts w:ascii="Times New Roman" w:hAnsi="Times New Roman" w:cs="Times New Roman"/>
          <w:color w:val="222222"/>
          <w:sz w:val="24"/>
          <w:szCs w:val="24"/>
          <w:shd w:val="clear" w:color="auto" w:fill="FFFFFF"/>
        </w:rPr>
      </w:pPr>
      <w:r w:rsidRPr="00FF64EF">
        <w:rPr>
          <w:rFonts w:ascii="Times New Roman" w:hAnsi="Times New Roman" w:cs="Times New Roman"/>
          <w:color w:val="222222"/>
          <w:sz w:val="24"/>
          <w:szCs w:val="24"/>
          <w:shd w:val="clear" w:color="auto" w:fill="FFFFFF"/>
        </w:rPr>
        <w:t xml:space="preserve">Bainter, S. A., Tibbe, T. D., Goodman, Z. T., &amp; Poole, D. A. (2020). Child eyewitness researchers often bin age: Prevalence of the practice and recommendations for </w:t>
      </w:r>
      <w:proofErr w:type="spellStart"/>
      <w:r w:rsidRPr="00FF64EF">
        <w:rPr>
          <w:rFonts w:ascii="Times New Roman" w:hAnsi="Times New Roman" w:cs="Times New Roman"/>
          <w:color w:val="222222"/>
          <w:sz w:val="24"/>
          <w:szCs w:val="24"/>
          <w:shd w:val="clear" w:color="auto" w:fill="FFFFFF"/>
        </w:rPr>
        <w:t>analyzing</w:t>
      </w:r>
      <w:proofErr w:type="spellEnd"/>
      <w:r w:rsidRPr="00FF64EF">
        <w:rPr>
          <w:rFonts w:ascii="Times New Roman" w:hAnsi="Times New Roman" w:cs="Times New Roman"/>
          <w:color w:val="222222"/>
          <w:sz w:val="24"/>
          <w:szCs w:val="24"/>
          <w:shd w:val="clear" w:color="auto" w:fill="FFFFFF"/>
        </w:rPr>
        <w:t xml:space="preserve"> developmental trends. </w:t>
      </w:r>
      <w:r w:rsidRPr="00FF64EF">
        <w:rPr>
          <w:rFonts w:ascii="Times New Roman" w:hAnsi="Times New Roman" w:cs="Times New Roman"/>
          <w:i/>
          <w:iCs/>
          <w:color w:val="222222"/>
          <w:sz w:val="24"/>
          <w:szCs w:val="24"/>
          <w:shd w:val="clear" w:color="auto" w:fill="FFFFFF"/>
        </w:rPr>
        <w:t xml:space="preserve">Law and human </w:t>
      </w:r>
      <w:proofErr w:type="spellStart"/>
      <w:r w:rsidRPr="00FF64EF">
        <w:rPr>
          <w:rFonts w:ascii="Times New Roman" w:hAnsi="Times New Roman" w:cs="Times New Roman"/>
          <w:i/>
          <w:iCs/>
          <w:color w:val="222222"/>
          <w:sz w:val="24"/>
          <w:szCs w:val="24"/>
          <w:shd w:val="clear" w:color="auto" w:fill="FFFFFF"/>
        </w:rPr>
        <w:t>behavior</w:t>
      </w:r>
      <w:proofErr w:type="spellEnd"/>
      <w:r w:rsidRPr="00FF64EF">
        <w:rPr>
          <w:rFonts w:ascii="Times New Roman" w:hAnsi="Times New Roman" w:cs="Times New Roman"/>
          <w:color w:val="222222"/>
          <w:sz w:val="24"/>
          <w:szCs w:val="24"/>
          <w:shd w:val="clear" w:color="auto" w:fill="FFFFFF"/>
        </w:rPr>
        <w:t>, </w:t>
      </w:r>
      <w:r w:rsidRPr="00FF64EF">
        <w:rPr>
          <w:rFonts w:ascii="Times New Roman" w:hAnsi="Times New Roman" w:cs="Times New Roman"/>
          <w:i/>
          <w:iCs/>
          <w:color w:val="222222"/>
          <w:sz w:val="24"/>
          <w:szCs w:val="24"/>
          <w:shd w:val="clear" w:color="auto" w:fill="FFFFFF"/>
        </w:rPr>
        <w:t>44</w:t>
      </w:r>
      <w:r w:rsidRPr="00FF64EF">
        <w:rPr>
          <w:rFonts w:ascii="Times New Roman" w:hAnsi="Times New Roman" w:cs="Times New Roman"/>
          <w:color w:val="222222"/>
          <w:sz w:val="24"/>
          <w:szCs w:val="24"/>
          <w:shd w:val="clear" w:color="auto" w:fill="FFFFFF"/>
        </w:rPr>
        <w:t xml:space="preserve">(4), 327. </w:t>
      </w:r>
      <w:hyperlink r:id="rId6" w:history="1">
        <w:r w:rsidRPr="00FF64EF">
          <w:rPr>
            <w:rStyle w:val="Hyperlink"/>
            <w:rFonts w:ascii="Times New Roman" w:hAnsi="Times New Roman" w:cs="Times New Roman"/>
            <w:sz w:val="24"/>
            <w:szCs w:val="24"/>
            <w:shd w:val="clear" w:color="auto" w:fill="FFFFFF"/>
          </w:rPr>
          <w:t>https://psycnet.apa.org/doi/10.1037/lhb0000416</w:t>
        </w:r>
      </w:hyperlink>
      <w:r w:rsidRPr="00FF64EF">
        <w:rPr>
          <w:rFonts w:ascii="Times New Roman" w:hAnsi="Times New Roman" w:cs="Times New Roman"/>
          <w:color w:val="222222"/>
          <w:sz w:val="24"/>
          <w:szCs w:val="24"/>
          <w:shd w:val="clear" w:color="auto" w:fill="FFFFFF"/>
        </w:rPr>
        <w:t xml:space="preserve"> </w:t>
      </w:r>
    </w:p>
    <w:p w14:paraId="65EF1824" w14:textId="77777777" w:rsidR="00357BC7" w:rsidRPr="00FF64EF" w:rsidRDefault="00357BC7" w:rsidP="00357BC7">
      <w:pPr>
        <w:ind w:left="720" w:hanging="720"/>
        <w:rPr>
          <w:rFonts w:ascii="Times New Roman" w:hAnsi="Times New Roman" w:cs="Times New Roman"/>
          <w:color w:val="222222"/>
          <w:sz w:val="24"/>
          <w:szCs w:val="24"/>
          <w:shd w:val="clear" w:color="auto" w:fill="FFFFFF"/>
        </w:rPr>
      </w:pPr>
      <w:r w:rsidRPr="00FF64EF">
        <w:rPr>
          <w:rFonts w:ascii="Times New Roman" w:hAnsi="Times New Roman" w:cs="Times New Roman"/>
          <w:color w:val="222222"/>
          <w:sz w:val="24"/>
          <w:szCs w:val="24"/>
          <w:shd w:val="clear" w:color="auto" w:fill="FFFFFF"/>
        </w:rPr>
        <w:t>Berkowitz, S. R., Garrett, B. L., Fenn, K. M., &amp; Loftus, E. F. (2022). Convicting with confidence? Why we should not over-rely on eyewitness confidence. </w:t>
      </w:r>
      <w:r w:rsidRPr="00FF64EF">
        <w:rPr>
          <w:rFonts w:ascii="Times New Roman" w:hAnsi="Times New Roman" w:cs="Times New Roman"/>
          <w:i/>
          <w:iCs/>
          <w:color w:val="222222"/>
          <w:sz w:val="24"/>
          <w:szCs w:val="24"/>
          <w:shd w:val="clear" w:color="auto" w:fill="FFFFFF"/>
        </w:rPr>
        <w:t>Memory</w:t>
      </w:r>
      <w:r w:rsidRPr="00FF64EF">
        <w:rPr>
          <w:rFonts w:ascii="Times New Roman" w:hAnsi="Times New Roman" w:cs="Times New Roman"/>
          <w:color w:val="222222"/>
          <w:sz w:val="24"/>
          <w:szCs w:val="24"/>
          <w:shd w:val="clear" w:color="auto" w:fill="FFFFFF"/>
        </w:rPr>
        <w:t>, </w:t>
      </w:r>
      <w:r w:rsidRPr="00FF64EF">
        <w:rPr>
          <w:rFonts w:ascii="Times New Roman" w:hAnsi="Times New Roman" w:cs="Times New Roman"/>
          <w:i/>
          <w:iCs/>
          <w:color w:val="222222"/>
          <w:sz w:val="24"/>
          <w:szCs w:val="24"/>
          <w:shd w:val="clear" w:color="auto" w:fill="FFFFFF"/>
        </w:rPr>
        <w:t>30</w:t>
      </w:r>
      <w:r w:rsidRPr="00FF64EF">
        <w:rPr>
          <w:rFonts w:ascii="Times New Roman" w:hAnsi="Times New Roman" w:cs="Times New Roman"/>
          <w:color w:val="222222"/>
          <w:sz w:val="24"/>
          <w:szCs w:val="24"/>
          <w:shd w:val="clear" w:color="auto" w:fill="FFFFFF"/>
        </w:rPr>
        <w:t xml:space="preserve">(1), 10-15. </w:t>
      </w:r>
      <w:hyperlink r:id="rId7" w:history="1">
        <w:r w:rsidRPr="00FF64EF">
          <w:rPr>
            <w:rStyle w:val="Hyperlink"/>
            <w:rFonts w:ascii="Times New Roman" w:hAnsi="Times New Roman" w:cs="Times New Roman"/>
            <w:sz w:val="24"/>
            <w:szCs w:val="24"/>
            <w:shd w:val="clear" w:color="auto" w:fill="FFFFFF"/>
          </w:rPr>
          <w:t>https://doi.org/10.1080/09658211.2020.1849308</w:t>
        </w:r>
      </w:hyperlink>
      <w:r w:rsidRPr="00FF64EF">
        <w:rPr>
          <w:rFonts w:ascii="Times New Roman" w:hAnsi="Times New Roman" w:cs="Times New Roman"/>
          <w:color w:val="222222"/>
          <w:sz w:val="24"/>
          <w:szCs w:val="24"/>
          <w:shd w:val="clear" w:color="auto" w:fill="FFFFFF"/>
        </w:rPr>
        <w:t xml:space="preserve"> </w:t>
      </w:r>
    </w:p>
    <w:p w14:paraId="207DFB7D" w14:textId="77777777" w:rsidR="00357BC7" w:rsidRPr="00FF64EF" w:rsidRDefault="00357BC7" w:rsidP="00357BC7">
      <w:pPr>
        <w:ind w:left="720" w:hanging="720"/>
        <w:rPr>
          <w:rFonts w:ascii="Times New Roman" w:hAnsi="Times New Roman" w:cs="Times New Roman"/>
          <w:color w:val="222222"/>
          <w:sz w:val="24"/>
          <w:szCs w:val="24"/>
          <w:shd w:val="clear" w:color="auto" w:fill="FFFFFF"/>
        </w:rPr>
      </w:pPr>
      <w:r w:rsidRPr="00FF64EF">
        <w:rPr>
          <w:rFonts w:ascii="Times New Roman" w:hAnsi="Times New Roman" w:cs="Times New Roman"/>
          <w:color w:val="222222"/>
          <w:sz w:val="24"/>
          <w:szCs w:val="24"/>
          <w:shd w:val="clear" w:color="auto" w:fill="FFFFFF"/>
        </w:rPr>
        <w:t>Brewer, N., &amp; Wells, G. L. (2011). Eyewitness identification. </w:t>
      </w:r>
      <w:r w:rsidRPr="00FF64EF">
        <w:rPr>
          <w:rFonts w:ascii="Times New Roman" w:hAnsi="Times New Roman" w:cs="Times New Roman"/>
          <w:i/>
          <w:iCs/>
          <w:color w:val="222222"/>
          <w:sz w:val="24"/>
          <w:szCs w:val="24"/>
          <w:shd w:val="clear" w:color="auto" w:fill="FFFFFF"/>
        </w:rPr>
        <w:t>Current Directions in Psychological Science</w:t>
      </w:r>
      <w:r w:rsidRPr="00FF64EF">
        <w:rPr>
          <w:rFonts w:ascii="Times New Roman" w:hAnsi="Times New Roman" w:cs="Times New Roman"/>
          <w:color w:val="222222"/>
          <w:sz w:val="24"/>
          <w:szCs w:val="24"/>
          <w:shd w:val="clear" w:color="auto" w:fill="FFFFFF"/>
        </w:rPr>
        <w:t>, </w:t>
      </w:r>
      <w:r w:rsidRPr="00FF64EF">
        <w:rPr>
          <w:rFonts w:ascii="Times New Roman" w:hAnsi="Times New Roman" w:cs="Times New Roman"/>
          <w:i/>
          <w:iCs/>
          <w:color w:val="222222"/>
          <w:sz w:val="24"/>
          <w:szCs w:val="24"/>
          <w:shd w:val="clear" w:color="auto" w:fill="FFFFFF"/>
        </w:rPr>
        <w:t>20</w:t>
      </w:r>
      <w:r w:rsidRPr="00FF64EF">
        <w:rPr>
          <w:rFonts w:ascii="Times New Roman" w:hAnsi="Times New Roman" w:cs="Times New Roman"/>
          <w:color w:val="222222"/>
          <w:sz w:val="24"/>
          <w:szCs w:val="24"/>
          <w:shd w:val="clear" w:color="auto" w:fill="FFFFFF"/>
        </w:rPr>
        <w:t xml:space="preserve">(1), 24-27. </w:t>
      </w:r>
      <w:hyperlink r:id="rId8" w:history="1">
        <w:r w:rsidRPr="00FF64EF">
          <w:rPr>
            <w:rStyle w:val="Hyperlink"/>
            <w:rFonts w:ascii="Times New Roman" w:hAnsi="Times New Roman" w:cs="Times New Roman"/>
            <w:sz w:val="24"/>
            <w:szCs w:val="24"/>
            <w:shd w:val="clear" w:color="auto" w:fill="FFFFFF"/>
          </w:rPr>
          <w:t>https://doi.org/10.1177/0963721410389169</w:t>
        </w:r>
      </w:hyperlink>
      <w:r w:rsidRPr="00FF64EF">
        <w:rPr>
          <w:rFonts w:ascii="Times New Roman" w:hAnsi="Times New Roman" w:cs="Times New Roman"/>
          <w:color w:val="222222"/>
          <w:sz w:val="24"/>
          <w:szCs w:val="24"/>
          <w:shd w:val="clear" w:color="auto" w:fill="FFFFFF"/>
        </w:rPr>
        <w:t xml:space="preserve"> </w:t>
      </w:r>
    </w:p>
    <w:p w14:paraId="1C25BF28" w14:textId="77777777" w:rsidR="00357BC7" w:rsidRPr="00FF64EF" w:rsidRDefault="00357BC7" w:rsidP="00357BC7">
      <w:pPr>
        <w:ind w:left="720" w:hanging="720"/>
        <w:rPr>
          <w:rFonts w:ascii="Times New Roman" w:hAnsi="Times New Roman" w:cs="Times New Roman"/>
          <w:color w:val="222222"/>
          <w:sz w:val="24"/>
          <w:szCs w:val="24"/>
          <w:shd w:val="clear" w:color="auto" w:fill="FFFFFF"/>
        </w:rPr>
      </w:pPr>
      <w:r w:rsidRPr="00FF64EF">
        <w:rPr>
          <w:rFonts w:ascii="Times New Roman" w:hAnsi="Times New Roman" w:cs="Times New Roman"/>
          <w:color w:val="222222"/>
          <w:sz w:val="24"/>
          <w:szCs w:val="24"/>
          <w:shd w:val="clear" w:color="auto" w:fill="FFFFFF"/>
        </w:rPr>
        <w:t>Davies, G., &amp; Griffiths, L. (2008). Eyewitness identification and the English courts: A century of trial and error. </w:t>
      </w:r>
      <w:r w:rsidRPr="00FF64EF">
        <w:rPr>
          <w:rFonts w:ascii="Times New Roman" w:hAnsi="Times New Roman" w:cs="Times New Roman"/>
          <w:i/>
          <w:iCs/>
          <w:color w:val="222222"/>
          <w:sz w:val="24"/>
          <w:szCs w:val="24"/>
          <w:shd w:val="clear" w:color="auto" w:fill="FFFFFF"/>
        </w:rPr>
        <w:t>Psychiatry, Psychology and Law</w:t>
      </w:r>
      <w:r w:rsidRPr="00FF64EF">
        <w:rPr>
          <w:rFonts w:ascii="Times New Roman" w:hAnsi="Times New Roman" w:cs="Times New Roman"/>
          <w:color w:val="222222"/>
          <w:sz w:val="24"/>
          <w:szCs w:val="24"/>
          <w:shd w:val="clear" w:color="auto" w:fill="FFFFFF"/>
        </w:rPr>
        <w:t>, </w:t>
      </w:r>
      <w:r w:rsidRPr="00FF64EF">
        <w:rPr>
          <w:rFonts w:ascii="Times New Roman" w:hAnsi="Times New Roman" w:cs="Times New Roman"/>
          <w:i/>
          <w:iCs/>
          <w:color w:val="222222"/>
          <w:sz w:val="24"/>
          <w:szCs w:val="24"/>
          <w:shd w:val="clear" w:color="auto" w:fill="FFFFFF"/>
        </w:rPr>
        <w:t>15</w:t>
      </w:r>
      <w:r w:rsidRPr="00FF64EF">
        <w:rPr>
          <w:rFonts w:ascii="Times New Roman" w:hAnsi="Times New Roman" w:cs="Times New Roman"/>
          <w:color w:val="222222"/>
          <w:sz w:val="24"/>
          <w:szCs w:val="24"/>
          <w:shd w:val="clear" w:color="auto" w:fill="FFFFFF"/>
        </w:rPr>
        <w:t xml:space="preserve">(3), 435-449. </w:t>
      </w:r>
      <w:hyperlink r:id="rId9" w:history="1">
        <w:r w:rsidRPr="00FF64EF">
          <w:rPr>
            <w:rStyle w:val="Hyperlink"/>
            <w:rFonts w:ascii="Times New Roman" w:hAnsi="Times New Roman" w:cs="Times New Roman"/>
            <w:sz w:val="24"/>
            <w:szCs w:val="24"/>
            <w:shd w:val="clear" w:color="auto" w:fill="FFFFFF"/>
          </w:rPr>
          <w:t>https://doi.org/10.1080/13218710802101605</w:t>
        </w:r>
      </w:hyperlink>
      <w:r w:rsidRPr="00FF64EF">
        <w:rPr>
          <w:rFonts w:ascii="Times New Roman" w:hAnsi="Times New Roman" w:cs="Times New Roman"/>
          <w:color w:val="222222"/>
          <w:sz w:val="24"/>
          <w:szCs w:val="24"/>
          <w:shd w:val="clear" w:color="auto" w:fill="FFFFFF"/>
        </w:rPr>
        <w:t xml:space="preserve"> </w:t>
      </w:r>
    </w:p>
    <w:p w14:paraId="6F2325B7" w14:textId="77777777" w:rsidR="00357BC7" w:rsidRPr="00FF64EF" w:rsidRDefault="00357BC7" w:rsidP="00357BC7">
      <w:pPr>
        <w:ind w:left="720" w:hanging="720"/>
        <w:rPr>
          <w:rFonts w:ascii="Times New Roman" w:hAnsi="Times New Roman" w:cs="Times New Roman"/>
          <w:color w:val="222222"/>
          <w:sz w:val="24"/>
          <w:szCs w:val="24"/>
          <w:shd w:val="clear" w:color="auto" w:fill="FFFFFF"/>
        </w:rPr>
      </w:pPr>
      <w:r w:rsidRPr="00FF64EF">
        <w:rPr>
          <w:rFonts w:ascii="Times New Roman" w:hAnsi="Times New Roman" w:cs="Times New Roman"/>
          <w:color w:val="222222"/>
          <w:sz w:val="24"/>
          <w:szCs w:val="24"/>
          <w:shd w:val="clear" w:color="auto" w:fill="FFFFFF"/>
        </w:rPr>
        <w:t xml:space="preserve">Devlin, L. P. (1976). Report to the Secretary of State for the Home Department of the Departmental Committee on Evidence of Identification in Criminal Cases. </w:t>
      </w:r>
      <w:hyperlink r:id="rId10" w:history="1">
        <w:r w:rsidRPr="00FF64EF">
          <w:rPr>
            <w:rStyle w:val="Hyperlink"/>
            <w:rFonts w:ascii="Times New Roman" w:hAnsi="Times New Roman" w:cs="Times New Roman"/>
            <w:sz w:val="24"/>
            <w:szCs w:val="24"/>
            <w:shd w:val="clear" w:color="auto" w:fill="FFFFFF"/>
          </w:rPr>
          <w:t>https://assets.publishing.service.gov.uk/media/5a7bfc5140f0b645ba3c5ff5/0338.pdf</w:t>
        </w:r>
      </w:hyperlink>
      <w:r w:rsidRPr="00FF64EF">
        <w:rPr>
          <w:rFonts w:ascii="Times New Roman" w:hAnsi="Times New Roman" w:cs="Times New Roman"/>
          <w:color w:val="222222"/>
          <w:sz w:val="24"/>
          <w:szCs w:val="24"/>
          <w:shd w:val="clear" w:color="auto" w:fill="FFFFFF"/>
        </w:rPr>
        <w:t xml:space="preserve"> </w:t>
      </w:r>
    </w:p>
    <w:p w14:paraId="44B6C323" w14:textId="77777777" w:rsidR="00357BC7" w:rsidRPr="00FF64EF" w:rsidRDefault="00357BC7" w:rsidP="00357BC7">
      <w:pPr>
        <w:ind w:left="720" w:hanging="720"/>
        <w:rPr>
          <w:rFonts w:ascii="Times New Roman" w:hAnsi="Times New Roman" w:cs="Times New Roman"/>
          <w:color w:val="222222"/>
          <w:sz w:val="24"/>
          <w:szCs w:val="24"/>
          <w:shd w:val="clear" w:color="auto" w:fill="FFFFFF"/>
        </w:rPr>
      </w:pPr>
      <w:r w:rsidRPr="00FF64EF">
        <w:rPr>
          <w:rFonts w:ascii="Times New Roman" w:hAnsi="Times New Roman" w:cs="Times New Roman"/>
          <w:color w:val="222222"/>
          <w:sz w:val="24"/>
          <w:szCs w:val="24"/>
          <w:shd w:val="clear" w:color="auto" w:fill="FFFFFF"/>
        </w:rPr>
        <w:t>Erickson, W. B., Lampinen, J. M., &amp; Leding, J. K. (2014). The weapon focus effect in target‐present and target‐absent line‐ups: The roles of threat, novelty, and timing. </w:t>
      </w:r>
      <w:r w:rsidRPr="00FF64EF">
        <w:rPr>
          <w:rFonts w:ascii="Times New Roman" w:hAnsi="Times New Roman" w:cs="Times New Roman"/>
          <w:i/>
          <w:iCs/>
          <w:color w:val="222222"/>
          <w:sz w:val="24"/>
          <w:szCs w:val="24"/>
          <w:shd w:val="clear" w:color="auto" w:fill="FFFFFF"/>
        </w:rPr>
        <w:t>Applied Cognitive Psychology</w:t>
      </w:r>
      <w:r w:rsidRPr="00FF64EF">
        <w:rPr>
          <w:rFonts w:ascii="Times New Roman" w:hAnsi="Times New Roman" w:cs="Times New Roman"/>
          <w:color w:val="222222"/>
          <w:sz w:val="24"/>
          <w:szCs w:val="24"/>
          <w:shd w:val="clear" w:color="auto" w:fill="FFFFFF"/>
        </w:rPr>
        <w:t>, </w:t>
      </w:r>
      <w:r w:rsidRPr="00FF64EF">
        <w:rPr>
          <w:rFonts w:ascii="Times New Roman" w:hAnsi="Times New Roman" w:cs="Times New Roman"/>
          <w:i/>
          <w:iCs/>
          <w:color w:val="222222"/>
          <w:sz w:val="24"/>
          <w:szCs w:val="24"/>
          <w:shd w:val="clear" w:color="auto" w:fill="FFFFFF"/>
        </w:rPr>
        <w:t>28</w:t>
      </w:r>
      <w:r w:rsidRPr="00FF64EF">
        <w:rPr>
          <w:rFonts w:ascii="Times New Roman" w:hAnsi="Times New Roman" w:cs="Times New Roman"/>
          <w:color w:val="222222"/>
          <w:sz w:val="24"/>
          <w:szCs w:val="24"/>
          <w:shd w:val="clear" w:color="auto" w:fill="FFFFFF"/>
        </w:rPr>
        <w:t xml:space="preserve">(3), 349-359. </w:t>
      </w:r>
      <w:hyperlink r:id="rId11" w:history="1">
        <w:r w:rsidRPr="00FF64EF">
          <w:rPr>
            <w:rStyle w:val="Hyperlink"/>
            <w:rFonts w:ascii="Times New Roman" w:hAnsi="Times New Roman" w:cs="Times New Roman"/>
            <w:sz w:val="24"/>
            <w:szCs w:val="24"/>
            <w:shd w:val="clear" w:color="auto" w:fill="FFFFFF"/>
          </w:rPr>
          <w:t>https://doi.org/10.1002/acp.3005</w:t>
        </w:r>
      </w:hyperlink>
      <w:r w:rsidRPr="00FF64EF">
        <w:rPr>
          <w:rFonts w:ascii="Times New Roman" w:hAnsi="Times New Roman" w:cs="Times New Roman"/>
          <w:color w:val="222222"/>
          <w:sz w:val="24"/>
          <w:szCs w:val="24"/>
          <w:shd w:val="clear" w:color="auto" w:fill="FFFFFF"/>
        </w:rPr>
        <w:t xml:space="preserve"> </w:t>
      </w:r>
    </w:p>
    <w:p w14:paraId="3268F1BA" w14:textId="77777777" w:rsidR="00357BC7" w:rsidRPr="00FF64EF" w:rsidRDefault="00357BC7" w:rsidP="00357BC7">
      <w:pPr>
        <w:ind w:left="720" w:hanging="720"/>
        <w:rPr>
          <w:rFonts w:ascii="Times New Roman" w:hAnsi="Times New Roman" w:cs="Times New Roman"/>
          <w:color w:val="222222"/>
          <w:sz w:val="24"/>
          <w:szCs w:val="24"/>
          <w:shd w:val="clear" w:color="auto" w:fill="FFFFFF"/>
        </w:rPr>
      </w:pPr>
      <w:r w:rsidRPr="00FF64EF">
        <w:rPr>
          <w:rFonts w:ascii="Times New Roman" w:hAnsi="Times New Roman" w:cs="Times New Roman"/>
          <w:color w:val="222222"/>
          <w:sz w:val="24"/>
          <w:szCs w:val="24"/>
          <w:shd w:val="clear" w:color="auto" w:fill="FFFFFF"/>
        </w:rPr>
        <w:t>Fawcett, J. M., Russell, E. J., Peace, K. A., &amp; Christie, J. (2013). Of guns and geese: A meta-analytic review of the ‘weapon focus’ literature. </w:t>
      </w:r>
      <w:r w:rsidRPr="00FF64EF">
        <w:rPr>
          <w:rFonts w:ascii="Times New Roman" w:hAnsi="Times New Roman" w:cs="Times New Roman"/>
          <w:i/>
          <w:iCs/>
          <w:color w:val="222222"/>
          <w:sz w:val="24"/>
          <w:szCs w:val="24"/>
          <w:shd w:val="clear" w:color="auto" w:fill="FFFFFF"/>
        </w:rPr>
        <w:t>Psychology, Crime &amp; Law</w:t>
      </w:r>
      <w:r w:rsidRPr="00FF64EF">
        <w:rPr>
          <w:rFonts w:ascii="Times New Roman" w:hAnsi="Times New Roman" w:cs="Times New Roman"/>
          <w:color w:val="222222"/>
          <w:sz w:val="24"/>
          <w:szCs w:val="24"/>
          <w:shd w:val="clear" w:color="auto" w:fill="FFFFFF"/>
        </w:rPr>
        <w:t>, </w:t>
      </w:r>
      <w:r w:rsidRPr="00FF64EF">
        <w:rPr>
          <w:rFonts w:ascii="Times New Roman" w:hAnsi="Times New Roman" w:cs="Times New Roman"/>
          <w:i/>
          <w:iCs/>
          <w:color w:val="222222"/>
          <w:sz w:val="24"/>
          <w:szCs w:val="24"/>
          <w:shd w:val="clear" w:color="auto" w:fill="FFFFFF"/>
        </w:rPr>
        <w:t>19</w:t>
      </w:r>
      <w:r w:rsidRPr="00FF64EF">
        <w:rPr>
          <w:rFonts w:ascii="Times New Roman" w:hAnsi="Times New Roman" w:cs="Times New Roman"/>
          <w:color w:val="222222"/>
          <w:sz w:val="24"/>
          <w:szCs w:val="24"/>
          <w:shd w:val="clear" w:color="auto" w:fill="FFFFFF"/>
        </w:rPr>
        <w:t xml:space="preserve">(1), 35-66. </w:t>
      </w:r>
      <w:hyperlink r:id="rId12" w:history="1">
        <w:r w:rsidRPr="00FF64EF">
          <w:rPr>
            <w:rStyle w:val="Hyperlink"/>
            <w:rFonts w:ascii="Times New Roman" w:hAnsi="Times New Roman" w:cs="Times New Roman"/>
            <w:sz w:val="24"/>
            <w:szCs w:val="24"/>
            <w:shd w:val="clear" w:color="auto" w:fill="FFFFFF"/>
          </w:rPr>
          <w:t>https://doi.org/10.1080/1068316X.2011.599325</w:t>
        </w:r>
      </w:hyperlink>
      <w:r w:rsidRPr="00FF64EF">
        <w:rPr>
          <w:rFonts w:ascii="Times New Roman" w:hAnsi="Times New Roman" w:cs="Times New Roman"/>
          <w:color w:val="222222"/>
          <w:sz w:val="24"/>
          <w:szCs w:val="24"/>
          <w:shd w:val="clear" w:color="auto" w:fill="FFFFFF"/>
        </w:rPr>
        <w:t xml:space="preserve"> </w:t>
      </w:r>
    </w:p>
    <w:p w14:paraId="7F0E4881" w14:textId="77777777" w:rsidR="00357BC7" w:rsidRPr="00FF64EF" w:rsidRDefault="00357BC7" w:rsidP="00357BC7">
      <w:pPr>
        <w:ind w:left="720" w:hanging="720"/>
        <w:rPr>
          <w:rFonts w:ascii="Times New Roman" w:hAnsi="Times New Roman" w:cs="Times New Roman"/>
          <w:color w:val="222222"/>
          <w:sz w:val="24"/>
          <w:szCs w:val="24"/>
          <w:shd w:val="clear" w:color="auto" w:fill="FFFFFF"/>
        </w:rPr>
      </w:pPr>
      <w:r w:rsidRPr="00FF64EF">
        <w:rPr>
          <w:rFonts w:ascii="Times New Roman" w:hAnsi="Times New Roman" w:cs="Times New Roman"/>
          <w:color w:val="222222"/>
          <w:sz w:val="24"/>
          <w:szCs w:val="24"/>
          <w:shd w:val="clear" w:color="auto" w:fill="FFFFFF"/>
        </w:rPr>
        <w:t xml:space="preserve">Flowe, H. D., Carline, A., &amp; </w:t>
      </w:r>
      <w:proofErr w:type="spellStart"/>
      <w:r w:rsidRPr="00FF64EF">
        <w:rPr>
          <w:rFonts w:ascii="Times New Roman" w:hAnsi="Times New Roman" w:cs="Times New Roman"/>
          <w:color w:val="222222"/>
          <w:sz w:val="24"/>
          <w:szCs w:val="24"/>
          <w:shd w:val="clear" w:color="auto" w:fill="FFFFFF"/>
        </w:rPr>
        <w:t>Karoğlu</w:t>
      </w:r>
      <w:proofErr w:type="spellEnd"/>
      <w:r w:rsidRPr="00FF64EF">
        <w:rPr>
          <w:rFonts w:ascii="Times New Roman" w:hAnsi="Times New Roman" w:cs="Times New Roman"/>
          <w:color w:val="222222"/>
          <w:sz w:val="24"/>
          <w:szCs w:val="24"/>
          <w:shd w:val="clear" w:color="auto" w:fill="FFFFFF"/>
        </w:rPr>
        <w:t>, N. (2018). Testing the reflection assumption: A comparison of eyewitness ecology in the laboratory and criminal cases. </w:t>
      </w:r>
      <w:r w:rsidRPr="00FF64EF">
        <w:rPr>
          <w:rFonts w:ascii="Times New Roman" w:hAnsi="Times New Roman" w:cs="Times New Roman"/>
          <w:i/>
          <w:iCs/>
          <w:color w:val="222222"/>
          <w:sz w:val="24"/>
          <w:szCs w:val="24"/>
          <w:shd w:val="clear" w:color="auto" w:fill="FFFFFF"/>
        </w:rPr>
        <w:t>The International Journal of Evidence &amp; Proof</w:t>
      </w:r>
      <w:r w:rsidRPr="00FF64EF">
        <w:rPr>
          <w:rFonts w:ascii="Times New Roman" w:hAnsi="Times New Roman" w:cs="Times New Roman"/>
          <w:color w:val="222222"/>
          <w:sz w:val="24"/>
          <w:szCs w:val="24"/>
          <w:shd w:val="clear" w:color="auto" w:fill="FFFFFF"/>
        </w:rPr>
        <w:t>, </w:t>
      </w:r>
      <w:r w:rsidRPr="00FF64EF">
        <w:rPr>
          <w:rFonts w:ascii="Times New Roman" w:hAnsi="Times New Roman" w:cs="Times New Roman"/>
          <w:i/>
          <w:iCs/>
          <w:color w:val="222222"/>
          <w:sz w:val="24"/>
          <w:szCs w:val="24"/>
          <w:shd w:val="clear" w:color="auto" w:fill="FFFFFF"/>
        </w:rPr>
        <w:t>22</w:t>
      </w:r>
      <w:r w:rsidRPr="00FF64EF">
        <w:rPr>
          <w:rFonts w:ascii="Times New Roman" w:hAnsi="Times New Roman" w:cs="Times New Roman"/>
          <w:color w:val="222222"/>
          <w:sz w:val="24"/>
          <w:szCs w:val="24"/>
          <w:shd w:val="clear" w:color="auto" w:fill="FFFFFF"/>
        </w:rPr>
        <w:t xml:space="preserve">(3), 239-261. </w:t>
      </w:r>
      <w:hyperlink r:id="rId13" w:history="1">
        <w:r w:rsidRPr="00FF64EF">
          <w:rPr>
            <w:rStyle w:val="Hyperlink"/>
            <w:rFonts w:ascii="Times New Roman" w:hAnsi="Times New Roman" w:cs="Times New Roman"/>
            <w:sz w:val="24"/>
            <w:szCs w:val="24"/>
            <w:shd w:val="clear" w:color="auto" w:fill="FFFFFF"/>
          </w:rPr>
          <w:t>https://doi.org/10.1177/1365712718782996</w:t>
        </w:r>
      </w:hyperlink>
      <w:r w:rsidRPr="00FF64EF">
        <w:rPr>
          <w:rFonts w:ascii="Times New Roman" w:hAnsi="Times New Roman" w:cs="Times New Roman"/>
          <w:color w:val="222222"/>
          <w:sz w:val="24"/>
          <w:szCs w:val="24"/>
          <w:shd w:val="clear" w:color="auto" w:fill="FFFFFF"/>
        </w:rPr>
        <w:t xml:space="preserve"> </w:t>
      </w:r>
    </w:p>
    <w:p w14:paraId="62007832" w14:textId="77777777" w:rsidR="00357BC7" w:rsidRPr="00FF64EF" w:rsidRDefault="00357BC7" w:rsidP="00357BC7">
      <w:pPr>
        <w:ind w:left="720" w:hanging="720"/>
        <w:rPr>
          <w:rFonts w:ascii="Times New Roman" w:hAnsi="Times New Roman" w:cs="Times New Roman"/>
          <w:color w:val="222222"/>
          <w:sz w:val="24"/>
          <w:szCs w:val="24"/>
          <w:shd w:val="clear" w:color="auto" w:fill="FFFFFF"/>
        </w:rPr>
      </w:pPr>
      <w:r w:rsidRPr="00FF64EF">
        <w:rPr>
          <w:rFonts w:ascii="Times New Roman" w:hAnsi="Times New Roman" w:cs="Times New Roman"/>
          <w:color w:val="222222"/>
          <w:sz w:val="24"/>
          <w:szCs w:val="24"/>
          <w:shd w:val="clear" w:color="auto" w:fill="FFFFFF"/>
        </w:rPr>
        <w:t>Garrett, B. L. (2020). Wrongful convictions. </w:t>
      </w:r>
      <w:r w:rsidRPr="00FF64EF">
        <w:rPr>
          <w:rFonts w:ascii="Times New Roman" w:hAnsi="Times New Roman" w:cs="Times New Roman"/>
          <w:i/>
          <w:iCs/>
          <w:color w:val="222222"/>
          <w:sz w:val="24"/>
          <w:szCs w:val="24"/>
          <w:shd w:val="clear" w:color="auto" w:fill="FFFFFF"/>
        </w:rPr>
        <w:t>Annual Review of Criminology</w:t>
      </w:r>
      <w:r w:rsidRPr="00FF64EF">
        <w:rPr>
          <w:rFonts w:ascii="Times New Roman" w:hAnsi="Times New Roman" w:cs="Times New Roman"/>
          <w:color w:val="222222"/>
          <w:sz w:val="24"/>
          <w:szCs w:val="24"/>
          <w:shd w:val="clear" w:color="auto" w:fill="FFFFFF"/>
        </w:rPr>
        <w:t>, </w:t>
      </w:r>
      <w:r w:rsidRPr="00FF64EF">
        <w:rPr>
          <w:rFonts w:ascii="Times New Roman" w:hAnsi="Times New Roman" w:cs="Times New Roman"/>
          <w:i/>
          <w:iCs/>
          <w:color w:val="222222"/>
          <w:sz w:val="24"/>
          <w:szCs w:val="24"/>
          <w:shd w:val="clear" w:color="auto" w:fill="FFFFFF"/>
        </w:rPr>
        <w:t>3</w:t>
      </w:r>
      <w:r w:rsidRPr="00FF64EF">
        <w:rPr>
          <w:rFonts w:ascii="Times New Roman" w:hAnsi="Times New Roman" w:cs="Times New Roman"/>
          <w:color w:val="222222"/>
          <w:sz w:val="24"/>
          <w:szCs w:val="24"/>
          <w:shd w:val="clear" w:color="auto" w:fill="FFFFFF"/>
        </w:rPr>
        <w:t xml:space="preserve">(1), 245-259. </w:t>
      </w:r>
      <w:hyperlink r:id="rId14" w:history="1">
        <w:r w:rsidRPr="00FF64EF">
          <w:rPr>
            <w:rStyle w:val="Hyperlink"/>
            <w:rFonts w:ascii="Times New Roman" w:hAnsi="Times New Roman" w:cs="Times New Roman"/>
            <w:sz w:val="24"/>
            <w:szCs w:val="24"/>
            <w:shd w:val="clear" w:color="auto" w:fill="FFFFFF"/>
          </w:rPr>
          <w:t>https://doi.org/10.1146/annurev-criminol-011518-024739</w:t>
        </w:r>
      </w:hyperlink>
      <w:r w:rsidRPr="00FF64EF">
        <w:rPr>
          <w:rFonts w:ascii="Times New Roman" w:hAnsi="Times New Roman" w:cs="Times New Roman"/>
          <w:color w:val="222222"/>
          <w:sz w:val="24"/>
          <w:szCs w:val="24"/>
          <w:shd w:val="clear" w:color="auto" w:fill="FFFFFF"/>
        </w:rPr>
        <w:t xml:space="preserve"> </w:t>
      </w:r>
    </w:p>
    <w:p w14:paraId="470FEF67" w14:textId="77777777" w:rsidR="00357BC7" w:rsidRPr="00FF64EF" w:rsidRDefault="00357BC7" w:rsidP="00357BC7">
      <w:pPr>
        <w:ind w:left="720" w:hanging="720"/>
        <w:rPr>
          <w:rFonts w:ascii="Times New Roman" w:hAnsi="Times New Roman" w:cs="Times New Roman"/>
          <w:color w:val="222222"/>
          <w:sz w:val="24"/>
          <w:szCs w:val="24"/>
          <w:shd w:val="clear" w:color="auto" w:fill="FFFFFF"/>
        </w:rPr>
      </w:pPr>
      <w:r w:rsidRPr="00FF64EF">
        <w:rPr>
          <w:rFonts w:ascii="Times New Roman" w:hAnsi="Times New Roman" w:cs="Times New Roman"/>
          <w:color w:val="222222"/>
          <w:sz w:val="24"/>
          <w:szCs w:val="24"/>
          <w:shd w:val="clear" w:color="auto" w:fill="FFFFFF"/>
        </w:rPr>
        <w:t xml:space="preserve">Garrett, B. L., Liu, A., </w:t>
      </w:r>
      <w:proofErr w:type="spellStart"/>
      <w:r w:rsidRPr="00FF64EF">
        <w:rPr>
          <w:rFonts w:ascii="Times New Roman" w:hAnsi="Times New Roman" w:cs="Times New Roman"/>
          <w:color w:val="222222"/>
          <w:sz w:val="24"/>
          <w:szCs w:val="24"/>
          <w:shd w:val="clear" w:color="auto" w:fill="FFFFFF"/>
        </w:rPr>
        <w:t>Kafadar</w:t>
      </w:r>
      <w:proofErr w:type="spellEnd"/>
      <w:r w:rsidRPr="00FF64EF">
        <w:rPr>
          <w:rFonts w:ascii="Times New Roman" w:hAnsi="Times New Roman" w:cs="Times New Roman"/>
          <w:color w:val="222222"/>
          <w:sz w:val="24"/>
          <w:szCs w:val="24"/>
          <w:shd w:val="clear" w:color="auto" w:fill="FFFFFF"/>
        </w:rPr>
        <w:t>, K., Yaffe, J., &amp; Dodson, C. S. (2020). Factoring the role of eyewitness evidence in the courtroom. </w:t>
      </w:r>
      <w:r w:rsidRPr="00FF64EF">
        <w:rPr>
          <w:rFonts w:ascii="Times New Roman" w:hAnsi="Times New Roman" w:cs="Times New Roman"/>
          <w:i/>
          <w:iCs/>
          <w:color w:val="222222"/>
          <w:sz w:val="24"/>
          <w:szCs w:val="24"/>
          <w:shd w:val="clear" w:color="auto" w:fill="FFFFFF"/>
        </w:rPr>
        <w:t>Journal of Empirical Legal Studies</w:t>
      </w:r>
      <w:r w:rsidRPr="00FF64EF">
        <w:rPr>
          <w:rFonts w:ascii="Times New Roman" w:hAnsi="Times New Roman" w:cs="Times New Roman"/>
          <w:color w:val="222222"/>
          <w:sz w:val="24"/>
          <w:szCs w:val="24"/>
          <w:shd w:val="clear" w:color="auto" w:fill="FFFFFF"/>
        </w:rPr>
        <w:t>, </w:t>
      </w:r>
      <w:r w:rsidRPr="00FF64EF">
        <w:rPr>
          <w:rFonts w:ascii="Times New Roman" w:hAnsi="Times New Roman" w:cs="Times New Roman"/>
          <w:i/>
          <w:iCs/>
          <w:color w:val="222222"/>
          <w:sz w:val="24"/>
          <w:szCs w:val="24"/>
          <w:shd w:val="clear" w:color="auto" w:fill="FFFFFF"/>
        </w:rPr>
        <w:t>17</w:t>
      </w:r>
      <w:r w:rsidRPr="00FF64EF">
        <w:rPr>
          <w:rFonts w:ascii="Times New Roman" w:hAnsi="Times New Roman" w:cs="Times New Roman"/>
          <w:color w:val="222222"/>
          <w:sz w:val="24"/>
          <w:szCs w:val="24"/>
          <w:shd w:val="clear" w:color="auto" w:fill="FFFFFF"/>
        </w:rPr>
        <w:t xml:space="preserve">(3), 556-579. </w:t>
      </w:r>
      <w:hyperlink r:id="rId15" w:history="1">
        <w:r w:rsidRPr="00FF64EF">
          <w:rPr>
            <w:rStyle w:val="Hyperlink"/>
            <w:rFonts w:ascii="Times New Roman" w:hAnsi="Times New Roman" w:cs="Times New Roman"/>
            <w:sz w:val="24"/>
            <w:szCs w:val="24"/>
            <w:shd w:val="clear" w:color="auto" w:fill="FFFFFF"/>
          </w:rPr>
          <w:t>https://doi.org/10.1111/jels.12259</w:t>
        </w:r>
      </w:hyperlink>
      <w:r w:rsidRPr="00FF64EF">
        <w:rPr>
          <w:rFonts w:ascii="Times New Roman" w:hAnsi="Times New Roman" w:cs="Times New Roman"/>
          <w:color w:val="222222"/>
          <w:sz w:val="24"/>
          <w:szCs w:val="24"/>
          <w:shd w:val="clear" w:color="auto" w:fill="FFFFFF"/>
        </w:rPr>
        <w:t xml:space="preserve"> </w:t>
      </w:r>
    </w:p>
    <w:p w14:paraId="49602912" w14:textId="77777777" w:rsidR="00357BC7" w:rsidRPr="00FF64EF" w:rsidRDefault="00357BC7" w:rsidP="00357BC7">
      <w:pPr>
        <w:ind w:left="720" w:hanging="720"/>
        <w:rPr>
          <w:rFonts w:ascii="Times New Roman" w:eastAsia="Times New Roman" w:hAnsi="Times New Roman" w:cs="Times New Roman"/>
          <w:kern w:val="0"/>
          <w:sz w:val="24"/>
          <w:szCs w:val="24"/>
          <w:lang w:eastAsia="en-GB"/>
          <w14:ligatures w14:val="none"/>
        </w:rPr>
      </w:pPr>
      <w:r w:rsidRPr="00FF64EF">
        <w:rPr>
          <w:rFonts w:ascii="Times New Roman" w:eastAsia="Times New Roman" w:hAnsi="Times New Roman" w:cs="Times New Roman"/>
          <w:kern w:val="0"/>
          <w:sz w:val="24"/>
          <w:szCs w:val="24"/>
          <w:lang w:eastAsia="en-GB"/>
          <w14:ligatures w14:val="none"/>
        </w:rPr>
        <w:t xml:space="preserve">Helm, R. K. (2021). Evaluating witness testimony: Juror knowledge, false memory, and the utility of evidence-based directions. </w:t>
      </w:r>
      <w:r w:rsidRPr="00FF64EF">
        <w:rPr>
          <w:rFonts w:ascii="Times New Roman" w:eastAsia="Times New Roman" w:hAnsi="Times New Roman" w:cs="Times New Roman"/>
          <w:i/>
          <w:iCs/>
          <w:kern w:val="0"/>
          <w:sz w:val="24"/>
          <w:szCs w:val="24"/>
          <w:lang w:eastAsia="en-GB"/>
          <w14:ligatures w14:val="none"/>
        </w:rPr>
        <w:t>The International Journal of Evidence &amp; Proof</w:t>
      </w:r>
      <w:r w:rsidRPr="00FF64EF">
        <w:rPr>
          <w:rFonts w:ascii="Times New Roman" w:eastAsia="Times New Roman" w:hAnsi="Times New Roman" w:cs="Times New Roman"/>
          <w:kern w:val="0"/>
          <w:sz w:val="24"/>
          <w:szCs w:val="24"/>
          <w:lang w:eastAsia="en-GB"/>
          <w14:ligatures w14:val="none"/>
        </w:rPr>
        <w:t xml:space="preserve">, </w:t>
      </w:r>
      <w:r w:rsidRPr="00FF64EF">
        <w:rPr>
          <w:rFonts w:ascii="Times New Roman" w:eastAsia="Times New Roman" w:hAnsi="Times New Roman" w:cs="Times New Roman"/>
          <w:i/>
          <w:iCs/>
          <w:kern w:val="0"/>
          <w:sz w:val="24"/>
          <w:szCs w:val="24"/>
          <w:lang w:eastAsia="en-GB"/>
          <w14:ligatures w14:val="none"/>
        </w:rPr>
        <w:t>25</w:t>
      </w:r>
      <w:r w:rsidRPr="00FF64EF">
        <w:rPr>
          <w:rFonts w:ascii="Times New Roman" w:eastAsia="Times New Roman" w:hAnsi="Times New Roman" w:cs="Times New Roman"/>
          <w:kern w:val="0"/>
          <w:sz w:val="24"/>
          <w:szCs w:val="24"/>
          <w:lang w:eastAsia="en-GB"/>
          <w14:ligatures w14:val="none"/>
        </w:rPr>
        <w:t xml:space="preserve">(4), 264–285. </w:t>
      </w:r>
      <w:hyperlink r:id="rId16" w:history="1">
        <w:r w:rsidRPr="00FF64EF">
          <w:rPr>
            <w:rStyle w:val="Hyperlink"/>
            <w:rFonts w:ascii="Times New Roman" w:eastAsia="Times New Roman" w:hAnsi="Times New Roman" w:cs="Times New Roman"/>
            <w:kern w:val="0"/>
            <w:sz w:val="24"/>
            <w:szCs w:val="24"/>
            <w:lang w:eastAsia="en-GB"/>
            <w14:ligatures w14:val="none"/>
          </w:rPr>
          <w:t>https://doi.org/10.1177/13657127211031018</w:t>
        </w:r>
      </w:hyperlink>
    </w:p>
    <w:p w14:paraId="09146B8A" w14:textId="77777777" w:rsidR="00357BC7" w:rsidRPr="00FF64EF" w:rsidRDefault="00357BC7" w:rsidP="00357BC7">
      <w:pPr>
        <w:ind w:left="720" w:hanging="720"/>
        <w:rPr>
          <w:rFonts w:ascii="Times New Roman" w:eastAsia="Times New Roman" w:hAnsi="Times New Roman" w:cs="Times New Roman"/>
          <w:kern w:val="0"/>
          <w:sz w:val="24"/>
          <w:szCs w:val="24"/>
          <w:lang w:eastAsia="en-GB"/>
          <w14:ligatures w14:val="none"/>
        </w:rPr>
      </w:pPr>
      <w:r w:rsidRPr="00FF64EF">
        <w:rPr>
          <w:rFonts w:ascii="Times New Roman" w:eastAsia="Times New Roman" w:hAnsi="Times New Roman" w:cs="Times New Roman"/>
          <w:kern w:val="0"/>
          <w:sz w:val="24"/>
          <w:szCs w:val="24"/>
          <w:lang w:eastAsia="en-GB"/>
          <w14:ligatures w14:val="none"/>
        </w:rPr>
        <w:t xml:space="preserve">Houses of Parliament (July, 2019). </w:t>
      </w:r>
      <w:r w:rsidRPr="00FF64EF">
        <w:rPr>
          <w:rFonts w:ascii="Times New Roman" w:eastAsia="Times New Roman" w:hAnsi="Times New Roman" w:cs="Times New Roman"/>
          <w:i/>
          <w:iCs/>
          <w:kern w:val="0"/>
          <w:sz w:val="24"/>
          <w:szCs w:val="24"/>
          <w:lang w:eastAsia="en-GB"/>
          <w14:ligatures w14:val="none"/>
        </w:rPr>
        <w:t xml:space="preserve">Improving Witness Testimony. </w:t>
      </w:r>
      <w:r w:rsidRPr="00FF64EF">
        <w:rPr>
          <w:rFonts w:ascii="Times New Roman" w:eastAsia="Times New Roman" w:hAnsi="Times New Roman" w:cs="Times New Roman"/>
          <w:kern w:val="0"/>
          <w:sz w:val="24"/>
          <w:szCs w:val="24"/>
          <w:lang w:eastAsia="en-GB"/>
          <w14:ligatures w14:val="none"/>
        </w:rPr>
        <w:t xml:space="preserve">Parliamentary Office of Science and Technology. </w:t>
      </w:r>
      <w:proofErr w:type="spellStart"/>
      <w:r w:rsidRPr="00FF64EF">
        <w:rPr>
          <w:rFonts w:ascii="Times New Roman" w:eastAsia="Times New Roman" w:hAnsi="Times New Roman" w:cs="Times New Roman"/>
          <w:i/>
          <w:iCs/>
          <w:kern w:val="0"/>
          <w:sz w:val="24"/>
          <w:szCs w:val="24"/>
          <w:lang w:eastAsia="en-GB"/>
          <w14:ligatures w14:val="none"/>
        </w:rPr>
        <w:t>Postnote</w:t>
      </w:r>
      <w:proofErr w:type="spellEnd"/>
      <w:r w:rsidRPr="00FF64EF">
        <w:rPr>
          <w:rFonts w:ascii="Times New Roman" w:eastAsia="Times New Roman" w:hAnsi="Times New Roman" w:cs="Times New Roman"/>
          <w:i/>
          <w:iCs/>
          <w:kern w:val="0"/>
          <w:sz w:val="24"/>
          <w:szCs w:val="24"/>
          <w:lang w:eastAsia="en-GB"/>
          <w14:ligatures w14:val="none"/>
        </w:rPr>
        <w:t xml:space="preserve"> 607. </w:t>
      </w:r>
      <w:hyperlink r:id="rId17" w:history="1">
        <w:r w:rsidRPr="00FF64EF">
          <w:rPr>
            <w:rStyle w:val="Hyperlink"/>
            <w:rFonts w:ascii="Times New Roman" w:eastAsia="Times New Roman" w:hAnsi="Times New Roman" w:cs="Times New Roman"/>
            <w:kern w:val="0"/>
            <w:sz w:val="24"/>
            <w:szCs w:val="24"/>
            <w:lang w:eastAsia="en-GB"/>
            <w14:ligatures w14:val="none"/>
          </w:rPr>
          <w:t>https://researchbriefings.files.parliament.uk/documents/POST-PN-0607/POST-PN-0607.pdf</w:t>
        </w:r>
      </w:hyperlink>
      <w:r w:rsidRPr="00FF64EF">
        <w:rPr>
          <w:rFonts w:ascii="Times New Roman" w:eastAsia="Times New Roman" w:hAnsi="Times New Roman" w:cs="Times New Roman"/>
          <w:kern w:val="0"/>
          <w:sz w:val="24"/>
          <w:szCs w:val="24"/>
          <w:lang w:eastAsia="en-GB"/>
          <w14:ligatures w14:val="none"/>
        </w:rPr>
        <w:t xml:space="preserve"> </w:t>
      </w:r>
    </w:p>
    <w:p w14:paraId="6F6E31FF" w14:textId="77777777" w:rsidR="00357BC7" w:rsidRPr="00FF64EF" w:rsidRDefault="00357BC7" w:rsidP="00357BC7">
      <w:pPr>
        <w:ind w:left="720" w:hanging="720"/>
        <w:rPr>
          <w:rFonts w:ascii="Times New Roman" w:hAnsi="Times New Roman" w:cs="Times New Roman"/>
          <w:sz w:val="24"/>
          <w:szCs w:val="24"/>
        </w:rPr>
      </w:pPr>
      <w:r w:rsidRPr="00FF64EF">
        <w:rPr>
          <w:rFonts w:ascii="Times New Roman" w:hAnsi="Times New Roman" w:cs="Times New Roman"/>
          <w:color w:val="222222"/>
          <w:sz w:val="24"/>
          <w:szCs w:val="24"/>
          <w:shd w:val="clear" w:color="auto" w:fill="FFFFFF"/>
        </w:rPr>
        <w:t>Houston, K. A., Clifford, B. R., Phillips, L. H., &amp; Memon, A. (2013). The emotional eyewitness: the effects of emotion on specific aspects of eyewitness recall and recognition performance. </w:t>
      </w:r>
      <w:r w:rsidRPr="00FF64EF">
        <w:rPr>
          <w:rFonts w:ascii="Times New Roman" w:hAnsi="Times New Roman" w:cs="Times New Roman"/>
          <w:i/>
          <w:iCs/>
          <w:color w:val="222222"/>
          <w:sz w:val="24"/>
          <w:szCs w:val="24"/>
          <w:shd w:val="clear" w:color="auto" w:fill="FFFFFF"/>
        </w:rPr>
        <w:t>Emotion</w:t>
      </w:r>
      <w:r w:rsidRPr="00FF64EF">
        <w:rPr>
          <w:rFonts w:ascii="Times New Roman" w:hAnsi="Times New Roman" w:cs="Times New Roman"/>
          <w:color w:val="222222"/>
          <w:sz w:val="24"/>
          <w:szCs w:val="24"/>
          <w:shd w:val="clear" w:color="auto" w:fill="FFFFFF"/>
        </w:rPr>
        <w:t>, </w:t>
      </w:r>
      <w:r w:rsidRPr="00FF64EF">
        <w:rPr>
          <w:rFonts w:ascii="Times New Roman" w:hAnsi="Times New Roman" w:cs="Times New Roman"/>
          <w:i/>
          <w:iCs/>
          <w:color w:val="222222"/>
          <w:sz w:val="24"/>
          <w:szCs w:val="24"/>
          <w:shd w:val="clear" w:color="auto" w:fill="FFFFFF"/>
        </w:rPr>
        <w:t>13</w:t>
      </w:r>
      <w:r w:rsidRPr="00FF64EF">
        <w:rPr>
          <w:rFonts w:ascii="Times New Roman" w:hAnsi="Times New Roman" w:cs="Times New Roman"/>
          <w:color w:val="222222"/>
          <w:sz w:val="24"/>
          <w:szCs w:val="24"/>
          <w:shd w:val="clear" w:color="auto" w:fill="FFFFFF"/>
        </w:rPr>
        <w:t xml:space="preserve">(1), 118. </w:t>
      </w:r>
      <w:r w:rsidRPr="00FF64EF">
        <w:rPr>
          <w:rFonts w:ascii="Times New Roman" w:hAnsi="Times New Roman" w:cs="Times New Roman"/>
          <w:sz w:val="24"/>
          <w:szCs w:val="24"/>
        </w:rPr>
        <w:t xml:space="preserve">DOI: 10.1037/a0029220 </w:t>
      </w:r>
    </w:p>
    <w:p w14:paraId="7180EB8F" w14:textId="77777777" w:rsidR="00357BC7" w:rsidRPr="00FF64EF" w:rsidRDefault="00357BC7" w:rsidP="00357BC7">
      <w:pPr>
        <w:ind w:left="720" w:hanging="720"/>
        <w:rPr>
          <w:rFonts w:ascii="Times New Roman" w:eastAsia="Times New Roman" w:hAnsi="Times New Roman" w:cs="Times New Roman"/>
          <w:kern w:val="0"/>
          <w:sz w:val="24"/>
          <w:szCs w:val="24"/>
          <w:lang w:eastAsia="en-GB"/>
          <w14:ligatures w14:val="none"/>
        </w:rPr>
      </w:pPr>
      <w:proofErr w:type="spellStart"/>
      <w:r w:rsidRPr="00FF64EF">
        <w:rPr>
          <w:rFonts w:ascii="Times New Roman" w:hAnsi="Times New Roman" w:cs="Times New Roman"/>
          <w:color w:val="222222"/>
          <w:sz w:val="24"/>
          <w:szCs w:val="24"/>
          <w:shd w:val="clear" w:color="auto" w:fill="FFFFFF"/>
        </w:rPr>
        <w:t>Ikier</w:t>
      </w:r>
      <w:proofErr w:type="spellEnd"/>
      <w:r w:rsidRPr="00FF64EF">
        <w:rPr>
          <w:rFonts w:ascii="Times New Roman" w:hAnsi="Times New Roman" w:cs="Times New Roman"/>
          <w:color w:val="222222"/>
          <w:sz w:val="24"/>
          <w:szCs w:val="24"/>
          <w:shd w:val="clear" w:color="auto" w:fill="FFFFFF"/>
        </w:rPr>
        <w:t xml:space="preserve">, S., </w:t>
      </w:r>
      <w:proofErr w:type="spellStart"/>
      <w:r w:rsidRPr="00FF64EF">
        <w:rPr>
          <w:rFonts w:ascii="Times New Roman" w:hAnsi="Times New Roman" w:cs="Times New Roman"/>
          <w:color w:val="222222"/>
          <w:sz w:val="24"/>
          <w:szCs w:val="24"/>
          <w:shd w:val="clear" w:color="auto" w:fill="FFFFFF"/>
        </w:rPr>
        <w:t>Dönerkayalı</w:t>
      </w:r>
      <w:proofErr w:type="spellEnd"/>
      <w:r w:rsidRPr="00FF64EF">
        <w:rPr>
          <w:rFonts w:ascii="Times New Roman" w:hAnsi="Times New Roman" w:cs="Times New Roman"/>
          <w:color w:val="222222"/>
          <w:sz w:val="24"/>
          <w:szCs w:val="24"/>
          <w:shd w:val="clear" w:color="auto" w:fill="FFFFFF"/>
        </w:rPr>
        <w:t xml:space="preserve">, C., </w:t>
      </w:r>
      <w:proofErr w:type="spellStart"/>
      <w:r w:rsidRPr="00FF64EF">
        <w:rPr>
          <w:rFonts w:ascii="Times New Roman" w:hAnsi="Times New Roman" w:cs="Times New Roman"/>
          <w:color w:val="222222"/>
          <w:sz w:val="24"/>
          <w:szCs w:val="24"/>
          <w:shd w:val="clear" w:color="auto" w:fill="FFFFFF"/>
        </w:rPr>
        <w:t>Halıcı</w:t>
      </w:r>
      <w:proofErr w:type="spellEnd"/>
      <w:r w:rsidRPr="00FF64EF">
        <w:rPr>
          <w:rFonts w:ascii="Times New Roman" w:hAnsi="Times New Roman" w:cs="Times New Roman"/>
          <w:color w:val="222222"/>
          <w:sz w:val="24"/>
          <w:szCs w:val="24"/>
          <w:shd w:val="clear" w:color="auto" w:fill="FFFFFF"/>
        </w:rPr>
        <w:t xml:space="preserve">, Ö. S., Kaymak Gülseren, Z. A., </w:t>
      </w:r>
      <w:proofErr w:type="spellStart"/>
      <w:r w:rsidRPr="00FF64EF">
        <w:rPr>
          <w:rFonts w:ascii="Times New Roman" w:hAnsi="Times New Roman" w:cs="Times New Roman"/>
          <w:color w:val="222222"/>
          <w:sz w:val="24"/>
          <w:szCs w:val="24"/>
          <w:shd w:val="clear" w:color="auto" w:fill="FFFFFF"/>
        </w:rPr>
        <w:t>Göksal</w:t>
      </w:r>
      <w:proofErr w:type="spellEnd"/>
      <w:r w:rsidRPr="00FF64EF">
        <w:rPr>
          <w:rFonts w:ascii="Times New Roman" w:hAnsi="Times New Roman" w:cs="Times New Roman"/>
          <w:color w:val="222222"/>
          <w:sz w:val="24"/>
          <w:szCs w:val="24"/>
          <w:shd w:val="clear" w:color="auto" w:fill="FFFFFF"/>
        </w:rPr>
        <w:t>, H., &amp; Akbaş, B. (2024). When is memory more reliable? Scientific findings, theories, and myths. </w:t>
      </w:r>
      <w:r w:rsidRPr="00FF64EF">
        <w:rPr>
          <w:rFonts w:ascii="Times New Roman" w:hAnsi="Times New Roman" w:cs="Times New Roman"/>
          <w:i/>
          <w:iCs/>
          <w:color w:val="222222"/>
          <w:sz w:val="24"/>
          <w:szCs w:val="24"/>
          <w:shd w:val="clear" w:color="auto" w:fill="FFFFFF"/>
        </w:rPr>
        <w:t>Applied Neuropsychology: Adult</w:t>
      </w:r>
      <w:r w:rsidRPr="00FF64EF">
        <w:rPr>
          <w:rFonts w:ascii="Times New Roman" w:hAnsi="Times New Roman" w:cs="Times New Roman"/>
          <w:color w:val="222222"/>
          <w:sz w:val="24"/>
          <w:szCs w:val="24"/>
          <w:shd w:val="clear" w:color="auto" w:fill="FFFFFF"/>
        </w:rPr>
        <w:t>, </w:t>
      </w:r>
      <w:r w:rsidRPr="00FF64EF">
        <w:rPr>
          <w:rFonts w:ascii="Times New Roman" w:hAnsi="Times New Roman" w:cs="Times New Roman"/>
          <w:i/>
          <w:iCs/>
          <w:color w:val="222222"/>
          <w:sz w:val="24"/>
          <w:szCs w:val="24"/>
          <w:shd w:val="clear" w:color="auto" w:fill="FFFFFF"/>
        </w:rPr>
        <w:t>31</w:t>
      </w:r>
      <w:r w:rsidRPr="00FF64EF">
        <w:rPr>
          <w:rFonts w:ascii="Times New Roman" w:hAnsi="Times New Roman" w:cs="Times New Roman"/>
          <w:color w:val="222222"/>
          <w:sz w:val="24"/>
          <w:szCs w:val="24"/>
          <w:shd w:val="clear" w:color="auto" w:fill="FFFFFF"/>
        </w:rPr>
        <w:t>(1), 77-94.</w:t>
      </w:r>
      <w:r w:rsidRPr="00FF64EF">
        <w:rPr>
          <w:rFonts w:ascii="Times New Roman" w:eastAsia="Times New Roman" w:hAnsi="Times New Roman" w:cs="Times New Roman"/>
          <w:kern w:val="0"/>
          <w:sz w:val="24"/>
          <w:szCs w:val="24"/>
          <w:lang w:eastAsia="en-GB"/>
          <w14:ligatures w14:val="none"/>
        </w:rPr>
        <w:t xml:space="preserve"> </w:t>
      </w:r>
      <w:hyperlink r:id="rId18" w:history="1">
        <w:r w:rsidRPr="00FF64EF">
          <w:rPr>
            <w:rStyle w:val="Hyperlink"/>
            <w:rFonts w:ascii="Times New Roman" w:eastAsia="Times New Roman" w:hAnsi="Times New Roman" w:cs="Times New Roman"/>
            <w:kern w:val="0"/>
            <w:sz w:val="24"/>
            <w:szCs w:val="24"/>
            <w:lang w:eastAsia="en-GB"/>
            <w14:ligatures w14:val="none"/>
          </w:rPr>
          <w:t>https://doi.org/10.1080/23279095.2022.2107928</w:t>
        </w:r>
      </w:hyperlink>
      <w:r w:rsidRPr="00FF64EF">
        <w:rPr>
          <w:rFonts w:ascii="Times New Roman" w:eastAsia="Times New Roman" w:hAnsi="Times New Roman" w:cs="Times New Roman"/>
          <w:kern w:val="0"/>
          <w:sz w:val="24"/>
          <w:szCs w:val="24"/>
          <w:lang w:eastAsia="en-GB"/>
          <w14:ligatures w14:val="none"/>
        </w:rPr>
        <w:t xml:space="preserve"> </w:t>
      </w:r>
    </w:p>
    <w:p w14:paraId="79D9CAC0" w14:textId="77777777" w:rsidR="00357BC7" w:rsidRPr="00FF64EF" w:rsidRDefault="00357BC7" w:rsidP="00357BC7">
      <w:pPr>
        <w:ind w:left="720" w:hanging="720"/>
        <w:rPr>
          <w:rFonts w:ascii="Times New Roman" w:hAnsi="Times New Roman" w:cs="Times New Roman"/>
          <w:color w:val="222222"/>
          <w:sz w:val="24"/>
          <w:szCs w:val="24"/>
          <w:shd w:val="clear" w:color="auto" w:fill="FFFFFF"/>
        </w:rPr>
      </w:pPr>
      <w:r w:rsidRPr="00FF64EF">
        <w:rPr>
          <w:rFonts w:ascii="Times New Roman" w:eastAsia="Times New Roman" w:hAnsi="Times New Roman" w:cs="Times New Roman"/>
          <w:kern w:val="0"/>
          <w:sz w:val="24"/>
          <w:szCs w:val="24"/>
          <w:lang w:eastAsia="en-GB"/>
          <w14:ligatures w14:val="none"/>
        </w:rPr>
        <w:t xml:space="preserve">Innocence Project, (2024). </w:t>
      </w:r>
      <w:hyperlink r:id="rId19" w:history="1">
        <w:r w:rsidRPr="00FF64EF">
          <w:rPr>
            <w:rStyle w:val="Hyperlink"/>
            <w:rFonts w:ascii="Times New Roman" w:eastAsia="Times New Roman" w:hAnsi="Times New Roman" w:cs="Times New Roman"/>
            <w:kern w:val="0"/>
            <w:sz w:val="24"/>
            <w:szCs w:val="24"/>
            <w:lang w:eastAsia="en-GB"/>
            <w14:ligatures w14:val="none"/>
          </w:rPr>
          <w:t>https://innocenceproject.org/</w:t>
        </w:r>
      </w:hyperlink>
      <w:r w:rsidRPr="00FF64EF">
        <w:rPr>
          <w:rFonts w:ascii="Times New Roman" w:eastAsia="Times New Roman" w:hAnsi="Times New Roman" w:cs="Times New Roman"/>
          <w:kern w:val="0"/>
          <w:sz w:val="24"/>
          <w:szCs w:val="24"/>
          <w:lang w:eastAsia="en-GB"/>
          <w14:ligatures w14:val="none"/>
        </w:rPr>
        <w:t xml:space="preserve"> </w:t>
      </w:r>
    </w:p>
    <w:p w14:paraId="3344270E" w14:textId="77777777" w:rsidR="00357BC7" w:rsidRPr="00FF64EF" w:rsidRDefault="00357BC7" w:rsidP="00357BC7">
      <w:pPr>
        <w:ind w:left="720" w:hanging="720"/>
        <w:rPr>
          <w:rFonts w:ascii="Times New Roman" w:hAnsi="Times New Roman" w:cs="Times New Roman"/>
          <w:color w:val="222222"/>
          <w:sz w:val="24"/>
          <w:szCs w:val="24"/>
          <w:shd w:val="clear" w:color="auto" w:fill="FFFFFF"/>
        </w:rPr>
      </w:pPr>
      <w:proofErr w:type="spellStart"/>
      <w:r w:rsidRPr="00FF64EF">
        <w:rPr>
          <w:rFonts w:ascii="Times New Roman" w:hAnsi="Times New Roman" w:cs="Times New Roman"/>
          <w:color w:val="222222"/>
          <w:sz w:val="24"/>
          <w:szCs w:val="24"/>
          <w:shd w:val="clear" w:color="auto" w:fill="FFFFFF"/>
        </w:rPr>
        <w:t>Kapardis</w:t>
      </w:r>
      <w:proofErr w:type="spellEnd"/>
      <w:r w:rsidRPr="00FF64EF">
        <w:rPr>
          <w:rFonts w:ascii="Times New Roman" w:hAnsi="Times New Roman" w:cs="Times New Roman"/>
          <w:color w:val="222222"/>
          <w:sz w:val="24"/>
          <w:szCs w:val="24"/>
          <w:shd w:val="clear" w:color="auto" w:fill="FFFFFF"/>
        </w:rPr>
        <w:t xml:space="preserve">, A., (2014). </w:t>
      </w:r>
      <w:r w:rsidRPr="00FF64EF">
        <w:rPr>
          <w:rFonts w:ascii="Times New Roman" w:hAnsi="Times New Roman" w:cs="Times New Roman"/>
          <w:i/>
          <w:iCs/>
          <w:color w:val="222222"/>
          <w:sz w:val="24"/>
          <w:szCs w:val="24"/>
          <w:shd w:val="clear" w:color="auto" w:fill="FFFFFF"/>
        </w:rPr>
        <w:t xml:space="preserve">Psychology and law a critical introduction </w:t>
      </w:r>
      <w:r w:rsidRPr="00FF64EF">
        <w:rPr>
          <w:rFonts w:ascii="Times New Roman" w:hAnsi="Times New Roman" w:cs="Times New Roman"/>
          <w:color w:val="222222"/>
          <w:sz w:val="24"/>
          <w:szCs w:val="24"/>
          <w:shd w:val="clear" w:color="auto" w:fill="FFFFFF"/>
        </w:rPr>
        <w:t>(4</w:t>
      </w:r>
      <w:r w:rsidRPr="00FF64EF">
        <w:rPr>
          <w:rFonts w:ascii="Times New Roman" w:hAnsi="Times New Roman" w:cs="Times New Roman"/>
          <w:color w:val="222222"/>
          <w:sz w:val="24"/>
          <w:szCs w:val="24"/>
          <w:shd w:val="clear" w:color="auto" w:fill="FFFFFF"/>
          <w:vertAlign w:val="superscript"/>
        </w:rPr>
        <w:t>th</w:t>
      </w:r>
      <w:r w:rsidRPr="00FF64EF">
        <w:rPr>
          <w:rFonts w:ascii="Times New Roman" w:hAnsi="Times New Roman" w:cs="Times New Roman"/>
          <w:color w:val="222222"/>
          <w:sz w:val="24"/>
          <w:szCs w:val="24"/>
          <w:shd w:val="clear" w:color="auto" w:fill="FFFFFF"/>
        </w:rPr>
        <w:t xml:space="preserve"> Ed.).</w:t>
      </w:r>
      <w:r w:rsidRPr="00FF64EF">
        <w:rPr>
          <w:rFonts w:ascii="Times New Roman" w:hAnsi="Times New Roman" w:cs="Times New Roman"/>
          <w:i/>
          <w:iCs/>
          <w:color w:val="222222"/>
          <w:sz w:val="24"/>
          <w:szCs w:val="24"/>
          <w:shd w:val="clear" w:color="auto" w:fill="FFFFFF"/>
        </w:rPr>
        <w:t xml:space="preserve"> </w:t>
      </w:r>
      <w:r w:rsidRPr="00FF64EF">
        <w:rPr>
          <w:rFonts w:ascii="Times New Roman" w:hAnsi="Times New Roman" w:cs="Times New Roman"/>
          <w:color w:val="222222"/>
          <w:sz w:val="24"/>
          <w:szCs w:val="24"/>
          <w:shd w:val="clear" w:color="auto" w:fill="FFFFFF"/>
        </w:rPr>
        <w:t>Cambridge University Press.</w:t>
      </w:r>
    </w:p>
    <w:p w14:paraId="589B0EF0" w14:textId="77777777" w:rsidR="00357BC7" w:rsidRPr="00FF64EF" w:rsidRDefault="00357BC7" w:rsidP="00357BC7">
      <w:pPr>
        <w:ind w:left="720" w:hanging="720"/>
        <w:rPr>
          <w:rFonts w:ascii="Times New Roman" w:hAnsi="Times New Roman" w:cs="Times New Roman"/>
          <w:color w:val="222222"/>
          <w:sz w:val="24"/>
          <w:szCs w:val="24"/>
          <w:shd w:val="clear" w:color="auto" w:fill="FFFFFF"/>
        </w:rPr>
      </w:pPr>
      <w:r w:rsidRPr="00FF64EF">
        <w:rPr>
          <w:rFonts w:ascii="Times New Roman" w:hAnsi="Times New Roman" w:cs="Times New Roman"/>
          <w:color w:val="222222"/>
          <w:sz w:val="24"/>
          <w:szCs w:val="24"/>
          <w:shd w:val="clear" w:color="auto" w:fill="FFFFFF"/>
        </w:rPr>
        <w:t xml:space="preserve">Körner, H. M., Faul, F., &amp; </w:t>
      </w:r>
      <w:proofErr w:type="spellStart"/>
      <w:r w:rsidRPr="00FF64EF">
        <w:rPr>
          <w:rFonts w:ascii="Times New Roman" w:hAnsi="Times New Roman" w:cs="Times New Roman"/>
          <w:color w:val="222222"/>
          <w:sz w:val="24"/>
          <w:szCs w:val="24"/>
          <w:shd w:val="clear" w:color="auto" w:fill="FFFFFF"/>
        </w:rPr>
        <w:t>Nuthmann</w:t>
      </w:r>
      <w:proofErr w:type="spellEnd"/>
      <w:r w:rsidRPr="00FF64EF">
        <w:rPr>
          <w:rFonts w:ascii="Times New Roman" w:hAnsi="Times New Roman" w:cs="Times New Roman"/>
          <w:color w:val="222222"/>
          <w:sz w:val="24"/>
          <w:szCs w:val="24"/>
          <w:shd w:val="clear" w:color="auto" w:fill="FFFFFF"/>
        </w:rPr>
        <w:t>, A. (2023). Revisiting the role of attention in the “weapon focus effect”: Do weapons draw gaze away from the perpetrator under naturalistic viewing conditions?. </w:t>
      </w:r>
      <w:r w:rsidRPr="00FF64EF">
        <w:rPr>
          <w:rFonts w:ascii="Times New Roman" w:hAnsi="Times New Roman" w:cs="Times New Roman"/>
          <w:i/>
          <w:iCs/>
          <w:color w:val="222222"/>
          <w:sz w:val="24"/>
          <w:szCs w:val="24"/>
          <w:shd w:val="clear" w:color="auto" w:fill="FFFFFF"/>
        </w:rPr>
        <w:t>Attention, Perception, &amp; Psychophysics</w:t>
      </w:r>
      <w:r w:rsidRPr="00FF64EF">
        <w:rPr>
          <w:rFonts w:ascii="Times New Roman" w:hAnsi="Times New Roman" w:cs="Times New Roman"/>
          <w:color w:val="222222"/>
          <w:sz w:val="24"/>
          <w:szCs w:val="24"/>
          <w:shd w:val="clear" w:color="auto" w:fill="FFFFFF"/>
        </w:rPr>
        <w:t>, </w:t>
      </w:r>
      <w:r w:rsidRPr="00FF64EF">
        <w:rPr>
          <w:rFonts w:ascii="Times New Roman" w:hAnsi="Times New Roman" w:cs="Times New Roman"/>
          <w:i/>
          <w:iCs/>
          <w:color w:val="222222"/>
          <w:sz w:val="24"/>
          <w:szCs w:val="24"/>
          <w:shd w:val="clear" w:color="auto" w:fill="FFFFFF"/>
        </w:rPr>
        <w:t>85</w:t>
      </w:r>
      <w:r w:rsidRPr="00FF64EF">
        <w:rPr>
          <w:rFonts w:ascii="Times New Roman" w:hAnsi="Times New Roman" w:cs="Times New Roman"/>
          <w:color w:val="222222"/>
          <w:sz w:val="24"/>
          <w:szCs w:val="24"/>
          <w:shd w:val="clear" w:color="auto" w:fill="FFFFFF"/>
        </w:rPr>
        <w:t xml:space="preserve">(6), 1868-1887. </w:t>
      </w:r>
      <w:hyperlink r:id="rId20" w:history="1">
        <w:r w:rsidRPr="00FF64EF">
          <w:rPr>
            <w:rStyle w:val="Hyperlink"/>
            <w:rFonts w:ascii="Times New Roman" w:hAnsi="Times New Roman" w:cs="Times New Roman"/>
            <w:sz w:val="24"/>
            <w:szCs w:val="24"/>
            <w:shd w:val="clear" w:color="auto" w:fill="FFFFFF"/>
          </w:rPr>
          <w:t>https://doi.org/10.3758/s13414-022-02643-8</w:t>
        </w:r>
      </w:hyperlink>
      <w:r w:rsidRPr="00FF64EF">
        <w:rPr>
          <w:rFonts w:ascii="Times New Roman" w:hAnsi="Times New Roman" w:cs="Times New Roman"/>
          <w:color w:val="222222"/>
          <w:sz w:val="24"/>
          <w:szCs w:val="24"/>
          <w:shd w:val="clear" w:color="auto" w:fill="FFFFFF"/>
        </w:rPr>
        <w:t xml:space="preserve"> </w:t>
      </w:r>
    </w:p>
    <w:p w14:paraId="4F98F8A2" w14:textId="77777777" w:rsidR="00357BC7" w:rsidRPr="00FF64EF" w:rsidRDefault="00357BC7" w:rsidP="00357BC7">
      <w:pPr>
        <w:ind w:left="720" w:hanging="720"/>
        <w:rPr>
          <w:rFonts w:ascii="Times New Roman" w:hAnsi="Times New Roman" w:cs="Times New Roman"/>
          <w:color w:val="222222"/>
          <w:sz w:val="24"/>
          <w:szCs w:val="24"/>
          <w:shd w:val="clear" w:color="auto" w:fill="FFFFFF"/>
        </w:rPr>
      </w:pPr>
      <w:proofErr w:type="spellStart"/>
      <w:r w:rsidRPr="00FF64EF">
        <w:rPr>
          <w:rFonts w:ascii="Times New Roman" w:hAnsi="Times New Roman" w:cs="Times New Roman"/>
          <w:color w:val="222222"/>
          <w:sz w:val="24"/>
          <w:szCs w:val="24"/>
          <w:shd w:val="clear" w:color="auto" w:fill="FFFFFF"/>
        </w:rPr>
        <w:t>Lockamyeir</w:t>
      </w:r>
      <w:proofErr w:type="spellEnd"/>
      <w:r w:rsidRPr="00FF64EF">
        <w:rPr>
          <w:rFonts w:ascii="Times New Roman" w:hAnsi="Times New Roman" w:cs="Times New Roman"/>
          <w:color w:val="222222"/>
          <w:sz w:val="24"/>
          <w:szCs w:val="24"/>
          <w:shd w:val="clear" w:color="auto" w:fill="FFFFFF"/>
        </w:rPr>
        <w:t>, R. F., Carlson, C. A., Jones, A. R., Carlson, M. A., &amp; Weatherford, D. R. (2020). The effect of viewing distance on empirical discriminability and the confidence–accuracy relationship for eyewitness identification. </w:t>
      </w:r>
      <w:r w:rsidRPr="00FF64EF">
        <w:rPr>
          <w:rFonts w:ascii="Times New Roman" w:hAnsi="Times New Roman" w:cs="Times New Roman"/>
          <w:i/>
          <w:iCs/>
          <w:color w:val="222222"/>
          <w:sz w:val="24"/>
          <w:szCs w:val="24"/>
          <w:shd w:val="clear" w:color="auto" w:fill="FFFFFF"/>
        </w:rPr>
        <w:t>Applied Cognitive Psychology</w:t>
      </w:r>
      <w:r w:rsidRPr="00FF64EF">
        <w:rPr>
          <w:rFonts w:ascii="Times New Roman" w:hAnsi="Times New Roman" w:cs="Times New Roman"/>
          <w:color w:val="222222"/>
          <w:sz w:val="24"/>
          <w:szCs w:val="24"/>
          <w:shd w:val="clear" w:color="auto" w:fill="FFFFFF"/>
        </w:rPr>
        <w:t>, </w:t>
      </w:r>
      <w:r w:rsidRPr="00FF64EF">
        <w:rPr>
          <w:rFonts w:ascii="Times New Roman" w:hAnsi="Times New Roman" w:cs="Times New Roman"/>
          <w:i/>
          <w:iCs/>
          <w:color w:val="222222"/>
          <w:sz w:val="24"/>
          <w:szCs w:val="24"/>
          <w:shd w:val="clear" w:color="auto" w:fill="FFFFFF"/>
        </w:rPr>
        <w:t>34</w:t>
      </w:r>
      <w:r w:rsidRPr="00FF64EF">
        <w:rPr>
          <w:rFonts w:ascii="Times New Roman" w:hAnsi="Times New Roman" w:cs="Times New Roman"/>
          <w:color w:val="222222"/>
          <w:sz w:val="24"/>
          <w:szCs w:val="24"/>
          <w:shd w:val="clear" w:color="auto" w:fill="FFFFFF"/>
        </w:rPr>
        <w:t xml:space="preserve">(5), 1047-1060. </w:t>
      </w:r>
      <w:hyperlink r:id="rId21" w:history="1">
        <w:r w:rsidRPr="00FF64EF">
          <w:rPr>
            <w:rStyle w:val="Hyperlink"/>
            <w:rFonts w:ascii="Times New Roman" w:hAnsi="Times New Roman" w:cs="Times New Roman"/>
            <w:sz w:val="24"/>
            <w:szCs w:val="24"/>
            <w:shd w:val="clear" w:color="auto" w:fill="FFFFFF"/>
          </w:rPr>
          <w:t>https://doi.org/10.1002/acp.3683</w:t>
        </w:r>
      </w:hyperlink>
    </w:p>
    <w:p w14:paraId="3A874AD3" w14:textId="77777777" w:rsidR="00357BC7" w:rsidRPr="00FF64EF" w:rsidRDefault="00357BC7" w:rsidP="00357BC7">
      <w:pPr>
        <w:ind w:left="720" w:hanging="720"/>
        <w:rPr>
          <w:rFonts w:ascii="Times New Roman" w:hAnsi="Times New Roman" w:cs="Times New Roman"/>
          <w:color w:val="222222"/>
          <w:sz w:val="24"/>
          <w:szCs w:val="24"/>
          <w:shd w:val="clear" w:color="auto" w:fill="FFFFFF"/>
        </w:rPr>
      </w:pPr>
      <w:r w:rsidRPr="00FF64EF">
        <w:rPr>
          <w:rFonts w:ascii="Times New Roman" w:hAnsi="Times New Roman" w:cs="Times New Roman"/>
          <w:color w:val="3A3A3A"/>
          <w:sz w:val="24"/>
          <w:szCs w:val="24"/>
          <w:shd w:val="clear" w:color="auto" w:fill="FFFFFF"/>
        </w:rPr>
        <w:t>Loftus, E. F. (2013). Eyewitness testimony in the Lockerbie bombing case. </w:t>
      </w:r>
      <w:r w:rsidRPr="00FF64EF">
        <w:rPr>
          <w:rFonts w:ascii="Times New Roman" w:hAnsi="Times New Roman" w:cs="Times New Roman"/>
          <w:i/>
          <w:iCs/>
          <w:color w:val="3A3A3A"/>
          <w:sz w:val="24"/>
          <w:szCs w:val="24"/>
          <w:shd w:val="clear" w:color="auto" w:fill="FFFFFF"/>
        </w:rPr>
        <w:t>Memory (Hove)</w:t>
      </w:r>
      <w:r w:rsidRPr="00FF64EF">
        <w:rPr>
          <w:rFonts w:ascii="Times New Roman" w:hAnsi="Times New Roman" w:cs="Times New Roman"/>
          <w:color w:val="3A3A3A"/>
          <w:sz w:val="24"/>
          <w:szCs w:val="24"/>
          <w:shd w:val="clear" w:color="auto" w:fill="FFFFFF"/>
        </w:rPr>
        <w:t>, </w:t>
      </w:r>
      <w:r w:rsidRPr="00FF64EF">
        <w:rPr>
          <w:rFonts w:ascii="Times New Roman" w:hAnsi="Times New Roman" w:cs="Times New Roman"/>
          <w:i/>
          <w:iCs/>
          <w:color w:val="3A3A3A"/>
          <w:sz w:val="24"/>
          <w:szCs w:val="24"/>
          <w:shd w:val="clear" w:color="auto" w:fill="FFFFFF"/>
        </w:rPr>
        <w:t>21</w:t>
      </w:r>
      <w:r w:rsidRPr="00FF64EF">
        <w:rPr>
          <w:rFonts w:ascii="Times New Roman" w:hAnsi="Times New Roman" w:cs="Times New Roman"/>
          <w:color w:val="3A3A3A"/>
          <w:sz w:val="24"/>
          <w:szCs w:val="24"/>
          <w:shd w:val="clear" w:color="auto" w:fill="FFFFFF"/>
        </w:rPr>
        <w:t xml:space="preserve">(5), 584–590. </w:t>
      </w:r>
      <w:hyperlink r:id="rId22" w:history="1">
        <w:r w:rsidRPr="00FF64EF">
          <w:rPr>
            <w:rStyle w:val="Hyperlink"/>
            <w:rFonts w:ascii="Times New Roman" w:hAnsi="Times New Roman" w:cs="Times New Roman"/>
            <w:sz w:val="24"/>
            <w:szCs w:val="24"/>
            <w:shd w:val="clear" w:color="auto" w:fill="FFFFFF"/>
          </w:rPr>
          <w:t>https://doi.org/10.1080/09658211.2013.774417</w:t>
        </w:r>
      </w:hyperlink>
      <w:r w:rsidRPr="00FF64EF">
        <w:rPr>
          <w:rFonts w:ascii="Times New Roman" w:hAnsi="Times New Roman" w:cs="Times New Roman"/>
          <w:color w:val="3A3A3A"/>
          <w:sz w:val="24"/>
          <w:szCs w:val="24"/>
          <w:shd w:val="clear" w:color="auto" w:fill="FFFFFF"/>
        </w:rPr>
        <w:t xml:space="preserve"> </w:t>
      </w:r>
    </w:p>
    <w:p w14:paraId="734E50AC" w14:textId="77777777" w:rsidR="00357BC7" w:rsidRDefault="00357BC7" w:rsidP="00357BC7">
      <w:pPr>
        <w:ind w:left="720" w:hanging="720"/>
        <w:rPr>
          <w:rFonts w:ascii="Times New Roman" w:hAnsi="Times New Roman" w:cs="Times New Roman"/>
          <w:color w:val="222222"/>
          <w:sz w:val="24"/>
          <w:szCs w:val="24"/>
          <w:shd w:val="clear" w:color="auto" w:fill="FFFFFF"/>
        </w:rPr>
      </w:pPr>
      <w:r w:rsidRPr="00FF64EF">
        <w:rPr>
          <w:rFonts w:ascii="Times New Roman" w:hAnsi="Times New Roman" w:cs="Times New Roman"/>
          <w:color w:val="222222"/>
          <w:sz w:val="24"/>
          <w:szCs w:val="24"/>
          <w:shd w:val="clear" w:color="auto" w:fill="FFFFFF"/>
        </w:rPr>
        <w:t xml:space="preserve">Magnussen, S., Melinder, A., </w:t>
      </w:r>
      <w:proofErr w:type="spellStart"/>
      <w:r w:rsidRPr="00FF64EF">
        <w:rPr>
          <w:rFonts w:ascii="Times New Roman" w:hAnsi="Times New Roman" w:cs="Times New Roman"/>
          <w:color w:val="222222"/>
          <w:sz w:val="24"/>
          <w:szCs w:val="24"/>
          <w:shd w:val="clear" w:color="auto" w:fill="FFFFFF"/>
        </w:rPr>
        <w:t>Stridbeck</w:t>
      </w:r>
      <w:proofErr w:type="spellEnd"/>
      <w:r w:rsidRPr="00FF64EF">
        <w:rPr>
          <w:rFonts w:ascii="Times New Roman" w:hAnsi="Times New Roman" w:cs="Times New Roman"/>
          <w:color w:val="222222"/>
          <w:sz w:val="24"/>
          <w:szCs w:val="24"/>
          <w:shd w:val="clear" w:color="auto" w:fill="FFFFFF"/>
        </w:rPr>
        <w:t>, U., &amp; Raja, A. Q. (2010). Beliefs about factors affecting the reliability of eyewitness testimony: A comparison of judges, jurors and the general public. </w:t>
      </w:r>
      <w:r w:rsidRPr="00FF64EF">
        <w:rPr>
          <w:rFonts w:ascii="Times New Roman" w:hAnsi="Times New Roman" w:cs="Times New Roman"/>
          <w:i/>
          <w:iCs/>
          <w:color w:val="222222"/>
          <w:sz w:val="24"/>
          <w:szCs w:val="24"/>
          <w:shd w:val="clear" w:color="auto" w:fill="FFFFFF"/>
        </w:rPr>
        <w:t>Applied Cognitive Psychology: The Official Journal of the Society for Applied Research in Memory and Cognition</w:t>
      </w:r>
      <w:r w:rsidRPr="00FF64EF">
        <w:rPr>
          <w:rFonts w:ascii="Times New Roman" w:hAnsi="Times New Roman" w:cs="Times New Roman"/>
          <w:color w:val="222222"/>
          <w:sz w:val="24"/>
          <w:szCs w:val="24"/>
          <w:shd w:val="clear" w:color="auto" w:fill="FFFFFF"/>
        </w:rPr>
        <w:t>, </w:t>
      </w:r>
      <w:r w:rsidRPr="00FF64EF">
        <w:rPr>
          <w:rFonts w:ascii="Times New Roman" w:hAnsi="Times New Roman" w:cs="Times New Roman"/>
          <w:i/>
          <w:iCs/>
          <w:color w:val="222222"/>
          <w:sz w:val="24"/>
          <w:szCs w:val="24"/>
          <w:shd w:val="clear" w:color="auto" w:fill="FFFFFF"/>
        </w:rPr>
        <w:t>24</w:t>
      </w:r>
      <w:r w:rsidRPr="00FF64EF">
        <w:rPr>
          <w:rFonts w:ascii="Times New Roman" w:hAnsi="Times New Roman" w:cs="Times New Roman"/>
          <w:color w:val="222222"/>
          <w:sz w:val="24"/>
          <w:szCs w:val="24"/>
          <w:shd w:val="clear" w:color="auto" w:fill="FFFFFF"/>
        </w:rPr>
        <w:t xml:space="preserve">(1), 122-133. </w:t>
      </w:r>
      <w:hyperlink r:id="rId23" w:history="1">
        <w:r w:rsidRPr="00FF64EF">
          <w:rPr>
            <w:rStyle w:val="Hyperlink"/>
            <w:rFonts w:ascii="Times New Roman" w:hAnsi="Times New Roman" w:cs="Times New Roman"/>
            <w:sz w:val="24"/>
            <w:szCs w:val="24"/>
            <w:shd w:val="clear" w:color="auto" w:fill="FFFFFF"/>
          </w:rPr>
          <w:t>https://doi.org/10.1002/acp.1550</w:t>
        </w:r>
      </w:hyperlink>
      <w:r w:rsidRPr="00FF64EF">
        <w:rPr>
          <w:rFonts w:ascii="Times New Roman" w:hAnsi="Times New Roman" w:cs="Times New Roman"/>
          <w:color w:val="222222"/>
          <w:sz w:val="24"/>
          <w:szCs w:val="24"/>
          <w:shd w:val="clear" w:color="auto" w:fill="FFFFFF"/>
        </w:rPr>
        <w:t xml:space="preserve"> </w:t>
      </w:r>
    </w:p>
    <w:p w14:paraId="1E79D664" w14:textId="77777777" w:rsidR="00357BC7" w:rsidRPr="00FF0954" w:rsidRDefault="00357BC7" w:rsidP="00357BC7">
      <w:pPr>
        <w:ind w:left="720" w:hanging="720"/>
        <w:rPr>
          <w:rFonts w:ascii="Times New Roman" w:hAnsi="Times New Roman" w:cs="Times New Roman"/>
          <w:color w:val="222222"/>
          <w:sz w:val="24"/>
          <w:szCs w:val="24"/>
          <w:shd w:val="clear" w:color="auto" w:fill="FFFFFF"/>
        </w:rPr>
      </w:pPr>
      <w:r w:rsidRPr="00FF0954">
        <w:rPr>
          <w:rFonts w:ascii="Times New Roman" w:hAnsi="Times New Roman" w:cs="Times New Roman"/>
          <w:color w:val="222222"/>
          <w:sz w:val="24"/>
          <w:szCs w:val="24"/>
          <w:shd w:val="clear" w:color="auto" w:fill="FFFFFF"/>
        </w:rPr>
        <w:t>Morgan III, C. A., Hazlett, G., Doran, A., Garrett, S., Hoyt, G., Thomas, P., ... &amp; Southwick, S. M. (2004). Accuracy of eyewitness memory for persons encountered during exposure to highly intense stress. </w:t>
      </w:r>
      <w:r w:rsidRPr="00FF0954">
        <w:rPr>
          <w:rFonts w:ascii="Times New Roman" w:hAnsi="Times New Roman" w:cs="Times New Roman"/>
          <w:i/>
          <w:iCs/>
          <w:color w:val="222222"/>
          <w:sz w:val="24"/>
          <w:szCs w:val="24"/>
          <w:shd w:val="clear" w:color="auto" w:fill="FFFFFF"/>
        </w:rPr>
        <w:t>International journal of law and psychiatry</w:t>
      </w:r>
      <w:r w:rsidRPr="00FF0954">
        <w:rPr>
          <w:rFonts w:ascii="Times New Roman" w:hAnsi="Times New Roman" w:cs="Times New Roman"/>
          <w:color w:val="222222"/>
          <w:sz w:val="24"/>
          <w:szCs w:val="24"/>
          <w:shd w:val="clear" w:color="auto" w:fill="FFFFFF"/>
        </w:rPr>
        <w:t>, </w:t>
      </w:r>
      <w:r w:rsidRPr="00FF0954">
        <w:rPr>
          <w:rFonts w:ascii="Times New Roman" w:hAnsi="Times New Roman" w:cs="Times New Roman"/>
          <w:i/>
          <w:iCs/>
          <w:color w:val="222222"/>
          <w:sz w:val="24"/>
          <w:szCs w:val="24"/>
          <w:shd w:val="clear" w:color="auto" w:fill="FFFFFF"/>
        </w:rPr>
        <w:t>27</w:t>
      </w:r>
      <w:r w:rsidRPr="00FF0954">
        <w:rPr>
          <w:rFonts w:ascii="Times New Roman" w:hAnsi="Times New Roman" w:cs="Times New Roman"/>
          <w:color w:val="222222"/>
          <w:sz w:val="24"/>
          <w:szCs w:val="24"/>
          <w:shd w:val="clear" w:color="auto" w:fill="FFFFFF"/>
        </w:rPr>
        <w:t xml:space="preserve">(3), 265-279. </w:t>
      </w:r>
      <w:hyperlink r:id="rId24" w:history="1">
        <w:r w:rsidRPr="00FF0954">
          <w:rPr>
            <w:rStyle w:val="Hyperlink"/>
            <w:rFonts w:ascii="Times New Roman" w:hAnsi="Times New Roman" w:cs="Times New Roman"/>
            <w:sz w:val="24"/>
            <w:szCs w:val="24"/>
            <w:shd w:val="clear" w:color="auto" w:fill="FFFFFF"/>
          </w:rPr>
          <w:t>https://doi.org/10.1016/j.ijlp.2004.03.004</w:t>
        </w:r>
      </w:hyperlink>
      <w:r w:rsidRPr="00FF0954">
        <w:rPr>
          <w:rFonts w:ascii="Times New Roman" w:hAnsi="Times New Roman" w:cs="Times New Roman"/>
          <w:color w:val="222222"/>
          <w:sz w:val="24"/>
          <w:szCs w:val="24"/>
          <w:shd w:val="clear" w:color="auto" w:fill="FFFFFF"/>
        </w:rPr>
        <w:t xml:space="preserve"> </w:t>
      </w:r>
    </w:p>
    <w:p w14:paraId="43227034" w14:textId="77777777" w:rsidR="00357BC7" w:rsidRPr="00FF64EF" w:rsidRDefault="00357BC7" w:rsidP="00357BC7">
      <w:pPr>
        <w:ind w:left="720" w:hanging="720"/>
        <w:rPr>
          <w:rFonts w:ascii="Times New Roman" w:hAnsi="Times New Roman" w:cs="Times New Roman"/>
          <w:color w:val="222222"/>
          <w:sz w:val="24"/>
          <w:szCs w:val="24"/>
          <w:shd w:val="clear" w:color="auto" w:fill="FFFFFF"/>
        </w:rPr>
      </w:pPr>
      <w:r w:rsidRPr="00FF64EF">
        <w:rPr>
          <w:rFonts w:ascii="Times New Roman" w:hAnsi="Times New Roman" w:cs="Times New Roman"/>
          <w:sz w:val="24"/>
          <w:szCs w:val="24"/>
        </w:rPr>
        <w:t xml:space="preserve">Nelson, K. J., Laney, C., Fowler, N. B., Knowles, E. D., Davis, D., &amp; Loftus, E. F. (2011). Change blindness can cause mistaken eyewitness identification. </w:t>
      </w:r>
      <w:r w:rsidRPr="00FF64EF">
        <w:rPr>
          <w:rFonts w:ascii="Times New Roman" w:hAnsi="Times New Roman" w:cs="Times New Roman"/>
          <w:i/>
          <w:iCs/>
          <w:sz w:val="24"/>
          <w:szCs w:val="24"/>
        </w:rPr>
        <w:t>Legal &amp; Criminological Psychology</w:t>
      </w:r>
      <w:r w:rsidRPr="00FF64EF">
        <w:rPr>
          <w:rFonts w:ascii="Times New Roman" w:hAnsi="Times New Roman" w:cs="Times New Roman"/>
          <w:sz w:val="24"/>
          <w:szCs w:val="24"/>
        </w:rPr>
        <w:t xml:space="preserve">, </w:t>
      </w:r>
      <w:r w:rsidRPr="00FF64EF">
        <w:rPr>
          <w:rFonts w:ascii="Times New Roman" w:hAnsi="Times New Roman" w:cs="Times New Roman"/>
          <w:i/>
          <w:iCs/>
          <w:sz w:val="24"/>
          <w:szCs w:val="24"/>
        </w:rPr>
        <w:t>16</w:t>
      </w:r>
      <w:r w:rsidRPr="00FF64EF">
        <w:rPr>
          <w:rFonts w:ascii="Times New Roman" w:hAnsi="Times New Roman" w:cs="Times New Roman"/>
          <w:sz w:val="24"/>
          <w:szCs w:val="24"/>
        </w:rPr>
        <w:t>(1), 62–74. https://doi-org.ezproxy.uwtsd.ac.uk/10.1348/135532509X482625</w:t>
      </w:r>
      <w:r w:rsidRPr="00FF64EF">
        <w:rPr>
          <w:rFonts w:ascii="Times New Roman" w:hAnsi="Times New Roman" w:cs="Times New Roman"/>
          <w:sz w:val="24"/>
          <w:szCs w:val="24"/>
          <w:shd w:val="clear" w:color="auto" w:fill="FFFFFF"/>
        </w:rPr>
        <w:t xml:space="preserve"> DOI:10.1348/135532509X482625 </w:t>
      </w:r>
    </w:p>
    <w:p w14:paraId="1B37455F" w14:textId="77777777" w:rsidR="00357BC7" w:rsidRPr="00FF64EF" w:rsidRDefault="00357BC7" w:rsidP="00357BC7">
      <w:pPr>
        <w:ind w:left="720" w:hanging="720"/>
        <w:rPr>
          <w:rFonts w:ascii="Times New Roman" w:hAnsi="Times New Roman" w:cs="Times New Roman"/>
          <w:sz w:val="24"/>
          <w:szCs w:val="24"/>
        </w:rPr>
      </w:pPr>
      <w:r w:rsidRPr="00FF64EF">
        <w:rPr>
          <w:rFonts w:ascii="Times New Roman" w:hAnsi="Times New Roman" w:cs="Times New Roman"/>
          <w:color w:val="222222"/>
          <w:sz w:val="24"/>
          <w:szCs w:val="24"/>
          <w:shd w:val="clear" w:color="auto" w:fill="FFFFFF"/>
        </w:rPr>
        <w:t>Norris, R. J., Bonventre, C. L., Redlich, A. D., Acker, J. R., &amp; Lowe, C. (2019). Preventing wrongful convictions: An analysis of state investigation reforms. </w:t>
      </w:r>
      <w:r w:rsidRPr="00FF64EF">
        <w:rPr>
          <w:rFonts w:ascii="Times New Roman" w:hAnsi="Times New Roman" w:cs="Times New Roman"/>
          <w:i/>
          <w:iCs/>
          <w:color w:val="222222"/>
          <w:sz w:val="24"/>
          <w:szCs w:val="24"/>
          <w:shd w:val="clear" w:color="auto" w:fill="FFFFFF"/>
        </w:rPr>
        <w:t>Criminal Justice Policy Review</w:t>
      </w:r>
      <w:r w:rsidRPr="00FF64EF">
        <w:rPr>
          <w:rFonts w:ascii="Times New Roman" w:hAnsi="Times New Roman" w:cs="Times New Roman"/>
          <w:color w:val="222222"/>
          <w:sz w:val="24"/>
          <w:szCs w:val="24"/>
          <w:shd w:val="clear" w:color="auto" w:fill="FFFFFF"/>
        </w:rPr>
        <w:t>, </w:t>
      </w:r>
      <w:r w:rsidRPr="00FF64EF">
        <w:rPr>
          <w:rFonts w:ascii="Times New Roman" w:hAnsi="Times New Roman" w:cs="Times New Roman"/>
          <w:i/>
          <w:iCs/>
          <w:color w:val="222222"/>
          <w:sz w:val="24"/>
          <w:szCs w:val="24"/>
          <w:shd w:val="clear" w:color="auto" w:fill="FFFFFF"/>
        </w:rPr>
        <w:t>30</w:t>
      </w:r>
      <w:r w:rsidRPr="00FF64EF">
        <w:rPr>
          <w:rFonts w:ascii="Times New Roman" w:hAnsi="Times New Roman" w:cs="Times New Roman"/>
          <w:color w:val="222222"/>
          <w:sz w:val="24"/>
          <w:szCs w:val="24"/>
          <w:shd w:val="clear" w:color="auto" w:fill="FFFFFF"/>
        </w:rPr>
        <w:t>(4), 597-626.</w:t>
      </w:r>
      <w:r w:rsidRPr="00FF64EF">
        <w:rPr>
          <w:rFonts w:ascii="Times New Roman" w:hAnsi="Times New Roman" w:cs="Times New Roman"/>
          <w:sz w:val="24"/>
          <w:szCs w:val="24"/>
        </w:rPr>
        <w:t xml:space="preserve"> </w:t>
      </w:r>
      <w:hyperlink r:id="rId25" w:history="1">
        <w:r w:rsidRPr="00FF64EF">
          <w:rPr>
            <w:rStyle w:val="Hyperlink"/>
            <w:rFonts w:ascii="Times New Roman" w:hAnsi="Times New Roman" w:cs="Times New Roman"/>
            <w:sz w:val="24"/>
            <w:szCs w:val="24"/>
          </w:rPr>
          <w:t>https://doi.org/10.1177/0887403416687359</w:t>
        </w:r>
      </w:hyperlink>
      <w:r w:rsidRPr="00FF64EF">
        <w:rPr>
          <w:rFonts w:ascii="Times New Roman" w:hAnsi="Times New Roman" w:cs="Times New Roman"/>
          <w:sz w:val="24"/>
          <w:szCs w:val="24"/>
        </w:rPr>
        <w:t xml:space="preserve"> </w:t>
      </w:r>
    </w:p>
    <w:p w14:paraId="326D161E" w14:textId="77777777" w:rsidR="00357BC7" w:rsidRPr="00FF64EF" w:rsidRDefault="00357BC7" w:rsidP="00357BC7">
      <w:pPr>
        <w:ind w:left="720" w:hanging="720"/>
        <w:rPr>
          <w:rFonts w:ascii="Times New Roman" w:hAnsi="Times New Roman" w:cs="Times New Roman"/>
          <w:color w:val="333333"/>
          <w:sz w:val="24"/>
          <w:szCs w:val="24"/>
          <w:shd w:val="clear" w:color="auto" w:fill="FFFFFF"/>
        </w:rPr>
      </w:pPr>
      <w:r w:rsidRPr="00FF64EF">
        <w:rPr>
          <w:rFonts w:ascii="Times New Roman" w:hAnsi="Times New Roman" w:cs="Times New Roman"/>
          <w:color w:val="333333"/>
          <w:sz w:val="24"/>
          <w:szCs w:val="24"/>
          <w:shd w:val="clear" w:color="auto" w:fill="FFFFFF"/>
        </w:rPr>
        <w:t xml:space="preserve">Nyman, T. J., Lampinen, J. M., </w:t>
      </w:r>
      <w:proofErr w:type="spellStart"/>
      <w:r w:rsidRPr="00FF64EF">
        <w:rPr>
          <w:rFonts w:ascii="Times New Roman" w:hAnsi="Times New Roman" w:cs="Times New Roman"/>
          <w:color w:val="333333"/>
          <w:sz w:val="24"/>
          <w:szCs w:val="24"/>
          <w:shd w:val="clear" w:color="auto" w:fill="FFFFFF"/>
        </w:rPr>
        <w:t>Antfolk</w:t>
      </w:r>
      <w:proofErr w:type="spellEnd"/>
      <w:r w:rsidRPr="00FF64EF">
        <w:rPr>
          <w:rFonts w:ascii="Times New Roman" w:hAnsi="Times New Roman" w:cs="Times New Roman"/>
          <w:color w:val="333333"/>
          <w:sz w:val="24"/>
          <w:szCs w:val="24"/>
          <w:shd w:val="clear" w:color="auto" w:fill="FFFFFF"/>
        </w:rPr>
        <w:t xml:space="preserve">, J., </w:t>
      </w:r>
      <w:proofErr w:type="spellStart"/>
      <w:r w:rsidRPr="00FF64EF">
        <w:rPr>
          <w:rFonts w:ascii="Times New Roman" w:hAnsi="Times New Roman" w:cs="Times New Roman"/>
          <w:color w:val="333333"/>
          <w:sz w:val="24"/>
          <w:szCs w:val="24"/>
          <w:shd w:val="clear" w:color="auto" w:fill="FFFFFF"/>
        </w:rPr>
        <w:t>Korkman</w:t>
      </w:r>
      <w:proofErr w:type="spellEnd"/>
      <w:r w:rsidRPr="00FF64EF">
        <w:rPr>
          <w:rFonts w:ascii="Times New Roman" w:hAnsi="Times New Roman" w:cs="Times New Roman"/>
          <w:color w:val="333333"/>
          <w:sz w:val="24"/>
          <w:szCs w:val="24"/>
          <w:shd w:val="clear" w:color="auto" w:fill="FFFFFF"/>
        </w:rPr>
        <w:t xml:space="preserve">, J., &amp; </w:t>
      </w:r>
      <w:proofErr w:type="spellStart"/>
      <w:r w:rsidRPr="00FF64EF">
        <w:rPr>
          <w:rFonts w:ascii="Times New Roman" w:hAnsi="Times New Roman" w:cs="Times New Roman"/>
          <w:color w:val="333333"/>
          <w:sz w:val="24"/>
          <w:szCs w:val="24"/>
          <w:shd w:val="clear" w:color="auto" w:fill="FFFFFF"/>
        </w:rPr>
        <w:t>Santtila</w:t>
      </w:r>
      <w:proofErr w:type="spellEnd"/>
      <w:r w:rsidRPr="00FF64EF">
        <w:rPr>
          <w:rFonts w:ascii="Times New Roman" w:hAnsi="Times New Roman" w:cs="Times New Roman"/>
          <w:color w:val="333333"/>
          <w:sz w:val="24"/>
          <w:szCs w:val="24"/>
          <w:shd w:val="clear" w:color="auto" w:fill="FFFFFF"/>
        </w:rPr>
        <w:t xml:space="preserve">, P. (2019). The distance threshold of reliable eyewitness </w:t>
      </w:r>
      <w:proofErr w:type="spellStart"/>
      <w:r w:rsidRPr="00FF64EF">
        <w:rPr>
          <w:rFonts w:ascii="Times New Roman" w:hAnsi="Times New Roman" w:cs="Times New Roman"/>
          <w:color w:val="333333"/>
          <w:sz w:val="24"/>
          <w:szCs w:val="24"/>
          <w:shd w:val="clear" w:color="auto" w:fill="FFFFFF"/>
        </w:rPr>
        <w:t>identification.</w:t>
      </w:r>
      <w:r w:rsidRPr="00FF64EF">
        <w:rPr>
          <w:rStyle w:val="Emphasis"/>
          <w:rFonts w:ascii="Times New Roman" w:hAnsi="Times New Roman" w:cs="Times New Roman"/>
          <w:color w:val="333333"/>
          <w:sz w:val="24"/>
          <w:szCs w:val="24"/>
          <w:shd w:val="clear" w:color="auto" w:fill="FFFFFF"/>
        </w:rPr>
        <w:t>Law</w:t>
      </w:r>
      <w:proofErr w:type="spellEnd"/>
      <w:r w:rsidRPr="00FF64EF">
        <w:rPr>
          <w:rStyle w:val="Emphasis"/>
          <w:rFonts w:ascii="Times New Roman" w:hAnsi="Times New Roman" w:cs="Times New Roman"/>
          <w:color w:val="333333"/>
          <w:sz w:val="24"/>
          <w:szCs w:val="24"/>
          <w:shd w:val="clear" w:color="auto" w:fill="FFFFFF"/>
        </w:rPr>
        <w:t xml:space="preserve"> and Human </w:t>
      </w:r>
      <w:proofErr w:type="spellStart"/>
      <w:r w:rsidRPr="00FF64EF">
        <w:rPr>
          <w:rStyle w:val="Emphasis"/>
          <w:rFonts w:ascii="Times New Roman" w:hAnsi="Times New Roman" w:cs="Times New Roman"/>
          <w:color w:val="333333"/>
          <w:sz w:val="24"/>
          <w:szCs w:val="24"/>
          <w:shd w:val="clear" w:color="auto" w:fill="FFFFFF"/>
        </w:rPr>
        <w:t>Behavior</w:t>
      </w:r>
      <w:proofErr w:type="spellEnd"/>
      <w:r w:rsidRPr="00FF64EF">
        <w:rPr>
          <w:rStyle w:val="Emphasis"/>
          <w:rFonts w:ascii="Times New Roman" w:hAnsi="Times New Roman" w:cs="Times New Roman"/>
          <w:color w:val="333333"/>
          <w:sz w:val="24"/>
          <w:szCs w:val="24"/>
          <w:shd w:val="clear" w:color="auto" w:fill="FFFFFF"/>
        </w:rPr>
        <w:t>, 43</w:t>
      </w:r>
      <w:r w:rsidRPr="00FF64EF">
        <w:rPr>
          <w:rFonts w:ascii="Times New Roman" w:hAnsi="Times New Roman" w:cs="Times New Roman"/>
          <w:color w:val="333333"/>
          <w:sz w:val="24"/>
          <w:szCs w:val="24"/>
          <w:shd w:val="clear" w:color="auto" w:fill="FFFFFF"/>
        </w:rPr>
        <w:t xml:space="preserve">(6), 527–541. </w:t>
      </w:r>
      <w:hyperlink r:id="rId26" w:history="1">
        <w:r w:rsidRPr="00FF64EF">
          <w:rPr>
            <w:rStyle w:val="Hyperlink"/>
            <w:rFonts w:ascii="Times New Roman" w:hAnsi="Times New Roman" w:cs="Times New Roman"/>
            <w:sz w:val="24"/>
            <w:szCs w:val="24"/>
            <w:shd w:val="clear" w:color="auto" w:fill="FFFFFF"/>
          </w:rPr>
          <w:t>https://doi.org/10.1037/lhb0000342</w:t>
        </w:r>
      </w:hyperlink>
      <w:r w:rsidRPr="00FF64EF">
        <w:rPr>
          <w:rFonts w:ascii="Times New Roman" w:hAnsi="Times New Roman" w:cs="Times New Roman"/>
          <w:color w:val="333333"/>
          <w:sz w:val="24"/>
          <w:szCs w:val="24"/>
          <w:shd w:val="clear" w:color="auto" w:fill="FFFFFF"/>
        </w:rPr>
        <w:t xml:space="preserve"> </w:t>
      </w:r>
    </w:p>
    <w:p w14:paraId="1DF6571D" w14:textId="77777777" w:rsidR="00357BC7" w:rsidRDefault="00357BC7" w:rsidP="00357BC7">
      <w:pPr>
        <w:ind w:left="720" w:hanging="720"/>
        <w:rPr>
          <w:rFonts w:ascii="Times New Roman" w:hAnsi="Times New Roman" w:cs="Times New Roman"/>
          <w:color w:val="333333"/>
          <w:sz w:val="24"/>
          <w:szCs w:val="24"/>
          <w:shd w:val="clear" w:color="auto" w:fill="FFFFFF"/>
        </w:rPr>
      </w:pPr>
      <w:r w:rsidRPr="00FF64EF">
        <w:rPr>
          <w:rFonts w:ascii="Times New Roman" w:hAnsi="Times New Roman" w:cs="Times New Roman"/>
          <w:color w:val="222222"/>
          <w:sz w:val="24"/>
          <w:szCs w:val="24"/>
          <w:shd w:val="clear" w:color="auto" w:fill="FFFFFF"/>
        </w:rPr>
        <w:t>Palmer, M. A., Brewer, N., Weber, N., &amp; Nagesh, A. (2013). The confidence-accuracy relationship for eyewitness identification decisions: Effects of exposure duration, retention interval, and divided attention. </w:t>
      </w:r>
      <w:r w:rsidRPr="00FF64EF">
        <w:rPr>
          <w:rFonts w:ascii="Times New Roman" w:hAnsi="Times New Roman" w:cs="Times New Roman"/>
          <w:i/>
          <w:iCs/>
          <w:color w:val="222222"/>
          <w:sz w:val="24"/>
          <w:szCs w:val="24"/>
          <w:shd w:val="clear" w:color="auto" w:fill="FFFFFF"/>
        </w:rPr>
        <w:t>Journal of Experimental Psychology: Applied</w:t>
      </w:r>
      <w:r w:rsidRPr="00FF64EF">
        <w:rPr>
          <w:rFonts w:ascii="Times New Roman" w:hAnsi="Times New Roman" w:cs="Times New Roman"/>
          <w:color w:val="222222"/>
          <w:sz w:val="24"/>
          <w:szCs w:val="24"/>
          <w:shd w:val="clear" w:color="auto" w:fill="FFFFFF"/>
        </w:rPr>
        <w:t>, </w:t>
      </w:r>
      <w:r w:rsidRPr="00FF64EF">
        <w:rPr>
          <w:rFonts w:ascii="Times New Roman" w:hAnsi="Times New Roman" w:cs="Times New Roman"/>
          <w:i/>
          <w:iCs/>
          <w:color w:val="222222"/>
          <w:sz w:val="24"/>
          <w:szCs w:val="24"/>
          <w:shd w:val="clear" w:color="auto" w:fill="FFFFFF"/>
        </w:rPr>
        <w:t>19</w:t>
      </w:r>
      <w:r w:rsidRPr="00FF64EF">
        <w:rPr>
          <w:rFonts w:ascii="Times New Roman" w:hAnsi="Times New Roman" w:cs="Times New Roman"/>
          <w:color w:val="222222"/>
          <w:sz w:val="24"/>
          <w:szCs w:val="24"/>
          <w:shd w:val="clear" w:color="auto" w:fill="FFFFFF"/>
        </w:rPr>
        <w:t>(1), 55.</w:t>
      </w:r>
      <w:r w:rsidRPr="00FF64EF">
        <w:rPr>
          <w:rFonts w:ascii="Times New Roman" w:hAnsi="Times New Roman" w:cs="Times New Roman"/>
          <w:color w:val="333333"/>
          <w:sz w:val="24"/>
          <w:szCs w:val="24"/>
          <w:shd w:val="clear" w:color="auto" w:fill="FFFFFF"/>
        </w:rPr>
        <w:t xml:space="preserve"> </w:t>
      </w:r>
      <w:hyperlink r:id="rId27" w:history="1">
        <w:r w:rsidRPr="00FF64EF">
          <w:rPr>
            <w:rStyle w:val="Hyperlink"/>
            <w:rFonts w:ascii="Times New Roman" w:hAnsi="Times New Roman" w:cs="Times New Roman"/>
            <w:sz w:val="24"/>
            <w:szCs w:val="24"/>
            <w:shd w:val="clear" w:color="auto" w:fill="FFFFFF"/>
          </w:rPr>
          <w:t>http://dx.doi.org/</w:t>
        </w:r>
        <w:r w:rsidRPr="00FF64EF">
          <w:rPr>
            <w:rStyle w:val="Hyperlink"/>
            <w:rFonts w:ascii="Times New Roman" w:hAnsi="Times New Roman" w:cs="Times New Roman"/>
            <w:sz w:val="24"/>
            <w:szCs w:val="24"/>
            <w:shd w:val="clear" w:color="auto" w:fill="FFFFFF"/>
          </w:rPr>
          <w:t>1</w:t>
        </w:r>
        <w:r w:rsidRPr="00FF64EF">
          <w:rPr>
            <w:rStyle w:val="Hyperlink"/>
            <w:rFonts w:ascii="Times New Roman" w:hAnsi="Times New Roman" w:cs="Times New Roman"/>
            <w:sz w:val="24"/>
            <w:szCs w:val="24"/>
            <w:shd w:val="clear" w:color="auto" w:fill="FFFFFF"/>
          </w:rPr>
          <w:t>0.1037/a0031602</w:t>
        </w:r>
      </w:hyperlink>
      <w:r w:rsidRPr="00FF64EF">
        <w:rPr>
          <w:rFonts w:ascii="Times New Roman" w:hAnsi="Times New Roman" w:cs="Times New Roman"/>
          <w:color w:val="333333"/>
          <w:sz w:val="24"/>
          <w:szCs w:val="24"/>
          <w:shd w:val="clear" w:color="auto" w:fill="FFFFFF"/>
        </w:rPr>
        <w:t xml:space="preserve"> </w:t>
      </w:r>
    </w:p>
    <w:p w14:paraId="0E78C1B0" w14:textId="77777777" w:rsidR="00357BC7" w:rsidRPr="00505EB4" w:rsidRDefault="00357BC7" w:rsidP="00357BC7">
      <w:pPr>
        <w:ind w:left="720" w:hanging="720"/>
        <w:rPr>
          <w:rFonts w:ascii="Times New Roman" w:hAnsi="Times New Roman" w:cs="Times New Roman"/>
          <w:color w:val="333333"/>
          <w:sz w:val="24"/>
          <w:szCs w:val="24"/>
          <w:shd w:val="clear" w:color="auto" w:fill="FFFFFF"/>
        </w:rPr>
      </w:pPr>
      <w:r w:rsidRPr="00505EB4">
        <w:rPr>
          <w:rFonts w:ascii="Times New Roman" w:hAnsi="Times New Roman" w:cs="Times New Roman"/>
          <w:color w:val="222222"/>
          <w:sz w:val="24"/>
          <w:szCs w:val="24"/>
          <w:shd w:val="clear" w:color="auto" w:fill="FFFFFF"/>
        </w:rPr>
        <w:t>Simons, D. J., &amp; Levin, D. T. (1997). Change blindness. </w:t>
      </w:r>
      <w:r w:rsidRPr="00505EB4">
        <w:rPr>
          <w:rFonts w:ascii="Times New Roman" w:hAnsi="Times New Roman" w:cs="Times New Roman"/>
          <w:i/>
          <w:iCs/>
          <w:color w:val="222222"/>
          <w:sz w:val="24"/>
          <w:szCs w:val="24"/>
          <w:shd w:val="clear" w:color="auto" w:fill="FFFFFF"/>
        </w:rPr>
        <w:t>Trends in cognitive sciences</w:t>
      </w:r>
      <w:r w:rsidRPr="00505EB4">
        <w:rPr>
          <w:rFonts w:ascii="Times New Roman" w:hAnsi="Times New Roman" w:cs="Times New Roman"/>
          <w:color w:val="222222"/>
          <w:sz w:val="24"/>
          <w:szCs w:val="24"/>
          <w:shd w:val="clear" w:color="auto" w:fill="FFFFFF"/>
        </w:rPr>
        <w:t>, </w:t>
      </w:r>
      <w:r w:rsidRPr="00505EB4">
        <w:rPr>
          <w:rFonts w:ascii="Times New Roman" w:hAnsi="Times New Roman" w:cs="Times New Roman"/>
          <w:i/>
          <w:iCs/>
          <w:color w:val="222222"/>
          <w:sz w:val="24"/>
          <w:szCs w:val="24"/>
          <w:shd w:val="clear" w:color="auto" w:fill="FFFFFF"/>
        </w:rPr>
        <w:t>1</w:t>
      </w:r>
      <w:r w:rsidRPr="00505EB4">
        <w:rPr>
          <w:rFonts w:ascii="Times New Roman" w:hAnsi="Times New Roman" w:cs="Times New Roman"/>
          <w:color w:val="222222"/>
          <w:sz w:val="24"/>
          <w:szCs w:val="24"/>
          <w:shd w:val="clear" w:color="auto" w:fill="FFFFFF"/>
        </w:rPr>
        <w:t>(7), 261-267. https://doi.org/10.1016/S1364-6613(97)01080-2</w:t>
      </w:r>
    </w:p>
    <w:p w14:paraId="49AB41B9" w14:textId="77777777" w:rsidR="00357BC7" w:rsidRPr="00FF64EF" w:rsidRDefault="00357BC7" w:rsidP="00357BC7">
      <w:pPr>
        <w:ind w:left="720" w:hanging="720"/>
        <w:rPr>
          <w:rFonts w:ascii="Times New Roman" w:hAnsi="Times New Roman" w:cs="Times New Roman"/>
          <w:sz w:val="24"/>
          <w:szCs w:val="24"/>
        </w:rPr>
      </w:pPr>
      <w:r w:rsidRPr="00FF64EF">
        <w:rPr>
          <w:rFonts w:ascii="Times New Roman" w:hAnsi="Times New Roman" w:cs="Times New Roman"/>
          <w:color w:val="333333"/>
          <w:sz w:val="24"/>
          <w:szCs w:val="24"/>
          <w:shd w:val="clear" w:color="auto" w:fill="FFFFFF"/>
        </w:rPr>
        <w:t xml:space="preserve">Smalarz, L., &amp; Wells, G. L. (2015). Contamination of Eyewitness Self-Reports and the Mistaken-Identification Problem. Current Directions in Psychological Science, 24(2), 120-124. https://doi-org.ezproxy.uwtsd.ac.uk/10.1177/0963721414554394 </w:t>
      </w:r>
      <w:hyperlink r:id="rId28" w:history="1">
        <w:r w:rsidRPr="00FF64EF">
          <w:rPr>
            <w:rStyle w:val="Hyperlink"/>
            <w:rFonts w:ascii="Times New Roman" w:hAnsi="Times New Roman" w:cs="Times New Roman"/>
            <w:sz w:val="24"/>
            <w:szCs w:val="24"/>
            <w:shd w:val="clear" w:color="auto" w:fill="FFFFFF"/>
          </w:rPr>
          <w:t>https://doi-org.ezproxy.uwtsd.ac.uk/10.1177/0963721414554394</w:t>
        </w:r>
      </w:hyperlink>
      <w:r w:rsidRPr="00FF64EF">
        <w:rPr>
          <w:rFonts w:ascii="Times New Roman" w:hAnsi="Times New Roman" w:cs="Times New Roman"/>
          <w:color w:val="333333"/>
          <w:sz w:val="24"/>
          <w:szCs w:val="24"/>
          <w:shd w:val="clear" w:color="auto" w:fill="FFFFFF"/>
        </w:rPr>
        <w:t xml:space="preserve"> </w:t>
      </w:r>
    </w:p>
    <w:p w14:paraId="4A05264E" w14:textId="77777777" w:rsidR="00357BC7" w:rsidRPr="00FF64EF" w:rsidRDefault="00357BC7" w:rsidP="00357BC7">
      <w:pPr>
        <w:ind w:left="720" w:hanging="720"/>
        <w:rPr>
          <w:rFonts w:ascii="Times New Roman" w:hAnsi="Times New Roman" w:cs="Times New Roman"/>
          <w:sz w:val="24"/>
          <w:szCs w:val="24"/>
        </w:rPr>
      </w:pPr>
      <w:r w:rsidRPr="00FF64EF">
        <w:rPr>
          <w:rFonts w:ascii="Times New Roman" w:eastAsia="Times New Roman" w:hAnsi="Times New Roman" w:cs="Times New Roman"/>
          <w:kern w:val="0"/>
          <w:sz w:val="24"/>
          <w:szCs w:val="24"/>
          <w:lang w:eastAsia="en-GB"/>
          <w14:ligatures w14:val="none"/>
        </w:rPr>
        <w:t xml:space="preserve">Smith, A. M., Wilford, M. M., Quigley-McBride, A., Wells, G. L., &amp; McAuliff, B. D. (2019). Mistaken                Eyewitness Identification Rates Increase When Either Witnessing or Testing Conditions Get Worse. </w:t>
      </w:r>
      <w:r w:rsidRPr="00FF64EF">
        <w:rPr>
          <w:rFonts w:ascii="Times New Roman" w:eastAsia="Times New Roman" w:hAnsi="Times New Roman" w:cs="Times New Roman"/>
          <w:i/>
          <w:iCs/>
          <w:kern w:val="0"/>
          <w:sz w:val="24"/>
          <w:szCs w:val="24"/>
          <w:lang w:eastAsia="en-GB"/>
          <w14:ligatures w14:val="none"/>
        </w:rPr>
        <w:t xml:space="preserve">Law and Human </w:t>
      </w:r>
      <w:proofErr w:type="spellStart"/>
      <w:r w:rsidRPr="00FF64EF">
        <w:rPr>
          <w:rFonts w:ascii="Times New Roman" w:eastAsia="Times New Roman" w:hAnsi="Times New Roman" w:cs="Times New Roman"/>
          <w:i/>
          <w:iCs/>
          <w:kern w:val="0"/>
          <w:sz w:val="24"/>
          <w:szCs w:val="24"/>
          <w:lang w:eastAsia="en-GB"/>
          <w14:ligatures w14:val="none"/>
        </w:rPr>
        <w:t>Behavior</w:t>
      </w:r>
      <w:proofErr w:type="spellEnd"/>
      <w:r w:rsidRPr="00FF64EF">
        <w:rPr>
          <w:rFonts w:ascii="Times New Roman" w:eastAsia="Times New Roman" w:hAnsi="Times New Roman" w:cs="Times New Roman"/>
          <w:kern w:val="0"/>
          <w:sz w:val="24"/>
          <w:szCs w:val="24"/>
          <w:lang w:eastAsia="en-GB"/>
          <w14:ligatures w14:val="none"/>
        </w:rPr>
        <w:t xml:space="preserve">, </w:t>
      </w:r>
      <w:r w:rsidRPr="00FF64EF">
        <w:rPr>
          <w:rFonts w:ascii="Times New Roman" w:eastAsia="Times New Roman" w:hAnsi="Times New Roman" w:cs="Times New Roman"/>
          <w:i/>
          <w:iCs/>
          <w:kern w:val="0"/>
          <w:sz w:val="24"/>
          <w:szCs w:val="24"/>
          <w:lang w:eastAsia="en-GB"/>
          <w14:ligatures w14:val="none"/>
        </w:rPr>
        <w:t>43</w:t>
      </w:r>
      <w:r w:rsidRPr="00FF64EF">
        <w:rPr>
          <w:rFonts w:ascii="Times New Roman" w:eastAsia="Times New Roman" w:hAnsi="Times New Roman" w:cs="Times New Roman"/>
          <w:kern w:val="0"/>
          <w:sz w:val="24"/>
          <w:szCs w:val="24"/>
          <w:lang w:eastAsia="en-GB"/>
          <w14:ligatures w14:val="none"/>
        </w:rPr>
        <w:t>(4), 358–368. https://doi.org/10.1037/lhb0000334</w:t>
      </w:r>
      <w:r w:rsidRPr="00FF64EF">
        <w:rPr>
          <w:rFonts w:ascii="Times New Roman" w:hAnsi="Times New Roman" w:cs="Times New Roman"/>
          <w:sz w:val="24"/>
          <w:szCs w:val="24"/>
        </w:rPr>
        <w:t xml:space="preserve"> </w:t>
      </w:r>
      <w:hyperlink r:id="rId29" w:history="1">
        <w:r w:rsidRPr="00FF64EF">
          <w:rPr>
            <w:rStyle w:val="Hyperlink"/>
            <w:rFonts w:ascii="Times New Roman" w:hAnsi="Times New Roman" w:cs="Times New Roman"/>
            <w:sz w:val="24"/>
            <w:szCs w:val="24"/>
          </w:rPr>
          <w:t>http://dx.doi.org/10.1037/lhb0000334</w:t>
        </w:r>
      </w:hyperlink>
      <w:r w:rsidRPr="00FF64EF">
        <w:rPr>
          <w:rFonts w:ascii="Times New Roman" w:hAnsi="Times New Roman" w:cs="Times New Roman"/>
          <w:sz w:val="24"/>
          <w:szCs w:val="24"/>
        </w:rPr>
        <w:t xml:space="preserve"> </w:t>
      </w:r>
    </w:p>
    <w:p w14:paraId="429B5ED8" w14:textId="77777777" w:rsidR="00357BC7" w:rsidRPr="00FF64EF" w:rsidRDefault="00357BC7" w:rsidP="00357BC7">
      <w:pPr>
        <w:ind w:left="720" w:hanging="720"/>
        <w:rPr>
          <w:rFonts w:ascii="Times New Roman" w:hAnsi="Times New Roman" w:cs="Times New Roman"/>
          <w:sz w:val="24"/>
          <w:szCs w:val="24"/>
        </w:rPr>
      </w:pPr>
      <w:r w:rsidRPr="00FF64EF">
        <w:rPr>
          <w:rFonts w:ascii="Times New Roman" w:hAnsi="Times New Roman" w:cs="Times New Roman"/>
          <w:sz w:val="24"/>
          <w:szCs w:val="24"/>
        </w:rPr>
        <w:t xml:space="preserve">UK Parliament, (July, 2019). Improving Witness Testimony, </w:t>
      </w:r>
      <w:proofErr w:type="spellStart"/>
      <w:r w:rsidRPr="00FF64EF">
        <w:rPr>
          <w:rFonts w:ascii="Times New Roman" w:hAnsi="Times New Roman" w:cs="Times New Roman"/>
          <w:sz w:val="24"/>
          <w:szCs w:val="24"/>
        </w:rPr>
        <w:t>Postnote</w:t>
      </w:r>
      <w:proofErr w:type="spellEnd"/>
      <w:r w:rsidRPr="00FF64EF">
        <w:rPr>
          <w:rFonts w:ascii="Times New Roman" w:hAnsi="Times New Roman" w:cs="Times New Roman"/>
          <w:sz w:val="24"/>
          <w:szCs w:val="24"/>
        </w:rPr>
        <w:t xml:space="preserve"> No. 607</w:t>
      </w:r>
      <w:r w:rsidRPr="00FF64EF">
        <w:rPr>
          <w:rFonts w:ascii="Times New Roman" w:hAnsi="Times New Roman" w:cs="Times New Roman"/>
          <w:i/>
          <w:iCs/>
          <w:sz w:val="24"/>
          <w:szCs w:val="24"/>
        </w:rPr>
        <w:t>.</w:t>
      </w:r>
      <w:r w:rsidRPr="00FF64EF">
        <w:rPr>
          <w:rFonts w:ascii="Times New Roman" w:hAnsi="Times New Roman" w:cs="Times New Roman"/>
          <w:sz w:val="24"/>
          <w:szCs w:val="24"/>
        </w:rPr>
        <w:t xml:space="preserve"> </w:t>
      </w:r>
      <w:r w:rsidRPr="00FF64EF">
        <w:rPr>
          <w:rFonts w:ascii="Times New Roman" w:hAnsi="Times New Roman" w:cs="Times New Roman"/>
          <w:i/>
          <w:iCs/>
          <w:sz w:val="24"/>
          <w:szCs w:val="24"/>
        </w:rPr>
        <w:t xml:space="preserve">Houses of Parliament. Parliamentary Offices of Science and Technology. </w:t>
      </w:r>
      <w:hyperlink r:id="rId30" w:history="1">
        <w:r w:rsidRPr="00FF64EF">
          <w:rPr>
            <w:rStyle w:val="Hyperlink"/>
            <w:rFonts w:ascii="Times New Roman" w:hAnsi="Times New Roman" w:cs="Times New Roman"/>
            <w:sz w:val="24"/>
            <w:szCs w:val="24"/>
          </w:rPr>
          <w:t>https://researchbriefings.files.parliament.uk/documents/POST-PN-0607/POST-PN-0607.pdf</w:t>
        </w:r>
      </w:hyperlink>
    </w:p>
    <w:p w14:paraId="5D925C82" w14:textId="77777777" w:rsidR="00357BC7" w:rsidRPr="00FF64EF" w:rsidRDefault="00357BC7" w:rsidP="00357BC7">
      <w:pPr>
        <w:ind w:left="720" w:hanging="720"/>
        <w:rPr>
          <w:rFonts w:ascii="Times New Roman" w:hAnsi="Times New Roman" w:cs="Times New Roman"/>
          <w:sz w:val="24"/>
          <w:szCs w:val="24"/>
        </w:rPr>
      </w:pPr>
      <w:r w:rsidRPr="00FF64EF">
        <w:rPr>
          <w:rFonts w:ascii="Times New Roman" w:hAnsi="Times New Roman" w:cs="Times New Roman"/>
          <w:color w:val="222222"/>
          <w:sz w:val="24"/>
          <w:szCs w:val="24"/>
          <w:shd w:val="clear" w:color="auto" w:fill="FFFFFF"/>
        </w:rPr>
        <w:t>van der Walt, L. M. (2016). Judicial understanding of the reliability of eyewitness evidence: A tale of two cases. </w:t>
      </w:r>
      <w:r w:rsidRPr="00FF64EF">
        <w:rPr>
          <w:rFonts w:ascii="Times New Roman" w:hAnsi="Times New Roman" w:cs="Times New Roman"/>
          <w:i/>
          <w:iCs/>
          <w:color w:val="222222"/>
          <w:sz w:val="24"/>
          <w:szCs w:val="24"/>
          <w:shd w:val="clear" w:color="auto" w:fill="FFFFFF"/>
        </w:rPr>
        <w:t>Potchefstroom Electronic Law Journal/</w:t>
      </w:r>
      <w:proofErr w:type="spellStart"/>
      <w:r w:rsidRPr="00FF64EF">
        <w:rPr>
          <w:rFonts w:ascii="Times New Roman" w:hAnsi="Times New Roman" w:cs="Times New Roman"/>
          <w:i/>
          <w:iCs/>
          <w:color w:val="222222"/>
          <w:sz w:val="24"/>
          <w:szCs w:val="24"/>
          <w:shd w:val="clear" w:color="auto" w:fill="FFFFFF"/>
        </w:rPr>
        <w:t>Potchefstroomse</w:t>
      </w:r>
      <w:proofErr w:type="spellEnd"/>
      <w:r w:rsidRPr="00FF64EF">
        <w:rPr>
          <w:rFonts w:ascii="Times New Roman" w:hAnsi="Times New Roman" w:cs="Times New Roman"/>
          <w:i/>
          <w:iCs/>
          <w:color w:val="222222"/>
          <w:sz w:val="24"/>
          <w:szCs w:val="24"/>
          <w:shd w:val="clear" w:color="auto" w:fill="FFFFFF"/>
        </w:rPr>
        <w:t xml:space="preserve"> </w:t>
      </w:r>
      <w:proofErr w:type="spellStart"/>
      <w:r w:rsidRPr="00FF64EF">
        <w:rPr>
          <w:rFonts w:ascii="Times New Roman" w:hAnsi="Times New Roman" w:cs="Times New Roman"/>
          <w:i/>
          <w:iCs/>
          <w:color w:val="222222"/>
          <w:sz w:val="24"/>
          <w:szCs w:val="24"/>
          <w:shd w:val="clear" w:color="auto" w:fill="FFFFFF"/>
        </w:rPr>
        <w:t>Elektroniese</w:t>
      </w:r>
      <w:proofErr w:type="spellEnd"/>
      <w:r w:rsidRPr="00FF64EF">
        <w:rPr>
          <w:rFonts w:ascii="Times New Roman" w:hAnsi="Times New Roman" w:cs="Times New Roman"/>
          <w:i/>
          <w:iCs/>
          <w:color w:val="222222"/>
          <w:sz w:val="24"/>
          <w:szCs w:val="24"/>
          <w:shd w:val="clear" w:color="auto" w:fill="FFFFFF"/>
        </w:rPr>
        <w:t xml:space="preserve"> </w:t>
      </w:r>
      <w:proofErr w:type="spellStart"/>
      <w:r w:rsidRPr="00FF64EF">
        <w:rPr>
          <w:rFonts w:ascii="Times New Roman" w:hAnsi="Times New Roman" w:cs="Times New Roman"/>
          <w:i/>
          <w:iCs/>
          <w:color w:val="222222"/>
          <w:sz w:val="24"/>
          <w:szCs w:val="24"/>
          <w:shd w:val="clear" w:color="auto" w:fill="FFFFFF"/>
        </w:rPr>
        <w:t>Regsblad</w:t>
      </w:r>
      <w:proofErr w:type="spellEnd"/>
      <w:r w:rsidRPr="00FF64EF">
        <w:rPr>
          <w:rFonts w:ascii="Times New Roman" w:hAnsi="Times New Roman" w:cs="Times New Roman"/>
          <w:color w:val="222222"/>
          <w:sz w:val="24"/>
          <w:szCs w:val="24"/>
          <w:shd w:val="clear" w:color="auto" w:fill="FFFFFF"/>
        </w:rPr>
        <w:t>, </w:t>
      </w:r>
      <w:r w:rsidRPr="00FF64EF">
        <w:rPr>
          <w:rFonts w:ascii="Times New Roman" w:hAnsi="Times New Roman" w:cs="Times New Roman"/>
          <w:i/>
          <w:iCs/>
          <w:color w:val="222222"/>
          <w:sz w:val="24"/>
          <w:szCs w:val="24"/>
          <w:shd w:val="clear" w:color="auto" w:fill="FFFFFF"/>
        </w:rPr>
        <w:t>19</w:t>
      </w:r>
      <w:r w:rsidRPr="00FF64EF">
        <w:rPr>
          <w:rFonts w:ascii="Times New Roman" w:hAnsi="Times New Roman" w:cs="Times New Roman"/>
          <w:color w:val="222222"/>
          <w:sz w:val="24"/>
          <w:szCs w:val="24"/>
          <w:shd w:val="clear" w:color="auto" w:fill="FFFFFF"/>
        </w:rPr>
        <w:t>(1).</w:t>
      </w:r>
      <w:r w:rsidRPr="00FF64EF">
        <w:rPr>
          <w:rFonts w:ascii="Times New Roman" w:hAnsi="Times New Roman" w:cs="Times New Roman"/>
          <w:sz w:val="24"/>
          <w:szCs w:val="24"/>
        </w:rPr>
        <w:t xml:space="preserve"> </w:t>
      </w:r>
      <w:hyperlink r:id="rId31" w:history="1">
        <w:r w:rsidRPr="00FF64EF">
          <w:rPr>
            <w:rStyle w:val="Hyperlink"/>
            <w:rFonts w:ascii="Times New Roman" w:hAnsi="Times New Roman" w:cs="Times New Roman"/>
            <w:sz w:val="24"/>
            <w:szCs w:val="24"/>
          </w:rPr>
          <w:t>https://doi.org/10.17159/1727-3781/2016/v19i0a1247</w:t>
        </w:r>
      </w:hyperlink>
      <w:r w:rsidRPr="00FF64EF">
        <w:rPr>
          <w:rFonts w:ascii="Times New Roman" w:hAnsi="Times New Roman" w:cs="Times New Roman"/>
          <w:sz w:val="24"/>
          <w:szCs w:val="24"/>
        </w:rPr>
        <w:t xml:space="preserve"> </w:t>
      </w:r>
    </w:p>
    <w:p w14:paraId="52F3D179" w14:textId="77777777" w:rsidR="00357BC7" w:rsidRPr="00FF64EF" w:rsidRDefault="00357BC7" w:rsidP="00357BC7">
      <w:pPr>
        <w:ind w:left="720" w:hanging="720"/>
        <w:rPr>
          <w:rFonts w:ascii="Times New Roman" w:hAnsi="Times New Roman" w:cs="Times New Roman"/>
          <w:sz w:val="24"/>
          <w:szCs w:val="24"/>
        </w:rPr>
      </w:pPr>
      <w:r w:rsidRPr="00FF64EF">
        <w:rPr>
          <w:rFonts w:ascii="Times New Roman" w:hAnsi="Times New Roman" w:cs="Times New Roman"/>
          <w:color w:val="222222"/>
          <w:sz w:val="24"/>
          <w:szCs w:val="24"/>
          <w:shd w:val="clear" w:color="auto" w:fill="FFFFFF"/>
        </w:rPr>
        <w:t>Wise, R. A., Sartori, G., Magnussen, S., &amp; Safer, M. A. (2014). An examination of the causes and solutions to eyewitness error. </w:t>
      </w:r>
      <w:r w:rsidRPr="00FF64EF">
        <w:rPr>
          <w:rFonts w:ascii="Times New Roman" w:hAnsi="Times New Roman" w:cs="Times New Roman"/>
          <w:i/>
          <w:iCs/>
          <w:color w:val="222222"/>
          <w:sz w:val="24"/>
          <w:szCs w:val="24"/>
          <w:shd w:val="clear" w:color="auto" w:fill="FFFFFF"/>
        </w:rPr>
        <w:t>Frontiers in psychiatry</w:t>
      </w:r>
      <w:r w:rsidRPr="00FF64EF">
        <w:rPr>
          <w:rFonts w:ascii="Times New Roman" w:hAnsi="Times New Roman" w:cs="Times New Roman"/>
          <w:color w:val="222222"/>
          <w:sz w:val="24"/>
          <w:szCs w:val="24"/>
          <w:shd w:val="clear" w:color="auto" w:fill="FFFFFF"/>
        </w:rPr>
        <w:t>, </w:t>
      </w:r>
      <w:r w:rsidRPr="00FF64EF">
        <w:rPr>
          <w:rFonts w:ascii="Times New Roman" w:hAnsi="Times New Roman" w:cs="Times New Roman"/>
          <w:i/>
          <w:iCs/>
          <w:color w:val="222222"/>
          <w:sz w:val="24"/>
          <w:szCs w:val="24"/>
          <w:shd w:val="clear" w:color="auto" w:fill="FFFFFF"/>
        </w:rPr>
        <w:t>5</w:t>
      </w:r>
      <w:r w:rsidRPr="00FF64EF">
        <w:rPr>
          <w:rFonts w:ascii="Times New Roman" w:hAnsi="Times New Roman" w:cs="Times New Roman"/>
          <w:color w:val="222222"/>
          <w:sz w:val="24"/>
          <w:szCs w:val="24"/>
          <w:shd w:val="clear" w:color="auto" w:fill="FFFFFF"/>
        </w:rPr>
        <w:t>, 102.</w:t>
      </w:r>
      <w:r w:rsidRPr="00FF64EF">
        <w:rPr>
          <w:rFonts w:ascii="Times New Roman" w:hAnsi="Times New Roman" w:cs="Times New Roman"/>
          <w:sz w:val="24"/>
          <w:szCs w:val="24"/>
        </w:rPr>
        <w:t xml:space="preserve"> </w:t>
      </w:r>
      <w:hyperlink r:id="rId32" w:history="1">
        <w:r w:rsidRPr="00FF64EF">
          <w:rPr>
            <w:rStyle w:val="Hyperlink"/>
            <w:rFonts w:ascii="Times New Roman" w:hAnsi="Times New Roman" w:cs="Times New Roman"/>
            <w:sz w:val="24"/>
            <w:szCs w:val="24"/>
          </w:rPr>
          <w:t>https://doi.org/10.3389/fpsyt.2014.00102</w:t>
        </w:r>
      </w:hyperlink>
      <w:r w:rsidRPr="00FF64EF">
        <w:rPr>
          <w:rFonts w:ascii="Times New Roman" w:hAnsi="Times New Roman" w:cs="Times New Roman"/>
          <w:sz w:val="24"/>
          <w:szCs w:val="24"/>
        </w:rPr>
        <w:t xml:space="preserve"> </w:t>
      </w:r>
    </w:p>
    <w:p w14:paraId="6EB7FE86" w14:textId="77777777" w:rsidR="00357BC7" w:rsidRPr="00FF64EF" w:rsidRDefault="00357BC7" w:rsidP="00357BC7">
      <w:pPr>
        <w:ind w:left="720" w:hanging="720"/>
        <w:rPr>
          <w:rFonts w:ascii="Times New Roman" w:hAnsi="Times New Roman" w:cs="Times New Roman"/>
          <w:sz w:val="24"/>
          <w:szCs w:val="24"/>
        </w:rPr>
      </w:pPr>
      <w:r w:rsidRPr="00FF64EF">
        <w:rPr>
          <w:rFonts w:ascii="Times New Roman" w:hAnsi="Times New Roman" w:cs="Times New Roman"/>
          <w:color w:val="222222"/>
          <w:sz w:val="24"/>
          <w:szCs w:val="24"/>
          <w:shd w:val="clear" w:color="auto" w:fill="FFFFFF"/>
        </w:rPr>
        <w:t>Wixted, J. T. (2018). Time to exonerate eyewitness memory. </w:t>
      </w:r>
      <w:r w:rsidRPr="00FF64EF">
        <w:rPr>
          <w:rFonts w:ascii="Times New Roman" w:hAnsi="Times New Roman" w:cs="Times New Roman"/>
          <w:i/>
          <w:iCs/>
          <w:color w:val="222222"/>
          <w:sz w:val="24"/>
          <w:szCs w:val="24"/>
          <w:shd w:val="clear" w:color="auto" w:fill="FFFFFF"/>
        </w:rPr>
        <w:t>Forensic science international</w:t>
      </w:r>
      <w:r w:rsidRPr="00FF64EF">
        <w:rPr>
          <w:rFonts w:ascii="Times New Roman" w:hAnsi="Times New Roman" w:cs="Times New Roman"/>
          <w:color w:val="222222"/>
          <w:sz w:val="24"/>
          <w:szCs w:val="24"/>
          <w:shd w:val="clear" w:color="auto" w:fill="FFFFFF"/>
        </w:rPr>
        <w:t>, </w:t>
      </w:r>
      <w:r w:rsidRPr="00FF64EF">
        <w:rPr>
          <w:rFonts w:ascii="Times New Roman" w:hAnsi="Times New Roman" w:cs="Times New Roman"/>
          <w:i/>
          <w:iCs/>
          <w:color w:val="222222"/>
          <w:sz w:val="24"/>
          <w:szCs w:val="24"/>
          <w:shd w:val="clear" w:color="auto" w:fill="FFFFFF"/>
        </w:rPr>
        <w:t>292</w:t>
      </w:r>
      <w:r w:rsidRPr="00FF64EF">
        <w:rPr>
          <w:rFonts w:ascii="Times New Roman" w:hAnsi="Times New Roman" w:cs="Times New Roman"/>
          <w:color w:val="222222"/>
          <w:sz w:val="24"/>
          <w:szCs w:val="24"/>
          <w:shd w:val="clear" w:color="auto" w:fill="FFFFFF"/>
        </w:rPr>
        <w:t xml:space="preserve">, e13-e15. </w:t>
      </w:r>
      <w:r w:rsidRPr="00FF64EF">
        <w:rPr>
          <w:rFonts w:ascii="Times New Roman" w:hAnsi="Times New Roman" w:cs="Times New Roman"/>
          <w:sz w:val="24"/>
          <w:szCs w:val="24"/>
        </w:rPr>
        <w:t xml:space="preserve"> </w:t>
      </w:r>
      <w:hyperlink r:id="rId33" w:history="1">
        <w:r w:rsidRPr="00FF64EF">
          <w:rPr>
            <w:rStyle w:val="Hyperlink"/>
            <w:rFonts w:ascii="Times New Roman" w:hAnsi="Times New Roman" w:cs="Times New Roman"/>
            <w:sz w:val="24"/>
            <w:szCs w:val="24"/>
          </w:rPr>
          <w:t>https://doi.org/10.1016/j.forsciint.2018.08.018</w:t>
        </w:r>
      </w:hyperlink>
    </w:p>
    <w:p w14:paraId="23AC4647" w14:textId="77777777" w:rsidR="00357BC7" w:rsidRPr="00FF64EF" w:rsidRDefault="00357BC7" w:rsidP="00357BC7">
      <w:pPr>
        <w:ind w:left="720" w:hanging="720"/>
        <w:rPr>
          <w:rFonts w:ascii="Times New Roman" w:hAnsi="Times New Roman" w:cs="Times New Roman"/>
          <w:sz w:val="24"/>
          <w:szCs w:val="24"/>
        </w:rPr>
      </w:pPr>
      <w:r w:rsidRPr="00FF64EF">
        <w:rPr>
          <w:rFonts w:ascii="Times New Roman" w:hAnsi="Times New Roman" w:cs="Times New Roman"/>
          <w:color w:val="222222"/>
          <w:sz w:val="24"/>
          <w:szCs w:val="24"/>
          <w:shd w:val="clear" w:color="auto" w:fill="FFFFFF"/>
        </w:rPr>
        <w:t>Wixted, J. T., Mickes, L., &amp; Fisher, R. P. (2018). Rethinking the reliability of eyewitness memory. </w:t>
      </w:r>
      <w:r w:rsidRPr="00FF64EF">
        <w:rPr>
          <w:rFonts w:ascii="Times New Roman" w:hAnsi="Times New Roman" w:cs="Times New Roman"/>
          <w:i/>
          <w:iCs/>
          <w:color w:val="222222"/>
          <w:sz w:val="24"/>
          <w:szCs w:val="24"/>
          <w:shd w:val="clear" w:color="auto" w:fill="FFFFFF"/>
        </w:rPr>
        <w:t>Perspectives on Psychological Science</w:t>
      </w:r>
      <w:r w:rsidRPr="00FF64EF">
        <w:rPr>
          <w:rFonts w:ascii="Times New Roman" w:hAnsi="Times New Roman" w:cs="Times New Roman"/>
          <w:color w:val="222222"/>
          <w:sz w:val="24"/>
          <w:szCs w:val="24"/>
          <w:shd w:val="clear" w:color="auto" w:fill="FFFFFF"/>
        </w:rPr>
        <w:t>, </w:t>
      </w:r>
      <w:r w:rsidRPr="00FF64EF">
        <w:rPr>
          <w:rFonts w:ascii="Times New Roman" w:hAnsi="Times New Roman" w:cs="Times New Roman"/>
          <w:i/>
          <w:iCs/>
          <w:color w:val="222222"/>
          <w:sz w:val="24"/>
          <w:szCs w:val="24"/>
          <w:shd w:val="clear" w:color="auto" w:fill="FFFFFF"/>
        </w:rPr>
        <w:t>13</w:t>
      </w:r>
      <w:r w:rsidRPr="00FF64EF">
        <w:rPr>
          <w:rFonts w:ascii="Times New Roman" w:hAnsi="Times New Roman" w:cs="Times New Roman"/>
          <w:color w:val="222222"/>
          <w:sz w:val="24"/>
          <w:szCs w:val="24"/>
          <w:shd w:val="clear" w:color="auto" w:fill="FFFFFF"/>
        </w:rPr>
        <w:t>(3), 324-335.</w:t>
      </w:r>
      <w:r w:rsidRPr="00FF64EF">
        <w:rPr>
          <w:rFonts w:ascii="Times New Roman" w:hAnsi="Times New Roman" w:cs="Times New Roman"/>
          <w:sz w:val="24"/>
          <w:szCs w:val="24"/>
        </w:rPr>
        <w:t xml:space="preserve"> </w:t>
      </w:r>
      <w:hyperlink r:id="rId34" w:history="1">
        <w:r w:rsidRPr="00FF64EF">
          <w:rPr>
            <w:rStyle w:val="Hyperlink"/>
            <w:rFonts w:ascii="Times New Roman" w:hAnsi="Times New Roman" w:cs="Times New Roman"/>
            <w:sz w:val="24"/>
            <w:szCs w:val="24"/>
          </w:rPr>
          <w:t>https://doi.org/10.1177/1745691617734878</w:t>
        </w:r>
      </w:hyperlink>
      <w:r w:rsidRPr="00FF64EF">
        <w:rPr>
          <w:rFonts w:ascii="Times New Roman" w:hAnsi="Times New Roman" w:cs="Times New Roman"/>
          <w:sz w:val="24"/>
          <w:szCs w:val="24"/>
        </w:rPr>
        <w:t xml:space="preserve">  </w:t>
      </w:r>
    </w:p>
    <w:p w14:paraId="16317423" w14:textId="77777777" w:rsidR="00357BC7" w:rsidRDefault="00357BC7"/>
    <w:sectPr w:rsidR="00357BC7">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BE4183" w14:textId="77777777" w:rsidR="002101F1" w:rsidRDefault="002101F1" w:rsidP="008B6D5D">
      <w:pPr>
        <w:spacing w:after="0" w:line="240" w:lineRule="auto"/>
      </w:pPr>
      <w:r>
        <w:separator/>
      </w:r>
    </w:p>
  </w:endnote>
  <w:endnote w:type="continuationSeparator" w:id="0">
    <w:p w14:paraId="21B1605E" w14:textId="77777777" w:rsidR="002101F1" w:rsidRDefault="002101F1" w:rsidP="008B6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CFEFE" w14:textId="77777777" w:rsidR="008B6D5D" w:rsidRDefault="008B6D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6FFA73" w14:textId="77777777" w:rsidR="002101F1" w:rsidRDefault="002101F1" w:rsidP="008B6D5D">
      <w:pPr>
        <w:spacing w:after="0" w:line="240" w:lineRule="auto"/>
      </w:pPr>
      <w:r>
        <w:separator/>
      </w:r>
    </w:p>
  </w:footnote>
  <w:footnote w:type="continuationSeparator" w:id="0">
    <w:p w14:paraId="00351D87" w14:textId="77777777" w:rsidR="002101F1" w:rsidRDefault="002101F1" w:rsidP="008B6D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18A"/>
    <w:rsid w:val="000A0C63"/>
    <w:rsid w:val="001D009A"/>
    <w:rsid w:val="001E5FFC"/>
    <w:rsid w:val="002101F1"/>
    <w:rsid w:val="00357BC7"/>
    <w:rsid w:val="0049315C"/>
    <w:rsid w:val="00791ECE"/>
    <w:rsid w:val="007A6293"/>
    <w:rsid w:val="008B6D5D"/>
    <w:rsid w:val="00944263"/>
    <w:rsid w:val="00D56459"/>
    <w:rsid w:val="00EB318A"/>
    <w:rsid w:val="00F44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08EB4"/>
  <w15:chartTrackingRefBased/>
  <w15:docId w15:val="{804DB1E1-4CDB-4354-8E43-034810B71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18A"/>
  </w:style>
  <w:style w:type="paragraph" w:styleId="Heading1">
    <w:name w:val="heading 1"/>
    <w:basedOn w:val="Normal"/>
    <w:next w:val="Normal"/>
    <w:link w:val="Heading1Char"/>
    <w:uiPriority w:val="9"/>
    <w:qFormat/>
    <w:rsid w:val="00EB318A"/>
    <w:pPr>
      <w:keepNext/>
      <w:keepLines/>
      <w:spacing w:before="360" w:after="80"/>
      <w:outlineLvl w:val="0"/>
    </w:pPr>
    <w:rPr>
      <w:rFonts w:asciiTheme="majorHAnsi" w:eastAsiaTheme="majorEastAsia" w:hAnsiTheme="majorHAnsi" w:cstheme="majorBidi"/>
      <w:color w:val="032348" w:themeColor="accent1" w:themeShade="BF"/>
      <w:sz w:val="40"/>
      <w:szCs w:val="40"/>
    </w:rPr>
  </w:style>
  <w:style w:type="paragraph" w:styleId="Heading2">
    <w:name w:val="heading 2"/>
    <w:basedOn w:val="Normal"/>
    <w:next w:val="Normal"/>
    <w:link w:val="Heading2Char"/>
    <w:uiPriority w:val="9"/>
    <w:semiHidden/>
    <w:unhideWhenUsed/>
    <w:qFormat/>
    <w:rsid w:val="00EB318A"/>
    <w:pPr>
      <w:keepNext/>
      <w:keepLines/>
      <w:spacing w:before="160" w:after="80"/>
      <w:outlineLvl w:val="1"/>
    </w:pPr>
    <w:rPr>
      <w:rFonts w:asciiTheme="majorHAnsi" w:eastAsiaTheme="majorEastAsia" w:hAnsiTheme="majorHAnsi" w:cstheme="majorBidi"/>
      <w:color w:val="032348" w:themeColor="accent1" w:themeShade="BF"/>
      <w:sz w:val="32"/>
      <w:szCs w:val="32"/>
    </w:rPr>
  </w:style>
  <w:style w:type="paragraph" w:styleId="Heading3">
    <w:name w:val="heading 3"/>
    <w:basedOn w:val="Normal"/>
    <w:next w:val="Normal"/>
    <w:link w:val="Heading3Char"/>
    <w:uiPriority w:val="9"/>
    <w:semiHidden/>
    <w:unhideWhenUsed/>
    <w:qFormat/>
    <w:rsid w:val="00EB318A"/>
    <w:pPr>
      <w:keepNext/>
      <w:keepLines/>
      <w:spacing w:before="160" w:after="80"/>
      <w:outlineLvl w:val="2"/>
    </w:pPr>
    <w:rPr>
      <w:rFonts w:eastAsiaTheme="majorEastAsia" w:cstheme="majorBidi"/>
      <w:color w:val="032348" w:themeColor="accent1" w:themeShade="BF"/>
      <w:sz w:val="28"/>
      <w:szCs w:val="28"/>
    </w:rPr>
  </w:style>
  <w:style w:type="paragraph" w:styleId="Heading4">
    <w:name w:val="heading 4"/>
    <w:basedOn w:val="Normal"/>
    <w:next w:val="Normal"/>
    <w:link w:val="Heading4Char"/>
    <w:uiPriority w:val="9"/>
    <w:semiHidden/>
    <w:unhideWhenUsed/>
    <w:qFormat/>
    <w:rsid w:val="00EB318A"/>
    <w:pPr>
      <w:keepNext/>
      <w:keepLines/>
      <w:spacing w:before="80" w:after="40"/>
      <w:outlineLvl w:val="3"/>
    </w:pPr>
    <w:rPr>
      <w:rFonts w:eastAsiaTheme="majorEastAsia" w:cstheme="majorBidi"/>
      <w:i/>
      <w:iCs/>
      <w:color w:val="032348" w:themeColor="accent1" w:themeShade="BF"/>
    </w:rPr>
  </w:style>
  <w:style w:type="paragraph" w:styleId="Heading5">
    <w:name w:val="heading 5"/>
    <w:basedOn w:val="Normal"/>
    <w:next w:val="Normal"/>
    <w:link w:val="Heading5Char"/>
    <w:uiPriority w:val="9"/>
    <w:semiHidden/>
    <w:unhideWhenUsed/>
    <w:qFormat/>
    <w:rsid w:val="00EB318A"/>
    <w:pPr>
      <w:keepNext/>
      <w:keepLines/>
      <w:spacing w:before="80" w:after="40"/>
      <w:outlineLvl w:val="4"/>
    </w:pPr>
    <w:rPr>
      <w:rFonts w:eastAsiaTheme="majorEastAsia" w:cstheme="majorBidi"/>
      <w:color w:val="032348" w:themeColor="accent1" w:themeShade="BF"/>
    </w:rPr>
  </w:style>
  <w:style w:type="paragraph" w:styleId="Heading6">
    <w:name w:val="heading 6"/>
    <w:basedOn w:val="Normal"/>
    <w:next w:val="Normal"/>
    <w:link w:val="Heading6Char"/>
    <w:uiPriority w:val="9"/>
    <w:semiHidden/>
    <w:unhideWhenUsed/>
    <w:qFormat/>
    <w:rsid w:val="00EB31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31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31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31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5FFC"/>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1E5FFC"/>
    <w:rPr>
      <w:rFonts w:eastAsiaTheme="minorEastAsia"/>
      <w:lang w:eastAsia="en-GB"/>
    </w:rPr>
  </w:style>
  <w:style w:type="character" w:customStyle="1" w:styleId="Heading1Char">
    <w:name w:val="Heading 1 Char"/>
    <w:basedOn w:val="DefaultParagraphFont"/>
    <w:link w:val="Heading1"/>
    <w:uiPriority w:val="9"/>
    <w:rsid w:val="00EB318A"/>
    <w:rPr>
      <w:rFonts w:asciiTheme="majorHAnsi" w:eastAsiaTheme="majorEastAsia" w:hAnsiTheme="majorHAnsi" w:cstheme="majorBidi"/>
      <w:color w:val="032348" w:themeColor="accent1" w:themeShade="BF"/>
      <w:sz w:val="40"/>
      <w:szCs w:val="40"/>
    </w:rPr>
  </w:style>
  <w:style w:type="character" w:customStyle="1" w:styleId="Heading2Char">
    <w:name w:val="Heading 2 Char"/>
    <w:basedOn w:val="DefaultParagraphFont"/>
    <w:link w:val="Heading2"/>
    <w:uiPriority w:val="9"/>
    <w:semiHidden/>
    <w:rsid w:val="00EB318A"/>
    <w:rPr>
      <w:rFonts w:asciiTheme="majorHAnsi" w:eastAsiaTheme="majorEastAsia" w:hAnsiTheme="majorHAnsi" w:cstheme="majorBidi"/>
      <w:color w:val="032348" w:themeColor="accent1" w:themeShade="BF"/>
      <w:sz w:val="32"/>
      <w:szCs w:val="32"/>
    </w:rPr>
  </w:style>
  <w:style w:type="character" w:customStyle="1" w:styleId="Heading3Char">
    <w:name w:val="Heading 3 Char"/>
    <w:basedOn w:val="DefaultParagraphFont"/>
    <w:link w:val="Heading3"/>
    <w:uiPriority w:val="9"/>
    <w:semiHidden/>
    <w:rsid w:val="00EB318A"/>
    <w:rPr>
      <w:rFonts w:eastAsiaTheme="majorEastAsia" w:cstheme="majorBidi"/>
      <w:color w:val="032348" w:themeColor="accent1" w:themeShade="BF"/>
      <w:sz w:val="28"/>
      <w:szCs w:val="28"/>
    </w:rPr>
  </w:style>
  <w:style w:type="character" w:customStyle="1" w:styleId="Heading4Char">
    <w:name w:val="Heading 4 Char"/>
    <w:basedOn w:val="DefaultParagraphFont"/>
    <w:link w:val="Heading4"/>
    <w:uiPriority w:val="9"/>
    <w:semiHidden/>
    <w:rsid w:val="00EB318A"/>
    <w:rPr>
      <w:rFonts w:eastAsiaTheme="majorEastAsia" w:cstheme="majorBidi"/>
      <w:i/>
      <w:iCs/>
      <w:color w:val="032348" w:themeColor="accent1" w:themeShade="BF"/>
    </w:rPr>
  </w:style>
  <w:style w:type="character" w:customStyle="1" w:styleId="Heading5Char">
    <w:name w:val="Heading 5 Char"/>
    <w:basedOn w:val="DefaultParagraphFont"/>
    <w:link w:val="Heading5"/>
    <w:uiPriority w:val="9"/>
    <w:semiHidden/>
    <w:rsid w:val="00EB318A"/>
    <w:rPr>
      <w:rFonts w:eastAsiaTheme="majorEastAsia" w:cstheme="majorBidi"/>
      <w:color w:val="032348" w:themeColor="accent1" w:themeShade="BF"/>
    </w:rPr>
  </w:style>
  <w:style w:type="character" w:customStyle="1" w:styleId="Heading6Char">
    <w:name w:val="Heading 6 Char"/>
    <w:basedOn w:val="DefaultParagraphFont"/>
    <w:link w:val="Heading6"/>
    <w:uiPriority w:val="9"/>
    <w:semiHidden/>
    <w:rsid w:val="00EB31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31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31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318A"/>
    <w:rPr>
      <w:rFonts w:eastAsiaTheme="majorEastAsia" w:cstheme="majorBidi"/>
      <w:color w:val="272727" w:themeColor="text1" w:themeTint="D8"/>
    </w:rPr>
  </w:style>
  <w:style w:type="paragraph" w:styleId="Title">
    <w:name w:val="Title"/>
    <w:basedOn w:val="Normal"/>
    <w:next w:val="Normal"/>
    <w:link w:val="TitleChar"/>
    <w:uiPriority w:val="10"/>
    <w:qFormat/>
    <w:rsid w:val="00EB31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1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31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31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18A"/>
    <w:pPr>
      <w:spacing w:before="160"/>
      <w:jc w:val="center"/>
    </w:pPr>
    <w:rPr>
      <w:i/>
      <w:iCs/>
      <w:color w:val="404040" w:themeColor="text1" w:themeTint="BF"/>
    </w:rPr>
  </w:style>
  <w:style w:type="character" w:customStyle="1" w:styleId="QuoteChar">
    <w:name w:val="Quote Char"/>
    <w:basedOn w:val="DefaultParagraphFont"/>
    <w:link w:val="Quote"/>
    <w:uiPriority w:val="29"/>
    <w:rsid w:val="00EB318A"/>
    <w:rPr>
      <w:i/>
      <w:iCs/>
      <w:color w:val="404040" w:themeColor="text1" w:themeTint="BF"/>
    </w:rPr>
  </w:style>
  <w:style w:type="paragraph" w:styleId="ListParagraph">
    <w:name w:val="List Paragraph"/>
    <w:basedOn w:val="Normal"/>
    <w:uiPriority w:val="34"/>
    <w:qFormat/>
    <w:rsid w:val="00EB318A"/>
    <w:pPr>
      <w:ind w:left="720"/>
      <w:contextualSpacing/>
    </w:pPr>
  </w:style>
  <w:style w:type="character" w:styleId="IntenseEmphasis">
    <w:name w:val="Intense Emphasis"/>
    <w:basedOn w:val="DefaultParagraphFont"/>
    <w:uiPriority w:val="21"/>
    <w:qFormat/>
    <w:rsid w:val="00EB318A"/>
    <w:rPr>
      <w:i/>
      <w:iCs/>
      <w:color w:val="032348" w:themeColor="accent1" w:themeShade="BF"/>
    </w:rPr>
  </w:style>
  <w:style w:type="paragraph" w:styleId="IntenseQuote">
    <w:name w:val="Intense Quote"/>
    <w:basedOn w:val="Normal"/>
    <w:next w:val="Normal"/>
    <w:link w:val="IntenseQuoteChar"/>
    <w:uiPriority w:val="30"/>
    <w:qFormat/>
    <w:rsid w:val="00EB318A"/>
    <w:pPr>
      <w:pBdr>
        <w:top w:val="single" w:sz="4" w:space="10" w:color="032348" w:themeColor="accent1" w:themeShade="BF"/>
        <w:bottom w:val="single" w:sz="4" w:space="10" w:color="032348" w:themeColor="accent1" w:themeShade="BF"/>
      </w:pBdr>
      <w:spacing w:before="360" w:after="360"/>
      <w:ind w:left="864" w:right="864"/>
      <w:jc w:val="center"/>
    </w:pPr>
    <w:rPr>
      <w:i/>
      <w:iCs/>
      <w:color w:val="032348" w:themeColor="accent1" w:themeShade="BF"/>
    </w:rPr>
  </w:style>
  <w:style w:type="character" w:customStyle="1" w:styleId="IntenseQuoteChar">
    <w:name w:val="Intense Quote Char"/>
    <w:basedOn w:val="DefaultParagraphFont"/>
    <w:link w:val="IntenseQuote"/>
    <w:uiPriority w:val="30"/>
    <w:rsid w:val="00EB318A"/>
    <w:rPr>
      <w:i/>
      <w:iCs/>
      <w:color w:val="032348" w:themeColor="accent1" w:themeShade="BF"/>
    </w:rPr>
  </w:style>
  <w:style w:type="character" w:styleId="IntenseReference">
    <w:name w:val="Intense Reference"/>
    <w:basedOn w:val="DefaultParagraphFont"/>
    <w:uiPriority w:val="32"/>
    <w:qFormat/>
    <w:rsid w:val="00EB318A"/>
    <w:rPr>
      <w:b/>
      <w:bCs/>
      <w:smallCaps/>
      <w:color w:val="032348" w:themeColor="accent1" w:themeShade="BF"/>
      <w:spacing w:val="5"/>
    </w:rPr>
  </w:style>
  <w:style w:type="character" w:styleId="Hyperlink">
    <w:name w:val="Hyperlink"/>
    <w:basedOn w:val="DefaultParagraphFont"/>
    <w:uiPriority w:val="99"/>
    <w:unhideWhenUsed/>
    <w:rsid w:val="00357BC7"/>
    <w:rPr>
      <w:color w:val="0D2E46" w:themeColor="hyperlink"/>
      <w:u w:val="single"/>
    </w:rPr>
  </w:style>
  <w:style w:type="character" w:styleId="Emphasis">
    <w:name w:val="Emphasis"/>
    <w:basedOn w:val="DefaultParagraphFont"/>
    <w:uiPriority w:val="20"/>
    <w:qFormat/>
    <w:rsid w:val="00357BC7"/>
    <w:rPr>
      <w:i/>
      <w:iCs/>
    </w:rPr>
  </w:style>
  <w:style w:type="character" w:styleId="FollowedHyperlink">
    <w:name w:val="FollowedHyperlink"/>
    <w:basedOn w:val="DefaultParagraphFont"/>
    <w:uiPriority w:val="99"/>
    <w:semiHidden/>
    <w:unhideWhenUsed/>
    <w:rsid w:val="00357BC7"/>
    <w:rPr>
      <w:color w:val="356A95" w:themeColor="followedHyperlink"/>
      <w:u w:val="single"/>
    </w:rPr>
  </w:style>
  <w:style w:type="paragraph" w:styleId="Header">
    <w:name w:val="header"/>
    <w:basedOn w:val="Normal"/>
    <w:link w:val="HeaderChar"/>
    <w:uiPriority w:val="99"/>
    <w:unhideWhenUsed/>
    <w:rsid w:val="008B6D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D5D"/>
  </w:style>
  <w:style w:type="paragraph" w:styleId="Footer">
    <w:name w:val="footer"/>
    <w:basedOn w:val="Normal"/>
    <w:link w:val="FooterChar"/>
    <w:uiPriority w:val="99"/>
    <w:unhideWhenUsed/>
    <w:rsid w:val="008B6D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D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365712718782996" TargetMode="External"/><Relationship Id="rId18" Type="http://schemas.openxmlformats.org/officeDocument/2006/relationships/hyperlink" Target="https://doi.org/10.1080/23279095.2022.2107928" TargetMode="External"/><Relationship Id="rId26" Type="http://schemas.openxmlformats.org/officeDocument/2006/relationships/hyperlink" Target="https://doi.org/10.1037/lhb0000342" TargetMode="External"/><Relationship Id="rId21" Type="http://schemas.openxmlformats.org/officeDocument/2006/relationships/hyperlink" Target="https://doi.org/10.1002/acp.3683" TargetMode="External"/><Relationship Id="rId34" Type="http://schemas.openxmlformats.org/officeDocument/2006/relationships/hyperlink" Target="https://doi.org/10.1177/1745691617734878" TargetMode="External"/><Relationship Id="rId7" Type="http://schemas.openxmlformats.org/officeDocument/2006/relationships/hyperlink" Target="https://doi.org/10.1080/09658211.2020.1849308" TargetMode="External"/><Relationship Id="rId12" Type="http://schemas.openxmlformats.org/officeDocument/2006/relationships/hyperlink" Target="https://doi.org/10.1080/1068316X.2011.599325" TargetMode="External"/><Relationship Id="rId17" Type="http://schemas.openxmlformats.org/officeDocument/2006/relationships/hyperlink" Target="https://researchbriefings.files.parliament.uk/documents/POST-PN-0607/POST-PN-0607.pdf" TargetMode="External"/><Relationship Id="rId25" Type="http://schemas.openxmlformats.org/officeDocument/2006/relationships/hyperlink" Target="https://doi.org/10.1177/0887403416687359" TargetMode="External"/><Relationship Id="rId33" Type="http://schemas.openxmlformats.org/officeDocument/2006/relationships/hyperlink" Target="https://doi.org/10.1016/j.forsciint.2018.08.018" TargetMode="External"/><Relationship Id="rId2" Type="http://schemas.openxmlformats.org/officeDocument/2006/relationships/settings" Target="settings.xml"/><Relationship Id="rId16" Type="http://schemas.openxmlformats.org/officeDocument/2006/relationships/hyperlink" Target="https://doi.org/10.1177/13657127211031018" TargetMode="External"/><Relationship Id="rId20" Type="http://schemas.openxmlformats.org/officeDocument/2006/relationships/hyperlink" Target="https://doi.org/10.3758/s13414-022-02643-8" TargetMode="External"/><Relationship Id="rId29" Type="http://schemas.openxmlformats.org/officeDocument/2006/relationships/hyperlink" Target="http://dx.doi.org/10.1037/lhb0000334" TargetMode="External"/><Relationship Id="rId1" Type="http://schemas.openxmlformats.org/officeDocument/2006/relationships/styles" Target="styles.xml"/><Relationship Id="rId6" Type="http://schemas.openxmlformats.org/officeDocument/2006/relationships/hyperlink" Target="https://psycnet.apa.org/doi/10.1037/lhb0000416" TargetMode="External"/><Relationship Id="rId11" Type="http://schemas.openxmlformats.org/officeDocument/2006/relationships/hyperlink" Target="https://doi.org/10.1002/acp.3005" TargetMode="External"/><Relationship Id="rId24" Type="http://schemas.openxmlformats.org/officeDocument/2006/relationships/hyperlink" Target="https://doi.org/10.1016/j.ijlp.2004.03.004" TargetMode="External"/><Relationship Id="rId32" Type="http://schemas.openxmlformats.org/officeDocument/2006/relationships/hyperlink" Target="https://doi.org/10.3389/fpsyt.2014.00102"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oi.org/10.1111/jels.12259" TargetMode="External"/><Relationship Id="rId23" Type="http://schemas.openxmlformats.org/officeDocument/2006/relationships/hyperlink" Target="https://doi.org/10.1002/acp.1550" TargetMode="External"/><Relationship Id="rId28" Type="http://schemas.openxmlformats.org/officeDocument/2006/relationships/hyperlink" Target="https://doi-org.ezproxy.uwtsd.ac.uk/10.1177/0963721414554394" TargetMode="External"/><Relationship Id="rId36" Type="http://schemas.openxmlformats.org/officeDocument/2006/relationships/fontTable" Target="fontTable.xml"/><Relationship Id="rId10" Type="http://schemas.openxmlformats.org/officeDocument/2006/relationships/hyperlink" Target="https://assets.publishing.service.gov.uk/media/5a7bfc5140f0b645ba3c5ff5/0338.pdf" TargetMode="External"/><Relationship Id="rId19" Type="http://schemas.openxmlformats.org/officeDocument/2006/relationships/hyperlink" Target="https://innocenceproject.org/" TargetMode="External"/><Relationship Id="rId31" Type="http://schemas.openxmlformats.org/officeDocument/2006/relationships/hyperlink" Target="https://doi.org/10.17159/1727-3781/2016/v19i0a1247" TargetMode="External"/><Relationship Id="rId4" Type="http://schemas.openxmlformats.org/officeDocument/2006/relationships/footnotes" Target="footnotes.xml"/><Relationship Id="rId9" Type="http://schemas.openxmlformats.org/officeDocument/2006/relationships/hyperlink" Target="https://doi.org/10.1080/13218710802101605" TargetMode="External"/><Relationship Id="rId14" Type="http://schemas.openxmlformats.org/officeDocument/2006/relationships/hyperlink" Target="https://doi.org/10.1146/annurev-criminol-011518-024739" TargetMode="External"/><Relationship Id="rId22" Type="http://schemas.openxmlformats.org/officeDocument/2006/relationships/hyperlink" Target="https://doi.org/10.1080/09658211.2013.774417" TargetMode="External"/><Relationship Id="rId27" Type="http://schemas.openxmlformats.org/officeDocument/2006/relationships/hyperlink" Target="http://dx.doi.org/10.1037/a0031602" TargetMode="External"/><Relationship Id="rId30" Type="http://schemas.openxmlformats.org/officeDocument/2006/relationships/hyperlink" Target="https://researchbriefings.files.parliament.uk/documents/POST-PN-0607/POST-PN-0607.pdf" TargetMode="External"/><Relationship Id="rId35" Type="http://schemas.openxmlformats.org/officeDocument/2006/relationships/footer" Target="footer1.xml"/><Relationship Id="rId8" Type="http://schemas.openxmlformats.org/officeDocument/2006/relationships/hyperlink" Target="https://doi.org/10.1177/0963721410389169" TargetMode="External"/><Relationship Id="rId3" Type="http://schemas.openxmlformats.org/officeDocument/2006/relationships/webSettings" Target="webSettings.xm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docProps/app.xml><?xml version="1.0" encoding="utf-8"?>
<Properties xmlns="http://schemas.openxmlformats.org/officeDocument/2006/extended-properties" xmlns:vt="http://schemas.openxmlformats.org/officeDocument/2006/docPropsVTypes">
  <Template>Normal</Template>
  <TotalTime>81</TotalTime>
  <Pages>11</Pages>
  <Words>4324</Words>
  <Characters>23612</Characters>
  <Application>Microsoft Office Word</Application>
  <DocSecurity>0</DocSecurity>
  <Lines>332</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Macare</dc:creator>
  <cp:keywords/>
  <dc:description/>
  <cp:lastModifiedBy>Claire Macare</cp:lastModifiedBy>
  <cp:revision>7</cp:revision>
  <dcterms:created xsi:type="dcterms:W3CDTF">2024-12-03T20:21:00Z</dcterms:created>
  <dcterms:modified xsi:type="dcterms:W3CDTF">2024-12-03T23:46:00Z</dcterms:modified>
</cp:coreProperties>
</file>