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ind w:left="0" w:right="0" w:firstLine="0"/>
        <w:jc w:val="center"/>
        <w:rPr>
          <w:u w:color="000000"/>
          <w:rtl w:val="0"/>
          <w:lang w:val="en-US"/>
        </w:rPr>
      </w:pPr>
      <w:r>
        <w:rPr>
          <w:u w:color="000000"/>
          <w:rtl w:val="0"/>
          <w:lang w:val="en-US"/>
        </w:rPr>
        <w:t>Assessment 1</w:t>
      </w:r>
    </w:p>
    <w:p>
      <w:pPr>
        <w:pStyle w:val="Title"/>
        <w:bidi w:val="0"/>
        <w:ind w:left="0" w:right="0" w:firstLine="0"/>
        <w:jc w:val="center"/>
        <w:rPr>
          <w:u w:color="000000"/>
          <w:rtl w:val="0"/>
          <w:lang w:val="en-US"/>
        </w:rPr>
      </w:pPr>
    </w:p>
    <w:p>
      <w:pPr>
        <w:pStyle w:val="Title"/>
        <w:bidi w:val="0"/>
        <w:ind w:left="0" w:right="0" w:firstLine="0"/>
        <w:jc w:val="center"/>
        <w:rPr>
          <w:u w:color="000000"/>
          <w:rtl w:val="0"/>
          <w:lang w:val="en-US"/>
        </w:rPr>
      </w:pPr>
      <w:r>
        <w:rPr>
          <w:u w:color="000000"/>
          <w:rtl w:val="0"/>
          <w:lang w:val="en-US"/>
        </w:rPr>
        <w:t>Financial Analysis</w:t>
      </w:r>
    </w:p>
    <w:p>
      <w:pPr>
        <w:pStyle w:val="Default"/>
        <w:bidi w:val="0"/>
        <w:ind w:left="0" w:right="0" w:firstLine="0"/>
        <w:jc w:val="left"/>
        <w:rPr>
          <w:u w:color="000000"/>
          <w:rtl w:val="0"/>
          <w:lang w:val="en-US"/>
        </w:rPr>
      </w:pPr>
    </w:p>
    <w:p>
      <w:pPr>
        <w:pStyle w:val="Title"/>
        <w:bidi w:val="0"/>
        <w:ind w:left="0" w:right="0" w:firstLine="0"/>
        <w:jc w:val="center"/>
        <w:rPr>
          <w:u w:color="000000"/>
          <w:rtl w:val="0"/>
          <w:lang w:val="en-US"/>
        </w:rPr>
      </w:pPr>
      <w:r>
        <w:rPr>
          <w:u w:color="000000"/>
          <w:rtl w:val="0"/>
          <w:lang w:val="en-US"/>
        </w:rPr>
        <w:t>“</w:t>
      </w:r>
      <w:r>
        <w:rPr>
          <w:u w:color="000000"/>
          <w:rtl w:val="0"/>
          <w:lang w:val="en-US"/>
        </w:rPr>
        <w:t>Young &amp; Co.'s Brewery Plc</w:t>
      </w:r>
      <w:r>
        <w:rPr>
          <w:u w:color="000000"/>
          <w:rtl w:val="0"/>
          <w:lang w:val="en-US"/>
        </w:rPr>
        <w:t>”</w:t>
      </w: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right"/>
        <w:rPr>
          <w:sz w:val="26"/>
          <w:szCs w:val="26"/>
          <w:u w:color="000000"/>
          <w:rtl w:val="0"/>
          <w:lang w:val="en-US"/>
        </w:rPr>
      </w:pPr>
      <w:r>
        <w:rPr>
          <w:sz w:val="26"/>
          <w:szCs w:val="26"/>
          <w:u w:color="000000"/>
          <w:rtl w:val="0"/>
          <w:lang w:val="en-US"/>
        </w:rPr>
        <w:t xml:space="preserve">                                                                                                Lecturer : </w:t>
      </w:r>
      <w:r>
        <w:rPr>
          <w:sz w:val="26"/>
          <w:szCs w:val="26"/>
          <w:u w:color="000000"/>
          <w:rtl w:val="0"/>
          <w:lang w:val="en-US"/>
        </w:rPr>
        <w:t>Jia Miao</w:t>
      </w: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center"/>
        <w:rPr>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r>
        <w:rPr>
          <w:sz w:val="26"/>
          <w:szCs w:val="26"/>
          <w:u w:color="000000"/>
          <w:rtl w:val="0"/>
          <w:lang w:val="en-US"/>
        </w:rPr>
        <w:t>Nikolay Marinov Valkov (Student ID : 1814699)</w:t>
      </w: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p>
    <w:p>
      <w:pPr>
        <w:pStyle w:val="Default"/>
        <w:bidi w:val="0"/>
        <w:ind w:left="0" w:right="0" w:firstLine="0"/>
        <w:jc w:val="left"/>
        <w:rPr>
          <w:sz w:val="26"/>
          <w:szCs w:val="26"/>
          <w:u w:color="000000"/>
          <w:rtl w:val="0"/>
          <w:lang w:val="en-US"/>
        </w:rPr>
      </w:pPr>
      <w:r>
        <w:rPr>
          <w:sz w:val="26"/>
          <w:szCs w:val="26"/>
          <w:u w:color="000000"/>
          <w:rtl w:val="0"/>
          <w:lang w:val="en-US"/>
        </w:rPr>
        <w:br w:type="textWrapping"/>
      </w:r>
    </w:p>
    <w:p>
      <w:pPr>
        <w:pStyle w:val="Title"/>
        <w:bidi w:val="0"/>
        <w:ind w:left="0" w:right="0" w:firstLine="0"/>
        <w:jc w:val="center"/>
        <w:rPr>
          <w:rFonts w:ascii="Times" w:cs="Times" w:hAnsi="Times" w:eastAsia="Times"/>
          <w:u w:color="000000"/>
          <w:rtl w:val="0"/>
          <w:lang w:val="en-US"/>
        </w:rPr>
      </w:pPr>
      <w:r>
        <w:rPr>
          <w:rFonts w:ascii="Times" w:hAnsi="Times"/>
          <w:u w:color="000000"/>
          <w:rtl w:val="0"/>
          <w:lang w:val="en-US"/>
        </w:rPr>
        <w:t>Contents</w:t>
      </w:r>
    </w:p>
    <w:p>
      <w:pPr>
        <w:pStyle w:val="Default"/>
        <w:bidi w:val="0"/>
        <w:ind w:left="0" w:right="0" w:firstLine="0"/>
        <w:jc w:val="both"/>
        <w:rPr>
          <w:rFonts w:ascii="Times" w:cs="Times" w:hAnsi="Times" w:eastAsia="Times"/>
          <w:sz w:val="34"/>
          <w:szCs w:val="34"/>
          <w:u w:color="000000"/>
          <w:rtl w:val="0"/>
          <w:lang w:val="en-US"/>
        </w:rPr>
      </w:pPr>
    </w:p>
    <w:p>
      <w:pPr>
        <w:pStyle w:val="Default"/>
        <w:bidi w:val="0"/>
        <w:ind w:left="0" w:right="0" w:firstLine="0"/>
        <w:jc w:val="both"/>
        <w:rPr>
          <w:rFonts w:ascii="Times" w:cs="Times" w:hAnsi="Times" w:eastAsia="Times"/>
          <w:sz w:val="40"/>
          <w:szCs w:val="40"/>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Company History</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Financial Performance</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Profitability (operating profit margin, net profit margin)</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Liquidity (current ratio, cash ratio)</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Gearing (debt to equity ratio, debt to capital ratio)</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 xml:space="preserve">Efficiency ratio (asset turnover, fixed asset turnover) </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Payback Period</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NPV</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IRR</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 xml:space="preserve">ARR </w:t>
      </w:r>
    </w:p>
    <w:p>
      <w:pPr>
        <w:pStyle w:val="Default"/>
        <w:bidi w:val="0"/>
        <w:ind w:left="0" w:right="0" w:firstLine="0"/>
        <w:jc w:val="both"/>
        <w:rPr>
          <w:rFonts w:ascii="Times" w:cs="Times" w:hAnsi="Times" w:eastAsia="Times"/>
          <w:sz w:val="46"/>
          <w:szCs w:val="46"/>
          <w:u w:color="000000"/>
          <w:rtl w:val="0"/>
          <w:lang w:val="en-US"/>
        </w:rPr>
      </w:pPr>
    </w:p>
    <w:p>
      <w:pPr>
        <w:pStyle w:val="Default"/>
        <w:bidi w:val="0"/>
        <w:ind w:left="0" w:right="0" w:firstLine="0"/>
        <w:jc w:val="both"/>
        <w:rPr>
          <w:rFonts w:ascii="Times" w:cs="Times" w:hAnsi="Times" w:eastAsia="Times"/>
          <w:sz w:val="46"/>
          <w:szCs w:val="46"/>
          <w:u w:color="000000"/>
          <w:rtl w:val="0"/>
          <w:lang w:val="en-US"/>
        </w:rPr>
      </w:pPr>
      <w:r>
        <w:rPr>
          <w:rFonts w:ascii="Times" w:hAnsi="Times"/>
          <w:sz w:val="46"/>
          <w:szCs w:val="46"/>
          <w:u w:color="000000"/>
          <w:rtl w:val="0"/>
          <w:lang w:val="en-US"/>
        </w:rPr>
        <w:t xml:space="preserve">Reference </w:t>
      </w:r>
    </w:p>
    <w:p>
      <w:pPr>
        <w:pStyle w:val="Default"/>
        <w:bidi w:val="0"/>
        <w:ind w:left="0" w:right="0" w:firstLine="0"/>
        <w:jc w:val="both"/>
        <w:rPr>
          <w:rFonts w:ascii="Times" w:cs="Times" w:hAnsi="Times" w:eastAsia="Times"/>
          <w:sz w:val="40"/>
          <w:szCs w:val="40"/>
          <w:u w:color="000000"/>
          <w:rtl w:val="0"/>
          <w:lang w:val="en-US"/>
        </w:rPr>
      </w:pPr>
      <w:r>
        <w:rPr>
          <w:rFonts w:ascii="Times" w:hAnsi="Times"/>
          <w:sz w:val="40"/>
          <w:szCs w:val="40"/>
          <w:u w:color="000000"/>
          <w:rtl w:val="0"/>
          <w:lang w:val="en-US"/>
        </w:rPr>
        <w:t>Company History</w:t>
      </w:r>
    </w:p>
    <w:p>
      <w:pPr>
        <w:pStyle w:val="Default"/>
        <w:bidi w:val="0"/>
        <w:ind w:left="0" w:right="0" w:firstLine="0"/>
        <w:jc w:val="both"/>
        <w:rPr>
          <w:rFonts w:ascii="Times" w:cs="Times" w:hAnsi="Times" w:eastAsia="Times"/>
          <w:sz w:val="40"/>
          <w:szCs w:val="40"/>
          <w:u w:color="000000"/>
          <w:rtl w:val="0"/>
          <w:lang w:val="en-US"/>
        </w:rPr>
      </w:pPr>
    </w:p>
    <w:p>
      <w:pPr>
        <w:pStyle w:val="Default"/>
        <w:bidi w:val="0"/>
        <w:spacing w:line="280" w:lineRule="atLeast"/>
        <w:ind w:left="0" w:right="0" w:firstLine="0"/>
        <w:jc w:val="left"/>
        <w:rPr>
          <w:rFonts w:ascii="Times New Roman" w:cs="Times New Roman" w:hAnsi="Times New Roman" w:eastAsia="Times New Roman"/>
          <w:u w:color="000000"/>
          <w:rtl w:val="0"/>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Young</w:t>
      </w:r>
      <w:r>
        <w:rPr>
          <w:rFonts w:ascii="Times New Roman" w:hAnsi="Times New Roman" w:hint="default"/>
          <w:sz w:val="30"/>
          <w:szCs w:val="30"/>
          <w:rtl w:val="0"/>
          <w:lang w:val="en-US"/>
        </w:rPr>
        <w:t>’</w:t>
      </w:r>
      <w:r>
        <w:rPr>
          <w:rFonts w:ascii="Times New Roman" w:hAnsi="Times New Roman"/>
          <w:sz w:val="30"/>
          <w:szCs w:val="30"/>
          <w:rtl w:val="0"/>
          <w:lang w:val="en-US"/>
        </w:rPr>
        <w:t>s</w:t>
      </w:r>
      <w:r>
        <w:rPr>
          <w:rFonts w:ascii="Times New Roman" w:hAnsi="Times New Roman"/>
          <w:sz w:val="30"/>
          <w:szCs w:val="30"/>
          <w:rtl w:val="0"/>
          <w:lang w:val="en-US"/>
        </w:rPr>
        <w:t xml:space="preserve"> </w:t>
      </w:r>
      <w:r>
        <w:rPr>
          <w:rFonts w:ascii="Times New Roman" w:hAnsi="Times New Roman"/>
          <w:sz w:val="30"/>
          <w:szCs w:val="30"/>
          <w:rtl w:val="0"/>
          <w:lang w:val="en-US"/>
        </w:rPr>
        <w:t>started</w:t>
      </w:r>
      <w:r>
        <w:rPr>
          <w:rFonts w:ascii="Times New Roman" w:hAnsi="Times New Roman"/>
          <w:sz w:val="30"/>
          <w:szCs w:val="30"/>
          <w:rtl w:val="0"/>
          <w:lang w:val="en-US"/>
        </w:rPr>
        <w:t xml:space="preserve"> in 1831 by Charles Allen Young and Anthony Fothergill Bainbridge. </w:t>
      </w:r>
      <w:r>
        <w:rPr>
          <w:rFonts w:ascii="Times New Roman" w:hAnsi="Times New Roman"/>
          <w:sz w:val="30"/>
          <w:szCs w:val="30"/>
          <w:rtl w:val="0"/>
          <w:lang w:val="en-US"/>
        </w:rPr>
        <w:t>It is a popular, high-end pub company.</w:t>
      </w:r>
      <w:r>
        <w:rPr>
          <w:rFonts w:ascii="Times New Roman" w:hAnsi="Times New Roman"/>
          <w:sz w:val="30"/>
          <w:szCs w:val="30"/>
          <w:rtl w:val="0"/>
          <w:lang w:val="en-US"/>
        </w:rPr>
        <w:t>The organi</w:t>
      </w:r>
      <w:r>
        <w:rPr>
          <w:rFonts w:ascii="Times New Roman" w:hAnsi="Times New Roman"/>
          <w:sz w:val="30"/>
          <w:szCs w:val="30"/>
          <w:rtl w:val="0"/>
          <w:lang w:val="en-US"/>
        </w:rPr>
        <w:t>s</w:t>
      </w:r>
      <w:r>
        <w:rPr>
          <w:rFonts w:ascii="Times New Roman" w:hAnsi="Times New Roman"/>
          <w:sz w:val="30"/>
          <w:szCs w:val="30"/>
          <w:rtl w:val="0"/>
          <w:lang w:val="en-US"/>
        </w:rPr>
        <w:t xml:space="preserve">ation is </w:t>
      </w:r>
      <w:r>
        <w:rPr>
          <w:rFonts w:ascii="Times New Roman" w:hAnsi="Times New Roman"/>
          <w:sz w:val="30"/>
          <w:szCs w:val="30"/>
          <w:rtl w:val="0"/>
          <w:lang w:val="en-US"/>
        </w:rPr>
        <w:t>famous</w:t>
      </w:r>
      <w:r>
        <w:rPr>
          <w:rFonts w:ascii="Times New Roman" w:hAnsi="Times New Roman"/>
          <w:sz w:val="30"/>
          <w:szCs w:val="30"/>
          <w:rtl w:val="0"/>
          <w:lang w:val="en-US"/>
        </w:rPr>
        <w:t xml:space="preserve"> with their pale </w:t>
      </w:r>
      <w:r>
        <w:rPr>
          <w:rFonts w:ascii="Times New Roman" w:hAnsi="Times New Roman"/>
          <w:sz w:val="30"/>
          <w:szCs w:val="30"/>
          <w:rtl w:val="0"/>
          <w:lang w:val="en-US"/>
        </w:rPr>
        <w:t>bitter</w:t>
      </w:r>
      <w:r>
        <w:rPr>
          <w:rFonts w:ascii="Times New Roman" w:hAnsi="Times New Roman"/>
          <w:sz w:val="30"/>
          <w:szCs w:val="30"/>
          <w:rtl w:val="0"/>
          <w:lang w:val="en-US"/>
        </w:rPr>
        <w:t xml:space="preserve"> called Young's Bitter and the manner in which it was conveyed to their </w:t>
      </w:r>
      <w:r>
        <w:rPr>
          <w:rFonts w:ascii="Times New Roman" w:hAnsi="Times New Roman"/>
          <w:sz w:val="30"/>
          <w:szCs w:val="30"/>
          <w:rtl w:val="0"/>
          <w:lang w:val="en-US"/>
        </w:rPr>
        <w:t>pubs</w:t>
      </w:r>
      <w:r>
        <w:rPr>
          <w:rFonts w:ascii="Times New Roman" w:hAnsi="Times New Roman"/>
          <w:sz w:val="30"/>
          <w:szCs w:val="30"/>
          <w:rtl w:val="0"/>
          <w:lang w:val="en-US"/>
        </w:rPr>
        <w:t xml:space="preserve"> utili</w:t>
      </w:r>
      <w:r>
        <w:rPr>
          <w:rFonts w:ascii="Times New Roman" w:hAnsi="Times New Roman"/>
          <w:sz w:val="30"/>
          <w:szCs w:val="30"/>
          <w:rtl w:val="0"/>
          <w:lang w:val="en-US"/>
        </w:rPr>
        <w:t>s</w:t>
      </w:r>
      <w:r>
        <w:rPr>
          <w:rFonts w:ascii="Times New Roman" w:hAnsi="Times New Roman"/>
          <w:sz w:val="30"/>
          <w:szCs w:val="30"/>
          <w:rtl w:val="0"/>
          <w:lang w:val="en-US"/>
        </w:rPr>
        <w:t xml:space="preserve">ing dark Shire horse trucks. They began business with 5 </w:t>
      </w:r>
      <w:r>
        <w:rPr>
          <w:rFonts w:ascii="Times New Roman" w:hAnsi="Times New Roman"/>
          <w:sz w:val="30"/>
          <w:szCs w:val="30"/>
          <w:rtl w:val="0"/>
          <w:lang w:val="en-US"/>
        </w:rPr>
        <w:t>pubs</w:t>
      </w:r>
      <w:r>
        <w:rPr>
          <w:rFonts w:ascii="Times New Roman" w:hAnsi="Times New Roman"/>
          <w:sz w:val="30"/>
          <w:szCs w:val="30"/>
          <w:rtl w:val="0"/>
          <w:lang w:val="en-US"/>
        </w:rPr>
        <w:t xml:space="preserve"> and the </w:t>
      </w:r>
      <w:r>
        <w:rPr>
          <w:rFonts w:ascii="Times New Roman" w:hAnsi="Times New Roman"/>
          <w:sz w:val="30"/>
          <w:szCs w:val="30"/>
          <w:rtl w:val="0"/>
          <w:lang w:val="en-US"/>
        </w:rPr>
        <w:t>brewery</w:t>
      </w:r>
      <w:r>
        <w:rPr>
          <w:rFonts w:ascii="Times New Roman" w:hAnsi="Times New Roman"/>
          <w:sz w:val="30"/>
          <w:szCs w:val="30"/>
          <w:rtl w:val="0"/>
          <w:lang w:val="en-US"/>
        </w:rPr>
        <w:t xml:space="preserve"> itself, which was situated in Wandsworth. From that point forward they have made a portion of the country's preferred beers and lagers. </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The organi</w:t>
      </w:r>
      <w:r>
        <w:rPr>
          <w:rFonts w:ascii="Times New Roman" w:hAnsi="Times New Roman"/>
          <w:sz w:val="30"/>
          <w:szCs w:val="30"/>
          <w:rtl w:val="0"/>
          <w:lang w:val="en-US"/>
        </w:rPr>
        <w:t>s</w:t>
      </w:r>
      <w:r>
        <w:rPr>
          <w:rFonts w:ascii="Times New Roman" w:hAnsi="Times New Roman"/>
          <w:sz w:val="30"/>
          <w:szCs w:val="30"/>
          <w:rtl w:val="0"/>
          <w:lang w:val="en-US"/>
        </w:rPr>
        <w:t xml:space="preserve">ation </w:t>
      </w:r>
      <w:r>
        <w:rPr>
          <w:rFonts w:ascii="Times New Roman" w:hAnsi="Times New Roman"/>
          <w:sz w:val="30"/>
          <w:szCs w:val="30"/>
          <w:rtl w:val="0"/>
          <w:lang w:val="en-US"/>
        </w:rPr>
        <w:t xml:space="preserve">kept growing and opening new locations across the country mainly in </w:t>
      </w:r>
      <w:r>
        <w:rPr>
          <w:rFonts w:ascii="Times New Roman" w:hAnsi="Times New Roman"/>
          <w:sz w:val="30"/>
          <w:szCs w:val="30"/>
          <w:rtl w:val="0"/>
          <w:lang w:val="en-US"/>
        </w:rPr>
        <w:t xml:space="preserve">South East of England and London zone. </w:t>
      </w:r>
      <w:r>
        <w:rPr>
          <w:rFonts w:ascii="Times New Roman" w:hAnsi="Times New Roman"/>
          <w:sz w:val="30"/>
          <w:szCs w:val="30"/>
          <w:rtl w:val="0"/>
          <w:lang w:val="en-US"/>
        </w:rPr>
        <w:t>Throughout the years they started releasing even more different types of beers.</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 xml:space="preserve">In 2006 they </w:t>
      </w:r>
      <w:r>
        <w:rPr>
          <w:rFonts w:ascii="Times New Roman" w:hAnsi="Times New Roman"/>
          <w:sz w:val="30"/>
          <w:szCs w:val="30"/>
          <w:rtl w:val="0"/>
          <w:lang w:val="en-US"/>
        </w:rPr>
        <w:t>bought</w:t>
      </w:r>
      <w:r>
        <w:rPr>
          <w:rFonts w:ascii="Times New Roman" w:hAnsi="Times New Roman"/>
          <w:sz w:val="30"/>
          <w:szCs w:val="30"/>
          <w:rtl w:val="0"/>
          <w:lang w:val="en-US"/>
        </w:rPr>
        <w:t xml:space="preserve"> Geronimo PLC and today they work in excess of 200 </w:t>
      </w:r>
      <w:r>
        <w:rPr>
          <w:rFonts w:ascii="Times New Roman" w:hAnsi="Times New Roman"/>
          <w:sz w:val="30"/>
          <w:szCs w:val="30"/>
          <w:rtl w:val="0"/>
          <w:lang w:val="en-US"/>
        </w:rPr>
        <w:t>pubs</w:t>
      </w:r>
      <w:r>
        <w:rPr>
          <w:rFonts w:ascii="Times New Roman" w:hAnsi="Times New Roman"/>
          <w:sz w:val="30"/>
          <w:szCs w:val="30"/>
          <w:rtl w:val="0"/>
          <w:lang w:val="en-US"/>
        </w:rPr>
        <w:t xml:space="preserve"> together. </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Young</w:t>
      </w:r>
      <w:r>
        <w:rPr>
          <w:rFonts w:ascii="Times New Roman" w:hAnsi="Times New Roman" w:hint="default"/>
          <w:sz w:val="30"/>
          <w:szCs w:val="30"/>
          <w:rtl w:val="0"/>
          <w:lang w:val="en-US"/>
        </w:rPr>
        <w:t>’</w:t>
      </w:r>
      <w:r>
        <w:rPr>
          <w:rFonts w:ascii="Times New Roman" w:hAnsi="Times New Roman"/>
          <w:sz w:val="30"/>
          <w:szCs w:val="30"/>
          <w:rtl w:val="0"/>
          <w:lang w:val="en-US"/>
        </w:rPr>
        <w:t>s</w:t>
      </w:r>
      <w:r>
        <w:rPr>
          <w:rFonts w:ascii="Times New Roman" w:hAnsi="Times New Roman"/>
          <w:sz w:val="30"/>
          <w:szCs w:val="30"/>
          <w:rtl w:val="0"/>
          <w:lang w:val="en-US"/>
        </w:rPr>
        <w:t xml:space="preserve"> </w:t>
      </w:r>
      <w:r>
        <w:rPr>
          <w:rFonts w:ascii="Times New Roman" w:hAnsi="Times New Roman"/>
          <w:sz w:val="30"/>
          <w:szCs w:val="30"/>
          <w:rtl w:val="0"/>
          <w:lang w:val="en-US"/>
        </w:rPr>
        <w:t>revenue</w:t>
      </w:r>
      <w:r>
        <w:rPr>
          <w:rFonts w:ascii="Times New Roman" w:hAnsi="Times New Roman"/>
          <w:sz w:val="30"/>
          <w:szCs w:val="30"/>
          <w:rtl w:val="0"/>
          <w:lang w:val="en-US"/>
        </w:rPr>
        <w:t xml:space="preserve"> grew 153 million over the </w:t>
      </w:r>
      <w:r>
        <w:rPr>
          <w:rFonts w:ascii="Times New Roman" w:hAnsi="Times New Roman"/>
          <w:sz w:val="30"/>
          <w:szCs w:val="30"/>
          <w:rtl w:val="0"/>
          <w:lang w:val="en-US"/>
        </w:rPr>
        <w:t>past</w:t>
      </w:r>
      <w:r>
        <w:rPr>
          <w:rFonts w:ascii="Times New Roman" w:hAnsi="Times New Roman"/>
          <w:sz w:val="30"/>
          <w:szCs w:val="30"/>
          <w:rtl w:val="0"/>
          <w:lang w:val="en-US"/>
        </w:rPr>
        <w:t xml:space="preserve"> ten years and is presently at 279.3 million (Young's </w:t>
      </w:r>
      <w:r>
        <w:rPr>
          <w:rFonts w:ascii="Times New Roman" w:hAnsi="Times New Roman"/>
          <w:sz w:val="30"/>
          <w:szCs w:val="30"/>
          <w:rtl w:val="0"/>
          <w:lang w:val="en-US"/>
        </w:rPr>
        <w:t>annual</w:t>
      </w:r>
      <w:r>
        <w:rPr>
          <w:rFonts w:ascii="Times New Roman" w:hAnsi="Times New Roman"/>
          <w:sz w:val="30"/>
          <w:szCs w:val="30"/>
          <w:rtl w:val="0"/>
          <w:lang w:val="en-US"/>
        </w:rPr>
        <w:t xml:space="preserve"> reports, 2009-2018). </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You</w:t>
      </w:r>
      <w:r>
        <w:rPr>
          <w:rFonts w:ascii="Times New Roman" w:hAnsi="Times New Roman"/>
          <w:sz w:val="30"/>
          <w:szCs w:val="30"/>
          <w:rtl w:val="0"/>
          <w:lang w:val="en-US"/>
        </w:rPr>
        <w:t>ng</w:t>
      </w:r>
      <w:r>
        <w:rPr>
          <w:rFonts w:ascii="Times New Roman" w:hAnsi="Times New Roman" w:hint="default"/>
          <w:sz w:val="30"/>
          <w:szCs w:val="30"/>
          <w:rtl w:val="0"/>
          <w:lang w:val="en-US"/>
        </w:rPr>
        <w:t>’</w:t>
      </w:r>
      <w:r>
        <w:rPr>
          <w:rFonts w:ascii="Times New Roman" w:hAnsi="Times New Roman"/>
          <w:sz w:val="30"/>
          <w:szCs w:val="30"/>
          <w:rtl w:val="0"/>
          <w:lang w:val="en-US"/>
        </w:rPr>
        <w:t>s</w:t>
      </w:r>
      <w:r>
        <w:rPr>
          <w:rFonts w:ascii="Times New Roman" w:hAnsi="Times New Roman"/>
          <w:sz w:val="30"/>
          <w:szCs w:val="30"/>
          <w:rtl w:val="0"/>
          <w:lang w:val="en-US"/>
        </w:rPr>
        <w:t xml:space="preserve"> is </w:t>
      </w:r>
      <w:r>
        <w:rPr>
          <w:rFonts w:ascii="Times New Roman" w:hAnsi="Times New Roman"/>
          <w:sz w:val="30"/>
          <w:szCs w:val="30"/>
          <w:rtl w:val="0"/>
          <w:lang w:val="en-US"/>
        </w:rPr>
        <w:t>main competitor is</w:t>
      </w:r>
      <w:r>
        <w:rPr>
          <w:rFonts w:ascii="Times New Roman" w:hAnsi="Times New Roman"/>
          <w:sz w:val="30"/>
          <w:szCs w:val="30"/>
          <w:rtl w:val="0"/>
          <w:lang w:val="en-US"/>
        </w:rPr>
        <w:t xml:space="preserve"> Fuller's </w:t>
      </w:r>
      <w:r>
        <w:rPr>
          <w:rFonts w:ascii="Times New Roman" w:hAnsi="Times New Roman"/>
          <w:sz w:val="30"/>
          <w:szCs w:val="30"/>
          <w:rtl w:val="0"/>
          <w:lang w:val="en-US"/>
        </w:rPr>
        <w:t>and other</w:t>
      </w:r>
      <w:r>
        <w:rPr>
          <w:rFonts w:ascii="Times New Roman" w:hAnsi="Times New Roman"/>
          <w:sz w:val="30"/>
          <w:szCs w:val="30"/>
          <w:rtl w:val="0"/>
          <w:lang w:val="en-US"/>
        </w:rPr>
        <w:t xml:space="preserve"> </w:t>
      </w:r>
      <w:r>
        <w:rPr>
          <w:rFonts w:ascii="Times New Roman" w:hAnsi="Times New Roman"/>
          <w:sz w:val="30"/>
          <w:szCs w:val="30"/>
          <w:rtl w:val="0"/>
          <w:lang w:val="en-US"/>
        </w:rPr>
        <w:t>pubs</w:t>
      </w:r>
      <w:r>
        <w:rPr>
          <w:rFonts w:ascii="Times New Roman" w:hAnsi="Times New Roman"/>
          <w:sz w:val="30"/>
          <w:szCs w:val="30"/>
          <w:rtl w:val="0"/>
          <w:lang w:val="en-US"/>
        </w:rPr>
        <w:t xml:space="preserve"> which are not part of a chain. </w:t>
      </w:r>
      <w:r>
        <w:rPr>
          <w:rFonts w:ascii="Times New Roman" w:hAnsi="Times New Roman"/>
          <w:sz w:val="30"/>
          <w:szCs w:val="30"/>
          <w:rtl w:val="0"/>
          <w:lang w:val="en-US"/>
        </w:rPr>
        <w:t xml:space="preserve">There is a rise of local pubs in the UK especially in London. They are also known as boutique pubs. Although they are popular among young people and tourists they are growing in popularity. The reason for that is mainly the big variety of beers that these pubs offer and the fact that most of the beers are actually brewed in house. </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These new trends are forcing Young</w:t>
      </w:r>
      <w:r>
        <w:rPr>
          <w:rFonts w:ascii="Times New Roman" w:hAnsi="Times New Roman" w:hint="default"/>
          <w:sz w:val="30"/>
          <w:szCs w:val="30"/>
          <w:rtl w:val="0"/>
          <w:lang w:val="en-US"/>
        </w:rPr>
        <w:t>’</w:t>
      </w:r>
      <w:r>
        <w:rPr>
          <w:rFonts w:ascii="Times New Roman" w:hAnsi="Times New Roman"/>
          <w:sz w:val="30"/>
          <w:szCs w:val="30"/>
          <w:rtl w:val="0"/>
          <w:lang w:val="en-US"/>
        </w:rPr>
        <w:t>s and it</w:t>
      </w:r>
      <w:r>
        <w:rPr>
          <w:rFonts w:ascii="Times New Roman" w:hAnsi="Times New Roman" w:hint="default"/>
          <w:sz w:val="30"/>
          <w:szCs w:val="30"/>
          <w:rtl w:val="0"/>
          <w:lang w:val="en-US"/>
        </w:rPr>
        <w:t>’</w:t>
      </w:r>
      <w:r>
        <w:rPr>
          <w:rFonts w:ascii="Times New Roman" w:hAnsi="Times New Roman"/>
          <w:sz w:val="30"/>
          <w:szCs w:val="30"/>
          <w:rtl w:val="0"/>
          <w:lang w:val="en-US"/>
        </w:rPr>
        <w:t>s competitors to start thinking about changing their strategy and use their capital more aggressively so they can retain their position in the UK</w:t>
      </w:r>
      <w:r>
        <w:rPr>
          <w:rFonts w:ascii="Times New Roman" w:hAnsi="Times New Roman" w:hint="default"/>
          <w:sz w:val="30"/>
          <w:szCs w:val="30"/>
          <w:rtl w:val="0"/>
          <w:lang w:val="en-US"/>
        </w:rPr>
        <w:t>’</w:t>
      </w:r>
      <w:r>
        <w:rPr>
          <w:rFonts w:ascii="Times New Roman" w:hAnsi="Times New Roman"/>
          <w:sz w:val="30"/>
          <w:szCs w:val="30"/>
          <w:rtl w:val="0"/>
          <w:lang w:val="en-US"/>
        </w:rPr>
        <w:t>s pub market.</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Another challenge in front of Young</w:t>
      </w:r>
      <w:r>
        <w:rPr>
          <w:rFonts w:ascii="Times New Roman" w:hAnsi="Times New Roman" w:hint="default"/>
          <w:sz w:val="30"/>
          <w:szCs w:val="30"/>
          <w:rtl w:val="0"/>
          <w:lang w:val="en-US"/>
        </w:rPr>
        <w:t>’</w:t>
      </w:r>
      <w:r>
        <w:rPr>
          <w:rFonts w:ascii="Times New Roman" w:hAnsi="Times New Roman"/>
          <w:sz w:val="30"/>
          <w:szCs w:val="30"/>
          <w:rtl w:val="0"/>
          <w:lang w:val="en-US"/>
        </w:rPr>
        <w:t>s is the fact that the market leaders are slowly growing and acquiring even more real estate in the form of pubs, hotels and other hospitality establishments. Some of them completely dominate the market and are so far ahead that Young</w:t>
      </w:r>
      <w:r>
        <w:rPr>
          <w:rFonts w:ascii="Times New Roman" w:hAnsi="Times New Roman" w:hint="default"/>
          <w:sz w:val="30"/>
          <w:szCs w:val="30"/>
          <w:rtl w:val="0"/>
          <w:lang w:val="en-US"/>
        </w:rPr>
        <w:t>’</w:t>
      </w:r>
      <w:r>
        <w:rPr>
          <w:rFonts w:ascii="Times New Roman" w:hAnsi="Times New Roman"/>
          <w:sz w:val="30"/>
          <w:szCs w:val="30"/>
          <w:rtl w:val="0"/>
          <w:lang w:val="en-US"/>
        </w:rPr>
        <w:t xml:space="preserve">s at this point are unable to compete. </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Patrick Dardis was made a CEO of the company in 2016 after being a retail executive for a long time (Stagg,2016) and have promised to change that. Although the company remains mainly a wet let organisation, Young</w:t>
      </w:r>
      <w:r>
        <w:rPr>
          <w:rFonts w:ascii="Times New Roman" w:hAnsi="Times New Roman" w:hint="default"/>
          <w:sz w:val="30"/>
          <w:szCs w:val="30"/>
          <w:rtl w:val="0"/>
          <w:lang w:val="en-US"/>
        </w:rPr>
        <w:t>’</w:t>
      </w:r>
      <w:r>
        <w:rPr>
          <w:rFonts w:ascii="Times New Roman" w:hAnsi="Times New Roman"/>
          <w:sz w:val="30"/>
          <w:szCs w:val="30"/>
          <w:rtl w:val="0"/>
          <w:lang w:val="en-US"/>
        </w:rPr>
        <w:t>s are putting a lot of effort into becoming a more food led pub chain.</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 xml:space="preserve">With generally </w:t>
      </w:r>
      <w:r>
        <w:rPr>
          <w:rFonts w:ascii="Times New Roman" w:hAnsi="Times New Roman"/>
          <w:sz w:val="30"/>
          <w:szCs w:val="30"/>
          <w:rtl w:val="0"/>
          <w:lang w:val="en-US"/>
        </w:rPr>
        <w:t>smaller market share</w:t>
      </w:r>
      <w:r>
        <w:rPr>
          <w:rFonts w:ascii="Times New Roman" w:hAnsi="Times New Roman"/>
          <w:sz w:val="30"/>
          <w:szCs w:val="30"/>
          <w:rtl w:val="0"/>
          <w:lang w:val="en-US"/>
        </w:rPr>
        <w:t xml:space="preserve"> contrasted with other </w:t>
      </w:r>
      <w:r>
        <w:rPr>
          <w:rFonts w:ascii="Times New Roman" w:hAnsi="Times New Roman"/>
          <w:sz w:val="30"/>
          <w:szCs w:val="30"/>
          <w:rtl w:val="0"/>
          <w:lang w:val="en-US"/>
        </w:rPr>
        <w:t>pub</w:t>
      </w:r>
      <w:r>
        <w:rPr>
          <w:rFonts w:ascii="Times New Roman" w:hAnsi="Times New Roman"/>
          <w:sz w:val="30"/>
          <w:szCs w:val="30"/>
          <w:rtl w:val="0"/>
          <w:lang w:val="en-US"/>
        </w:rPr>
        <w:t xml:space="preserve"> organi</w:t>
      </w:r>
      <w:r>
        <w:rPr>
          <w:rFonts w:ascii="Times New Roman" w:hAnsi="Times New Roman"/>
          <w:sz w:val="30"/>
          <w:szCs w:val="30"/>
          <w:rtl w:val="0"/>
          <w:lang w:val="en-US"/>
        </w:rPr>
        <w:t>s</w:t>
      </w:r>
      <w:r>
        <w:rPr>
          <w:rFonts w:ascii="Times New Roman" w:hAnsi="Times New Roman"/>
          <w:sz w:val="30"/>
          <w:szCs w:val="30"/>
          <w:rtl w:val="0"/>
          <w:lang w:val="en-US"/>
        </w:rPr>
        <w:t xml:space="preserve">ations like : JD Weatherspoon, Green King and Mitchel and Buttler's Young's are </w:t>
      </w:r>
      <w:r>
        <w:rPr>
          <w:rFonts w:ascii="Times New Roman" w:hAnsi="Times New Roman"/>
          <w:sz w:val="30"/>
          <w:szCs w:val="30"/>
          <w:rtl w:val="0"/>
          <w:lang w:val="en-US"/>
        </w:rPr>
        <w:t>differentiating themselves as a more food driven hospitality establishment. They are focused on acquiring new, premium real estate. In 2016 they have introduced something new to the market and that is their Burger Shacks. These burger shacks are caravans that can be attached to any vehicle and moved around the different real estates depending from the demand. The product there is profitable and fast and it also allows the company to turn capital quicker and even rent the caravans to other companies if needed be. The burger shack is something that haven</w:t>
      </w:r>
      <w:r>
        <w:rPr>
          <w:rFonts w:ascii="Times New Roman" w:hAnsi="Times New Roman" w:hint="default"/>
          <w:sz w:val="30"/>
          <w:szCs w:val="30"/>
          <w:rtl w:val="0"/>
          <w:lang w:val="en-US"/>
        </w:rPr>
        <w:t>’</w:t>
      </w:r>
      <w:r>
        <w:rPr>
          <w:rFonts w:ascii="Times New Roman" w:hAnsi="Times New Roman"/>
          <w:sz w:val="30"/>
          <w:szCs w:val="30"/>
          <w:rtl w:val="0"/>
          <w:lang w:val="en-US"/>
        </w:rPr>
        <w:t>t been done by any of their competitors and is a sign of the innovative management and directors that Young</w:t>
      </w:r>
      <w:r>
        <w:rPr>
          <w:rFonts w:ascii="Times New Roman" w:hAnsi="Times New Roman" w:hint="default"/>
          <w:sz w:val="30"/>
          <w:szCs w:val="30"/>
          <w:rtl w:val="0"/>
          <w:lang w:val="en-US"/>
        </w:rPr>
        <w:t>’</w:t>
      </w:r>
      <w:r>
        <w:rPr>
          <w:rFonts w:ascii="Times New Roman" w:hAnsi="Times New Roman"/>
          <w:sz w:val="30"/>
          <w:szCs w:val="30"/>
          <w:rtl w:val="0"/>
          <w:lang w:val="en-US"/>
        </w:rPr>
        <w:t>s has. The curly fries and the burgers served around the shack without any capital spend on cutlery. It saves time and money and allows the company to keep their margins without spending more on equipment and inventory.</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Another differentiator is that Young</w:t>
      </w:r>
      <w:r>
        <w:rPr>
          <w:rFonts w:ascii="Times New Roman" w:hAnsi="Times New Roman" w:hint="default"/>
          <w:sz w:val="30"/>
          <w:szCs w:val="30"/>
          <w:rtl w:val="0"/>
          <w:lang w:val="en-US"/>
        </w:rPr>
        <w:t>’</w:t>
      </w:r>
      <w:r>
        <w:rPr>
          <w:rFonts w:ascii="Times New Roman" w:hAnsi="Times New Roman"/>
          <w:sz w:val="30"/>
          <w:szCs w:val="30"/>
          <w:rtl w:val="0"/>
          <w:lang w:val="en-US"/>
        </w:rPr>
        <w:t>s are a premium pub company compared to some of the market leaders in the industry. Therefore strategy, placement and other aspect of the company make them popular among wealthier people as a whole. Shortly after that their main competitor Fuller</w:t>
      </w:r>
      <w:r>
        <w:rPr>
          <w:rFonts w:ascii="Times New Roman" w:hAnsi="Times New Roman" w:hint="default"/>
          <w:sz w:val="30"/>
          <w:szCs w:val="30"/>
          <w:rtl w:val="0"/>
          <w:lang w:val="en-US"/>
        </w:rPr>
        <w:t>’</w:t>
      </w:r>
      <w:r>
        <w:rPr>
          <w:rFonts w:ascii="Times New Roman" w:hAnsi="Times New Roman"/>
          <w:sz w:val="30"/>
          <w:szCs w:val="30"/>
          <w:rtl w:val="0"/>
          <w:lang w:val="en-US"/>
        </w:rPr>
        <w:t>s started implementing the exact same strategy.</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Fuller</w:t>
      </w:r>
      <w:r>
        <w:rPr>
          <w:rFonts w:ascii="Times New Roman" w:hAnsi="Times New Roman" w:hint="default"/>
          <w:sz w:val="30"/>
          <w:szCs w:val="30"/>
          <w:rtl w:val="0"/>
          <w:lang w:val="en-US"/>
        </w:rPr>
        <w:t>’</w:t>
      </w:r>
      <w:r>
        <w:rPr>
          <w:rFonts w:ascii="Times New Roman" w:hAnsi="Times New Roman"/>
          <w:sz w:val="30"/>
          <w:szCs w:val="30"/>
          <w:rtl w:val="0"/>
          <w:lang w:val="en-US"/>
        </w:rPr>
        <w:t>s is the main competitor and even rival of Young</w:t>
      </w:r>
      <w:r>
        <w:rPr>
          <w:rFonts w:ascii="Times New Roman" w:hAnsi="Times New Roman" w:hint="default"/>
          <w:sz w:val="30"/>
          <w:szCs w:val="30"/>
          <w:rtl w:val="0"/>
          <w:lang w:val="en-US"/>
        </w:rPr>
        <w:t>’</w:t>
      </w:r>
      <w:r>
        <w:rPr>
          <w:rFonts w:ascii="Times New Roman" w:hAnsi="Times New Roman"/>
          <w:sz w:val="30"/>
          <w:szCs w:val="30"/>
          <w:rtl w:val="0"/>
          <w:lang w:val="en-US"/>
        </w:rPr>
        <w:t>s. They</w:t>
      </w:r>
      <w:r>
        <w:rPr>
          <w:rFonts w:ascii="Times New Roman" w:hAnsi="Times New Roman" w:hint="default"/>
          <w:sz w:val="30"/>
          <w:szCs w:val="30"/>
          <w:rtl w:val="0"/>
          <w:lang w:val="en-US"/>
        </w:rPr>
        <w:t>’</w:t>
      </w:r>
      <w:r>
        <w:rPr>
          <w:rFonts w:ascii="Times New Roman" w:hAnsi="Times New Roman"/>
          <w:sz w:val="30"/>
          <w:szCs w:val="30"/>
          <w:rtl w:val="0"/>
          <w:lang w:val="en-US"/>
        </w:rPr>
        <w:t>ve been established in 1845 in Chiswick, London. Their brewery is known as the Griffin brewery and is famous with the London Pride beer. They control more than 400 pubs and have more real estate than Young</w:t>
      </w:r>
      <w:r>
        <w:rPr>
          <w:rFonts w:ascii="Times New Roman" w:hAnsi="Times New Roman" w:hint="default"/>
          <w:sz w:val="30"/>
          <w:szCs w:val="30"/>
          <w:rtl w:val="0"/>
          <w:lang w:val="en-US"/>
        </w:rPr>
        <w:t>’</w:t>
      </w:r>
      <w:r>
        <w:rPr>
          <w:rFonts w:ascii="Times New Roman" w:hAnsi="Times New Roman"/>
          <w:sz w:val="30"/>
          <w:szCs w:val="30"/>
          <w:rtl w:val="0"/>
          <w:lang w:val="en-US"/>
        </w:rPr>
        <w:t>s. In January 2019 they sold the famous Griffin brewery to the Japanese company Asahi (Fullers Blog,2019)</w:t>
      </w:r>
    </w:p>
    <w:p>
      <w:pPr>
        <w:pStyle w:val="Body"/>
        <w:spacing w:line="360" w:lineRule="auto"/>
        <w:rPr>
          <w:rFonts w:ascii="Times New Roman" w:cs="Times New Roman" w:hAnsi="Times New Roman" w:eastAsia="Times New Roman"/>
          <w:sz w:val="30"/>
          <w:szCs w:val="30"/>
          <w:lang w:val="en-US"/>
        </w:rPr>
      </w:pPr>
      <w:r>
        <w:rPr>
          <w:rFonts w:ascii="Times New Roman" w:hAnsi="Times New Roman"/>
          <w:sz w:val="30"/>
          <w:szCs w:val="30"/>
          <w:rtl w:val="0"/>
          <w:lang w:val="en-US"/>
        </w:rPr>
        <w:t>Nowadays none of Young</w:t>
      </w:r>
      <w:r>
        <w:rPr>
          <w:rFonts w:ascii="Times New Roman" w:hAnsi="Times New Roman" w:hint="default"/>
          <w:sz w:val="30"/>
          <w:szCs w:val="30"/>
          <w:rtl w:val="0"/>
          <w:lang w:val="en-US"/>
        </w:rPr>
        <w:t>’</w:t>
      </w:r>
      <w:r>
        <w:rPr>
          <w:rFonts w:ascii="Times New Roman" w:hAnsi="Times New Roman"/>
          <w:sz w:val="30"/>
          <w:szCs w:val="30"/>
          <w:rtl w:val="0"/>
          <w:lang w:val="en-US"/>
        </w:rPr>
        <w:t>s or Fuller</w:t>
      </w:r>
      <w:r>
        <w:rPr>
          <w:rFonts w:ascii="Times New Roman" w:hAnsi="Times New Roman" w:hint="default"/>
          <w:sz w:val="30"/>
          <w:szCs w:val="30"/>
          <w:rtl w:val="0"/>
          <w:lang w:val="en-US"/>
        </w:rPr>
        <w:t>’</w:t>
      </w:r>
      <w:r>
        <w:rPr>
          <w:rFonts w:ascii="Times New Roman" w:hAnsi="Times New Roman"/>
          <w:sz w:val="30"/>
          <w:szCs w:val="30"/>
          <w:rtl w:val="0"/>
          <w:lang w:val="en-US"/>
        </w:rPr>
        <w:t>s have their own breweries and are focusing entirely on running and managing their real estate pubs and hotels.</w:t>
      </w:r>
    </w:p>
    <w:p>
      <w:pPr>
        <w:pStyle w:val="Body"/>
        <w:spacing w:line="360" w:lineRule="auto"/>
        <w:rPr>
          <w:rFonts w:ascii="Times New Roman" w:cs="Times New Roman" w:hAnsi="Times New Roman" w:eastAsia="Times New Roman"/>
          <w:sz w:val="30"/>
          <w:szCs w:val="30"/>
          <w:lang w:val="en-US"/>
        </w:rPr>
      </w:pPr>
    </w:p>
    <w:p>
      <w:pPr>
        <w:pStyle w:val="Body"/>
        <w:spacing w:line="360" w:lineRule="auto"/>
        <w:rPr>
          <w:rFonts w:ascii="Arial" w:cs="Arial" w:hAnsi="Arial" w:eastAsia="Arial"/>
          <w:sz w:val="26"/>
          <w:szCs w:val="26"/>
          <w:lang w:val="en-US"/>
        </w:rPr>
      </w:pPr>
      <w:r>
        <w:rPr>
          <w:rFonts w:ascii="Times New Roman" w:hAnsi="Times New Roman"/>
          <w:sz w:val="30"/>
          <w:szCs w:val="30"/>
          <w:rtl w:val="0"/>
          <w:lang w:val="en-US"/>
        </w:rPr>
        <w:t>In 2017 Young's have designated another Chairman called Stephen Goodyear. He changed the past executive Nick Bryan, who was a</w:t>
      </w:r>
      <w:r>
        <w:rPr>
          <w:rFonts w:ascii="Times New Roman" w:hAnsi="Times New Roman"/>
          <w:sz w:val="30"/>
          <w:szCs w:val="30"/>
          <w:rtl w:val="0"/>
          <w:lang w:val="en-US"/>
        </w:rPr>
        <w:t xml:space="preserve"> Chairman </w:t>
      </w:r>
      <w:r>
        <w:rPr>
          <w:rFonts w:ascii="Times New Roman" w:hAnsi="Times New Roman"/>
          <w:sz w:val="30"/>
          <w:szCs w:val="30"/>
          <w:rtl w:val="0"/>
          <w:lang w:val="en-US"/>
        </w:rPr>
        <w:t>for a long time.</w:t>
      </w:r>
      <w:r>
        <w:rPr>
          <w:rFonts w:ascii="Times New Roman" w:hAnsi="Times New Roman"/>
          <w:sz w:val="30"/>
          <w:szCs w:val="30"/>
          <w:rtl w:val="0"/>
          <w:lang w:val="en-US"/>
        </w:rPr>
        <w:t xml:space="preserve"> With the change and appointment of Patrick Dardis as a CEO the company is hoping to increase growth speed and profits. Patrick Dardis has been retail director and with the company for a very long time. He has been responsive for acquisition of real estate in the past and this remains his main focus as well as refining Young</w:t>
      </w:r>
      <w:r>
        <w:rPr>
          <w:rFonts w:ascii="Times New Roman" w:hAnsi="Times New Roman" w:hint="default"/>
          <w:sz w:val="30"/>
          <w:szCs w:val="30"/>
          <w:rtl w:val="0"/>
          <w:lang w:val="en-US"/>
        </w:rPr>
        <w:t>’</w:t>
      </w:r>
      <w:r>
        <w:rPr>
          <w:rFonts w:ascii="Times New Roman" w:hAnsi="Times New Roman"/>
          <w:sz w:val="30"/>
          <w:szCs w:val="30"/>
          <w:rtl w:val="0"/>
          <w:lang w:val="en-US"/>
        </w:rPr>
        <w:t>s products and offers.</w:t>
      </w: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ind w:left="0" w:right="0" w:firstLine="0"/>
        <w:jc w:val="both"/>
        <w:rPr>
          <w:rFonts w:ascii="Arial" w:cs="Arial" w:hAnsi="Arial" w:eastAsia="Arial"/>
          <w:sz w:val="26"/>
          <w:szCs w:val="26"/>
          <w:u w:color="000000"/>
          <w:rtl w:val="0"/>
          <w:lang w:val="en-US"/>
        </w:rPr>
      </w:pPr>
    </w:p>
    <w:p>
      <w:pPr>
        <w:pStyle w:val="Default"/>
        <w:bidi w:val="0"/>
        <w:ind w:left="0" w:right="0" w:firstLine="0"/>
        <w:jc w:val="both"/>
        <w:rPr>
          <w:rFonts w:ascii="Arial" w:cs="Arial" w:hAnsi="Arial" w:eastAsia="Arial"/>
          <w:sz w:val="26"/>
          <w:szCs w:val="26"/>
          <w:u w:color="000000"/>
          <w:rtl w:val="0"/>
          <w:lang w:val="en-US"/>
        </w:rPr>
      </w:pPr>
    </w:p>
    <w:p>
      <w:pPr>
        <w:pStyle w:val="Default"/>
        <w:bidi w:val="0"/>
        <w:ind w:left="0" w:right="0" w:firstLine="0"/>
        <w:jc w:val="both"/>
        <w:rPr>
          <w:rFonts w:ascii="Arial" w:cs="Arial" w:hAnsi="Arial" w:eastAsia="Arial"/>
          <w:sz w:val="26"/>
          <w:szCs w:val="26"/>
          <w:u w:color="000000"/>
          <w:rtl w:val="0"/>
          <w:lang w:val="en-US"/>
        </w:rPr>
      </w:pPr>
    </w:p>
    <w:p>
      <w:pPr>
        <w:pStyle w:val="Default"/>
        <w:bidi w:val="0"/>
        <w:ind w:left="0" w:right="0" w:firstLine="0"/>
        <w:jc w:val="both"/>
        <w:rPr>
          <w:rFonts w:ascii="Times" w:cs="Times" w:hAnsi="Times" w:eastAsia="Times"/>
          <w:sz w:val="40"/>
          <w:szCs w:val="40"/>
          <w:u w:color="000000"/>
          <w:rtl w:val="0"/>
          <w:lang w:val="en-US"/>
        </w:rPr>
      </w:pPr>
      <w:r>
        <w:rPr>
          <w:rFonts w:ascii="Times" w:hAnsi="Times"/>
          <w:sz w:val="40"/>
          <w:szCs w:val="40"/>
          <w:u w:color="000000"/>
          <w:rtl w:val="0"/>
          <w:lang w:val="en-US"/>
        </w:rPr>
        <w:t>Financial Analysis</w:t>
      </w:r>
    </w:p>
    <w:p>
      <w:pPr>
        <w:pStyle w:val="Default"/>
        <w:bidi w:val="0"/>
        <w:ind w:left="0" w:right="0" w:firstLine="0"/>
        <w:jc w:val="both"/>
        <w:rPr>
          <w:rFonts w:ascii="Times" w:cs="Times" w:hAnsi="Times" w:eastAsia="Times"/>
          <w:sz w:val="40"/>
          <w:szCs w:val="40"/>
          <w:u w:color="000000"/>
          <w:rtl w:val="0"/>
          <w:lang w:val="en-US"/>
        </w:rPr>
      </w:pPr>
    </w:p>
    <w:p>
      <w:pPr>
        <w:pStyle w:val="Body 1"/>
        <w:bidi w:val="0"/>
      </w:pPr>
      <w:r>
        <w:rPr>
          <w:rtl w:val="0"/>
        </w:rPr>
        <w:t>In his report will focus on the financial situation of the company in the last 5 years. The information is based on Young</w:t>
      </w:r>
      <w:r>
        <w:rPr>
          <w:rtl w:val="0"/>
        </w:rPr>
        <w:t>’</w:t>
      </w:r>
      <w:r>
        <w:rPr>
          <w:rtl w:val="0"/>
        </w:rPr>
        <w:t>s annual reports from 2014 until 2018 and Fuller</w:t>
      </w:r>
      <w:r>
        <w:rPr>
          <w:rtl w:val="0"/>
        </w:rPr>
        <w:t>’</w:t>
      </w:r>
      <w:r>
        <w:rPr>
          <w:rtl w:val="0"/>
        </w:rPr>
        <w:t>s 2019 annual report.</w:t>
      </w:r>
    </w:p>
    <w:p>
      <w:pPr>
        <w:pStyle w:val="Body 1"/>
        <w:bidi w:val="0"/>
      </w:pPr>
      <w:r>
        <w:rPr>
          <w:rtl w:val="0"/>
        </w:rPr>
        <w:t>When comparing different financial ratios we will be able to identify which of the companies is better to invest in.</w:t>
      </w:r>
    </w:p>
    <w:p>
      <w:pPr>
        <w:pStyle w:val="Body 1"/>
        <w:bidi w:val="0"/>
      </w:pPr>
      <w:r>
        <w:rPr>
          <w:rtl w:val="0"/>
        </w:rPr>
        <w:t>Financial information that we will use is mainly cash flow and income statements as well as balance sheets, which are all included in Young</w:t>
      </w:r>
      <w:r>
        <w:rPr>
          <w:rtl w:val="0"/>
        </w:rPr>
        <w:t>’</w:t>
      </w:r>
      <w:r>
        <w:rPr>
          <w:rtl w:val="0"/>
        </w:rPr>
        <w:t>s annual reports.</w:t>
      </w:r>
    </w:p>
    <w:p>
      <w:pPr>
        <w:pStyle w:val="Body 1"/>
        <w:bidi w:val="0"/>
      </w:pPr>
      <w:r>
        <w:rPr>
          <w:rtl w:val="0"/>
        </w:rPr>
        <w:t>To make financial ratio analysis we will use formulas and calculations based on the information provided in the annual reports. Based on the analysis we can find out which company is more lucrative for investors. The main ratios that need to be identified are profitability, liquidity, gearing and efficiency.</w:t>
      </w:r>
    </w:p>
    <w:p>
      <w:pPr>
        <w:pStyle w:val="Body"/>
        <w:spacing w:line="360" w:lineRule="auto"/>
        <w:rPr>
          <w:rFonts w:ascii="Times New Roman" w:cs="Times New Roman" w:hAnsi="Times New Roman" w:eastAsia="Times New Roman"/>
          <w:sz w:val="40"/>
          <w:szCs w:val="40"/>
          <w:u w:color="222222"/>
          <w:shd w:val="clear" w:color="auto" w:fill="ffffff"/>
          <w:vertAlign w:val="superscript"/>
          <w:lang w:val="en-US"/>
        </w:rPr>
      </w:pPr>
    </w:p>
    <w:p>
      <w:pPr>
        <w:pStyle w:val="Body"/>
        <w:spacing w:line="360" w:lineRule="auto"/>
        <w:rPr>
          <w:rFonts w:ascii="Times New Roman" w:cs="Times New Roman" w:hAnsi="Times New Roman" w:eastAsia="Times New Roman"/>
          <w:sz w:val="40"/>
          <w:szCs w:val="40"/>
          <w:u w:color="444444"/>
          <w:shd w:val="clear" w:color="auto" w:fill="ffffff"/>
        </w:rPr>
      </w:pPr>
      <w:r>
        <w:rPr>
          <w:rFonts w:ascii="Times New Roman" w:hAnsi="Times New Roman"/>
          <w:sz w:val="40"/>
          <w:szCs w:val="40"/>
          <w:u w:color="444444"/>
          <w:shd w:val="clear" w:color="auto" w:fill="ffffff"/>
          <w:rtl w:val="0"/>
          <w:lang w:val="en-US"/>
        </w:rPr>
        <w:t>Young</w:t>
      </w:r>
      <w:r>
        <w:rPr>
          <w:rFonts w:ascii="Times New Roman" w:hAnsi="Times New Roman" w:hint="default"/>
          <w:sz w:val="40"/>
          <w:szCs w:val="40"/>
          <w:u w:color="444444"/>
          <w:shd w:val="clear" w:color="auto" w:fill="ffffff"/>
          <w:rtl w:val="0"/>
          <w:lang w:val="en-US"/>
        </w:rPr>
        <w:t>’</w:t>
      </w:r>
      <w:r>
        <w:rPr>
          <w:rFonts w:ascii="Times New Roman" w:hAnsi="Times New Roman"/>
          <w:sz w:val="40"/>
          <w:szCs w:val="40"/>
          <w:u w:color="444444"/>
          <w:shd w:val="clear" w:color="auto" w:fill="ffffff"/>
          <w:rtl w:val="0"/>
          <w:lang w:val="en-US"/>
        </w:rPr>
        <w:t xml:space="preserve">s Annual Revenue 2014-2018(Millions </w:t>
      </w:r>
      <w:r>
        <w:rPr>
          <w:rFonts w:ascii="Times New Roman" w:hAnsi="Times New Roman" w:hint="default"/>
          <w:sz w:val="40"/>
          <w:szCs w:val="40"/>
          <w:u w:color="444444"/>
          <w:shd w:val="clear" w:color="auto" w:fill="ffffff"/>
          <w:rtl w:val="0"/>
          <w:lang w:val="en-US"/>
        </w:rPr>
        <w:t>£</w:t>
      </w:r>
      <w:r>
        <w:rPr>
          <w:rFonts w:ascii="Times New Roman" w:hAnsi="Times New Roman"/>
          <w:sz w:val="40"/>
          <w:szCs w:val="40"/>
          <w:u w:color="444444"/>
          <w:shd w:val="clear" w:color="auto" w:fill="ffffff"/>
          <w:rtl w:val="0"/>
          <w:lang w:val="en-US"/>
        </w:rPr>
        <w:t>GBP)</w:t>
      </w:r>
    </w:p>
    <w:p>
      <w:pPr>
        <w:pStyle w:val="Body"/>
        <w:spacing w:line="360" w:lineRule="auto"/>
        <w:rPr>
          <w:rFonts w:ascii="Times New Roman" w:cs="Times New Roman" w:hAnsi="Times New Roman" w:eastAsia="Times New Roman"/>
          <w:sz w:val="30"/>
          <w:szCs w:val="30"/>
          <w:u w:color="444444"/>
          <w:shd w:val="clear" w:color="auto" w:fill="ffffff"/>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03"/>
        <w:gridCol w:w="1803"/>
        <w:gridCol w:w="1803"/>
        <w:gridCol w:w="1803"/>
        <w:gridCol w:w="1804"/>
      </w:tblGrid>
      <w:tr>
        <w:tblPrEx>
          <w:shd w:val="clear" w:color="auto" w:fill="cdd4e9"/>
        </w:tblPrEx>
        <w:trPr>
          <w:trHeight w:val="300"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after="160" w:line="259" w:lineRule="auto"/>
              <w:ind w:left="0" w:right="0" w:firstLine="0"/>
              <w:jc w:val="left"/>
              <w:rPr>
                <w:rtl w:val="0"/>
              </w:rPr>
            </w:pPr>
            <w:r>
              <w:rPr>
                <w:rFonts w:ascii="Times New Roman" w:hAnsi="Times New Roman"/>
                <w:color w:val="444444"/>
                <w:sz w:val="24"/>
                <w:szCs w:val="24"/>
                <w:u w:color="444444"/>
                <w:shd w:val="clear" w:color="auto" w:fill="ffffff"/>
                <w:rtl w:val="0"/>
                <w:lang w:val="en-US"/>
              </w:rPr>
              <w:t>2014</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color w:val="444444"/>
                <w:sz w:val="24"/>
                <w:szCs w:val="24"/>
                <w:u w:color="444444"/>
                <w:shd w:val="clear" w:color="auto" w:fill="ffffff"/>
                <w:rtl w:val="0"/>
                <w:lang w:val="en-US"/>
              </w:rPr>
              <w:t>2015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color w:val="444444"/>
                <w:sz w:val="24"/>
                <w:szCs w:val="24"/>
                <w:u w:color="444444"/>
                <w:shd w:val="clear" w:color="auto" w:fill="ffffff"/>
                <w:rtl w:val="0"/>
                <w:lang w:val="en-US"/>
              </w:rPr>
              <w:t>2016</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color w:val="444444"/>
                <w:sz w:val="24"/>
                <w:szCs w:val="24"/>
                <w:u w:color="444444"/>
                <w:shd w:val="clear" w:color="auto" w:fill="ffffff"/>
                <w:rtl w:val="0"/>
                <w:lang w:val="en-US"/>
              </w:rPr>
              <w:t>2017</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color w:val="444444"/>
                <w:sz w:val="24"/>
                <w:szCs w:val="24"/>
                <w:u w:color="444444"/>
                <w:shd w:val="clear" w:color="auto" w:fill="ffffff"/>
                <w:rtl w:val="0"/>
                <w:lang w:val="en-US"/>
              </w:rPr>
              <w:t>2018</w:t>
            </w:r>
          </w:p>
        </w:tc>
      </w:tr>
      <w:tr>
        <w:tblPrEx>
          <w:shd w:val="clear" w:color="auto" w:fill="cdd4e9"/>
        </w:tblPrEx>
        <w:trPr>
          <w:trHeight w:val="510"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40" w:line="480" w:lineRule="atLeast"/>
              <w:ind w:left="0" w:right="0" w:firstLine="0"/>
              <w:jc w:val="right"/>
              <w:outlineLvl w:val="9"/>
              <w:rPr>
                <w:rtl w:val="0"/>
              </w:rPr>
            </w:pPr>
            <w:r>
              <w:rPr>
                <w:rFonts w:ascii="Times" w:cs="Arial Unicode MS" w:hAnsi="Times" w:eastAsia="Arial Unicode MS"/>
                <w:b w:val="0"/>
                <w:bCs w:val="0"/>
                <w:i w:val="0"/>
                <w:iCs w:val="0"/>
                <w:caps w:val="0"/>
                <w:smallCaps w:val="0"/>
                <w:strike w:val="0"/>
                <w:dstrike w:val="0"/>
                <w:outline w:val="0"/>
                <w:color w:val="000000"/>
                <w:spacing w:val="0"/>
                <w:kern w:val="0"/>
                <w:position w:val="0"/>
                <w:sz w:val="43"/>
                <w:szCs w:val="43"/>
                <w:u w:val="none" w:color="444444"/>
                <w:shd w:val="clear" w:color="auto" w:fill="ffffff"/>
                <w:vertAlign w:val="baseline"/>
                <w:rtl w:val="0"/>
              </w:rPr>
              <w:t>210,768</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40" w:line="480" w:lineRule="atLeast"/>
              <w:ind w:left="0" w:right="0" w:firstLine="0"/>
              <w:jc w:val="right"/>
              <w:outlineLvl w:val="9"/>
              <w:rPr>
                <w:rtl w:val="0"/>
              </w:rPr>
            </w:pPr>
            <w:r>
              <w:rPr>
                <w:rFonts w:ascii="Times" w:cs="Arial Unicode MS" w:hAnsi="Times" w:eastAsia="Arial Unicode MS"/>
                <w:b w:val="0"/>
                <w:bCs w:val="0"/>
                <w:i w:val="0"/>
                <w:iCs w:val="0"/>
                <w:caps w:val="0"/>
                <w:smallCaps w:val="0"/>
                <w:strike w:val="0"/>
                <w:dstrike w:val="0"/>
                <w:outline w:val="0"/>
                <w:color w:val="000000"/>
                <w:spacing w:val="0"/>
                <w:kern w:val="0"/>
                <w:position w:val="0"/>
                <w:sz w:val="43"/>
                <w:szCs w:val="43"/>
                <w:u w:val="none" w:color="444444"/>
                <w:shd w:val="clear" w:color="auto" w:fill="ffffff"/>
                <w:vertAlign w:val="baseline"/>
                <w:rtl w:val="0"/>
              </w:rPr>
              <w:t>227.0</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40" w:line="480" w:lineRule="atLeast"/>
              <w:ind w:left="0" w:right="0" w:firstLine="0"/>
              <w:jc w:val="right"/>
              <w:outlineLvl w:val="9"/>
              <w:rPr>
                <w:rtl w:val="0"/>
              </w:rPr>
            </w:pPr>
            <w:r>
              <w:rPr>
                <w:rFonts w:ascii="Times" w:cs="Arial Unicode MS" w:hAnsi="Times" w:eastAsia="Arial Unicode MS"/>
                <w:b w:val="0"/>
                <w:bCs w:val="0"/>
                <w:i w:val="0"/>
                <w:iCs w:val="0"/>
                <w:caps w:val="0"/>
                <w:smallCaps w:val="0"/>
                <w:strike w:val="0"/>
                <w:dstrike w:val="0"/>
                <w:outline w:val="0"/>
                <w:color w:val="000000"/>
                <w:spacing w:val="0"/>
                <w:kern w:val="0"/>
                <w:position w:val="0"/>
                <w:sz w:val="43"/>
                <w:szCs w:val="43"/>
                <w:u w:val="none" w:color="444444"/>
                <w:shd w:val="clear" w:color="auto" w:fill="ffffff"/>
                <w:vertAlign w:val="baseline"/>
                <w:rtl w:val="0"/>
              </w:rPr>
              <w:t>245.9</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40" w:line="480" w:lineRule="atLeast"/>
              <w:ind w:left="0" w:right="0" w:firstLine="0"/>
              <w:jc w:val="right"/>
              <w:outlineLvl w:val="9"/>
              <w:rPr>
                <w:rtl w:val="0"/>
              </w:rPr>
            </w:pPr>
            <w:r>
              <w:rPr>
                <w:rFonts w:ascii="Times" w:cs="Arial Unicode MS" w:hAnsi="Times" w:eastAsia="Arial Unicode MS"/>
                <w:b w:val="0"/>
                <w:bCs w:val="0"/>
                <w:i w:val="0"/>
                <w:iCs w:val="0"/>
                <w:caps w:val="0"/>
                <w:smallCaps w:val="0"/>
                <w:strike w:val="0"/>
                <w:dstrike w:val="0"/>
                <w:outline w:val="0"/>
                <w:color w:val="000000"/>
                <w:spacing w:val="0"/>
                <w:kern w:val="0"/>
                <w:position w:val="0"/>
                <w:sz w:val="43"/>
                <w:szCs w:val="43"/>
                <w:u w:val="none" w:color="444444"/>
                <w:shd w:val="clear" w:color="auto" w:fill="ffffff"/>
                <w:vertAlign w:val="baseline"/>
                <w:rtl w:val="0"/>
              </w:rPr>
              <w:t>268.9</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240" w:line="480" w:lineRule="atLeast"/>
              <w:ind w:left="0" w:right="0" w:firstLine="0"/>
              <w:jc w:val="right"/>
              <w:outlineLvl w:val="9"/>
              <w:rPr>
                <w:rtl w:val="0"/>
              </w:rPr>
            </w:pPr>
            <w:r>
              <w:rPr>
                <w:rFonts w:ascii="Times" w:cs="Arial Unicode MS" w:hAnsi="Times" w:eastAsia="Arial Unicode MS"/>
                <w:b w:val="0"/>
                <w:bCs w:val="0"/>
                <w:i w:val="0"/>
                <w:iCs w:val="0"/>
                <w:caps w:val="0"/>
                <w:smallCaps w:val="0"/>
                <w:strike w:val="0"/>
                <w:dstrike w:val="0"/>
                <w:outline w:val="0"/>
                <w:color w:val="000000"/>
                <w:spacing w:val="0"/>
                <w:kern w:val="0"/>
                <w:position w:val="0"/>
                <w:sz w:val="43"/>
                <w:szCs w:val="43"/>
                <w:u w:val="none" w:color="444444"/>
                <w:shd w:val="clear" w:color="auto" w:fill="ffffff"/>
                <w:vertAlign w:val="baseline"/>
                <w:rtl w:val="0"/>
              </w:rPr>
              <w:t>279.3</w:t>
            </w:r>
          </w:p>
        </w:tc>
      </w:tr>
    </w:tbl>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2"/>
          <w:szCs w:val="32"/>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rtl w:val="0"/>
          <w:lang w:val="en-US"/>
        </w:rPr>
        <w:t>Revenue is all the income that has been generate by a company from the sale of good, services or anything else that results in more income for the company before any kind of expenses are removed. It is one of the key metrics that every investor is interested in. It is also known as sales or in the UK - turnover.To calculate venue a company needs to keep record of all its sales.</w:t>
      </w:r>
    </w:p>
    <w:p>
      <w:pPr>
        <w:pStyle w:val="Default"/>
        <w:bidi w:val="0"/>
        <w:spacing w:after="240" w:line="260" w:lineRule="atLeast"/>
        <w:ind w:left="0" w:right="0" w:firstLine="0"/>
        <w:jc w:val="left"/>
        <w:rPr>
          <w:rFonts w:ascii="Times" w:cs="Times" w:hAnsi="Times" w:eastAsia="Times"/>
          <w:sz w:val="24"/>
          <w:szCs w:val="24"/>
          <w:rtl w:val="0"/>
        </w:rPr>
      </w:pP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 xml:space="preserve">There has been a steady increase in revenue in the last 5 years. The product that the company is offering is getting more and more popular and an increase in revenue is a good sign of a healthy company. </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Young</w:t>
      </w:r>
      <w:r>
        <w:rPr>
          <w:rFonts w:ascii="Times New Roman" w:hAnsi="Times New Roman" w:hint="default"/>
          <w:sz w:val="30"/>
          <w:szCs w:val="30"/>
          <w:u w:color="444444"/>
          <w:shd w:val="clear" w:color="auto" w:fill="ffffff"/>
          <w:rtl w:val="0"/>
          <w:lang w:val="en-US"/>
        </w:rPr>
        <w:t>’</w:t>
      </w:r>
      <w:r>
        <w:rPr>
          <w:rFonts w:ascii="Times New Roman" w:hAnsi="Times New Roman"/>
          <w:sz w:val="30"/>
          <w:szCs w:val="30"/>
          <w:u w:color="444444"/>
          <w:shd w:val="clear" w:color="auto" w:fill="ffffff"/>
          <w:rtl w:val="0"/>
          <w:lang w:val="en-US"/>
        </w:rPr>
        <w:t>s 2018 was the strongest year ever in the company when it comes to revenue with 279.3 million, the company had an increase of 3.86% compared to 2017.</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 xml:space="preserve">In 2017 the revenue was 268.9 million which is an 9.35% increase compared to 2016. </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In 2016 revenue was 245.9 million, an increase of 8.32% compared to the previous year.</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In 2015 227.0 million in revenue, another increase of 7.70% compared to the year before.</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As we can see, Young</w:t>
      </w:r>
      <w:r>
        <w:rPr>
          <w:rFonts w:ascii="Times New Roman" w:hAnsi="Times New Roman" w:hint="default"/>
          <w:sz w:val="30"/>
          <w:szCs w:val="30"/>
          <w:u w:color="444444"/>
          <w:shd w:val="clear" w:color="auto" w:fill="ffffff"/>
          <w:rtl w:val="0"/>
          <w:lang w:val="en-US"/>
        </w:rPr>
        <w:t>’</w:t>
      </w:r>
      <w:r>
        <w:rPr>
          <w:rFonts w:ascii="Times New Roman" w:hAnsi="Times New Roman"/>
          <w:sz w:val="30"/>
          <w:szCs w:val="30"/>
          <w:u w:color="444444"/>
          <w:shd w:val="clear" w:color="auto" w:fill="ffffff"/>
          <w:rtl w:val="0"/>
          <w:lang w:val="en-US"/>
        </w:rPr>
        <w:t>s has been growing steadily for the past five years with an increase in revenue, every single year.</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Table.1 Revenue Of Young</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s PLC vs Fuller</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 xml:space="preserve">s PLC </w:t>
      </w: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 xml:space="preserve">(2014-2018 in </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GBP Millions)</w:t>
      </w:r>
    </w:p>
    <w:p>
      <w:pPr>
        <w:pStyle w:val="Body"/>
        <w:spacing w:line="360" w:lineRule="auto"/>
        <w:rPr>
          <w:rFonts w:ascii="Times New Roman" w:cs="Times New Roman" w:hAnsi="Times New Roman" w:eastAsia="Times New Roman"/>
          <w:b w:val="1"/>
          <w:bCs w:val="1"/>
          <w:sz w:val="30"/>
          <w:szCs w:val="30"/>
          <w:u w:color="44444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502"/>
        <w:gridCol w:w="1502"/>
        <w:gridCol w:w="1503"/>
        <w:gridCol w:w="1502"/>
        <w:gridCol w:w="1503"/>
        <w:gridCol w:w="1504"/>
      </w:tblGrid>
      <w:tr>
        <w:tblPrEx>
          <w:shd w:val="clear" w:color="auto" w:fill="cdd4e9"/>
        </w:tblPrEx>
        <w:trPr>
          <w:trHeight w:val="396" w:hRule="atLeast"/>
        </w:trPr>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34"/>
                <w:szCs w:val="34"/>
                <w:u w:color="444444"/>
                <w:shd w:val="clear" w:color="auto" w:fill="ffffff"/>
                <w:rtl w:val="0"/>
              </w:rPr>
              <w:t>Company</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pPr>
            <w:r>
              <w:rPr>
                <w:rFonts w:ascii="Times New Roman" w:hAnsi="Times New Roman"/>
                <w:sz w:val="34"/>
                <w:szCs w:val="34"/>
                <w:u w:color="444444"/>
                <w:shd w:val="clear" w:color="auto" w:fill="ffffff"/>
                <w:rtl w:val="0"/>
              </w:rPr>
              <w:t>2014</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pPr>
            <w:r>
              <w:rPr>
                <w:rFonts w:ascii="Times New Roman" w:hAnsi="Times New Roman"/>
                <w:sz w:val="34"/>
                <w:szCs w:val="34"/>
                <w:u w:color="444444"/>
                <w:shd w:val="clear" w:color="auto" w:fill="ffffff"/>
                <w:rtl w:val="0"/>
              </w:rPr>
              <w:t>2015</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pPr>
            <w:r>
              <w:rPr>
                <w:rFonts w:ascii="Times New Roman" w:hAnsi="Times New Roman"/>
                <w:sz w:val="34"/>
                <w:szCs w:val="34"/>
                <w:u w:color="444444"/>
                <w:shd w:val="clear" w:color="auto" w:fill="ffffff"/>
                <w:rtl w:val="0"/>
              </w:rPr>
              <w:t>2016</w:t>
            </w:r>
          </w:p>
        </w:tc>
        <w:tc>
          <w:tcPr>
            <w:tcW w:type="dxa" w:w="15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Times New Roman" w:hAnsi="Times New Roman"/>
                <w:sz w:val="34"/>
                <w:szCs w:val="34"/>
                <w:u w:color="444444"/>
                <w:shd w:val="clear" w:color="auto" w:fill="ffffff"/>
                <w:rtl w:val="0"/>
                <w:lang w:val="en-US"/>
              </w:rPr>
              <w:t>2017</w:t>
            </w:r>
          </w:p>
        </w:tc>
        <w:tc>
          <w:tcPr>
            <w:tcW w:type="dxa" w:w="15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pPr>
            <w:r>
              <w:rPr>
                <w:rFonts w:ascii="Times New Roman" w:hAnsi="Times New Roman"/>
                <w:sz w:val="34"/>
                <w:szCs w:val="34"/>
                <w:u w:color="444444"/>
                <w:shd w:val="clear" w:color="auto" w:fill="ffffff"/>
                <w:rtl w:val="0"/>
              </w:rPr>
              <w:t>2018</w:t>
            </w:r>
          </w:p>
        </w:tc>
      </w:tr>
      <w:tr>
        <w:tblPrEx>
          <w:shd w:val="clear" w:color="auto" w:fill="cdd4e9"/>
        </w:tblPrEx>
        <w:trPr>
          <w:trHeight w:val="400" w:hRule="atLeast"/>
        </w:trPr>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34"/>
                <w:szCs w:val="34"/>
                <w:rtl w:val="0"/>
              </w:rPr>
              <w:t>Young</w:t>
            </w:r>
            <w:r>
              <w:rPr>
                <w:rFonts w:ascii="Helvetica Neue" w:hAnsi="Helvetica Neue" w:hint="default"/>
                <w:sz w:val="34"/>
                <w:szCs w:val="34"/>
                <w:rtl w:val="0"/>
              </w:rPr>
              <w:t>’</w:t>
            </w:r>
            <w:r>
              <w:rPr>
                <w:rFonts w:ascii="Helvetica Neue" w:hAnsi="Helvetica Neue"/>
                <w:sz w:val="34"/>
                <w:szCs w:val="34"/>
                <w:rtl w:val="0"/>
              </w:rPr>
              <w:t>s</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34"/>
                <w:szCs w:val="34"/>
                <w:rtl w:val="0"/>
              </w:rPr>
              <w:t>210.76</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34"/>
                <w:szCs w:val="34"/>
                <w:rtl w:val="0"/>
              </w:rPr>
              <w:t>227</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34"/>
                <w:szCs w:val="34"/>
                <w:rtl w:val="0"/>
              </w:rPr>
              <w:t>245.9</w:t>
            </w:r>
          </w:p>
        </w:tc>
        <w:tc>
          <w:tcPr>
            <w:tcW w:type="dxa" w:w="15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34"/>
                <w:szCs w:val="34"/>
                <w:rtl w:val="0"/>
              </w:rPr>
              <w:t>268.9</w:t>
            </w:r>
          </w:p>
        </w:tc>
        <w:tc>
          <w:tcPr>
            <w:tcW w:type="dxa" w:w="15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34"/>
                <w:szCs w:val="34"/>
                <w:rtl w:val="0"/>
              </w:rPr>
              <w:t>279.3</w:t>
            </w:r>
          </w:p>
        </w:tc>
      </w:tr>
      <w:tr>
        <w:tblPrEx>
          <w:shd w:val="clear" w:color="auto" w:fill="cdd4e9"/>
        </w:tblPrEx>
        <w:trPr>
          <w:trHeight w:val="400" w:hRule="atLeast"/>
        </w:trPr>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34"/>
                <w:szCs w:val="34"/>
                <w:rtl w:val="0"/>
              </w:rPr>
              <w:t>Fuller</w:t>
            </w:r>
            <w:r>
              <w:rPr>
                <w:rFonts w:ascii="Helvetica Neue" w:hAnsi="Helvetica Neue" w:hint="default"/>
                <w:sz w:val="34"/>
                <w:szCs w:val="34"/>
                <w:rtl w:val="0"/>
              </w:rPr>
              <w:t>’</w:t>
            </w:r>
            <w:r>
              <w:rPr>
                <w:rFonts w:ascii="Helvetica Neue" w:hAnsi="Helvetica Neue"/>
                <w:sz w:val="34"/>
                <w:szCs w:val="34"/>
                <w:rtl w:val="0"/>
              </w:rPr>
              <w:t>s</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34"/>
                <w:szCs w:val="34"/>
                <w:rtl w:val="0"/>
              </w:rPr>
              <w:t>288.0</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34"/>
                <w:szCs w:val="34"/>
                <w:rtl w:val="0"/>
              </w:rPr>
              <w:t>321.5</w:t>
            </w:r>
          </w:p>
        </w:tc>
        <w:tc>
          <w:tcPr>
            <w:tcW w:type="dxa" w:w="1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34"/>
                <w:szCs w:val="34"/>
                <w:rtl w:val="0"/>
              </w:rPr>
              <w:t>350.5</w:t>
            </w:r>
          </w:p>
        </w:tc>
        <w:tc>
          <w:tcPr>
            <w:tcW w:type="dxa" w:w="15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34"/>
                <w:szCs w:val="34"/>
                <w:rtl w:val="0"/>
              </w:rPr>
              <w:t>392.0</w:t>
            </w:r>
          </w:p>
        </w:tc>
        <w:tc>
          <w:tcPr>
            <w:tcW w:type="dxa" w:w="15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34"/>
                <w:szCs w:val="34"/>
                <w:rtl w:val="0"/>
              </w:rPr>
              <w:t>403.6</w:t>
            </w:r>
          </w:p>
        </w:tc>
      </w:tr>
    </w:tbl>
    <w:p>
      <w:pPr>
        <w:pStyle w:val="Body"/>
        <w:spacing w:line="360" w:lineRule="auto"/>
        <w:rPr>
          <w:rFonts w:ascii="Times New Roman" w:cs="Times New Roman" w:hAnsi="Times New Roman" w:eastAsia="Times New Roman"/>
          <w:b w:val="1"/>
          <w:bCs w:val="1"/>
          <w:sz w:val="30"/>
          <w:szCs w:val="30"/>
          <w:u w:color="444444"/>
        </w:rPr>
      </w:pPr>
    </w:p>
    <w:p>
      <w:pPr>
        <w:pStyle w:val="Body"/>
        <w:spacing w:line="360" w:lineRule="auto"/>
        <w:rPr>
          <w:rFonts w:ascii="Times New Roman" w:cs="Times New Roman" w:hAnsi="Times New Roman" w:eastAsia="Times New Roman"/>
          <w:color w:val="004c7f"/>
          <w:sz w:val="30"/>
          <w:szCs w:val="30"/>
          <w:u w:color="444444"/>
        </w:rPr>
      </w:pPr>
      <w:r>
        <w:rPr>
          <w:rFonts w:ascii="Times New Roman" w:hAnsi="Times New Roman"/>
          <w:color w:val="004c7f"/>
          <w:sz w:val="30"/>
          <w:szCs w:val="30"/>
          <w:u w:color="444444"/>
          <w:rtl w:val="0"/>
          <w:lang w:val="en-US"/>
        </w:rPr>
        <w:t>Source: Annual financial reports of Young</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and Fuller</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(2014-2018)</w:t>
      </w:r>
    </w:p>
    <w:p>
      <w:pPr>
        <w:pStyle w:val="Body"/>
        <w:spacing w:line="360" w:lineRule="auto"/>
        <w:rPr>
          <w:rFonts w:ascii="Times New Roman" w:cs="Times New Roman" w:hAnsi="Times New Roman" w:eastAsia="Times New Roman"/>
          <w:color w:val="004c7f"/>
          <w:sz w:val="30"/>
          <w:szCs w:val="30"/>
          <w:u w:color="444444"/>
        </w:rPr>
      </w:pPr>
    </w:p>
    <w:p>
      <w:pPr>
        <w:pStyle w:val="Body"/>
        <w:spacing w:line="360" w:lineRule="auto"/>
        <w:rPr>
          <w:sz w:val="24"/>
          <w:szCs w:val="24"/>
        </w:rPr>
      </w:pPr>
      <w:r>
        <w:rPr>
          <w:sz w:val="30"/>
          <w:szCs w:val="30"/>
          <w:rtl w:val="0"/>
          <w:lang w:val="en-US"/>
        </w:rPr>
        <w:t>Fullers has a higher turnover than Young</w:t>
      </w:r>
      <w:r>
        <w:rPr>
          <w:sz w:val="30"/>
          <w:szCs w:val="30"/>
          <w:rtl w:val="0"/>
          <w:lang w:val="en-US"/>
        </w:rPr>
        <w:t>’</w:t>
      </w:r>
      <w:r>
        <w:rPr>
          <w:sz w:val="30"/>
          <w:szCs w:val="30"/>
          <w:rtl w:val="0"/>
          <w:lang w:val="en-US"/>
        </w:rPr>
        <w:t>s. This is due mainly to the number of properties they have - around 400 (Fullers Pubs, 2019). From the figures here it doesn</w:t>
      </w:r>
      <w:r>
        <w:rPr>
          <w:sz w:val="30"/>
          <w:szCs w:val="30"/>
          <w:rtl w:val="0"/>
          <w:lang w:val="en-US"/>
        </w:rPr>
        <w:t>’</w:t>
      </w:r>
      <w:r>
        <w:rPr>
          <w:sz w:val="30"/>
          <w:szCs w:val="30"/>
          <w:rtl w:val="0"/>
          <w:lang w:val="en-US"/>
        </w:rPr>
        <w:t>t seem like Young</w:t>
      </w:r>
      <w:r>
        <w:rPr>
          <w:sz w:val="30"/>
          <w:szCs w:val="30"/>
          <w:rtl w:val="0"/>
          <w:lang w:val="en-US"/>
        </w:rPr>
        <w:t>’</w:t>
      </w:r>
      <w:r>
        <w:rPr>
          <w:sz w:val="30"/>
          <w:szCs w:val="30"/>
          <w:rtl w:val="0"/>
          <w:lang w:val="en-US"/>
        </w:rPr>
        <w:t>s are catching up in terms of revenue. Although revenue is a very important metric we will analyse many other ratios and metrics to be able to identify, which one is better to invest in.</w:t>
      </w:r>
    </w:p>
    <w:p>
      <w:pPr>
        <w:pStyle w:val="Body"/>
        <w:spacing w:line="360" w:lineRule="auto"/>
        <w:rPr>
          <w:sz w:val="24"/>
          <w:szCs w:val="24"/>
        </w:rPr>
      </w:pPr>
    </w:p>
    <w:p>
      <w:pPr>
        <w:pStyle w:val="Body"/>
        <w:spacing w:line="360" w:lineRule="auto"/>
        <w:rPr>
          <w:sz w:val="24"/>
          <w:szCs w:val="24"/>
        </w:rPr>
      </w:pP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Table.2 Revenue, Sales Growth, Gross and Operating Profit Of Young</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s PLC vs Fuller</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 xml:space="preserve">s PLC </w:t>
      </w: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 xml:space="preserve">(2014-2018 in </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GBP Millions)</w:t>
      </w:r>
    </w:p>
    <w:p>
      <w:pPr>
        <w:pStyle w:val="Body"/>
        <w:spacing w:line="360" w:lineRule="auto"/>
        <w:rPr>
          <w:rFonts w:ascii="Times New Roman" w:cs="Times New Roman" w:hAnsi="Times New Roman" w:eastAsia="Times New Roman"/>
          <w:b w:val="1"/>
          <w:bCs w:val="1"/>
          <w:sz w:val="30"/>
          <w:szCs w:val="30"/>
          <w:u w:color="444444"/>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87"/>
        <w:gridCol w:w="1288"/>
        <w:gridCol w:w="1288"/>
        <w:gridCol w:w="1287"/>
        <w:gridCol w:w="1289"/>
        <w:gridCol w:w="1288"/>
        <w:gridCol w:w="1289"/>
      </w:tblGrid>
      <w:tr>
        <w:tblPrEx>
          <w:shd w:val="clear" w:color="auto" w:fill="cdd4e9"/>
        </w:tblPrEx>
        <w:trPr>
          <w:trHeight w:val="600"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24"/>
                <w:szCs w:val="24"/>
                <w:u w:color="444444"/>
                <w:shd w:val="clear" w:color="auto" w:fill="ffffff"/>
                <w:rtl w:val="0"/>
              </w:rPr>
              <w:t>Youngs</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2016</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444444"/>
                <w:shd w:val="clear" w:color="auto" w:fill="ffffff"/>
                <w:rtl w:val="0"/>
                <w:lang w:val="en-US"/>
              </w:rPr>
              <w:t>2017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Fullers 2018</w:t>
            </w:r>
          </w:p>
        </w:tc>
      </w:tr>
      <w:tr>
        <w:tblPrEx>
          <w:shd w:val="clear" w:color="auto" w:fill="cdd4e9"/>
        </w:tblPrEx>
        <w:trPr>
          <w:trHeight w:val="28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Revenue</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210.76</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227</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245.9</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268.9</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279.3</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403.6</w:t>
            </w:r>
          </w:p>
        </w:tc>
      </w:tr>
      <w:tr>
        <w:tblPrEx>
          <w:shd w:val="clear" w:color="auto" w:fill="cdd4e9"/>
        </w:tblPrEx>
        <w:trPr>
          <w:trHeight w:val="28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Growth %</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6.7</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6.5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5.6</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4.2</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2.9</w:t>
            </w:r>
          </w:p>
        </w:tc>
      </w:tr>
      <w:tr>
        <w:tblPrEx>
          <w:shd w:val="clear" w:color="auto" w:fill="cdd4e9"/>
        </w:tblPrEx>
        <w:trPr>
          <w:trHeight w:val="56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Gross Profit</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22.1</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26.7</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27.1</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30</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30.1</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39.7</w:t>
            </w:r>
          </w:p>
        </w:tc>
      </w:tr>
      <w:tr>
        <w:tblPrEx>
          <w:shd w:val="clear" w:color="auto" w:fill="cdd4e9"/>
        </w:tblPrEx>
        <w:trPr>
          <w:trHeight w:val="56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Operating Profit</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32.644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41.5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38.9</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42.7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43.5</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49.2</w:t>
            </w:r>
          </w:p>
        </w:tc>
      </w:tr>
    </w:tbl>
    <w:p>
      <w:pPr>
        <w:pStyle w:val="Body"/>
        <w:spacing w:line="360" w:lineRule="auto"/>
        <w:rPr>
          <w:rFonts w:ascii="Times New Roman" w:cs="Times New Roman" w:hAnsi="Times New Roman" w:eastAsia="Times New Roman"/>
          <w:b w:val="1"/>
          <w:bCs w:val="1"/>
          <w:sz w:val="30"/>
          <w:szCs w:val="30"/>
          <w:u w:color="444444"/>
        </w:rPr>
      </w:pPr>
    </w:p>
    <w:p>
      <w:pPr>
        <w:pStyle w:val="Body"/>
        <w:spacing w:line="360" w:lineRule="auto"/>
        <w:rPr>
          <w:rFonts w:ascii="Times New Roman" w:cs="Times New Roman" w:hAnsi="Times New Roman" w:eastAsia="Times New Roman"/>
          <w:color w:val="004c7f"/>
          <w:sz w:val="30"/>
          <w:szCs w:val="30"/>
          <w:u w:color="444444"/>
        </w:rPr>
      </w:pPr>
      <w:r>
        <w:rPr>
          <w:rFonts w:ascii="Times New Roman" w:hAnsi="Times New Roman"/>
          <w:color w:val="004c7f"/>
          <w:sz w:val="30"/>
          <w:szCs w:val="30"/>
          <w:u w:color="444444"/>
          <w:rtl w:val="0"/>
          <w:lang w:val="en-US"/>
        </w:rPr>
        <w:t>Source: Annual financial reports of Young</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and Fuller</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(2014-2018)</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Gross profit is what the company is left after removing the cost of creating and delivering a product or a service. It is calculated by taking off cost of goods (COGS) from the sales.  Gross profit is also called sales profit or gross income in some stamens.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growing steadily in terms of gross profit for the first 3 years of the period we are looking at and then slowing down a little bit in the last 2 years. This is due to heavy expansion and acquisition of new real estate.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on the other hand is growing at a much slower rate at 2.9%. With a total revenue of 403.6 million and gross profit of 39.7 it appears that the company is experiencing stagnation.</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Operating profit is the profit of the company minus interest and taxes. It also does not include profit from investments. Every expense that is needed to keep the business going on is part of the operating profit. Some companies use different name for operating profit and that is operating income or earnings before interest and tax, but it means the same thing. Operating profit is on the rise for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reaching but still lower than that of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w:t>
      </w:r>
    </w:p>
    <w:p>
      <w:pPr>
        <w:pStyle w:val="Default"/>
        <w:bidi w:val="0"/>
        <w:ind w:left="0" w:right="0" w:firstLine="0"/>
        <w:jc w:val="left"/>
        <w:rPr>
          <w:rFonts w:ascii="Times New Roman" w:cs="Times New Roman" w:hAnsi="Times New Roman" w:eastAsia="Times New Roman"/>
          <w:color w:val="111111"/>
          <w:sz w:val="35"/>
          <w:szCs w:val="35"/>
          <w:u w:color="444444"/>
          <w:shd w:val="clear" w:color="auto" w:fill="ffffff"/>
          <w:rtl w:val="0"/>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From the table above we can see that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revenue, gross profit and operating profit is growing steadily but the actual growth of the company starts to slow down.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main competitor -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are leading them by revenue, gross profit and operating profit, but fall short in growth percentage.</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This can be due to aggressive expansion by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and there newest acquired Pub in the chain - Smiths of Smithfield which is the most expensive pub purchase that the company has ever done. (</w:t>
      </w:r>
      <w:r>
        <w:rPr>
          <w:rStyle w:val="Hyperlink.0"/>
          <w:sz w:val="30"/>
          <w:szCs w:val="30"/>
        </w:rPr>
        <w:fldChar w:fldCharType="begin" w:fldLock="0"/>
      </w:r>
      <w:r>
        <w:rPr>
          <w:rStyle w:val="Hyperlink.0"/>
          <w:sz w:val="30"/>
          <w:szCs w:val="30"/>
        </w:rPr>
        <w:instrText xml:space="preserve"> HYPERLINK "https://www.standard.co.uk/business/meet-patrick-dardis-the-rugbymad-irishman-looking-to-expand-pubs-giant-youngs-a3768311.html"</w:instrText>
      </w:r>
      <w:r>
        <w:rPr>
          <w:rStyle w:val="Hyperlink.0"/>
          <w:sz w:val="30"/>
          <w:szCs w:val="30"/>
        </w:rPr>
        <w:fldChar w:fldCharType="separate" w:fldLock="0"/>
      </w:r>
      <w:r>
        <w:rPr>
          <w:rStyle w:val="Hyperlink.0"/>
          <w:sz w:val="30"/>
          <w:szCs w:val="30"/>
          <w:rtl w:val="0"/>
          <w:lang w:val="en-US"/>
        </w:rPr>
        <w:t>https://www.standard.co.uk/business/meet-patrick-dardis-the-rugbymad-irishman-looking-to-expand-pubs-giant-youngs-a3768311.html</w:t>
      </w:r>
      <w:r>
        <w:rPr>
          <w:sz w:val="30"/>
          <w:szCs w:val="30"/>
        </w:rPr>
        <w:fldChar w:fldCharType="end" w:fldLock="0"/>
      </w:r>
      <w:r>
        <w:rPr>
          <w:rFonts w:ascii="Times New Roman" w:hAnsi="Times New Roman"/>
          <w:sz w:val="30"/>
          <w:szCs w:val="30"/>
          <w:u w:color="444444"/>
          <w:rtl w:val="0"/>
          <w:lang w:val="en-US"/>
        </w:rPr>
        <w:t>).</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According to CEO Patrick Dardis Smithfield</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area will be rising in popularity and with the introduction of the new Crossrail it can become the new Covent Garden (Kay,2017)</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With all of that said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market share and company evaluation has been growing steadily in the last 5 years.(Financial Times,2019)</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Except in June 2017 when there is a drop in their share price. The reason for that is a terrorist attack in London. The incident happened at London Bridge in the capital when a van crashed into people. The reason why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stock price was affected is because the attacks continued in one of the pubs of the chain called The Wheatsheaf. There were staff members and clients hurt during the attack.</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Fullers on the other hand, is quite the opposite.(Financial Times,2019)</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In January 2019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sold their brewery to the Asahi group and that led to their evaluation going up significantly. Until that point market evaluation has been in decline for years. By selling their brewery they plan to invest heavily into their real estate of hotels and pubs and increase profitability.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87% of their operating profits are coming from their pubs and hotels. (Jones,2019)</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Table.3 Profitability Ratios For Young</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s PLC vs Fuller</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 xml:space="preserve">s PLC </w:t>
      </w:r>
    </w:p>
    <w:p>
      <w:pPr>
        <w:pStyle w:val="Body"/>
        <w:spacing w:line="360" w:lineRule="auto"/>
        <w:rPr>
          <w:rFonts w:ascii="Times New Roman" w:cs="Times New Roman" w:hAnsi="Times New Roman" w:eastAsia="Times New Roman"/>
          <w:sz w:val="30"/>
          <w:szCs w:val="30"/>
          <w:u w:color="444444"/>
        </w:rPr>
      </w:pPr>
      <w:r>
        <w:rPr>
          <w:rFonts w:ascii="Times New Roman" w:hAnsi="Times New Roman"/>
          <w:b w:val="1"/>
          <w:bCs w:val="1"/>
          <w:sz w:val="30"/>
          <w:szCs w:val="30"/>
          <w:u w:color="444444"/>
          <w:rtl w:val="0"/>
          <w:lang w:val="en-US"/>
        </w:rPr>
        <w:t xml:space="preserve">(2014-2018 in </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GBP Millions)</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87"/>
        <w:gridCol w:w="1288"/>
        <w:gridCol w:w="1288"/>
        <w:gridCol w:w="1287"/>
        <w:gridCol w:w="1289"/>
        <w:gridCol w:w="1288"/>
        <w:gridCol w:w="1289"/>
      </w:tblGrid>
      <w:tr>
        <w:tblPrEx>
          <w:shd w:val="clear" w:color="auto" w:fill="cdd4e9"/>
        </w:tblPrEx>
        <w:trPr>
          <w:trHeight w:val="600"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24"/>
                <w:szCs w:val="24"/>
                <w:u w:color="444444"/>
                <w:shd w:val="clear" w:color="auto" w:fill="ffffff"/>
                <w:rtl w:val="0"/>
              </w:rPr>
              <w:t>Youngs</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2016</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444444"/>
                <w:shd w:val="clear" w:color="auto" w:fill="ffffff"/>
                <w:rtl w:val="0"/>
                <w:lang w:val="en-US"/>
              </w:rPr>
              <w:t>2017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Fullers 2018</w:t>
            </w:r>
          </w:p>
        </w:tc>
      </w:tr>
      <w:tr>
        <w:tblPrEx>
          <w:shd w:val="clear" w:color="auto" w:fill="cdd4e9"/>
        </w:tblPrEx>
        <w:trPr>
          <w:trHeight w:val="84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Operating Profit Margin %</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15.49</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18.28</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15.82</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15.88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15.57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12.19</w:t>
            </w:r>
          </w:p>
        </w:tc>
      </w:tr>
      <w:tr>
        <w:tblPrEx>
          <w:shd w:val="clear" w:color="auto" w:fill="cdd4e9"/>
        </w:tblPrEx>
        <w:trPr>
          <w:trHeight w:val="56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Net Profit Margin %</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10.46</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11.76</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11.02</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11.15</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10.78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8.62</w:t>
            </w:r>
          </w:p>
        </w:tc>
      </w:tr>
    </w:tbl>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color w:val="004c7f"/>
          <w:sz w:val="30"/>
          <w:szCs w:val="30"/>
          <w:u w:color="444444"/>
        </w:rPr>
      </w:pPr>
      <w:r>
        <w:rPr>
          <w:rFonts w:ascii="Times New Roman" w:hAnsi="Times New Roman"/>
          <w:color w:val="004c7f"/>
          <w:sz w:val="30"/>
          <w:szCs w:val="30"/>
          <w:u w:color="444444"/>
          <w:rtl w:val="0"/>
          <w:lang w:val="en-US"/>
        </w:rPr>
        <w:t>Source: Annual financial reports of Young</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and Fuller</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(2014-2018)</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 xml:space="preserve">Next we are going to calculate profitability rations for the company starting with the operating profit margin. </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It is used to calculate the percentage of profit a company makes for its business before taking tax and interest charges are taken off. It is calculated by dividing operating profit by total revenue and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 xml:space="preserve">s measured in percentage. </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From the table below we can see that even though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generating more revenue its operating profit margin is smaller than that of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for 2018.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strategy for consistent growth year after year is working quite well as we can see from the figures above. The fact that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have sold their brewery isn</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t helping here.</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Next is net profit margin. It is a very important metric that helps investors understand the financial situation of a company. By analysing current and past net profit margin you can understand if what the company is doing is actually working well. Net profit margin is a percentage and therefore investors can compare two different companies. The size of the companies is irrelevant when calculating net profit margin.</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When assessing a company investors want to see a raising net profit margins.</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Again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leading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main competitor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in that regard.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 xml:space="preserve">s careful management of assets, staff members professional work is giving good results and is a good sign for investors. They are also offering staff members the ability to buy shares. </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With the ability to buy shares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are improving their staff retention and also a boosting their company structure. This can be very beneficial in the long term and is something that a big company like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must be doing as well.</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Table.4 Liquidity Ratios For Young</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s PLC vs Fuller</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 xml:space="preserve">s PLC </w:t>
      </w:r>
    </w:p>
    <w:p>
      <w:pPr>
        <w:pStyle w:val="Body"/>
        <w:spacing w:line="360" w:lineRule="auto"/>
        <w:rPr>
          <w:rFonts w:ascii="Times New Roman" w:cs="Times New Roman" w:hAnsi="Times New Roman" w:eastAsia="Times New Roman"/>
          <w:sz w:val="30"/>
          <w:szCs w:val="30"/>
          <w:u w:color="444444"/>
        </w:rPr>
      </w:pPr>
      <w:r>
        <w:rPr>
          <w:rFonts w:ascii="Times New Roman" w:hAnsi="Times New Roman"/>
          <w:b w:val="1"/>
          <w:bCs w:val="1"/>
          <w:sz w:val="30"/>
          <w:szCs w:val="30"/>
          <w:u w:color="444444"/>
          <w:rtl w:val="0"/>
          <w:lang w:val="en-US"/>
        </w:rPr>
        <w:t xml:space="preserve">(2014-2018 in </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GBP Millions)</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87"/>
        <w:gridCol w:w="1288"/>
        <w:gridCol w:w="1288"/>
        <w:gridCol w:w="1287"/>
        <w:gridCol w:w="1289"/>
        <w:gridCol w:w="1288"/>
        <w:gridCol w:w="1289"/>
      </w:tblGrid>
      <w:tr>
        <w:tblPrEx>
          <w:shd w:val="clear" w:color="auto" w:fill="cdd4e9"/>
        </w:tblPrEx>
        <w:trPr>
          <w:trHeight w:val="600"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24"/>
                <w:szCs w:val="24"/>
                <w:u w:color="444444"/>
                <w:shd w:val="clear" w:color="auto" w:fill="ffffff"/>
                <w:rtl w:val="0"/>
              </w:rPr>
              <w:t>Youngs</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2016</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444444"/>
                <w:shd w:val="clear" w:color="auto" w:fill="ffffff"/>
                <w:rtl w:val="0"/>
                <w:lang w:val="en-US"/>
              </w:rPr>
              <w:t>2017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Fullers 2018</w:t>
            </w:r>
          </w:p>
        </w:tc>
      </w:tr>
      <w:tr>
        <w:tblPrEx>
          <w:shd w:val="clear" w:color="auto" w:fill="cdd4e9"/>
        </w:tblPrEx>
        <w:trPr>
          <w:trHeight w:val="56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Current Ratio</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0.366</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0.22</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0.53</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0.24</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0.38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0.49</w:t>
            </w:r>
          </w:p>
        </w:tc>
      </w:tr>
      <w:tr>
        <w:tblPrEx>
          <w:shd w:val="clear" w:color="auto" w:fill="cdd4e9"/>
        </w:tblPrEx>
        <w:trPr>
          <w:trHeight w:val="56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Cash Ratio</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0.074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0.0052</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0.315</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0.092</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0.152</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0.115</w:t>
            </w:r>
          </w:p>
        </w:tc>
      </w:tr>
    </w:tbl>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color w:val="004c7f"/>
          <w:sz w:val="30"/>
          <w:szCs w:val="30"/>
          <w:u w:color="444444"/>
        </w:rPr>
      </w:pPr>
      <w:r>
        <w:rPr>
          <w:rFonts w:ascii="Times New Roman" w:hAnsi="Times New Roman"/>
          <w:color w:val="004c7f"/>
          <w:sz w:val="30"/>
          <w:szCs w:val="30"/>
          <w:u w:color="444444"/>
          <w:rtl w:val="0"/>
          <w:lang w:val="en-US"/>
        </w:rPr>
        <w:t>Source: Annual financial reports of Young</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and Fuller</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(2014-2018)</w:t>
      </w:r>
    </w:p>
    <w:p>
      <w:pPr>
        <w:pStyle w:val="Body"/>
        <w:spacing w:line="360" w:lineRule="auto"/>
        <w:rPr>
          <w:rFonts w:ascii="Times New Roman" w:cs="Times New Roman" w:hAnsi="Times New Roman" w:eastAsia="Times New Roman"/>
          <w:sz w:val="34"/>
          <w:szCs w:val="34"/>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Liquidity ratios is a financial metric that determines if a debtor can pay its debts without getting help in the form of capital from the outside.</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Liquidity includes current ratio, quick ratio and cash ratio.</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The higher the ratio is the greater the company liquidity.</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First we will have a look at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current ratio. Current ratio is calculated by dividing the current assets by the current liabilities of the company. Current assets include cash, accounts receivable, inventory and any other assets while current liabilities are : salaries, accounts payable, taxes payable and current long term debt of the company.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To fully understand current ratio we have to have a look at how it is changing. Investors need to check other factors as well. If current ratio is negative right now but appears to be getting better in the future this is a good time to invest in a company.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The current ratio is acceptable when is similar to the industry average and the company</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competitors. If it is lower than the average that can give investors a sign that there is a risk and if the current ratio is much higher than the average - they are not using assets effectively.</w:t>
      </w: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rtl w:val="0"/>
          <w:lang w:val="en-US"/>
        </w:rPr>
        <w:t>Current ratio takes into account all current assets and current liabilities and is also know as working capital ratio.</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having a slightly higher current ratio than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in 2018.</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Then we analyse the cash ratio of both companies. Cash ratio restricts the assets to just cash on hand, in the bank and other equivalents. It also shows if the company will be able to repay all its debt without liquidating any other assets.</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If the result is 1 that means that the company</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has the same amount of cash as its current liabilities. If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less than 1 that means that the company doesn</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t have enough cash to repay all its short term obligations.</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If the cash ratio is higher than 1, in most cases, that means that a company has enough cash to repay all its short term obligations, but it also can mean that they are not using their cash effectively and have a lot of cash sitting in the bank.</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Accounts receivable, inventory and prepaid assets are not included in the cash ratio.</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Current liabilities on the other hand includes every obligation and debt that the company needs to fulfil or repay in a years time or less.</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Cash ratio also need to be compared to the average of other companies so investors can get a better understanding. If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lower than one it can be an indicator that the company might face financial difficulties or it may be following a strategy to keep reinvesting all the cash back in the business so it doesn</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t hold cash in hand.</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Therefore it is important to compare cash ratio to that of other companies and the industry as a whole. Some industries are holding more cash in hand while others do the opposite. With that said a high cash ratio does not always means strong performance from the company. It can also suggest that they are worried about their future profitability or are unable to utilise cash effectively.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Table.5 Gearing Ratios For Young</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s PLC vs Fuller</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 xml:space="preserve">s PLC </w:t>
      </w:r>
    </w:p>
    <w:p>
      <w:pPr>
        <w:pStyle w:val="Body"/>
        <w:spacing w:line="360" w:lineRule="auto"/>
        <w:rPr>
          <w:rFonts w:ascii="Times New Roman" w:cs="Times New Roman" w:hAnsi="Times New Roman" w:eastAsia="Times New Roman"/>
          <w:sz w:val="30"/>
          <w:szCs w:val="30"/>
          <w:u w:color="444444"/>
        </w:rPr>
      </w:pPr>
      <w:r>
        <w:rPr>
          <w:rFonts w:ascii="Times New Roman" w:hAnsi="Times New Roman"/>
          <w:b w:val="1"/>
          <w:bCs w:val="1"/>
          <w:sz w:val="30"/>
          <w:szCs w:val="30"/>
          <w:u w:color="444444"/>
          <w:rtl w:val="0"/>
          <w:lang w:val="en-US"/>
        </w:rPr>
        <w:t xml:space="preserve">(2014-2018 in </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GBP Millions)</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87"/>
        <w:gridCol w:w="1288"/>
        <w:gridCol w:w="1288"/>
        <w:gridCol w:w="1287"/>
        <w:gridCol w:w="1289"/>
        <w:gridCol w:w="1288"/>
        <w:gridCol w:w="1289"/>
      </w:tblGrid>
      <w:tr>
        <w:tblPrEx>
          <w:shd w:val="clear" w:color="auto" w:fill="cdd4e9"/>
        </w:tblPrEx>
        <w:trPr>
          <w:trHeight w:val="600"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24"/>
                <w:szCs w:val="24"/>
                <w:u w:color="444444"/>
                <w:shd w:val="clear" w:color="auto" w:fill="ffffff"/>
                <w:rtl w:val="0"/>
              </w:rPr>
              <w:t>Youngs</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2016</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444444"/>
                <w:shd w:val="clear" w:color="auto" w:fill="ffffff"/>
                <w:rtl w:val="0"/>
                <w:lang w:val="en-US"/>
              </w:rPr>
              <w:t>2017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Fullers 2018</w:t>
            </w:r>
          </w:p>
        </w:tc>
      </w:tr>
      <w:tr>
        <w:tblPrEx>
          <w:shd w:val="clear" w:color="auto" w:fill="cdd4e9"/>
        </w:tblPrEx>
        <w:trPr>
          <w:trHeight w:val="84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Debt To Equity Ratio</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35.73</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40.54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42.44</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40.90</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41.21</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14.85</w:t>
            </w:r>
          </w:p>
        </w:tc>
      </w:tr>
      <w:tr>
        <w:tblPrEx>
          <w:shd w:val="clear" w:color="auto" w:fill="cdd4e9"/>
        </w:tblPrEx>
        <w:trPr>
          <w:trHeight w:val="84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Debt To Capital Ratio</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0.22</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0.22</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0.20</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0.20</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0.21</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0.37</w:t>
            </w:r>
          </w:p>
        </w:tc>
      </w:tr>
    </w:tbl>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color w:val="004c7f"/>
          <w:sz w:val="30"/>
          <w:szCs w:val="30"/>
          <w:u w:color="444444"/>
        </w:rPr>
      </w:pPr>
      <w:r>
        <w:rPr>
          <w:rFonts w:ascii="Times New Roman" w:hAnsi="Times New Roman"/>
          <w:color w:val="004c7f"/>
          <w:sz w:val="30"/>
          <w:szCs w:val="30"/>
          <w:u w:color="444444"/>
          <w:rtl w:val="0"/>
          <w:lang w:val="en-US"/>
        </w:rPr>
        <w:t>Source: Annual financial reports of Young</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and Fuller</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(2014-2018)</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Gearing ratios are financial ratios that compare equity or capital to debt or borrowings. It shows the organisation</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financial leverage which shows if the company is using shareholders funds or creditors funds for its activities.</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 xml:space="preserve">High gearing ratio does not always mean that a company has bad financials but a riskier financials than the opposite. </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We will start with debt to equity ratio. It is calculated by dividing total liabilities to shareholder equity which, in the annual reports of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and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called share capital. It is used to identify if a company is using its own money to trade or is using debt, in other words, is the company capable to cover all debts with shareholder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funds.</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As we can see from the table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have been more aggressive with financing their growth with debt compared to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in 2018.</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Then we</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ve got debt to capital ratio. The higher it is, the riskier a company is to invest in. It is calculated by using company</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short and long term debt and then dividing it by its total capital.</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has a lower dept to capital ratio than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in 2018.</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b w:val="1"/>
          <w:bCs w:val="1"/>
          <w:sz w:val="30"/>
          <w:szCs w:val="30"/>
          <w:u w:color="444444"/>
        </w:rPr>
      </w:pPr>
      <w:r>
        <w:rPr>
          <w:rFonts w:ascii="Times New Roman" w:hAnsi="Times New Roman"/>
          <w:b w:val="1"/>
          <w:bCs w:val="1"/>
          <w:sz w:val="30"/>
          <w:szCs w:val="30"/>
          <w:u w:color="444444"/>
          <w:rtl w:val="0"/>
          <w:lang w:val="en-US"/>
        </w:rPr>
        <w:t>Table.6 Efficiency Ratios For Young</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s PLC vs Fuller</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 xml:space="preserve">s PLC </w:t>
      </w:r>
    </w:p>
    <w:p>
      <w:pPr>
        <w:pStyle w:val="Body"/>
        <w:spacing w:line="360" w:lineRule="auto"/>
        <w:rPr>
          <w:rFonts w:ascii="Times New Roman" w:cs="Times New Roman" w:hAnsi="Times New Roman" w:eastAsia="Times New Roman"/>
          <w:sz w:val="30"/>
          <w:szCs w:val="30"/>
          <w:u w:color="444444"/>
        </w:rPr>
      </w:pPr>
      <w:r>
        <w:rPr>
          <w:rFonts w:ascii="Times New Roman" w:hAnsi="Times New Roman"/>
          <w:b w:val="1"/>
          <w:bCs w:val="1"/>
          <w:sz w:val="30"/>
          <w:szCs w:val="30"/>
          <w:u w:color="444444"/>
          <w:rtl w:val="0"/>
          <w:lang w:val="en-US"/>
        </w:rPr>
        <w:t xml:space="preserve">(2014-2018 in </w:t>
      </w:r>
      <w:r>
        <w:rPr>
          <w:rFonts w:ascii="Times New Roman" w:hAnsi="Times New Roman" w:hint="default"/>
          <w:b w:val="1"/>
          <w:bCs w:val="1"/>
          <w:sz w:val="30"/>
          <w:szCs w:val="30"/>
          <w:u w:color="444444"/>
          <w:rtl w:val="0"/>
          <w:lang w:val="en-US"/>
        </w:rPr>
        <w:t>£</w:t>
      </w:r>
      <w:r>
        <w:rPr>
          <w:rFonts w:ascii="Times New Roman" w:hAnsi="Times New Roman"/>
          <w:b w:val="1"/>
          <w:bCs w:val="1"/>
          <w:sz w:val="30"/>
          <w:szCs w:val="30"/>
          <w:u w:color="444444"/>
          <w:rtl w:val="0"/>
          <w:lang w:val="en-US"/>
        </w:rPr>
        <w:t>GBP Millions)</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287"/>
        <w:gridCol w:w="1288"/>
        <w:gridCol w:w="1288"/>
        <w:gridCol w:w="1287"/>
        <w:gridCol w:w="1289"/>
        <w:gridCol w:w="1288"/>
        <w:gridCol w:w="1289"/>
      </w:tblGrid>
      <w:tr>
        <w:tblPrEx>
          <w:shd w:val="clear" w:color="auto" w:fill="cdd4e9"/>
        </w:tblPrEx>
        <w:trPr>
          <w:trHeight w:val="600"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24"/>
                <w:szCs w:val="24"/>
                <w:u w:color="444444"/>
                <w:shd w:val="clear" w:color="auto" w:fill="ffffff"/>
                <w:rtl w:val="0"/>
              </w:rPr>
              <w:t>Youngs</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2014</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2016</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444444"/>
                <w:shd w:val="clear" w:color="auto" w:fill="ffffff"/>
                <w:rtl w:val="0"/>
                <w:lang w:val="en-US"/>
              </w:rPr>
              <w:t>2017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2018</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Fullers 2018</w:t>
            </w:r>
          </w:p>
        </w:tc>
      </w:tr>
      <w:tr>
        <w:tblPrEx>
          <w:shd w:val="clear" w:color="auto" w:fill="cdd4e9"/>
        </w:tblPrEx>
        <w:trPr>
          <w:trHeight w:val="56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Asset Turnover</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0.865</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0.856</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0.864</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0.863</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0.867</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0.798</w:t>
            </w:r>
          </w:p>
        </w:tc>
      </w:tr>
      <w:tr>
        <w:tblPrEx>
          <w:shd w:val="clear" w:color="auto" w:fill="cdd4e9"/>
        </w:tblPrEx>
        <w:trPr>
          <w:trHeight w:val="843" w:hRule="atLeast"/>
        </w:trPr>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 xml:space="preserve">Fixed Asset Turnover </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2.91</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2.90</w:t>
            </w:r>
          </w:p>
        </w:tc>
        <w:tc>
          <w:tcPr>
            <w:tcW w:type="dxa" w:w="12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2.89</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2.92</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2.92</w:t>
            </w:r>
          </w:p>
        </w:tc>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2.79</w:t>
            </w:r>
          </w:p>
        </w:tc>
      </w:tr>
    </w:tbl>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color w:val="004c7f"/>
          <w:sz w:val="30"/>
          <w:szCs w:val="30"/>
          <w:u w:color="444444"/>
        </w:rPr>
      </w:pPr>
      <w:r>
        <w:rPr>
          <w:rFonts w:ascii="Times New Roman" w:hAnsi="Times New Roman"/>
          <w:color w:val="004c7f"/>
          <w:sz w:val="30"/>
          <w:szCs w:val="30"/>
          <w:u w:color="444444"/>
          <w:rtl w:val="0"/>
          <w:lang w:val="en-US"/>
        </w:rPr>
        <w:t>Source: Annual financial reports of Young</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and Fuller</w:t>
      </w:r>
      <w:r>
        <w:rPr>
          <w:rFonts w:ascii="Times New Roman" w:hAnsi="Times New Roman" w:hint="default"/>
          <w:color w:val="004c7f"/>
          <w:sz w:val="30"/>
          <w:szCs w:val="30"/>
          <w:u w:color="444444"/>
          <w:rtl w:val="0"/>
          <w:lang w:val="en-US"/>
        </w:rPr>
        <w:t>’</w:t>
      </w:r>
      <w:r>
        <w:rPr>
          <w:rFonts w:ascii="Times New Roman" w:hAnsi="Times New Roman"/>
          <w:color w:val="004c7f"/>
          <w:sz w:val="30"/>
          <w:szCs w:val="30"/>
          <w:u w:color="444444"/>
          <w:rtl w:val="0"/>
          <w:lang w:val="en-US"/>
        </w:rPr>
        <w:t>s PLC (2014-2018)</w:t>
      </w:r>
    </w:p>
    <w:p>
      <w:pPr>
        <w:pStyle w:val="Body"/>
        <w:spacing w:line="360" w:lineRule="auto"/>
        <w:rPr>
          <w:rFonts w:ascii="Times New Roman" w:cs="Times New Roman" w:hAnsi="Times New Roman" w:eastAsia="Times New Roman"/>
          <w:color w:val="004c7f"/>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Efficiency ratio is used by investors to find out how well a company is using it assets and liabilities internally, with other words, short term performance.</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First is asset turnover. It measures revenue to assets. The higher it is the better the company is using its assets and better for investors.</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Then we measure fixed asset turnover ratio. It measures net sales and its fixed assets. To improve asset turnover ratio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should increase the speed with which they sell their product.</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Another thing that the company can do is sell some of their assets, the ones that they don</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t use. Then lease the assets if needed - they won</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t count as a fixed asset.</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Another great way is to automate as much of the business as possible. With todays technology automation is not only possible but necessary.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With all of that being said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a healthy company. Consistent growth for the last 5 and even 10 years is a good sign that management and the board are doing everything they should be doing. Their strategy to focus mainly on their real estate and focus on their food offer is turning to be a success. There is room for improvement as always but constant progress is being made. Still unable to reach its main competitor in terms of revenue. This is mainly due to the fact that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simply have more real estate which generates more revenue for the company.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After carefully analysing the figures stated above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clear that even though Fuller</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generating more revenue, they are actually less profitable and their growth is significantly slower than that of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In terms of other competitors of 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they are still unable and not really trying to surpass them. Their offering is very different and the company has decided to focus on something that will really differentiate them than the rest.</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 xml:space="preserve">Weatherspoons, Greene King, Mitchell and Buttler are all multi billion pound companies and at this point, Youngs or even Fullers as simply unable to compete. With Brexit and the new business rates things are getting even more difficult for pub companies to keep their profits.  </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Young</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is growing every single years and is a good company to invest in if you are looking for a stable company.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Payback Period</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Payback period is the time it takes to get the what you have invested in back.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how long it will take to be at zero again. The quicker you will get your investment back the more lucrative an investing opportunity is.</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It is calculated by dividing cost of investment by annual cashflow. The shorter it is the better. The problem with payback period is that it can ignore the time value of money.</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Project A :</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3+(15/55) =3.27 Years</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Project B :</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2+(35/35) = 3 Years</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shd w:val="clear" w:color="auto" w:fill="ffffff"/>
        </w:rPr>
      </w:pPr>
      <w:r>
        <w:rPr>
          <w:rFonts w:ascii="Times New Roman" w:hAnsi="Times New Roman"/>
          <w:sz w:val="30"/>
          <w:szCs w:val="30"/>
          <w:u w:color="444444"/>
          <w:shd w:val="clear" w:color="auto" w:fill="ffffff"/>
          <w:rtl w:val="0"/>
          <w:lang w:val="en-US"/>
        </w:rPr>
        <w:t>Project B</w:t>
      </w:r>
    </w:p>
    <w:p>
      <w:pPr>
        <w:pStyle w:val="Body"/>
        <w:spacing w:line="360" w:lineRule="auto"/>
        <w:rPr>
          <w:rFonts w:ascii="Times New Roman" w:cs="Times New Roman" w:hAnsi="Times New Roman" w:eastAsia="Times New Roman"/>
          <w:sz w:val="30"/>
          <w:szCs w:val="30"/>
          <w:u w:color="444444"/>
          <w:shd w:val="clear" w:color="auto" w:fill="ffffff"/>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Accounting Rate Of Return (ARR)</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Accounting rate of return is the percentage that is supposed to be returned</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 xml:space="preserve">from making an investment. The way it works is by dividing the average revenue by the investment. ARR does not include time value of money. </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It is also used to measure if an investment in a certain firm will be profitable for the investors.</w:t>
      </w: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We will use it to calculate 2 different projects.</w:t>
      </w:r>
    </w:p>
    <w:p>
      <w:pPr>
        <w:pStyle w:val="Body"/>
        <w:spacing w:line="360" w:lineRule="auto"/>
        <w:rPr>
          <w:rFonts w:ascii="Times New Roman" w:cs="Times New Roman" w:hAnsi="Times New Roman" w:eastAsia="Times New Roman"/>
          <w:sz w:val="30"/>
          <w:szCs w:val="30"/>
          <w:u w:color="444444"/>
        </w:rPr>
      </w:pPr>
    </w:p>
    <w:p>
      <w:pPr>
        <w:pStyle w:val="Default"/>
        <w:bidi w:val="0"/>
        <w:ind w:left="0" w:right="0" w:firstLine="0"/>
        <w:jc w:val="left"/>
        <w:rPr>
          <w:rFonts w:ascii="Times New Roman" w:cs="Times New Roman" w:hAnsi="Times New Roman" w:eastAsia="Times New Roman"/>
          <w:color w:val="111111"/>
          <w:sz w:val="32"/>
          <w:szCs w:val="32"/>
          <w:u w:color="444444"/>
          <w:rtl w:val="0"/>
        </w:rPr>
      </w:pPr>
      <w:r>
        <w:rPr>
          <w:rFonts w:ascii="Times New Roman" w:hAnsi="Times New Roman"/>
          <w:color w:val="111111"/>
          <w:sz w:val="32"/>
          <w:szCs w:val="32"/>
          <w:u w:color="444444"/>
          <w:rtl w:val="0"/>
          <w:lang w:val="en-US"/>
        </w:rPr>
        <w:t>Project A :</w:t>
      </w:r>
    </w:p>
    <w:p>
      <w:pPr>
        <w:pStyle w:val="Default"/>
        <w:bidi w:val="0"/>
        <w:ind w:left="0" w:right="0" w:firstLine="0"/>
        <w:jc w:val="left"/>
        <w:rPr>
          <w:rFonts w:ascii="Times New Roman" w:cs="Times New Roman" w:hAnsi="Times New Roman" w:eastAsia="Times New Roman"/>
          <w:color w:val="111111"/>
          <w:sz w:val="32"/>
          <w:szCs w:val="32"/>
          <w:u w:color="444444"/>
          <w:rtl w:val="0"/>
        </w:rPr>
      </w:pPr>
    </w:p>
    <w:p>
      <w:pPr>
        <w:pStyle w:val="Default"/>
        <w:bidi w:val="0"/>
        <w:ind w:left="0" w:right="0" w:firstLine="0"/>
        <w:jc w:val="left"/>
        <w:rPr>
          <w:rFonts w:ascii="Times New Roman" w:cs="Times New Roman" w:hAnsi="Times New Roman" w:eastAsia="Times New Roman"/>
          <w:color w:val="111111"/>
          <w:sz w:val="32"/>
          <w:szCs w:val="32"/>
          <w:u w:color="444444"/>
          <w:rtl w:val="0"/>
        </w:rPr>
      </w:pPr>
      <w:r>
        <w:rPr>
          <w:rFonts w:ascii="Times New Roman" w:hAnsi="Times New Roman"/>
          <w:color w:val="111111"/>
          <w:sz w:val="32"/>
          <w:szCs w:val="32"/>
          <w:u w:color="444444"/>
          <w:rtl w:val="0"/>
          <w:lang w:val="en-US"/>
        </w:rPr>
        <w:t>ARR = ((10+20+40+55-85)/4)/(85/2) = 23.5%</w:t>
      </w:r>
    </w:p>
    <w:p>
      <w:pPr>
        <w:pStyle w:val="Default"/>
        <w:bidi w:val="0"/>
        <w:ind w:left="0" w:right="0" w:firstLine="0"/>
        <w:jc w:val="left"/>
        <w:rPr>
          <w:rFonts w:ascii="Times New Roman" w:cs="Times New Roman" w:hAnsi="Times New Roman" w:eastAsia="Times New Roman"/>
          <w:color w:val="111111"/>
          <w:sz w:val="32"/>
          <w:szCs w:val="32"/>
          <w:u w:color="444444"/>
          <w:rtl w:val="0"/>
        </w:rPr>
      </w:pPr>
    </w:p>
    <w:p>
      <w:pPr>
        <w:pStyle w:val="Default"/>
        <w:bidi w:val="0"/>
        <w:ind w:left="0" w:right="0" w:firstLine="0"/>
        <w:jc w:val="left"/>
        <w:rPr>
          <w:rFonts w:ascii="Times New Roman" w:cs="Times New Roman" w:hAnsi="Times New Roman" w:eastAsia="Times New Roman"/>
          <w:color w:val="111111"/>
          <w:sz w:val="32"/>
          <w:szCs w:val="32"/>
          <w:u w:color="444444"/>
          <w:rtl w:val="0"/>
        </w:rPr>
      </w:pPr>
      <w:r>
        <w:rPr>
          <w:rFonts w:ascii="Times New Roman" w:hAnsi="Times New Roman"/>
          <w:color w:val="111111"/>
          <w:sz w:val="32"/>
          <w:szCs w:val="32"/>
          <w:u w:color="444444"/>
          <w:rtl w:val="0"/>
          <w:lang w:val="en-US"/>
        </w:rPr>
        <w:t>Project B :</w:t>
      </w:r>
    </w:p>
    <w:p>
      <w:pPr>
        <w:pStyle w:val="Default"/>
        <w:bidi w:val="0"/>
        <w:ind w:left="0" w:right="0" w:firstLine="0"/>
        <w:jc w:val="left"/>
        <w:rPr>
          <w:rFonts w:ascii="Times New Roman" w:cs="Times New Roman" w:hAnsi="Times New Roman" w:eastAsia="Times New Roman"/>
          <w:color w:val="111111"/>
          <w:sz w:val="32"/>
          <w:szCs w:val="32"/>
          <w:u w:color="444444"/>
          <w:rtl w:val="0"/>
        </w:rPr>
      </w:pPr>
    </w:p>
    <w:p>
      <w:pPr>
        <w:pStyle w:val="Default"/>
        <w:bidi w:val="0"/>
        <w:ind w:left="0" w:right="0" w:firstLine="0"/>
        <w:jc w:val="left"/>
        <w:rPr>
          <w:rFonts w:ascii="Times New Roman" w:cs="Times New Roman" w:hAnsi="Times New Roman" w:eastAsia="Times New Roman"/>
          <w:color w:val="111111"/>
          <w:sz w:val="32"/>
          <w:szCs w:val="32"/>
          <w:u w:color="444444"/>
          <w:rtl w:val="0"/>
        </w:rPr>
      </w:pPr>
      <w:r>
        <w:rPr>
          <w:rFonts w:ascii="Times New Roman" w:hAnsi="Times New Roman"/>
          <w:color w:val="111111"/>
          <w:sz w:val="32"/>
          <w:szCs w:val="32"/>
          <w:u w:color="444444"/>
          <w:rtl w:val="0"/>
          <w:lang w:val="en-US"/>
        </w:rPr>
        <w:t>ARR= ((25+30+35+40-90)/4)/(90/2) = 22%</w:t>
      </w:r>
    </w:p>
    <w:p>
      <w:pPr>
        <w:pStyle w:val="Default"/>
        <w:bidi w:val="0"/>
        <w:ind w:left="0" w:right="0" w:firstLine="0"/>
        <w:jc w:val="left"/>
        <w:rPr>
          <w:rFonts w:ascii="Arial" w:cs="Arial" w:hAnsi="Arial" w:eastAsia="Arial"/>
          <w:color w:val="111111"/>
          <w:sz w:val="32"/>
          <w:szCs w:val="32"/>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r>
        <w:rPr>
          <w:rFonts w:ascii="Arial" w:hAnsi="Arial"/>
          <w:color w:val="111111"/>
          <w:sz w:val="30"/>
          <w:szCs w:val="30"/>
          <w:shd w:val="clear" w:color="auto" w:fill="ffffff"/>
          <w:rtl w:val="0"/>
          <w:lang w:val="en-US"/>
        </w:rPr>
        <w:t>Here Project A is better because it has a higher ARR</w:t>
      </w: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r>
        <w:rPr>
          <w:rFonts w:ascii="Arial" w:hAnsi="Arial"/>
          <w:color w:val="111111"/>
          <w:sz w:val="30"/>
          <w:szCs w:val="30"/>
          <w:shd w:val="clear" w:color="auto" w:fill="ffffff"/>
          <w:rtl w:val="0"/>
          <w:lang w:val="en-US"/>
        </w:rPr>
        <w:t>Net Present Value (NPV)</w:t>
      </w: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r>
        <w:rPr>
          <w:rFonts w:ascii="Arial" w:hAnsi="Arial"/>
          <w:color w:val="111111"/>
          <w:sz w:val="30"/>
          <w:szCs w:val="30"/>
          <w:shd w:val="clear" w:color="auto" w:fill="ffffff"/>
          <w:rtl w:val="0"/>
          <w:lang w:val="en-US"/>
        </w:rPr>
        <w:t xml:space="preserve">Investors are supposed to invest only in companies with positive net present value. Investing in anything that has NPV higher than a zero, in most cases, is the right thing to do. </w:t>
      </w:r>
    </w:p>
    <w:p>
      <w:pPr>
        <w:pStyle w:val="Default"/>
        <w:bidi w:val="0"/>
        <w:ind w:left="0" w:right="0" w:firstLine="0"/>
        <w:jc w:val="left"/>
        <w:rPr>
          <w:rFonts w:ascii="Arial" w:cs="Arial" w:hAnsi="Arial" w:eastAsia="Arial"/>
          <w:color w:val="111111"/>
          <w:sz w:val="30"/>
          <w:szCs w:val="30"/>
          <w:shd w:val="clear" w:color="auto" w:fill="ffffff"/>
          <w:rtl w:val="0"/>
        </w:rPr>
      </w:pPr>
      <w:r>
        <w:rPr>
          <w:rFonts w:ascii="Arial" w:hAnsi="Arial"/>
          <w:color w:val="111111"/>
          <w:sz w:val="30"/>
          <w:szCs w:val="30"/>
          <w:shd w:val="clear" w:color="auto" w:fill="ffffff"/>
          <w:rtl w:val="0"/>
          <w:lang w:val="en-US"/>
        </w:rPr>
        <w:t>The NPV rule is good for investors and companies but sometimes companies decide not to follow the rule. In most cases it is due to either wrong management or debt issues.</w:t>
      </w:r>
    </w:p>
    <w:p>
      <w:pPr>
        <w:pStyle w:val="Default"/>
        <w:bidi w:val="0"/>
        <w:ind w:left="0" w:right="0" w:firstLine="0"/>
        <w:jc w:val="left"/>
        <w:rPr>
          <w:rFonts w:ascii="Arial" w:cs="Arial" w:hAnsi="Arial" w:eastAsia="Arial"/>
          <w:color w:val="111111"/>
          <w:sz w:val="30"/>
          <w:szCs w:val="30"/>
          <w:shd w:val="clear" w:color="auto" w:fill="ffffff"/>
          <w:rtl w:val="0"/>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803"/>
        <w:gridCol w:w="1803"/>
        <w:gridCol w:w="1803"/>
        <w:gridCol w:w="1803"/>
        <w:gridCol w:w="1804"/>
      </w:tblGrid>
      <w:tr>
        <w:tblPrEx>
          <w:shd w:val="clear" w:color="auto" w:fill="cdd4e9"/>
        </w:tblPrEx>
        <w:trPr>
          <w:trHeight w:val="300"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24"/>
                <w:szCs w:val="24"/>
                <w:u w:color="444444"/>
                <w:shd w:val="clear" w:color="auto" w:fill="ffffff"/>
                <w:rtl w:val="0"/>
              </w:rPr>
              <w:t>Year</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Project A</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Project B</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dd4e9"/>
        </w:tblPrEx>
        <w:trPr>
          <w:trHeight w:val="283"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-85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85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-90</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90</w:t>
            </w:r>
          </w:p>
        </w:tc>
      </w:tr>
      <w:tr>
        <w:tblPrEx>
          <w:shd w:val="clear" w:color="auto" w:fill="cdd4e9"/>
        </w:tblPrEx>
        <w:trPr>
          <w:trHeight w:val="283"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10</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9.045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25</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22.62</w:t>
            </w:r>
          </w:p>
        </w:tc>
      </w:tr>
      <w:tr>
        <w:tblPrEx>
          <w:shd w:val="clear" w:color="auto" w:fill="cdd4e9"/>
        </w:tblPrEx>
        <w:trPr>
          <w:trHeight w:val="283"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20</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16.39</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30</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24.59</w:t>
            </w:r>
          </w:p>
        </w:tc>
      </w:tr>
      <w:tr>
        <w:tblPrEx>
          <w:shd w:val="clear" w:color="auto" w:fill="cdd4e9"/>
        </w:tblPrEx>
        <w:trPr>
          <w:trHeight w:val="283"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3</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40</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29.629</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35</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25.93</w:t>
            </w:r>
          </w:p>
        </w:tc>
      </w:tr>
      <w:tr>
        <w:tblPrEx>
          <w:shd w:val="clear" w:color="auto" w:fill="cdd4e9"/>
        </w:tblPrEx>
        <w:trPr>
          <w:trHeight w:val="283"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55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36.89</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40</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26.83</w:t>
            </w:r>
          </w:p>
        </w:tc>
      </w:tr>
      <w:tr>
        <w:tblPrEx>
          <w:shd w:val="clear" w:color="auto" w:fill="cdd4e9"/>
        </w:tblPrEx>
        <w:trPr>
          <w:trHeight w:val="283"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NPV</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6.96</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9.97</w:t>
            </w:r>
          </w:p>
        </w:tc>
      </w:tr>
      <w:tr>
        <w:tblPrEx>
          <w:shd w:val="clear" w:color="auto" w:fill="cdd4e9"/>
        </w:tblPrEx>
        <w:trPr>
          <w:trHeight w:val="283" w:hRule="atLeast"/>
        </w:trPr>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Overall</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125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130</w:t>
            </w:r>
          </w:p>
        </w:tc>
        <w:tc>
          <w:tcPr>
            <w:tcW w:type="dxa" w:w="1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99.97</w:t>
            </w:r>
          </w:p>
        </w:tc>
      </w:tr>
    </w:tbl>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r>
        <w:rPr>
          <w:rFonts w:ascii="Arial" w:hAnsi="Arial"/>
          <w:color w:val="111111"/>
          <w:sz w:val="30"/>
          <w:szCs w:val="30"/>
          <w:shd w:val="clear" w:color="auto" w:fill="ffffff"/>
          <w:rtl w:val="0"/>
          <w:lang w:val="en-US"/>
        </w:rPr>
        <w:t>It appears that project B is better since the NVP is better.</w:t>
      </w: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r>
        <w:rPr>
          <w:rFonts w:ascii="Arial" w:hAnsi="Arial"/>
          <w:color w:val="111111"/>
          <w:sz w:val="30"/>
          <w:szCs w:val="30"/>
          <w:shd w:val="clear" w:color="auto" w:fill="ffffff"/>
          <w:rtl w:val="0"/>
          <w:lang w:val="en-US"/>
        </w:rPr>
        <w:t>Internal Rate Of Return (IRR)</w:t>
      </w: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shd w:val="clear" w:color="auto" w:fill="ffffff"/>
          <w:rtl w:val="0"/>
        </w:rPr>
      </w:pPr>
      <w:r>
        <w:rPr>
          <w:rFonts w:ascii="Arial" w:hAnsi="Arial"/>
          <w:color w:val="111111"/>
          <w:sz w:val="30"/>
          <w:szCs w:val="30"/>
          <w:shd w:val="clear" w:color="auto" w:fill="ffffff"/>
          <w:rtl w:val="0"/>
          <w:lang w:val="en-US"/>
        </w:rPr>
        <w:t>Is used by investors to identify if an investment would be profitable. To be able to calculate IRR properly NVP need to be at zero and find the discount rate which is the IRR. The higher the IRR the better it is.</w:t>
      </w: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0"/>
          <w:szCs w:val="30"/>
          <w:rtl w:val="0"/>
        </w:rPr>
      </w:pPr>
      <w:r>
        <w:rPr>
          <w:rFonts w:ascii="Arial" w:hAnsi="Arial"/>
          <w:color w:val="111111"/>
          <w:sz w:val="30"/>
          <w:szCs w:val="30"/>
          <w:shd w:val="clear" w:color="auto" w:fill="ffffff"/>
          <w:rtl w:val="0"/>
          <w:lang w:val="en-US"/>
        </w:rPr>
        <w:t>Internal rate of return is also sometimes called economic rate of return. It is called internet because it doesn</w:t>
      </w:r>
      <w:r>
        <w:rPr>
          <w:rFonts w:ascii="Arial" w:hAnsi="Arial" w:hint="default"/>
          <w:color w:val="111111"/>
          <w:sz w:val="30"/>
          <w:szCs w:val="30"/>
          <w:shd w:val="clear" w:color="auto" w:fill="ffffff"/>
          <w:rtl w:val="0"/>
          <w:lang w:val="en-US"/>
        </w:rPr>
        <w:t>’</w:t>
      </w:r>
      <w:r>
        <w:rPr>
          <w:rFonts w:ascii="Arial" w:hAnsi="Arial"/>
          <w:color w:val="111111"/>
          <w:sz w:val="30"/>
          <w:szCs w:val="30"/>
          <w:shd w:val="clear" w:color="auto" w:fill="ffffff"/>
          <w:rtl w:val="0"/>
          <w:lang w:val="en-US"/>
        </w:rPr>
        <w:t>t include inflation or cost of capital. It is also used to calculate the speed of growth of certain projects.</w:t>
      </w:r>
    </w:p>
    <w:p>
      <w:pPr>
        <w:pStyle w:val="Default"/>
        <w:bidi w:val="0"/>
        <w:ind w:left="0" w:right="0" w:firstLine="0"/>
        <w:jc w:val="center"/>
        <w:rPr>
          <w:rFonts w:ascii="Helvetica" w:cs="Helvetica" w:hAnsi="Helvetica" w:eastAsia="Helvetica"/>
          <w:color w:val="111111"/>
          <w:sz w:val="30"/>
          <w:szCs w:val="30"/>
          <w:shd w:val="clear" w:color="auto" w:fill="ffffff"/>
          <w:rtl w:val="0"/>
        </w:rPr>
      </w:pPr>
    </w:p>
    <w:p>
      <w:pPr>
        <w:pStyle w:val="Default"/>
        <w:bidi w:val="0"/>
        <w:ind w:left="0" w:right="0" w:firstLine="0"/>
        <w:jc w:val="left"/>
        <w:rPr>
          <w:rFonts w:ascii="Times" w:cs="Times" w:hAnsi="Times" w:eastAsia="Times"/>
          <w:sz w:val="30"/>
          <w:szCs w:val="30"/>
          <w:rtl w:val="0"/>
        </w:rPr>
      </w:pPr>
    </w:p>
    <w:p>
      <w:pPr>
        <w:pStyle w:val="Default"/>
        <w:bidi w:val="0"/>
        <w:ind w:left="0" w:right="0" w:firstLine="0"/>
        <w:jc w:val="left"/>
        <w:rPr>
          <w:rFonts w:ascii="Arial" w:cs="Arial" w:hAnsi="Arial" w:eastAsia="Arial"/>
          <w:color w:val="111111"/>
          <w:sz w:val="30"/>
          <w:szCs w:val="30"/>
          <w:shd w:val="clear" w:color="auto" w:fill="000000"/>
          <w:rtl w:val="0"/>
        </w:rPr>
      </w:pPr>
    </w:p>
    <w:p>
      <w:pPr>
        <w:pStyle w:val="Default"/>
        <w:bidi w:val="0"/>
        <w:ind w:left="0" w:right="0" w:firstLine="0"/>
        <w:jc w:val="left"/>
        <w:rPr>
          <w:rFonts w:ascii="Arial" w:cs="Arial" w:hAnsi="Arial" w:eastAsia="Arial"/>
          <w:color w:val="111111"/>
          <w:sz w:val="30"/>
          <w:szCs w:val="30"/>
          <w:shd w:val="clear" w:color="auto" w:fill="ffffff"/>
          <w:rtl w:val="0"/>
        </w:rPr>
      </w:pPr>
    </w:p>
    <w:p>
      <w:pPr>
        <w:pStyle w:val="Default"/>
        <w:bidi w:val="0"/>
        <w:ind w:left="0" w:right="0" w:firstLine="0"/>
        <w:jc w:val="left"/>
        <w:rPr>
          <w:rFonts w:ascii="Arial" w:cs="Arial" w:hAnsi="Arial" w:eastAsia="Arial"/>
          <w:color w:val="111111"/>
          <w:sz w:val="32"/>
          <w:szCs w:val="32"/>
          <w:shd w:val="clear" w:color="auto" w:fill="ffffff"/>
          <w:rtl w:val="0"/>
        </w:rPr>
      </w:pPr>
    </w:p>
    <w:p>
      <w:pPr>
        <w:pStyle w:val="Default"/>
        <w:bidi w:val="0"/>
        <w:ind w:left="0" w:right="0" w:firstLine="0"/>
        <w:jc w:val="left"/>
        <w:rPr>
          <w:rFonts w:ascii="Arial" w:cs="Arial" w:hAnsi="Arial" w:eastAsia="Arial"/>
          <w:color w:val="ffffff"/>
          <w:sz w:val="32"/>
          <w:szCs w:val="32"/>
          <w:shd w:val="clear" w:color="auto" w:fill="ffffff"/>
          <w:rtl w:val="0"/>
        </w:rPr>
      </w:pPr>
    </w:p>
    <w:p>
      <w:pPr>
        <w:pStyle w:val="Default"/>
        <w:bidi w:val="0"/>
        <w:ind w:left="0" w:right="0" w:firstLine="0"/>
        <w:jc w:val="left"/>
        <w:rPr>
          <w:rFonts w:ascii="Arial" w:cs="Arial" w:hAnsi="Arial" w:eastAsia="Arial"/>
          <w:color w:val="ffffff"/>
          <w:sz w:val="32"/>
          <w:szCs w:val="32"/>
          <w:shd w:val="clear" w:color="auto" w:fill="ffffff"/>
          <w:rtl w:val="0"/>
        </w:rPr>
      </w:pPr>
    </w:p>
    <w:p>
      <w:pPr>
        <w:pStyle w:val="Default"/>
        <w:bidi w:val="0"/>
        <w:ind w:left="0" w:right="0" w:firstLine="0"/>
        <w:jc w:val="left"/>
        <w:rPr>
          <w:rFonts w:ascii="Arial" w:cs="Arial" w:hAnsi="Arial" w:eastAsia="Arial"/>
          <w:color w:val="ffffff"/>
          <w:sz w:val="32"/>
          <w:szCs w:val="32"/>
          <w:shd w:val="clear" w:color="auto" w:fill="ffffff"/>
          <w:rtl w:val="0"/>
        </w:rPr>
      </w:pPr>
    </w:p>
    <w:p>
      <w:pPr>
        <w:pStyle w:val="Default"/>
        <w:bidi w:val="0"/>
        <w:ind w:left="0" w:right="0" w:firstLine="0"/>
        <w:jc w:val="left"/>
        <w:rPr>
          <w:rFonts w:ascii="Arial" w:cs="Arial" w:hAnsi="Arial" w:eastAsia="Arial"/>
          <w:color w:val="ffffff"/>
          <w:sz w:val="32"/>
          <w:szCs w:val="32"/>
          <w:shd w:val="clear" w:color="auto" w:fill="ffffff"/>
          <w:rtl w:val="0"/>
        </w:rPr>
      </w:pPr>
    </w:p>
    <w:p>
      <w:pPr>
        <w:pStyle w:val="Default"/>
        <w:bidi w:val="0"/>
        <w:ind w:left="0" w:right="0" w:firstLine="0"/>
        <w:jc w:val="left"/>
        <w:rPr>
          <w:rFonts w:ascii="Arial" w:cs="Arial" w:hAnsi="Arial" w:eastAsia="Arial"/>
          <w:color w:val="ffffff"/>
          <w:sz w:val="32"/>
          <w:szCs w:val="32"/>
          <w:shd w:val="clear" w:color="auto" w:fill="ffffff"/>
          <w:rtl w:val="0"/>
        </w:rPr>
      </w:pPr>
    </w:p>
    <w:p>
      <w:pPr>
        <w:pStyle w:val="Default"/>
        <w:bidi w:val="0"/>
        <w:ind w:left="0" w:right="0" w:firstLine="0"/>
        <w:jc w:val="left"/>
        <w:rPr>
          <w:rFonts w:ascii="Arial" w:cs="Arial" w:hAnsi="Arial" w:eastAsia="Arial"/>
          <w:color w:val="ffffff"/>
          <w:sz w:val="32"/>
          <w:szCs w:val="32"/>
          <w:shd w:val="clear" w:color="auto" w:fill="ffffff"/>
          <w:rtl w:val="0"/>
        </w:rPr>
      </w:pPr>
    </w:p>
    <w:p>
      <w:pPr>
        <w:pStyle w:val="Default"/>
        <w:bidi w:val="0"/>
        <w:ind w:left="0" w:right="0" w:firstLine="0"/>
        <w:jc w:val="left"/>
        <w:rPr>
          <w:rFonts w:ascii="Arial" w:cs="Arial" w:hAnsi="Arial" w:eastAsia="Arial"/>
          <w:color w:val="ffffff"/>
          <w:sz w:val="32"/>
          <w:szCs w:val="32"/>
          <w:shd w:val="clear" w:color="auto" w:fill="ffffff"/>
          <w:rtl w:val="0"/>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005"/>
        <w:gridCol w:w="3005"/>
        <w:gridCol w:w="3006"/>
      </w:tblGrid>
      <w:tr>
        <w:tblPrEx>
          <w:shd w:val="clear" w:color="auto" w:fill="cdd4e9"/>
        </w:tblPrEx>
        <w:trPr>
          <w:trHeight w:val="30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spacing w:after="160" w:line="259" w:lineRule="auto"/>
              <w:jc w:val="center"/>
            </w:pPr>
            <w:r>
              <w:rPr>
                <w:rFonts w:ascii="Times New Roman" w:hAnsi="Times New Roman"/>
                <w:sz w:val="24"/>
                <w:szCs w:val="24"/>
                <w:u w:color="444444"/>
                <w:shd w:val="clear" w:color="auto" w:fill="ffffff"/>
                <w:rtl w:val="0"/>
              </w:rPr>
              <w:t>Year</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Project A</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jc w:val="center"/>
            </w:pPr>
            <w:r>
              <w:rPr>
                <w:rFonts w:ascii="Times New Roman" w:hAnsi="Times New Roman"/>
                <w:sz w:val="24"/>
                <w:szCs w:val="24"/>
                <w:u w:color="444444"/>
                <w:shd w:val="clear" w:color="auto" w:fill="ffffff"/>
                <w:rtl w:val="0"/>
              </w:rPr>
              <w:t>Project B</w:t>
            </w:r>
          </w:p>
        </w:tc>
      </w:tr>
      <w:tr>
        <w:tblPrEx>
          <w:shd w:val="clear" w:color="auto" w:fill="cdd4e9"/>
        </w:tblPrEx>
        <w:trPr>
          <w:trHeight w:val="28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-85</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-90</w:t>
            </w:r>
          </w:p>
        </w:tc>
      </w:tr>
      <w:tr>
        <w:tblPrEx>
          <w:shd w:val="clear" w:color="auto" w:fill="cdd4e9"/>
        </w:tblPrEx>
        <w:trPr>
          <w:trHeight w:val="28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25</w:t>
            </w:r>
          </w:p>
        </w:tc>
      </w:tr>
      <w:tr>
        <w:tblPrEx>
          <w:shd w:val="clear" w:color="auto" w:fill="cdd4e9"/>
        </w:tblPrEx>
        <w:trPr>
          <w:trHeight w:val="28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20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30</w:t>
            </w:r>
          </w:p>
        </w:tc>
      </w:tr>
      <w:tr>
        <w:tblPrEx>
          <w:shd w:val="clear" w:color="auto" w:fill="cdd4e9"/>
        </w:tblPrEx>
        <w:trPr>
          <w:trHeight w:val="28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3</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40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35</w:t>
            </w:r>
          </w:p>
        </w:tc>
      </w:tr>
      <w:tr>
        <w:tblPrEx>
          <w:shd w:val="clear" w:color="auto" w:fill="cdd4e9"/>
        </w:tblPrEx>
        <w:trPr>
          <w:trHeight w:val="28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55</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7eaf4"/>
            <w:tcMar>
              <w:top w:type="dxa" w:w="80"/>
              <w:left w:type="dxa" w:w="80"/>
              <w:bottom w:type="dxa" w:w="80"/>
              <w:right w:type="dxa" w:w="80"/>
            </w:tcMar>
            <w:vAlign w:val="center"/>
          </w:tcPr>
          <w:p>
            <w:pPr>
              <w:pStyle w:val="Body"/>
              <w:jc w:val="center"/>
            </w:pPr>
            <w:r>
              <w:rPr>
                <w:rFonts w:ascii="Helvetica Neue" w:hAnsi="Helvetica Neue"/>
                <w:sz w:val="24"/>
                <w:szCs w:val="24"/>
                <w:rtl w:val="0"/>
              </w:rPr>
              <w:t>40</w:t>
            </w:r>
          </w:p>
        </w:tc>
      </w:tr>
      <w:tr>
        <w:tblPrEx>
          <w:shd w:val="clear" w:color="auto" w:fill="cdd4e9"/>
        </w:tblPrEx>
        <w:trPr>
          <w:trHeight w:val="283"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IRR</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13%</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center"/>
            </w:pPr>
            <w:r>
              <w:rPr>
                <w:rFonts w:ascii="Helvetica Neue" w:hAnsi="Helvetica Neue"/>
                <w:sz w:val="24"/>
                <w:szCs w:val="24"/>
                <w:rtl w:val="0"/>
              </w:rPr>
              <w:t>15%</w:t>
            </w:r>
          </w:p>
        </w:tc>
      </w:tr>
    </w:tbl>
    <w:p>
      <w:pPr>
        <w:pStyle w:val="Default"/>
        <w:bidi w:val="0"/>
        <w:ind w:left="0" w:right="0" w:firstLine="0"/>
        <w:jc w:val="left"/>
        <w:rPr>
          <w:rFonts w:ascii="Arial" w:cs="Arial" w:hAnsi="Arial" w:eastAsia="Arial"/>
          <w:color w:val="ffffff"/>
          <w:sz w:val="32"/>
          <w:szCs w:val="32"/>
          <w:shd w:val="clear" w:color="auto" w:fill="ffffff"/>
          <w:rtl w:val="0"/>
        </w:rPr>
      </w:pPr>
    </w:p>
    <w:p>
      <w:pPr>
        <w:pStyle w:val="Default"/>
        <w:bidi w:val="0"/>
        <w:ind w:left="0" w:right="0" w:firstLine="0"/>
        <w:jc w:val="left"/>
        <w:rPr>
          <w:rFonts w:ascii="Times New Roman" w:cs="Times New Roman" w:hAnsi="Times New Roman" w:eastAsia="Times New Roman"/>
          <w:color w:val="111111"/>
          <w:sz w:val="32"/>
          <w:szCs w:val="32"/>
          <w:u w:color="444444"/>
          <w:shd w:val="clear" w:color="auto" w:fill="ffffff"/>
          <w:rtl w:val="0"/>
        </w:rPr>
      </w:pP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By looking at the figures we can identify that in this case it</w:t>
      </w:r>
      <w:r>
        <w:rPr>
          <w:rFonts w:ascii="Times New Roman" w:hAnsi="Times New Roman" w:hint="default"/>
          <w:sz w:val="30"/>
          <w:szCs w:val="30"/>
          <w:u w:color="444444"/>
          <w:rtl w:val="0"/>
          <w:lang w:val="en-US"/>
        </w:rPr>
        <w:t>’</w:t>
      </w:r>
      <w:r>
        <w:rPr>
          <w:rFonts w:ascii="Times New Roman" w:hAnsi="Times New Roman"/>
          <w:sz w:val="30"/>
          <w:szCs w:val="30"/>
          <w:u w:color="444444"/>
          <w:rtl w:val="0"/>
          <w:lang w:val="en-US"/>
        </w:rPr>
        <w:t>s better to go with Project B.</w:t>
      </w:r>
    </w:p>
    <w:p>
      <w:pPr>
        <w:pStyle w:val="Body"/>
        <w:spacing w:line="360" w:lineRule="auto"/>
        <w:rPr>
          <w:rFonts w:ascii="Times New Roman" w:cs="Times New Roman" w:hAnsi="Times New Roman" w:eastAsia="Times New Roman"/>
          <w:sz w:val="30"/>
          <w:szCs w:val="30"/>
          <w:u w:color="444444"/>
        </w:rPr>
      </w:pPr>
    </w:p>
    <w:p>
      <w:pPr>
        <w:pStyle w:val="Body"/>
        <w:spacing w:line="360" w:lineRule="auto"/>
        <w:rPr>
          <w:rFonts w:ascii="Times New Roman" w:cs="Times New Roman" w:hAnsi="Times New Roman" w:eastAsia="Times New Roman"/>
          <w:sz w:val="30"/>
          <w:szCs w:val="30"/>
          <w:u w:color="444444"/>
        </w:rPr>
      </w:pPr>
      <w:r>
        <w:rPr>
          <w:rFonts w:ascii="Times New Roman" w:hAnsi="Times New Roman"/>
          <w:sz w:val="30"/>
          <w:szCs w:val="30"/>
          <w:u w:color="444444"/>
          <w:rtl w:val="0"/>
          <w:lang w:val="en-US"/>
        </w:rPr>
        <w:t>After calculating PBP, ARR, IRR and NVP we now know which project would be more beneficial. Overall project B is better in most cases. The only time when project A makes more sense is when we are looking at the ARR.</w:t>
      </w:r>
    </w:p>
    <w:p>
      <w:pPr>
        <w:pStyle w:val="Body"/>
        <w:spacing w:line="360" w:lineRule="auto"/>
        <w:rPr>
          <w:rFonts w:ascii="Times New Roman" w:cs="Times New Roman" w:hAnsi="Times New Roman" w:eastAsia="Times New Roman"/>
          <w:sz w:val="30"/>
          <w:szCs w:val="30"/>
          <w:u w:color="444444"/>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Default"/>
        <w:bidi w:val="0"/>
        <w:spacing w:line="280" w:lineRule="atLeast"/>
        <w:ind w:left="0" w:right="0" w:firstLine="0"/>
        <w:jc w:val="left"/>
        <w:rPr>
          <w:rFonts w:ascii="Arial" w:cs="Arial" w:hAnsi="Arial" w:eastAsia="Arial"/>
          <w:sz w:val="36"/>
          <w:szCs w:val="36"/>
          <w:u w:color="000000"/>
          <w:rtl w:val="0"/>
          <w:lang w:val="en-US"/>
        </w:rPr>
      </w:pPr>
      <w:r>
        <w:rPr>
          <w:rFonts w:ascii="Arial" w:hAnsi="Arial"/>
          <w:sz w:val="36"/>
          <w:szCs w:val="36"/>
          <w:u w:color="000000"/>
          <w:rtl w:val="0"/>
          <w:lang w:val="en-US"/>
        </w:rPr>
        <w:t xml:space="preserve">Reference : </w:t>
      </w:r>
    </w:p>
    <w:p>
      <w:pPr>
        <w:pStyle w:val="Default"/>
        <w:bidi w:val="0"/>
        <w:spacing w:line="280" w:lineRule="atLeast"/>
        <w:ind w:left="0" w:right="0" w:firstLine="0"/>
        <w:jc w:val="left"/>
        <w:rPr>
          <w:rFonts w:ascii="Arial" w:cs="Arial" w:hAnsi="Arial" w:eastAsia="Arial"/>
          <w:sz w:val="26"/>
          <w:szCs w:val="26"/>
          <w:u w:color="000000"/>
          <w:rtl w:val="0"/>
          <w:lang w:val="en-US"/>
        </w:rPr>
      </w:pPr>
    </w:p>
    <w:p>
      <w:pPr>
        <w:pStyle w:val="Body"/>
        <w:rPr>
          <w:rStyle w:val="None"/>
          <w:rFonts w:ascii="Times New Roman" w:cs="Times New Roman" w:hAnsi="Times New Roman" w:eastAsia="Times New Roman"/>
          <w:sz w:val="26"/>
          <w:szCs w:val="26"/>
          <w:lang w:val="en-US"/>
        </w:rPr>
      </w:pPr>
      <w:r>
        <w:rPr>
          <w:rFonts w:ascii="Times New Roman" w:hAnsi="Times New Roman"/>
          <w:sz w:val="30"/>
          <w:szCs w:val="30"/>
          <w:rtl w:val="0"/>
          <w:lang w:val="en-US"/>
        </w:rPr>
        <w:t xml:space="preserve">City AM. 2017. Young's pubs boss Patrick Dardis: "Smithfields is the new Covent Garden". [ONLINE] Available at: </w:t>
      </w:r>
      <w:r>
        <w:rPr>
          <w:rStyle w:val="Hyperlink.1"/>
          <w:rFonts w:ascii="Times New Roman" w:cs="Times New Roman" w:hAnsi="Times New Roman" w:eastAsia="Times New Roman"/>
        </w:rPr>
        <w:fldChar w:fldCharType="begin" w:fldLock="0"/>
      </w:r>
      <w:r>
        <w:rPr>
          <w:rStyle w:val="Hyperlink.1"/>
          <w:rFonts w:ascii="Times New Roman" w:cs="Times New Roman" w:hAnsi="Times New Roman" w:eastAsia="Times New Roman"/>
        </w:rPr>
        <w:instrText xml:space="preserve"> HYPERLINK "http://www.cityam.com/267840/youngs-pubs-boss-patrick-dardis-smithfields-new-covent"</w:instrText>
      </w:r>
      <w:r>
        <w:rPr>
          <w:rStyle w:val="Hyperlink.1"/>
          <w:rFonts w:ascii="Times New Roman" w:cs="Times New Roman" w:hAnsi="Times New Roman" w:eastAsia="Times New Roman"/>
        </w:rPr>
        <w:fldChar w:fldCharType="separate" w:fldLock="0"/>
      </w:r>
      <w:r>
        <w:rPr>
          <w:rStyle w:val="Hyperlink.1"/>
          <w:rFonts w:ascii="Times New Roman" w:hAnsi="Times New Roman"/>
          <w:rtl w:val="0"/>
          <w:lang w:val="en-US"/>
        </w:rPr>
        <w:t>http://www.cityam.com/267840/youngs-pubs-boss-patrick-dardis-smithfields-new-covent</w:t>
      </w:r>
      <w:r>
        <w:rPr>
          <w:rFonts w:ascii="Times New Roman" w:cs="Times New Roman" w:hAnsi="Times New Roman" w:eastAsia="Times New Roman"/>
        </w:rPr>
        <w:fldChar w:fldCharType="end" w:fldLock="0"/>
      </w:r>
      <w:r>
        <w:rPr>
          <w:rStyle w:val="Hyperlink.1"/>
          <w:rFonts w:ascii="Times New Roman" w:hAnsi="Times New Roman"/>
          <w:rtl w:val="0"/>
          <w:lang w:val="en-US"/>
        </w:rPr>
        <w:t>. [Accessed 1 May 2019]</w:t>
      </w:r>
      <w:r>
        <w:rPr>
          <w:rFonts w:ascii="Times New Roman" w:hAnsi="Times New Roman"/>
          <w:rtl w:val="0"/>
          <w:lang w:val="en-US"/>
        </w:rPr>
        <w:t>.</w:t>
      </w:r>
    </w:p>
    <w:p>
      <w:pPr>
        <w:pStyle w:val="Body"/>
        <w:spacing w:line="360" w:lineRule="auto"/>
        <w:rPr>
          <w:rStyle w:val="None"/>
          <w:rFonts w:ascii="Arial" w:cs="Arial" w:hAnsi="Arial" w:eastAsia="Arial"/>
          <w:sz w:val="26"/>
          <w:szCs w:val="26"/>
          <w:lang w:val="en-US"/>
        </w:rPr>
      </w:pPr>
    </w:p>
    <w:p>
      <w:pPr>
        <w:pStyle w:val="Body"/>
        <w:spacing w:line="360" w:lineRule="auto"/>
        <w:rPr>
          <w:rFonts w:ascii="Times New Roman" w:cs="Times New Roman" w:hAnsi="Times New Roman" w:eastAsia="Times New Roman"/>
          <w:sz w:val="30"/>
          <w:szCs w:val="30"/>
        </w:rPr>
      </w:pPr>
      <w:r>
        <w:rPr>
          <w:rStyle w:val="None"/>
          <w:rFonts w:ascii="Arial" w:hAnsi="Arial"/>
          <w:sz w:val="26"/>
          <w:szCs w:val="26"/>
          <w:rtl w:val="0"/>
          <w:lang w:val="en-US"/>
        </w:rPr>
        <w:t>T</w:t>
      </w:r>
      <w:r>
        <w:rPr>
          <w:rFonts w:ascii="Times New Roman" w:hAnsi="Times New Roman"/>
          <w:sz w:val="30"/>
          <w:szCs w:val="30"/>
          <w:rtl w:val="0"/>
          <w:lang w:val="en-US"/>
        </w:rPr>
        <w:t>he caterer. 2016. Patrick Dardis to be named Young</w:t>
      </w:r>
      <w:r>
        <w:rPr>
          <w:rFonts w:ascii="Times New Roman" w:hAnsi="Times New Roman" w:hint="default"/>
          <w:sz w:val="30"/>
          <w:szCs w:val="30"/>
          <w:rtl w:val="0"/>
          <w:lang w:val="en-US"/>
        </w:rPr>
        <w:t>’</w:t>
      </w:r>
      <w:r>
        <w:rPr>
          <w:rFonts w:ascii="Times New Roman" w:hAnsi="Times New Roman"/>
          <w:sz w:val="30"/>
          <w:szCs w:val="30"/>
          <w:rtl w:val="0"/>
          <w:lang w:val="en-US"/>
        </w:rPr>
        <w:t xml:space="preserve">s chief executive. [ONLINE] Available at: </w:t>
      </w:r>
      <w:r>
        <w:rPr>
          <w:rFonts w:ascii="Times New Roman" w:cs="Times New Roman" w:hAnsi="Times New Roman" w:eastAsia="Times New Roman"/>
          <w:sz w:val="30"/>
          <w:szCs w:val="30"/>
        </w:rPr>
        <w:fldChar w:fldCharType="begin" w:fldLock="0"/>
      </w:r>
      <w:r>
        <w:rPr>
          <w:rFonts w:ascii="Times New Roman" w:cs="Times New Roman" w:hAnsi="Times New Roman" w:eastAsia="Times New Roman"/>
          <w:sz w:val="30"/>
          <w:szCs w:val="30"/>
        </w:rPr>
        <w:instrText xml:space="preserve"> HYPERLINK "https://www.thecaterer.com/articles/366383/patrick-dardis-to-be-named-youngs-chief-executive"</w:instrText>
      </w:r>
      <w:r>
        <w:rPr>
          <w:rFonts w:ascii="Times New Roman" w:cs="Times New Roman" w:hAnsi="Times New Roman" w:eastAsia="Times New Roman"/>
          <w:sz w:val="30"/>
          <w:szCs w:val="30"/>
        </w:rPr>
        <w:fldChar w:fldCharType="separate" w:fldLock="0"/>
      </w:r>
      <w:r>
        <w:rPr>
          <w:rFonts w:ascii="Times New Roman" w:hAnsi="Times New Roman"/>
          <w:sz w:val="30"/>
          <w:szCs w:val="30"/>
          <w:rtl w:val="0"/>
          <w:lang w:val="en-US"/>
        </w:rPr>
        <w:t>https://www.thecaterer.com/articles/366383/patrick-dardis-to-be-named-youngs-chief-executive</w:t>
      </w:r>
      <w:r>
        <w:rPr>
          <w:rFonts w:ascii="Times New Roman" w:cs="Times New Roman" w:hAnsi="Times New Roman" w:eastAsia="Times New Roman"/>
          <w:sz w:val="30"/>
          <w:szCs w:val="30"/>
        </w:rPr>
        <w:fldChar w:fldCharType="end" w:fldLock="0"/>
      </w:r>
      <w:r>
        <w:rPr>
          <w:rFonts w:ascii="Times New Roman" w:hAnsi="Times New Roman"/>
          <w:sz w:val="30"/>
          <w:szCs w:val="30"/>
          <w:rtl w:val="0"/>
          <w:lang w:val="en-US"/>
        </w:rPr>
        <w:t>. [Accessed 1 May 2019]</w:t>
      </w:r>
    </w:p>
    <w:p>
      <w:pPr>
        <w:pStyle w:val="Body"/>
        <w:spacing w:line="360" w:lineRule="auto"/>
        <w:rPr>
          <w:rFonts w:ascii="Times New Roman" w:cs="Times New Roman" w:hAnsi="Times New Roman" w:eastAsia="Times New Roman"/>
          <w:sz w:val="30"/>
          <w:szCs w:val="30"/>
        </w:rPr>
      </w:pPr>
    </w:p>
    <w:p>
      <w:pPr>
        <w:pStyle w:val="Body"/>
        <w:spacing w:line="360" w:lineRule="auto"/>
        <w:rPr>
          <w:rFonts w:ascii="Times New Roman" w:cs="Times New Roman" w:hAnsi="Times New Roman" w:eastAsia="Times New Roman"/>
          <w:sz w:val="30"/>
          <w:szCs w:val="30"/>
        </w:rPr>
      </w:pPr>
      <w:r>
        <w:rPr>
          <w:rFonts w:ascii="Times New Roman" w:hAnsi="Times New Roman"/>
          <w:sz w:val="30"/>
          <w:szCs w:val="30"/>
          <w:rtl w:val="0"/>
          <w:lang w:val="en-US"/>
        </w:rPr>
        <w:t xml:space="preserve">The Evening Standard. 2017. Meet Patrick Dardis. [ONLINE] Available at: </w:t>
      </w:r>
      <w:r>
        <w:rPr>
          <w:rStyle w:val="Hyperlink.0"/>
          <w:rFonts w:ascii="Times New Roman" w:cs="Times New Roman" w:hAnsi="Times New Roman" w:eastAsia="Times New Roman"/>
          <w:sz w:val="30"/>
          <w:szCs w:val="30"/>
        </w:rPr>
        <w:fldChar w:fldCharType="begin" w:fldLock="0"/>
      </w:r>
      <w:r>
        <w:rPr>
          <w:rStyle w:val="Hyperlink.0"/>
          <w:rFonts w:ascii="Times New Roman" w:cs="Times New Roman" w:hAnsi="Times New Roman" w:eastAsia="Times New Roman"/>
          <w:sz w:val="30"/>
          <w:szCs w:val="30"/>
        </w:rPr>
        <w:instrText xml:space="preserve"> HYPERLINK "https://www.standard.co.uk/business/meet-patrick-dardis-the-rugbymad-irishman-looking-to-expand-pubs-giant-youngs-a3768311"</w:instrText>
      </w:r>
      <w:r>
        <w:rPr>
          <w:rStyle w:val="Hyperlink.0"/>
          <w:rFonts w:ascii="Times New Roman" w:cs="Times New Roman" w:hAnsi="Times New Roman" w:eastAsia="Times New Roman"/>
          <w:sz w:val="30"/>
          <w:szCs w:val="30"/>
        </w:rPr>
        <w:fldChar w:fldCharType="separate" w:fldLock="0"/>
      </w:r>
      <w:r>
        <w:rPr>
          <w:rStyle w:val="Hyperlink.0"/>
          <w:rFonts w:ascii="Times New Roman" w:hAnsi="Times New Roman"/>
          <w:sz w:val="30"/>
          <w:szCs w:val="30"/>
          <w:rtl w:val="0"/>
          <w:lang w:val="en-US"/>
        </w:rPr>
        <w:t>https://www.standard.co.uk/business/meet-patrick-dardis-the-rugbymad-irishman-looking-to-expand-pubs-giant-youngs-a3768311</w:t>
      </w:r>
      <w:r>
        <w:rPr>
          <w:rFonts w:ascii="Times New Roman" w:cs="Times New Roman" w:hAnsi="Times New Roman" w:eastAsia="Times New Roman"/>
          <w:sz w:val="30"/>
          <w:szCs w:val="30"/>
        </w:rPr>
        <w:fldChar w:fldCharType="end" w:fldLock="0"/>
      </w:r>
      <w:r>
        <w:rPr>
          <w:rFonts w:ascii="Times New Roman" w:hAnsi="Times New Roman"/>
          <w:sz w:val="30"/>
          <w:szCs w:val="30"/>
          <w:rtl w:val="0"/>
          <w:lang w:val="en-US"/>
        </w:rPr>
        <w:t>. [Accessed 1 May 2019].</w:t>
      </w:r>
    </w:p>
    <w:p>
      <w:pPr>
        <w:pStyle w:val="Body"/>
        <w:spacing w:line="360" w:lineRule="auto"/>
        <w:rPr>
          <w:sz w:val="30"/>
          <w:szCs w:val="30"/>
        </w:rPr>
      </w:pPr>
    </w:p>
    <w:p>
      <w:pPr>
        <w:pStyle w:val="Body"/>
        <w:spacing w:line="360" w:lineRule="auto"/>
        <w:rPr>
          <w:sz w:val="30"/>
          <w:szCs w:val="30"/>
        </w:rPr>
      </w:pPr>
      <w:r>
        <w:rPr>
          <w:sz w:val="30"/>
          <w:szCs w:val="30"/>
          <w:rtl w:val="0"/>
          <w:lang w:val="en-US"/>
        </w:rPr>
        <w:t xml:space="preserve">Fullers.co.uk. 2018. Fullers Number Of Pubs. [ONLINE] Available at: </w:t>
      </w:r>
      <w:r>
        <w:rPr>
          <w:sz w:val="30"/>
          <w:szCs w:val="30"/>
        </w:rPr>
        <w:fldChar w:fldCharType="begin" w:fldLock="0"/>
      </w:r>
      <w:r>
        <w:rPr>
          <w:sz w:val="30"/>
          <w:szCs w:val="30"/>
        </w:rPr>
        <w:instrText xml:space="preserve"> HYPERLINK "https://www.fullers.co.uk/pubs"</w:instrText>
      </w:r>
      <w:r>
        <w:rPr>
          <w:sz w:val="30"/>
          <w:szCs w:val="30"/>
        </w:rPr>
        <w:fldChar w:fldCharType="separate" w:fldLock="0"/>
      </w:r>
      <w:r>
        <w:rPr>
          <w:sz w:val="30"/>
          <w:szCs w:val="30"/>
          <w:rtl w:val="0"/>
          <w:lang w:val="en-US"/>
        </w:rPr>
        <w:t>https://www.fullers.co.uk/pubs</w:t>
      </w:r>
      <w:r>
        <w:rPr>
          <w:sz w:val="30"/>
          <w:szCs w:val="30"/>
        </w:rPr>
        <w:fldChar w:fldCharType="end" w:fldLock="0"/>
      </w:r>
      <w:r>
        <w:rPr>
          <w:sz w:val="30"/>
          <w:szCs w:val="30"/>
          <w:rtl w:val="0"/>
          <w:lang w:val="en-US"/>
        </w:rPr>
        <w:t>. [Accessed 1 May 2019].</w:t>
      </w:r>
    </w:p>
    <w:p>
      <w:pPr>
        <w:pStyle w:val="Body"/>
        <w:spacing w:line="360" w:lineRule="auto"/>
        <w:rPr>
          <w:sz w:val="30"/>
          <w:szCs w:val="30"/>
        </w:rPr>
      </w:pPr>
    </w:p>
    <w:p>
      <w:pPr>
        <w:pStyle w:val="Body"/>
        <w:spacing w:line="360" w:lineRule="auto"/>
        <w:rPr>
          <w:rStyle w:val="None"/>
          <w:rFonts w:ascii="Times New Roman" w:cs="Times New Roman" w:hAnsi="Times New Roman" w:eastAsia="Times New Roman"/>
          <w:sz w:val="30"/>
          <w:szCs w:val="30"/>
          <w:u w:color="444444"/>
        </w:rPr>
      </w:pPr>
      <w:r>
        <w:rPr>
          <w:rStyle w:val="None"/>
          <w:rFonts w:ascii="Times New Roman" w:hAnsi="Times New Roman"/>
          <w:sz w:val="30"/>
          <w:szCs w:val="30"/>
          <w:u w:color="444444"/>
          <w:rtl w:val="0"/>
          <w:lang w:val="en-US"/>
        </w:rPr>
        <w:t xml:space="preserve"> </w:t>
      </w:r>
      <w:r>
        <w:rPr>
          <w:sz w:val="30"/>
          <w:szCs w:val="30"/>
          <w:rtl w:val="0"/>
          <w:lang w:val="en-US"/>
        </w:rPr>
        <w:t xml:space="preserve">Fullers.co.uk. 2019. Fullers Sells Brewery. [ONLINE] Available at: </w:t>
      </w:r>
      <w:r>
        <w:rPr>
          <w:rStyle w:val="Hyperlink.0"/>
          <w:sz w:val="30"/>
          <w:szCs w:val="30"/>
        </w:rPr>
        <w:fldChar w:fldCharType="begin" w:fldLock="0"/>
      </w:r>
      <w:r>
        <w:rPr>
          <w:rStyle w:val="Hyperlink.0"/>
          <w:sz w:val="30"/>
          <w:szCs w:val="30"/>
        </w:rPr>
        <w:instrText xml:space="preserve"> HYPERLINK "https://www.fullers.co.uk/blog/brewery-articles/proposed-sale-of-fullers-beer-business-to-asahi"</w:instrText>
      </w:r>
      <w:r>
        <w:rPr>
          <w:rStyle w:val="Hyperlink.0"/>
          <w:sz w:val="30"/>
          <w:szCs w:val="30"/>
        </w:rPr>
        <w:fldChar w:fldCharType="separate" w:fldLock="0"/>
      </w:r>
      <w:r>
        <w:rPr>
          <w:rStyle w:val="Hyperlink.0"/>
          <w:sz w:val="30"/>
          <w:szCs w:val="30"/>
          <w:rtl w:val="0"/>
          <w:lang w:val="en-US"/>
        </w:rPr>
        <w:t>https://www.fullers.co.uk/blog/brewery-articles/proposed-sale-of-fullers-beer-business-to-asahi</w:t>
      </w:r>
      <w:r>
        <w:rPr>
          <w:sz w:val="30"/>
          <w:szCs w:val="30"/>
        </w:rPr>
        <w:fldChar w:fldCharType="end" w:fldLock="0"/>
      </w:r>
      <w:r>
        <w:rPr>
          <w:sz w:val="30"/>
          <w:szCs w:val="30"/>
          <w:rtl w:val="0"/>
          <w:lang w:val="en-US"/>
        </w:rPr>
        <w:t>. [Accessed 1 May 2019].</w:t>
      </w:r>
      <w:r>
        <w:rPr>
          <w:sz w:val="30"/>
          <w:szCs w:val="30"/>
          <w:rtl w:val="0"/>
          <w:lang w:val="en-US"/>
        </w:rPr>
        <w:t>]</w:t>
      </w:r>
    </w:p>
    <w:p>
      <w:pPr>
        <w:pStyle w:val="Body"/>
        <w:spacing w:line="360" w:lineRule="auto"/>
        <w:rPr>
          <w:rStyle w:val="None"/>
          <w:rFonts w:ascii="Times New Roman" w:cs="Times New Roman" w:hAnsi="Times New Roman" w:eastAsia="Times New Roman"/>
          <w:sz w:val="30"/>
          <w:szCs w:val="30"/>
          <w:u w:color="444444"/>
        </w:rPr>
      </w:pPr>
    </w:p>
    <w:p>
      <w:pPr>
        <w:pStyle w:val="Body"/>
        <w:spacing w:line="360" w:lineRule="auto"/>
      </w:pPr>
      <w:r>
        <w:rPr>
          <w:rStyle w:val="None"/>
          <w:rFonts w:ascii="Times New Roman" w:hAnsi="Times New Roman"/>
          <w:sz w:val="30"/>
          <w:szCs w:val="30"/>
          <w:u w:color="444444"/>
          <w:rtl w:val="0"/>
          <w:lang w:val="en-US"/>
        </w:rPr>
        <w:t xml:space="preserve"> </w:t>
      </w:r>
      <w:r>
        <w:rPr>
          <w:sz w:val="30"/>
          <w:szCs w:val="30"/>
          <w:rtl w:val="0"/>
          <w:lang w:val="en-US"/>
        </w:rPr>
        <w:t xml:space="preserve">Financial Times. 2019. Markets At The Financial Times. [ONLINE] Available at: </w:t>
      </w:r>
      <w:r>
        <w:rPr>
          <w:sz w:val="30"/>
          <w:szCs w:val="30"/>
        </w:rPr>
        <w:fldChar w:fldCharType="begin" w:fldLock="0"/>
      </w:r>
      <w:r>
        <w:rPr>
          <w:sz w:val="30"/>
          <w:szCs w:val="30"/>
        </w:rPr>
        <w:instrText xml:space="preserve"> HYPERLINK "https://markets.ft.com/data/equities/tearsheet/forecasts?s=YNGA:LSE"</w:instrText>
      </w:r>
      <w:r>
        <w:rPr>
          <w:sz w:val="30"/>
          <w:szCs w:val="30"/>
        </w:rPr>
        <w:fldChar w:fldCharType="separate" w:fldLock="0"/>
      </w:r>
      <w:r>
        <w:rPr>
          <w:sz w:val="30"/>
          <w:szCs w:val="30"/>
          <w:rtl w:val="0"/>
          <w:lang w:val="en-US"/>
        </w:rPr>
        <w:t>https://markets.ft.com/data/equities/tearsheet/forecasts?s=YNGA:LSE</w:t>
      </w:r>
      <w:r>
        <w:rPr>
          <w:sz w:val="30"/>
          <w:szCs w:val="30"/>
        </w:rPr>
        <w:fldChar w:fldCharType="end" w:fldLock="0"/>
      </w:r>
      <w:r>
        <w:rPr>
          <w:sz w:val="30"/>
          <w:szCs w:val="30"/>
          <w:rtl w:val="0"/>
          <w:lang w:val="en-US"/>
        </w:rPr>
        <w:t>. [Accessed 2 May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 w:name="Calibr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Body 1">
    <w:name w:val="Body 1"/>
    <w:next w:val="Body 1"/>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0"/>
      <w:szCs w:val="30"/>
      <w:u w:val="none"/>
      <w:vertAlign w:val="baseline"/>
      <w:lang w:val="en-US"/>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sz w:val="30"/>
      <w:szCs w:val="3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