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960C778" wp14:paraId="78D53CFF" wp14:textId="14736A1A">
      <w:pPr>
        <w:pStyle w:val="Normal"/>
        <w:jc w:val="center"/>
        <w:rPr>
          <w:rFonts w:ascii="Aptos" w:hAnsi="Aptos" w:eastAsia="Aptos" w:cs="Aptos" w:asciiTheme="minorAscii" w:hAnsiTheme="minorAscii" w:eastAsiaTheme="minorAscii" w:cstheme="minorAscii"/>
          <w:b w:val="1"/>
          <w:bCs w:val="1"/>
          <w:noProof w:val="0"/>
          <w:sz w:val="32"/>
          <w:szCs w:val="32"/>
          <w:lang w:val="en-GB"/>
        </w:rPr>
      </w:pPr>
      <w:r w:rsidRPr="0960C778" w:rsidR="6AA074F8">
        <w:rPr>
          <w:rFonts w:ascii="Aptos" w:hAnsi="Aptos" w:eastAsia="Aptos" w:cs="Aptos" w:asciiTheme="minorAscii" w:hAnsiTheme="minorAscii" w:eastAsiaTheme="minorAscii" w:cstheme="minorAscii"/>
          <w:b w:val="1"/>
          <w:bCs w:val="1"/>
          <w:noProof w:val="0"/>
          <w:sz w:val="32"/>
          <w:szCs w:val="32"/>
          <w:lang w:val="en-GB"/>
        </w:rPr>
        <w:t>Element 2 – Review of Literature</w:t>
      </w:r>
    </w:p>
    <w:sdt>
      <w:sdtPr>
        <w:id w:val="545656450"/>
        <w:docPartObj>
          <w:docPartGallery w:val="Table of Contents"/>
          <w:docPartUnique/>
        </w:docPartObj>
      </w:sdtPr>
      <w:sdtContent>
        <w:p xmlns:wp14="http://schemas.microsoft.com/office/word/2010/wordml" w:rsidP="0960C778" wp14:paraId="14AB8599" wp14:textId="65FE0368">
          <w:pPr>
            <w:pStyle w:val="TOC1"/>
            <w:tabs>
              <w:tab w:val="right" w:leader="dot" w:pos="9015"/>
            </w:tabs>
            <w:bidi w:val="0"/>
            <w:rPr>
              <w:rStyle w:val="Hyperlink"/>
            </w:rPr>
          </w:pPr>
          <w:r>
            <w:fldChar w:fldCharType="begin"/>
          </w:r>
          <w:r>
            <w:instrText xml:space="preserve">TOC \o "1-9" \z \u \h</w:instrText>
          </w:r>
          <w:r>
            <w:fldChar w:fldCharType="separate"/>
          </w:r>
          <w:hyperlink w:anchor="_Toc1377377725">
            <w:r w:rsidRPr="0960C778" w:rsidR="0960C778">
              <w:rPr>
                <w:rStyle w:val="Hyperlink"/>
              </w:rPr>
              <w:t>1. Aim</w:t>
            </w:r>
            <w:r>
              <w:tab/>
            </w:r>
            <w:r>
              <w:fldChar w:fldCharType="begin"/>
            </w:r>
            <w:r>
              <w:instrText xml:space="preserve">PAGEREF _Toc1377377725 \h</w:instrText>
            </w:r>
            <w:r>
              <w:fldChar w:fldCharType="separate"/>
            </w:r>
            <w:r w:rsidRPr="0960C778" w:rsidR="0960C778">
              <w:rPr>
                <w:rStyle w:val="Hyperlink"/>
              </w:rPr>
              <w:t>1</w:t>
            </w:r>
            <w:r>
              <w:fldChar w:fldCharType="end"/>
            </w:r>
          </w:hyperlink>
        </w:p>
        <w:p xmlns:wp14="http://schemas.microsoft.com/office/word/2010/wordml" w:rsidP="0960C778" wp14:paraId="241197FD" wp14:textId="70962935">
          <w:pPr>
            <w:pStyle w:val="TOC1"/>
            <w:tabs>
              <w:tab w:val="right" w:leader="dot" w:pos="9015"/>
            </w:tabs>
            <w:bidi w:val="0"/>
            <w:rPr>
              <w:rStyle w:val="Hyperlink"/>
            </w:rPr>
          </w:pPr>
          <w:hyperlink w:anchor="_Toc30643917">
            <w:r w:rsidRPr="0960C778" w:rsidR="0960C778">
              <w:rPr>
                <w:rStyle w:val="Hyperlink"/>
              </w:rPr>
              <w:t>2. Objectives</w:t>
            </w:r>
            <w:r>
              <w:tab/>
            </w:r>
            <w:r>
              <w:fldChar w:fldCharType="begin"/>
            </w:r>
            <w:r>
              <w:instrText xml:space="preserve">PAGEREF _Toc30643917 \h</w:instrText>
            </w:r>
            <w:r>
              <w:fldChar w:fldCharType="separate"/>
            </w:r>
            <w:r w:rsidRPr="0960C778" w:rsidR="0960C778">
              <w:rPr>
                <w:rStyle w:val="Hyperlink"/>
              </w:rPr>
              <w:t>1</w:t>
            </w:r>
            <w:r>
              <w:fldChar w:fldCharType="end"/>
            </w:r>
          </w:hyperlink>
        </w:p>
        <w:p xmlns:wp14="http://schemas.microsoft.com/office/word/2010/wordml" w:rsidP="0960C778" wp14:paraId="06A022C6" wp14:textId="033B1CB5">
          <w:pPr>
            <w:pStyle w:val="TOC1"/>
            <w:tabs>
              <w:tab w:val="right" w:leader="dot" w:pos="9015"/>
            </w:tabs>
            <w:bidi w:val="0"/>
            <w:rPr>
              <w:rStyle w:val="Hyperlink"/>
            </w:rPr>
          </w:pPr>
          <w:hyperlink w:anchor="_Toc1084755561">
            <w:r w:rsidRPr="0960C778" w:rsidR="0960C778">
              <w:rPr>
                <w:rStyle w:val="Hyperlink"/>
              </w:rPr>
              <w:t>3. Introduction</w:t>
            </w:r>
            <w:r>
              <w:tab/>
            </w:r>
            <w:r>
              <w:fldChar w:fldCharType="begin"/>
            </w:r>
            <w:r>
              <w:instrText xml:space="preserve">PAGEREF _Toc1084755561 \h</w:instrText>
            </w:r>
            <w:r>
              <w:fldChar w:fldCharType="separate"/>
            </w:r>
            <w:r w:rsidRPr="0960C778" w:rsidR="0960C778">
              <w:rPr>
                <w:rStyle w:val="Hyperlink"/>
              </w:rPr>
              <w:t>1</w:t>
            </w:r>
            <w:r>
              <w:fldChar w:fldCharType="end"/>
            </w:r>
          </w:hyperlink>
        </w:p>
        <w:p xmlns:wp14="http://schemas.microsoft.com/office/word/2010/wordml" w:rsidP="0960C778" wp14:paraId="09FBAE4D" wp14:textId="3AEAE33A">
          <w:pPr>
            <w:pStyle w:val="TOC1"/>
            <w:tabs>
              <w:tab w:val="right" w:leader="dot" w:pos="9015"/>
            </w:tabs>
            <w:bidi w:val="0"/>
            <w:rPr>
              <w:rStyle w:val="Hyperlink"/>
            </w:rPr>
          </w:pPr>
          <w:hyperlink w:anchor="_Toc1754090201">
            <w:r w:rsidRPr="0960C778" w:rsidR="0960C778">
              <w:rPr>
                <w:rStyle w:val="Hyperlink"/>
              </w:rPr>
              <w:t>4. Youth Sport Participation in the UK and Wales</w:t>
            </w:r>
            <w:r>
              <w:tab/>
            </w:r>
            <w:r>
              <w:fldChar w:fldCharType="begin"/>
            </w:r>
            <w:r>
              <w:instrText xml:space="preserve">PAGEREF _Toc1754090201 \h</w:instrText>
            </w:r>
            <w:r>
              <w:fldChar w:fldCharType="separate"/>
            </w:r>
            <w:r w:rsidRPr="0960C778" w:rsidR="0960C778">
              <w:rPr>
                <w:rStyle w:val="Hyperlink"/>
              </w:rPr>
              <w:t>2</w:t>
            </w:r>
            <w:r>
              <w:fldChar w:fldCharType="end"/>
            </w:r>
          </w:hyperlink>
        </w:p>
        <w:p xmlns:wp14="http://schemas.microsoft.com/office/word/2010/wordml" w:rsidP="0960C778" wp14:paraId="6119D63D" wp14:textId="0B3CDFBA">
          <w:pPr>
            <w:pStyle w:val="TOC1"/>
            <w:tabs>
              <w:tab w:val="right" w:leader="dot" w:pos="9015"/>
            </w:tabs>
            <w:bidi w:val="0"/>
            <w:rPr>
              <w:rStyle w:val="Hyperlink"/>
            </w:rPr>
          </w:pPr>
          <w:hyperlink w:anchor="_Toc1057700163">
            <w:r w:rsidRPr="0960C778" w:rsidR="0960C778">
              <w:rPr>
                <w:rStyle w:val="Hyperlink"/>
              </w:rPr>
              <w:t>5. Retention and Dropout in Grassroots Youth Football</w:t>
            </w:r>
            <w:r>
              <w:tab/>
            </w:r>
            <w:r>
              <w:fldChar w:fldCharType="begin"/>
            </w:r>
            <w:r>
              <w:instrText xml:space="preserve">PAGEREF _Toc1057700163 \h</w:instrText>
            </w:r>
            <w:r>
              <w:fldChar w:fldCharType="separate"/>
            </w:r>
            <w:r w:rsidRPr="0960C778" w:rsidR="0960C778">
              <w:rPr>
                <w:rStyle w:val="Hyperlink"/>
              </w:rPr>
              <w:t>3</w:t>
            </w:r>
            <w:r>
              <w:fldChar w:fldCharType="end"/>
            </w:r>
          </w:hyperlink>
        </w:p>
        <w:p xmlns:wp14="http://schemas.microsoft.com/office/word/2010/wordml" w:rsidP="0960C778" wp14:paraId="26FF5890" wp14:textId="6FE92962">
          <w:pPr>
            <w:pStyle w:val="TOC1"/>
            <w:tabs>
              <w:tab w:val="right" w:leader="dot" w:pos="9015"/>
            </w:tabs>
            <w:bidi w:val="0"/>
            <w:rPr>
              <w:rStyle w:val="Hyperlink"/>
            </w:rPr>
          </w:pPr>
          <w:hyperlink w:anchor="_Toc947506734">
            <w:r w:rsidRPr="0960C778" w:rsidR="0960C778">
              <w:rPr>
                <w:rStyle w:val="Hyperlink"/>
              </w:rPr>
              <w:t>6. Motivation in youth sport</w:t>
            </w:r>
            <w:r>
              <w:tab/>
            </w:r>
            <w:r>
              <w:fldChar w:fldCharType="begin"/>
            </w:r>
            <w:r>
              <w:instrText xml:space="preserve">PAGEREF _Toc947506734 \h</w:instrText>
            </w:r>
            <w:r>
              <w:fldChar w:fldCharType="separate"/>
            </w:r>
            <w:r w:rsidRPr="0960C778" w:rsidR="0960C778">
              <w:rPr>
                <w:rStyle w:val="Hyperlink"/>
              </w:rPr>
              <w:t>3</w:t>
            </w:r>
            <w:r>
              <w:fldChar w:fldCharType="end"/>
            </w:r>
          </w:hyperlink>
        </w:p>
        <w:p xmlns:wp14="http://schemas.microsoft.com/office/word/2010/wordml" w:rsidP="0960C778" wp14:paraId="67E90C6A" wp14:textId="6F819671">
          <w:pPr>
            <w:pStyle w:val="TOC1"/>
            <w:tabs>
              <w:tab w:val="right" w:leader="dot" w:pos="9015"/>
            </w:tabs>
            <w:bidi w:val="0"/>
            <w:rPr>
              <w:rStyle w:val="Hyperlink"/>
            </w:rPr>
          </w:pPr>
          <w:hyperlink w:anchor="_Toc630363768">
            <w:r w:rsidRPr="0960C778" w:rsidR="0960C778">
              <w:rPr>
                <w:rStyle w:val="Hyperlink"/>
              </w:rPr>
              <w:t>7. Coaching, Leadership and Club Retention Mechanisms</w:t>
            </w:r>
            <w:r>
              <w:tab/>
            </w:r>
            <w:r>
              <w:fldChar w:fldCharType="begin"/>
            </w:r>
            <w:r>
              <w:instrText xml:space="preserve">PAGEREF _Toc630363768 \h</w:instrText>
            </w:r>
            <w:r>
              <w:fldChar w:fldCharType="separate"/>
            </w:r>
            <w:r w:rsidRPr="0960C778" w:rsidR="0960C778">
              <w:rPr>
                <w:rStyle w:val="Hyperlink"/>
              </w:rPr>
              <w:t>4</w:t>
            </w:r>
            <w:r>
              <w:fldChar w:fldCharType="end"/>
            </w:r>
          </w:hyperlink>
        </w:p>
        <w:p xmlns:wp14="http://schemas.microsoft.com/office/word/2010/wordml" w:rsidP="0960C778" wp14:paraId="16DD9859" wp14:textId="04A1E323">
          <w:pPr>
            <w:pStyle w:val="TOC1"/>
            <w:tabs>
              <w:tab w:val="right" w:leader="dot" w:pos="9015"/>
            </w:tabs>
            <w:bidi w:val="0"/>
            <w:rPr>
              <w:rStyle w:val="Hyperlink"/>
            </w:rPr>
          </w:pPr>
          <w:hyperlink w:anchor="_Toc1458802517">
            <w:r w:rsidRPr="0960C778" w:rsidR="0960C778">
              <w:rPr>
                <w:rStyle w:val="Hyperlink"/>
              </w:rPr>
              <w:t>8. Player development, pathways and the influence of elite models</w:t>
            </w:r>
            <w:r>
              <w:tab/>
            </w:r>
            <w:r>
              <w:fldChar w:fldCharType="begin"/>
            </w:r>
            <w:r>
              <w:instrText xml:space="preserve">PAGEREF _Toc1458802517 \h</w:instrText>
            </w:r>
            <w:r>
              <w:fldChar w:fldCharType="separate"/>
            </w:r>
            <w:r w:rsidRPr="0960C778" w:rsidR="0960C778">
              <w:rPr>
                <w:rStyle w:val="Hyperlink"/>
              </w:rPr>
              <w:t>5</w:t>
            </w:r>
            <w:r>
              <w:fldChar w:fldCharType="end"/>
            </w:r>
          </w:hyperlink>
        </w:p>
        <w:p xmlns:wp14="http://schemas.microsoft.com/office/word/2010/wordml" w:rsidP="0960C778" wp14:paraId="02BDBCFA" wp14:textId="56F86526">
          <w:pPr>
            <w:pStyle w:val="TOC1"/>
            <w:tabs>
              <w:tab w:val="right" w:leader="dot" w:pos="9015"/>
            </w:tabs>
            <w:bidi w:val="0"/>
            <w:rPr>
              <w:rStyle w:val="Hyperlink"/>
            </w:rPr>
          </w:pPr>
          <w:hyperlink w:anchor="_Toc1349416738">
            <w:r w:rsidRPr="0960C778" w:rsidR="0960C778">
              <w:rPr>
                <w:rStyle w:val="Hyperlink"/>
              </w:rPr>
              <w:t>9. Digital engagement and mobile technology in youth sport</w:t>
            </w:r>
            <w:r>
              <w:tab/>
            </w:r>
            <w:r>
              <w:fldChar w:fldCharType="begin"/>
            </w:r>
            <w:r>
              <w:instrText xml:space="preserve">PAGEREF _Toc1349416738 \h</w:instrText>
            </w:r>
            <w:r>
              <w:fldChar w:fldCharType="separate"/>
            </w:r>
            <w:r w:rsidRPr="0960C778" w:rsidR="0960C778">
              <w:rPr>
                <w:rStyle w:val="Hyperlink"/>
              </w:rPr>
              <w:t>6</w:t>
            </w:r>
            <w:r>
              <w:fldChar w:fldCharType="end"/>
            </w:r>
          </w:hyperlink>
        </w:p>
        <w:p xmlns:wp14="http://schemas.microsoft.com/office/word/2010/wordml" w:rsidP="0960C778" wp14:paraId="2AFE7952" wp14:textId="6DF31C48">
          <w:pPr>
            <w:pStyle w:val="TOC1"/>
            <w:tabs>
              <w:tab w:val="right" w:leader="dot" w:pos="9015"/>
            </w:tabs>
            <w:bidi w:val="0"/>
            <w:rPr>
              <w:rStyle w:val="Hyperlink"/>
            </w:rPr>
          </w:pPr>
          <w:hyperlink w:anchor="_Toc1051678476">
            <w:r w:rsidRPr="0960C778" w:rsidR="0960C778">
              <w:rPr>
                <w:rStyle w:val="Hyperlink"/>
              </w:rPr>
              <w:t>10. Planning, implementation and operational delivery in community clubs</w:t>
            </w:r>
            <w:r>
              <w:tab/>
            </w:r>
            <w:r>
              <w:fldChar w:fldCharType="begin"/>
            </w:r>
            <w:r>
              <w:instrText xml:space="preserve">PAGEREF _Toc1051678476 \h</w:instrText>
            </w:r>
            <w:r>
              <w:fldChar w:fldCharType="separate"/>
            </w:r>
            <w:r w:rsidRPr="0960C778" w:rsidR="0960C778">
              <w:rPr>
                <w:rStyle w:val="Hyperlink"/>
              </w:rPr>
              <w:t>7</w:t>
            </w:r>
            <w:r>
              <w:fldChar w:fldCharType="end"/>
            </w:r>
          </w:hyperlink>
        </w:p>
        <w:p xmlns:wp14="http://schemas.microsoft.com/office/word/2010/wordml" w:rsidP="0960C778" wp14:paraId="77F1DBBF" wp14:textId="46BD13CD">
          <w:pPr>
            <w:pStyle w:val="TOC1"/>
            <w:tabs>
              <w:tab w:val="right" w:leader="dot" w:pos="9015"/>
            </w:tabs>
            <w:bidi w:val="0"/>
            <w:rPr>
              <w:rStyle w:val="Hyperlink"/>
            </w:rPr>
          </w:pPr>
          <w:hyperlink w:anchor="_Toc830218106">
            <w:r w:rsidRPr="0960C778" w:rsidR="0960C778">
              <w:rPr>
                <w:rStyle w:val="Hyperlink"/>
              </w:rPr>
              <w:t>11. Ethics, safeguarding, data protection and wellbeing in digital sports tools</w:t>
            </w:r>
            <w:r>
              <w:tab/>
            </w:r>
            <w:r>
              <w:fldChar w:fldCharType="begin"/>
            </w:r>
            <w:r>
              <w:instrText xml:space="preserve">PAGEREF _Toc830218106 \h</w:instrText>
            </w:r>
            <w:r>
              <w:fldChar w:fldCharType="separate"/>
            </w:r>
            <w:r w:rsidRPr="0960C778" w:rsidR="0960C778">
              <w:rPr>
                <w:rStyle w:val="Hyperlink"/>
              </w:rPr>
              <w:t>8</w:t>
            </w:r>
            <w:r>
              <w:fldChar w:fldCharType="end"/>
            </w:r>
          </w:hyperlink>
        </w:p>
        <w:p xmlns:wp14="http://schemas.microsoft.com/office/word/2010/wordml" w:rsidP="0960C778" wp14:paraId="78080851" wp14:textId="1FF29E43">
          <w:pPr>
            <w:pStyle w:val="TOC1"/>
            <w:tabs>
              <w:tab w:val="right" w:leader="dot" w:pos="9015"/>
            </w:tabs>
            <w:bidi w:val="0"/>
            <w:rPr>
              <w:rStyle w:val="Hyperlink"/>
            </w:rPr>
          </w:pPr>
          <w:hyperlink w:anchor="_Toc872776165">
            <w:r w:rsidRPr="0960C778" w:rsidR="0960C778">
              <w:rPr>
                <w:rStyle w:val="Hyperlink"/>
              </w:rPr>
              <w:t>12. Conclusion</w:t>
            </w:r>
            <w:r>
              <w:tab/>
            </w:r>
            <w:r>
              <w:fldChar w:fldCharType="begin"/>
            </w:r>
            <w:r>
              <w:instrText xml:space="preserve">PAGEREF _Toc872776165 \h</w:instrText>
            </w:r>
            <w:r>
              <w:fldChar w:fldCharType="separate"/>
            </w:r>
            <w:r w:rsidRPr="0960C778" w:rsidR="0960C778">
              <w:rPr>
                <w:rStyle w:val="Hyperlink"/>
              </w:rPr>
              <w:t>9</w:t>
            </w:r>
            <w:r>
              <w:fldChar w:fldCharType="end"/>
            </w:r>
          </w:hyperlink>
        </w:p>
        <w:p xmlns:wp14="http://schemas.microsoft.com/office/word/2010/wordml" w:rsidP="0960C778" wp14:paraId="4A72AF97" wp14:textId="0CCD0DC4">
          <w:pPr>
            <w:pStyle w:val="TOC1"/>
            <w:tabs>
              <w:tab w:val="right" w:leader="dot" w:pos="9015"/>
            </w:tabs>
            <w:bidi w:val="0"/>
            <w:rPr>
              <w:rStyle w:val="Hyperlink"/>
            </w:rPr>
          </w:pPr>
          <w:hyperlink w:anchor="_Toc15384926">
            <w:r w:rsidRPr="0960C778" w:rsidR="0960C778">
              <w:rPr>
                <w:rStyle w:val="Hyperlink"/>
              </w:rPr>
              <w:t>13. References</w:t>
            </w:r>
            <w:r>
              <w:tab/>
            </w:r>
            <w:r>
              <w:fldChar w:fldCharType="begin"/>
            </w:r>
            <w:r>
              <w:instrText xml:space="preserve">PAGEREF _Toc15384926 \h</w:instrText>
            </w:r>
            <w:r>
              <w:fldChar w:fldCharType="separate"/>
            </w:r>
            <w:r w:rsidRPr="0960C778" w:rsidR="0960C778">
              <w:rPr>
                <w:rStyle w:val="Hyperlink"/>
              </w:rPr>
              <w:t>10</w:t>
            </w:r>
            <w:r>
              <w:fldChar w:fldCharType="end"/>
            </w:r>
          </w:hyperlink>
          <w:r>
            <w:fldChar w:fldCharType="end"/>
          </w:r>
        </w:p>
      </w:sdtContent>
    </w:sdt>
    <w:p xmlns:wp14="http://schemas.microsoft.com/office/word/2010/wordml" w:rsidP="0960C778" wp14:paraId="5152E9FE" wp14:textId="74D98A2A">
      <w:pPr>
        <w:pStyle w:val="Normal"/>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40"/>
          <w:szCs w:val="40"/>
          <w:u w:val="none"/>
          <w:lang w:val="en-US"/>
        </w:rPr>
      </w:pPr>
      <w:bookmarkStart w:name="_Toc1377377725" w:id="903921432"/>
      <w:r w:rsidRPr="0960C778" w:rsidR="77823B41">
        <w:rPr>
          <w:rStyle w:val="Heading1Char"/>
          <w:rFonts w:ascii="Aptos" w:hAnsi="Aptos" w:eastAsia="Aptos" w:cs="Aptos" w:asciiTheme="minorAscii" w:hAnsiTheme="minorAscii" w:eastAsiaTheme="minorAscii" w:cstheme="minorAscii"/>
          <w:noProof w:val="0"/>
          <w:lang w:val="en-GB"/>
        </w:rPr>
        <w:t>1.</w:t>
      </w:r>
      <w:r w:rsidRPr="0960C778" w:rsidR="166F6A7C">
        <w:rPr>
          <w:rStyle w:val="Heading1Char"/>
          <w:rFonts w:ascii="Aptos" w:hAnsi="Aptos" w:eastAsia="Aptos" w:cs="Aptos" w:asciiTheme="minorAscii" w:hAnsiTheme="minorAscii" w:eastAsiaTheme="minorAscii" w:cstheme="minorAscii"/>
          <w:noProof w:val="0"/>
          <w:lang w:val="en-GB"/>
        </w:rPr>
        <w:t xml:space="preserve"> </w:t>
      </w:r>
      <w:r w:rsidRPr="0960C778" w:rsidR="4338912C">
        <w:rPr>
          <w:rStyle w:val="Heading1Char"/>
          <w:rFonts w:ascii="Aptos" w:hAnsi="Aptos" w:eastAsia="Aptos" w:cs="Aptos" w:asciiTheme="minorAscii" w:hAnsiTheme="minorAscii" w:eastAsiaTheme="minorAscii" w:cstheme="minorAscii"/>
          <w:noProof w:val="0"/>
          <w:lang w:val="en-GB"/>
        </w:rPr>
        <w:t>Aim</w:t>
      </w:r>
      <w:bookmarkEnd w:id="903921432"/>
      <w:r>
        <w:br/>
      </w:r>
      <w:r w:rsidRPr="0960C778" w:rsidR="1DB0A85E">
        <w:rPr>
          <w:rFonts w:ascii="Aptos" w:hAnsi="Aptos" w:eastAsia="Aptos" w:cs="Aptos" w:asciiTheme="minorAscii" w:hAnsiTheme="minorAscii" w:eastAsiaTheme="minorAscii" w:cstheme="minorAscii"/>
          <w:noProof w:val="0"/>
          <w:lang w:val="en-US"/>
        </w:rPr>
        <w:t>To design a digital app that supports player motivation and retention in grassroots football players between the ages of 12-16 in Wales.</w:t>
      </w:r>
    </w:p>
    <w:p xmlns:wp14="http://schemas.microsoft.com/office/word/2010/wordml" w:rsidP="0960C778" wp14:paraId="74DDDC8F" wp14:textId="00F75E8D">
      <w:pPr>
        <w:pStyle w:val="Normal"/>
        <w:ind w:left="0"/>
        <w:jc w:val="left"/>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bookmarkStart w:name="_Toc30643917" w:id="1966996610"/>
      <w:r w:rsidRPr="0960C778" w:rsidR="1AD83BEA">
        <w:rPr>
          <w:rStyle w:val="Heading1Char"/>
          <w:rFonts w:ascii="Aptos" w:hAnsi="Aptos" w:eastAsia="Aptos" w:cs="Aptos" w:asciiTheme="minorAscii" w:hAnsiTheme="minorAscii" w:eastAsiaTheme="minorAscii" w:cstheme="minorAscii"/>
          <w:noProof w:val="0"/>
          <w:lang w:val="en-US"/>
        </w:rPr>
        <w:t>2.</w:t>
      </w:r>
      <w:r w:rsidRPr="0960C778" w:rsidR="6BE70F09">
        <w:rPr>
          <w:rStyle w:val="Heading1Char"/>
          <w:rFonts w:ascii="Aptos" w:hAnsi="Aptos" w:eastAsia="Aptos" w:cs="Aptos" w:asciiTheme="minorAscii" w:hAnsiTheme="minorAscii" w:eastAsiaTheme="minorAscii" w:cstheme="minorAscii"/>
          <w:noProof w:val="0"/>
          <w:lang w:val="en-US"/>
        </w:rPr>
        <w:t xml:space="preserve"> </w:t>
      </w:r>
      <w:r w:rsidRPr="0960C778" w:rsidR="4DDCE63A">
        <w:rPr>
          <w:rStyle w:val="Heading1Char"/>
          <w:rFonts w:ascii="Aptos" w:hAnsi="Aptos" w:eastAsia="Aptos" w:cs="Aptos" w:asciiTheme="minorAscii" w:hAnsiTheme="minorAscii" w:eastAsiaTheme="minorAscii" w:cstheme="minorAscii"/>
          <w:noProof w:val="0"/>
          <w:lang w:val="en-US"/>
        </w:rPr>
        <w:t>Objectives</w:t>
      </w:r>
      <w:bookmarkEnd w:id="1966996610"/>
      <w:r>
        <w:br/>
      </w:r>
      <w:r w:rsidRPr="0960C778" w:rsidR="7A9A2C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To </w:t>
      </w:r>
      <w:r w:rsidRPr="0960C778" w:rsidR="7A9A2C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identify</w:t>
      </w:r>
      <w:r w:rsidRPr="0960C778" w:rsidR="7A9A2C2C">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key factors influencing player retention and dropout in Welsh youth football.</w:t>
      </w:r>
      <w:r>
        <w:br/>
      </w:r>
      <w:r w:rsidRPr="0960C778" w:rsidR="1F6BDBC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To </w:t>
      </w:r>
      <w:r w:rsidRPr="0960C778" w:rsidR="1F6BDBC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identify</w:t>
      </w:r>
      <w:r w:rsidRPr="0960C778" w:rsidR="1F6BDBC7">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how mobile apps can support player engagement and development in youth sport.</w:t>
      </w:r>
      <w:r>
        <w:br/>
      </w:r>
      <w:r w:rsidRPr="0960C778" w:rsidR="69417D41">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To design a detailed concept and prototype plan for the app based on my research whilst considering ethical implications.</w:t>
      </w:r>
    </w:p>
    <w:p xmlns:wp14="http://schemas.microsoft.com/office/word/2010/wordml" w:rsidP="0960C778" wp14:paraId="77EA1F6E" wp14:textId="619BF62D">
      <w:pPr>
        <w:pStyle w:val="Normal"/>
        <w:ind w:left="0"/>
        <w:jc w:val="left"/>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1084755561" w:id="1152234722"/>
      <w:r w:rsidRPr="0960C778" w:rsidR="353451FB">
        <w:rPr>
          <w:rStyle w:val="Heading1Char"/>
          <w:rFonts w:ascii="Aptos" w:hAnsi="Aptos" w:eastAsia="Aptos" w:cs="Aptos" w:asciiTheme="minorAscii" w:hAnsiTheme="minorAscii" w:eastAsiaTheme="minorAscii" w:cstheme="minorAscii"/>
          <w:noProof w:val="0"/>
          <w:lang w:val="en-GB"/>
        </w:rPr>
        <w:t xml:space="preserve">3. </w:t>
      </w:r>
      <w:r w:rsidRPr="0960C778" w:rsidR="551B7B5C">
        <w:rPr>
          <w:rStyle w:val="Heading1Char"/>
          <w:rFonts w:ascii="Aptos" w:hAnsi="Aptos" w:eastAsia="Aptos" w:cs="Aptos" w:asciiTheme="minorAscii" w:hAnsiTheme="minorAscii" w:eastAsiaTheme="minorAscii" w:cstheme="minorAscii"/>
          <w:noProof w:val="0"/>
          <w:lang w:val="en-GB"/>
        </w:rPr>
        <w:t>Introduction</w:t>
      </w:r>
      <w:bookmarkEnd w:id="1152234722"/>
      <w:r>
        <w:br/>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 role of youth sports in developing public health and social development is well established due to the potential for participation in youth sport to promote physical activity, social connections, and well-being when supported appropriately (UK Chief Medical Officers, 2019; </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ime</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et al., 2013).</w:t>
      </w:r>
    </w:p>
    <w:p xmlns:wp14="http://schemas.microsoft.com/office/word/2010/wordml" w:rsidP="0960C778" wp14:paraId="11FD5383" wp14:textId="3FE2AD8B">
      <w:pPr>
        <w:pStyle w:val="Normal"/>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Furthermore, there is considerable latent and unmet demand for school-based sport in Wales, </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indicating</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that drop out and disengagement from sport participation cannot solely be attributed to "low motivation", but must also account for barriers related to opportunities and delivery (Welsh Government, 2023; Sport Wales, 2022).</w:t>
      </w:r>
    </w:p>
    <w:p xmlns:wp14="http://schemas.microsoft.com/office/word/2010/wordml" w:rsidP="0960C778" wp14:paraId="12B41581" wp14:textId="6149724B">
      <w:pPr>
        <w:pStyle w:val="Normal"/>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Grassroots football is identified as a high impact setting for conducting retention work, primarily due to its widespread participation, reliance on volunteers and the developmental sensitivity of adolescents to </w:t>
      </w:r>
      <w:bookmarkStart w:name="_Int_2ei1yyPo" w:id="1167646832"/>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competency based</w:t>
      </w:r>
      <w:bookmarkEnd w:id="1167646832"/>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feedback, social belonging within their peer group, and adult-child relationships (UK Coaching, 2024; FAW, 2021).</w:t>
      </w:r>
    </w:p>
    <w:p xmlns:wp14="http://schemas.microsoft.com/office/word/2010/wordml" w:rsidP="0960C778" wp14:paraId="443D70BE" wp14:textId="2462052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Additionally, </w:t>
      </w:r>
      <w:bookmarkStart w:name="_Int_xSYuS053" w:id="1926522348"/>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12-16 year olds</w:t>
      </w:r>
      <w:bookmarkEnd w:id="1926522348"/>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exist in increasingly complex digital environments, </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providing</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 opportunity to extend support beyond traditional training sessions, and a responsibility to ensure that these extensions do not compromise participant safety or violate any associated privacy rights (ICO, 2021; Ofcom, 2024; FAW, 2021).</w:t>
      </w:r>
    </w:p>
    <w:p xmlns:wp14="http://schemas.microsoft.com/office/word/2010/wordml" w:rsidP="0960C778" wp14:paraId="16FEB25B" wp14:textId="33D151F3">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Therefore, this review aims to synthesi</w:t>
      </w:r>
      <w:r w:rsidRPr="0960C778" w:rsidR="3F27FC4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 recent literature related to the stated </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objectives</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moving </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from a broad consideration of the participation context</w:t>
      </w:r>
      <w:r w:rsidRPr="0960C778" w:rsidR="0A685C6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to specific mechanisms of retention, and then to the implications for the design and implementation of a digital youth facing recent intervention.</w:t>
      </w:r>
    </w:p>
    <w:p xmlns:wp14="http://schemas.microsoft.com/office/word/2010/wordml" w:rsidP="0960C778" wp14:paraId="72685E0A" wp14:textId="4728C972">
      <w:pPr>
        <w:pStyle w:val="Normal"/>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6C9B0C92" wp14:textId="2953AEB9">
      <w:pPr>
        <w:pStyle w:val="Normal"/>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1754090201" w:id="1996137397"/>
      <w:r w:rsidRPr="0960C778" w:rsidR="5ABF7F3A">
        <w:rPr>
          <w:rStyle w:val="Heading1Char"/>
          <w:rFonts w:ascii="Aptos" w:hAnsi="Aptos" w:eastAsia="Aptos" w:cs="Aptos" w:asciiTheme="minorAscii" w:hAnsiTheme="minorAscii" w:eastAsiaTheme="minorAscii" w:cstheme="minorAscii"/>
          <w:noProof w:val="0"/>
          <w:lang w:val="en-GB"/>
        </w:rPr>
        <w:t>4</w:t>
      </w:r>
      <w:r w:rsidRPr="0960C778" w:rsidR="0D94778A">
        <w:rPr>
          <w:rStyle w:val="Heading1Char"/>
          <w:rFonts w:ascii="Aptos" w:hAnsi="Aptos" w:eastAsia="Aptos" w:cs="Aptos" w:asciiTheme="minorAscii" w:hAnsiTheme="minorAscii" w:eastAsiaTheme="minorAscii" w:cstheme="minorAscii"/>
          <w:noProof w:val="0"/>
          <w:lang w:val="en-GB"/>
        </w:rPr>
        <w:t>. Youth Sport Participation in the UK and Wales</w:t>
      </w:r>
      <w:bookmarkEnd w:id="1996137397"/>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Most children and young people are not reaching the nationally-recommended levels of physical activity, and these levels are significantly different depending on a child's age, gender, and social economic status, therefore early adulthood is a crucial period where the chance of dropping out of physical activity increases dramatically (UK Chief Medical Officers, 2019; Sport England, 2024).</w:t>
      </w:r>
    </w:p>
    <w:p xmlns:wp14="http://schemas.microsoft.com/office/word/2010/wordml" w:rsidP="0960C778" wp14:paraId="0A50D6E9" wp14:textId="3B0EEC32">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 School Sports Survey undertaken in Wales states that almost every young person wants to take part in sport, however they have very few opportunities to do so, and this illustrates that the choice to take part in an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organi</w:t>
      </w:r>
      <w:r w:rsidRPr="0960C778" w:rsidR="3866C1A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ed sporting activity is often dependent on the availability of opportunities locally, and the choice of the individual (Sport Wales, 2022).</w:t>
      </w:r>
    </w:p>
    <w:p xmlns:wp14="http://schemas.microsoft.com/office/word/2010/wordml" w:rsidP="0960C778" wp14:paraId="568F29FA" wp14:textId="30921D2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Barriers to accessing such opportunities as cost, transport, expectations for kit, and inconsistencies in local delivery, which may prevent players from continuing to be involved with the activity, represent 'keeping young people in sport' (Sport Wales, 2022; Sport England, 2024).</w:t>
      </w:r>
    </w:p>
    <w:p xmlns:wp14="http://schemas.microsoft.com/office/word/2010/wordml" w:rsidP="0960C778" wp14:paraId="3C77B08C" wp14:textId="13B830C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Although the Welsh Football Association state that participating in football is related to broader social outcomes, football clubs and volunteers may face restrictions in terms of resources which could lead to an inferior quality of delivery, and subsequently affect player experience and retention rates (FAW, 2021; UK Coaching, 2024; Sport Wales, 2024).</w:t>
      </w:r>
    </w:p>
    <w:p xmlns:wp14="http://schemas.microsoft.com/office/word/2010/wordml" w:rsidP="0960C778" wp14:paraId="237EE6AA" wp14:textId="2D2DC5B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p>
    <w:p xmlns:wp14="http://schemas.microsoft.com/office/word/2010/wordml" w:rsidP="0960C778" wp14:paraId="50324DC7" wp14:textId="5EC07668">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There is considerable research supporting the positive effects of youth sport participation on the psychological and social development of young people. However, this research also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states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that the positive effects of participation are highly contingent on the quality of the sport environment, and therefore the negative impacts of controlling, exclusionary, and overly evaluative climates can undermine participation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Eime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2013; Castillo-Jiménez et al., 2022).</w:t>
      </w:r>
    </w:p>
    <w:p xmlns:wp14="http://schemas.microsoft.com/office/word/2010/wordml" w:rsidP="0960C778" wp14:paraId="3FDD1AEE" wp14:textId="79A1703F">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It is this contingency that is important because retention strategies focused solely on increasing the number of sessions, may fail if the overall experience quality is not increased, and may actually contribute to sustaining participation among certain groups while contributing to the accelerated dropout of others who perceive themselves as marginali</w:t>
      </w:r>
      <w:r w:rsidRPr="0960C778" w:rsidR="118CCA9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ed (Castillo-Jiménez et al., 2022; Sport Wales, 2022).</w:t>
      </w:r>
    </w:p>
    <w:p xmlns:wp14="http://schemas.microsoft.com/office/word/2010/wordml" w:rsidP="0960C778" wp14:paraId="4E54C4C5" wp14:textId="3083338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Therefore, any digital intervention intended to promote retention should be positioned to support more inclusive delivery and better experiences, rather than merely provide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additional</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tools for coaches and managers to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monitor</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manage more training and performance data (ICO, 2021; Skivington et al., 2021).</w:t>
      </w:r>
    </w:p>
    <w:p xmlns:wp14="http://schemas.microsoft.com/office/word/2010/wordml" w:rsidP="0960C778" wp14:paraId="038DF834" wp14:textId="4EFBE6D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5A7C6E1B" wp14:textId="51837627">
      <w:pPr>
        <w:pStyle w:val="Heading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1057700163" w:id="295914929"/>
      <w:r w:rsidRPr="0960C778" w:rsidR="4D0BD4F9">
        <w:rPr>
          <w:rFonts w:ascii="Aptos" w:hAnsi="Aptos" w:eastAsia="Aptos" w:cs="Aptos" w:asciiTheme="minorAscii" w:hAnsiTheme="minorAscii" w:eastAsiaTheme="minorAscii" w:cstheme="minorAscii"/>
          <w:noProof w:val="0"/>
          <w:lang w:val="en-GB"/>
        </w:rPr>
        <w:t>5.</w:t>
      </w:r>
      <w:r w:rsidRPr="0960C778" w:rsidR="615D2316">
        <w:rPr>
          <w:rFonts w:ascii="Aptos" w:hAnsi="Aptos" w:eastAsia="Aptos" w:cs="Aptos" w:asciiTheme="minorAscii" w:hAnsiTheme="minorAscii" w:eastAsiaTheme="minorAscii" w:cstheme="minorAscii"/>
          <w:noProof w:val="0"/>
          <w:lang w:val="en-GB"/>
        </w:rPr>
        <w:t xml:space="preserve"> Retention and Dropout in Grassroots Youth Football</w:t>
      </w:r>
      <w:bookmarkEnd w:id="295914929"/>
    </w:p>
    <w:p xmlns:wp14="http://schemas.microsoft.com/office/word/2010/wordml" w:rsidP="0960C778" wp14:paraId="69DFEFF2" wp14:textId="609428F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Recent systematic reviews have described youth sport dropout as a complex and dynamic process influenced by multiple interacting factors across person,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context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time, which challenges single cause explanations and supports the design of interventions that address multiple mechanisms (Moulds and Cobley, 2024; Moulds et al., 2022).</w:t>
      </w:r>
    </w:p>
    <w:p xmlns:wp14="http://schemas.microsoft.com/office/word/2010/wordml" w:rsidP="0960C778" wp14:paraId="2ABA6394" wp14:textId="27CF259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 Process-Person-Context-Time framework emphasi</w:t>
      </w:r>
      <w:r w:rsidRPr="0960C778" w:rsidR="2BFF232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es how individual factors, relational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factors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structural factors interact to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determine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the likelihood of sustained participation (Moulds et al., 2022; Sport Wales, 2022).</w:t>
      </w:r>
    </w:p>
    <w:p xmlns:wp14="http://schemas.microsoft.com/office/word/2010/wordml" w:rsidP="0960C778" wp14:paraId="402F876F" wp14:textId="18143FDF">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Although the PPCT framework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represents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 integrative model of dropout, it can be critici</w:t>
      </w:r>
      <w:r w:rsidRPr="0960C778" w:rsidR="28C5787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ed for its generality unless it is </w:t>
      </w:r>
      <w:r w:rsidRPr="0960C778" w:rsidR="21056C0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used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as specific</w:t>
      </w:r>
      <w:r w:rsidRPr="0960C778" w:rsidR="7EC7224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with</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pr</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iorities that can be realistically implemented in </w:t>
      </w:r>
      <w:r w:rsidRPr="0960C778" w:rsidR="798AE1A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local</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clubs with limited resources (Skivington et al., 2021; UK Coaching, 2024).</w:t>
      </w:r>
    </w:p>
    <w:p xmlns:wp14="http://schemas.microsoft.com/office/word/2010/wordml" w:rsidP="0960C778" wp14:paraId="6C4AF213" wp14:textId="7DA7E2A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Multiple variables have been identified as factors influencing continued participation across numerous studies, including enjoyment, perceived developmental benefits, feelings of social connection, positive relationships with adults and reasonable time commitments, which represent a practical set of priorities for developing targeted interventions (Moulds and Cobley, 2024; Sport Wales, 2022).</w:t>
      </w:r>
    </w:p>
    <w:p xmlns:wp14="http://schemas.microsoft.com/office/word/2010/wordml" w:rsidP="0960C778" wp14:paraId="712A3B49" wp14:textId="00E767B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8270C98" wp14:textId="1179F2C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Additionally, for grassroots clubs, dropout may reflect organi</w:t>
      </w:r>
      <w:r w:rsidRPr="0960C778" w:rsidR="370A925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ational challenges</w:t>
      </w:r>
      <w:r w:rsidRPr="0960C778" w:rsidR="7E1E115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such as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volunteer</w:t>
      </w:r>
      <w:r w:rsidRPr="0960C778" w:rsidR="6386419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shortages and pitch </w:t>
      </w:r>
      <w:r w:rsidRPr="0960C778" w:rsidR="41B011A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availability</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which are underrepresented in athlete-</w:t>
      </w:r>
      <w:r w:rsidRPr="0960C778" w:rsidR="32FEC6F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centred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06459EC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studies but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are highly relevant in Wales where participation demand does not always match available opportunities (UK Coaching, 2024; Sport Wales, 2022).</w:t>
      </w:r>
    </w:p>
    <w:p xmlns:wp14="http://schemas.microsoft.com/office/word/2010/wordml" w:rsidP="0960C778" wp14:paraId="5CABEF05" wp14:textId="10227F20">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04336550" wp14:textId="702AEB8E">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947506734" w:id="569282321"/>
      <w:r w:rsidRPr="0960C778" w:rsidR="0E60E9BA">
        <w:rPr>
          <w:rStyle w:val="Heading1Char"/>
          <w:rFonts w:ascii="Aptos" w:hAnsi="Aptos" w:eastAsia="Aptos" w:cs="Aptos" w:asciiTheme="minorAscii" w:hAnsiTheme="minorAscii" w:eastAsiaTheme="minorAscii" w:cstheme="minorAscii"/>
          <w:noProof w:val="0"/>
          <w:lang w:val="en-GB"/>
        </w:rPr>
        <w:t xml:space="preserve">6. Motivation in </w:t>
      </w:r>
      <w:r w:rsidRPr="0960C778" w:rsidR="42DEA7F8">
        <w:rPr>
          <w:rStyle w:val="Heading1Char"/>
          <w:rFonts w:ascii="Aptos" w:hAnsi="Aptos" w:eastAsia="Aptos" w:cs="Aptos" w:asciiTheme="minorAscii" w:hAnsiTheme="minorAscii" w:eastAsiaTheme="minorAscii" w:cstheme="minorAscii"/>
          <w:noProof w:val="0"/>
          <w:lang w:val="en-GB"/>
        </w:rPr>
        <w:t>Y</w:t>
      </w:r>
      <w:r w:rsidRPr="0960C778" w:rsidR="0E60E9BA">
        <w:rPr>
          <w:rStyle w:val="Heading1Char"/>
          <w:rFonts w:ascii="Aptos" w:hAnsi="Aptos" w:eastAsia="Aptos" w:cs="Aptos" w:asciiTheme="minorAscii" w:hAnsiTheme="minorAscii" w:eastAsiaTheme="minorAscii" w:cstheme="minorAscii"/>
          <w:noProof w:val="0"/>
          <w:lang w:val="en-GB"/>
        </w:rPr>
        <w:t xml:space="preserve">outh </w:t>
      </w:r>
      <w:r w:rsidRPr="0960C778" w:rsidR="1C823661">
        <w:rPr>
          <w:rStyle w:val="Heading1Char"/>
          <w:rFonts w:ascii="Aptos" w:hAnsi="Aptos" w:eastAsia="Aptos" w:cs="Aptos" w:asciiTheme="minorAscii" w:hAnsiTheme="minorAscii" w:eastAsiaTheme="minorAscii" w:cstheme="minorAscii"/>
          <w:noProof w:val="0"/>
          <w:lang w:val="en-GB"/>
        </w:rPr>
        <w:t>S</w:t>
      </w:r>
      <w:r w:rsidRPr="0960C778" w:rsidR="0E60E9BA">
        <w:rPr>
          <w:rStyle w:val="Heading1Char"/>
          <w:rFonts w:ascii="Aptos" w:hAnsi="Aptos" w:eastAsia="Aptos" w:cs="Aptos" w:asciiTheme="minorAscii" w:hAnsiTheme="minorAscii" w:eastAsiaTheme="minorAscii" w:cstheme="minorAscii"/>
          <w:noProof w:val="0"/>
          <w:lang w:val="en-GB"/>
        </w:rPr>
        <w:t>port</w:t>
      </w:r>
      <w:bookmarkEnd w:id="569282321"/>
      <w:r>
        <w:br/>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SDT (Self Determination Theory) explains how quality of motivation works via distinctions between intrinsic and extrinsic motivation. These distinctions have been shown to be linked to the level of persistence and the quality of performance in addition to an individual's level of wellbeing (Ryan &amp; Deci, 2017; Castillo-Jiménez et al., 2022).</w:t>
      </w:r>
    </w:p>
    <w:p xmlns:wp14="http://schemas.microsoft.com/office/word/2010/wordml" w:rsidP="0960C778" wp14:paraId="7F5E2FC5" wp14:textId="79CC0455">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28CC44E8" wp14:textId="5E79341F">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All three basic psychological needs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identified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in SDT (autonomy,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competence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relatedness) have been found to be positively correlated with levels of self-determined motivation in a variety of different contexts. Therefore, interventions aimed at improving retention rates would appear to be best served by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attempting</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to meet an individual's needs for autonomy,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competence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relatedness, through providing support and reducing pressure (Ryan &amp; Deci, 2017; Castillo-Jiménez et al., 2022).</w:t>
      </w:r>
    </w:p>
    <w:p xmlns:wp14="http://schemas.microsoft.com/office/word/2010/wordml" w:rsidP="0960C778" wp14:paraId="6B778785" wp14:textId="26F97B52">
      <w:pPr>
        <w:pStyle w:val="Heading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630363768" w:id="1497054650"/>
      <w:r w:rsidRPr="0960C778" w:rsidR="048D08F1">
        <w:rPr>
          <w:rFonts w:ascii="Aptos" w:hAnsi="Aptos" w:eastAsia="Aptos" w:cs="Aptos" w:asciiTheme="minorAscii" w:hAnsiTheme="minorAscii" w:eastAsiaTheme="minorAscii" w:cstheme="minorAscii"/>
          <w:noProof w:val="0"/>
          <w:lang w:val="en-GB"/>
        </w:rPr>
        <w:t>7.</w:t>
      </w:r>
      <w:r w:rsidRPr="0960C778" w:rsidR="615D2316">
        <w:rPr>
          <w:rFonts w:ascii="Aptos" w:hAnsi="Aptos" w:eastAsia="Aptos" w:cs="Aptos" w:asciiTheme="minorAscii" w:hAnsiTheme="minorAscii" w:eastAsiaTheme="minorAscii" w:cstheme="minorAscii"/>
          <w:noProof w:val="0"/>
          <w:lang w:val="en-GB"/>
        </w:rPr>
        <w:t xml:space="preserve"> Coaching, Leadership and Club Retention Mechanisms</w:t>
      </w:r>
      <w:bookmarkEnd w:id="1497054650"/>
    </w:p>
    <w:p xmlns:wp14="http://schemas.microsoft.com/office/word/2010/wordml" w:rsidP="0960C778" wp14:paraId="537A88D6" wp14:textId="0C53086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Coaches and the leadership team within clubs play a critical role in creating the motivational climate for young players. Coaches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establish</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the structure of training sessions, provide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feedback</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create a safe environment for players to learn and develop (UK Coaching, 2024; </w:t>
      </w:r>
      <w:bookmarkStart w:name="_Int_kCX6lzSZ" w:id="1558971296"/>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Wekesser</w:t>
      </w:r>
      <w:bookmarkEnd w:id="1558971296"/>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2021).</w:t>
      </w:r>
    </w:p>
    <w:p xmlns:wp14="http://schemas.microsoft.com/office/word/2010/wordml" w:rsidP="0960C778" wp14:paraId="2B50B241" wp14:textId="59EB0576">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097C9836" wp14:textId="744387B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9098FC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upportive coaching behavio</w:t>
      </w:r>
      <w:r w:rsidRPr="0960C778" w:rsidR="6AAA12B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rs are positively associated with young athletes' intention to continue playing, which reinforces the importance of coaches as retention mechanisms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Wekesser</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2021; Castillo-Jiménez et al., 2022).</w:t>
      </w:r>
    </w:p>
    <w:p xmlns:wp14="http://schemas.microsoft.com/office/word/2010/wordml" w:rsidP="0960C778" wp14:paraId="665D05CB" wp14:textId="57391AD2">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237EB854" wp14:textId="2543D43B">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An important structural reality is that many grassroots coaches are volunteers, and UK evidence suggests that volunteers face significant barriers to time availability, access to training and support. Therefore, retention interventions must be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feasible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to deliver within realistic volunteer capacity (UK Coaching, 2024; Sport Wales, 2022).</w:t>
      </w:r>
      <w:r w:rsidRPr="0960C778" w:rsidR="3705E6A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br/>
      </w:r>
      <w:r w:rsidRPr="0960C778" w:rsidR="3705E6A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club's ability to attract,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retain</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support volunteers influences the stability and consistency of the experiences available to its members. Inconsistent experiences can be particularly damaging to early adolescents, who have a fragile sense of belonging (UK Coaching, 2024; Sport Wales, 2022).</w:t>
      </w:r>
    </w:p>
    <w:p xmlns:wp14="http://schemas.microsoft.com/office/word/2010/wordml" w:rsidP="0960C778" wp14:paraId="3E18E28D" wp14:textId="27329E6B">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1B83D72B" wp14:textId="5DC8DF9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Therefore, club leadership and management matter to retention, as well as the expectations placed upon the leadership team and other coaches by the club, the organi</w:t>
      </w:r>
      <w:r w:rsidRPr="0960C778" w:rsidR="55CD543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ational policies and procedures in place to protect the welfare of players, mentorship opportunities for coaches and the resources that allow coaches to share practice in order to consistently and inclusively deliver programs to players (UK Coaching, 2024; Sport Wales, 2022).</w:t>
      </w:r>
    </w:p>
    <w:p xmlns:wp14="http://schemas.microsoft.com/office/word/2010/wordml" w:rsidP="0960C778" wp14:paraId="5C9C4BF4" wp14:textId="7801B9B8">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11BE05BB" wp14:textId="5C4D40A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4497B1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he ability to implement volunteer support programs can vary significantly between clubs of varying si</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z</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es</w:t>
      </w:r>
      <w:r w:rsidRPr="0960C778" w:rsidR="45959D3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01A2F0A">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herefore, there is merit in developing scalable solutions such as templates, planning prompts and low burden communication routines that minimi</w:t>
      </w:r>
      <w:r w:rsidRPr="0960C778" w:rsidR="1CDDD48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 cognitive load for coaches and help them to deliver programs that meet the needs of their players (UK Coaching, 2024; Sport Wales, 2022).</w:t>
      </w:r>
    </w:p>
    <w:p xmlns:wp14="http://schemas.microsoft.com/office/word/2010/wordml" w:rsidP="0960C778" wp14:paraId="0B1BF1EF" wp14:textId="092CCDE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6F55D345" wp14:textId="3E04E44D">
      <w:pPr>
        <w:pStyle w:val="Normal"/>
        <w:suppressLineNumbers w:val="0"/>
        <w:shd w:val="clear" w:color="auto" w:fill="FFFFFF" w:themeFill="background1"/>
        <w:bidi w:val="0"/>
        <w:spacing w:before="0" w:beforeAutospacing="off" w:after="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However, the introduction of digital systems can add administrative burden to coaches and potentially diminish their enthusiasm for delivering programs</w:t>
      </w:r>
      <w:r w:rsidRPr="0960C778" w:rsidR="2144472A">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237A891A">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With this considered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the design of digital interventions must be mindful of minimi</w:t>
      </w:r>
      <w:r w:rsidRPr="0960C778" w:rsidR="0708CBD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ing friction and fitting into the existing workflow of </w:t>
      </w:r>
      <w:bookmarkStart w:name="_Int_CqPjx8Sd" w:id="1587635083"/>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coaches,</w:t>
      </w:r>
      <w:bookmarkEnd w:id="1587635083"/>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248A0AF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to</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avoid diminishing their enthusiasm for delivering programs and thereby indirectly diminishing the retention rate of the players they coach (UK Coaching, 2024).</w:t>
      </w:r>
    </w:p>
    <w:p xmlns:wp14="http://schemas.microsoft.com/office/word/2010/wordml" w:rsidP="0960C778" wp14:paraId="65583284" wp14:textId="60C8369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rPr>
      </w:pPr>
    </w:p>
    <w:p xmlns:wp14="http://schemas.microsoft.com/office/word/2010/wordml" w:rsidP="0960C778" wp14:paraId="6590AC14" wp14:textId="4505D987">
      <w:pPr>
        <w:pStyle w:val="Heading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1458802517" w:id="376962868"/>
      <w:r w:rsidRPr="0960C778" w:rsidR="1906FDE2">
        <w:rPr>
          <w:rFonts w:ascii="Aptos" w:hAnsi="Aptos" w:eastAsia="Aptos" w:cs="Aptos" w:asciiTheme="minorAscii" w:hAnsiTheme="minorAscii" w:eastAsiaTheme="minorAscii" w:cstheme="minorAscii"/>
          <w:noProof w:val="0"/>
          <w:lang w:val="en-GB"/>
        </w:rPr>
        <w:t>8</w:t>
      </w:r>
      <w:r w:rsidRPr="0960C778" w:rsidR="615D2316">
        <w:rPr>
          <w:rFonts w:ascii="Aptos" w:hAnsi="Aptos" w:eastAsia="Aptos" w:cs="Aptos" w:asciiTheme="minorAscii" w:hAnsiTheme="minorAscii" w:eastAsiaTheme="minorAscii" w:cstheme="minorAscii"/>
          <w:noProof w:val="0"/>
          <w:lang w:val="en-GB"/>
        </w:rPr>
        <w:t xml:space="preserve">. </w:t>
      </w:r>
      <w:r w:rsidRPr="0960C778" w:rsidR="10575C9D">
        <w:rPr>
          <w:rFonts w:ascii="Aptos" w:hAnsi="Aptos" w:eastAsia="Aptos" w:cs="Aptos" w:asciiTheme="minorAscii" w:hAnsiTheme="minorAscii" w:eastAsiaTheme="minorAscii" w:cstheme="minorAscii"/>
          <w:noProof w:val="0"/>
          <w:lang w:val="en-GB"/>
        </w:rPr>
        <w:t xml:space="preserve">Player </w:t>
      </w:r>
      <w:r w:rsidRPr="0960C778" w:rsidR="06EEB3E3">
        <w:rPr>
          <w:rFonts w:ascii="Aptos" w:hAnsi="Aptos" w:eastAsia="Aptos" w:cs="Aptos" w:asciiTheme="minorAscii" w:hAnsiTheme="minorAscii" w:eastAsiaTheme="minorAscii" w:cstheme="minorAscii"/>
          <w:noProof w:val="0"/>
          <w:lang w:val="en-GB"/>
        </w:rPr>
        <w:t>D</w:t>
      </w:r>
      <w:r w:rsidRPr="0960C778" w:rsidR="10575C9D">
        <w:rPr>
          <w:rFonts w:ascii="Aptos" w:hAnsi="Aptos" w:eastAsia="Aptos" w:cs="Aptos" w:asciiTheme="minorAscii" w:hAnsiTheme="minorAscii" w:eastAsiaTheme="minorAscii" w:cstheme="minorAscii"/>
          <w:noProof w:val="0"/>
          <w:lang w:val="en-GB"/>
        </w:rPr>
        <w:t xml:space="preserve">evelopment, </w:t>
      </w:r>
      <w:r w:rsidRPr="0960C778" w:rsidR="1E2B3619">
        <w:rPr>
          <w:rFonts w:ascii="Aptos" w:hAnsi="Aptos" w:eastAsia="Aptos" w:cs="Aptos" w:asciiTheme="minorAscii" w:hAnsiTheme="minorAscii" w:eastAsiaTheme="minorAscii" w:cstheme="minorAscii"/>
          <w:noProof w:val="0"/>
          <w:lang w:val="en-GB"/>
        </w:rPr>
        <w:t>P</w:t>
      </w:r>
      <w:r w:rsidRPr="0960C778" w:rsidR="10575C9D">
        <w:rPr>
          <w:rFonts w:ascii="Aptos" w:hAnsi="Aptos" w:eastAsia="Aptos" w:cs="Aptos" w:asciiTheme="minorAscii" w:hAnsiTheme="minorAscii" w:eastAsiaTheme="minorAscii" w:cstheme="minorAscii"/>
          <w:noProof w:val="0"/>
          <w:lang w:val="en-GB"/>
        </w:rPr>
        <w:t>athways</w:t>
      </w:r>
      <w:r w:rsidRPr="0960C778" w:rsidR="10575C9D">
        <w:rPr>
          <w:rFonts w:ascii="Aptos" w:hAnsi="Aptos" w:eastAsia="Aptos" w:cs="Aptos" w:asciiTheme="minorAscii" w:hAnsiTheme="minorAscii" w:eastAsiaTheme="minorAscii" w:cstheme="minorAscii"/>
          <w:noProof w:val="0"/>
          <w:lang w:val="en-GB"/>
        </w:rPr>
        <w:t xml:space="preserve"> and the </w:t>
      </w:r>
      <w:r w:rsidRPr="0960C778" w:rsidR="43A913A2">
        <w:rPr>
          <w:rFonts w:ascii="Aptos" w:hAnsi="Aptos" w:eastAsia="Aptos" w:cs="Aptos" w:asciiTheme="minorAscii" w:hAnsiTheme="minorAscii" w:eastAsiaTheme="minorAscii" w:cstheme="minorAscii"/>
          <w:noProof w:val="0"/>
          <w:lang w:val="en-GB"/>
        </w:rPr>
        <w:t>I</w:t>
      </w:r>
      <w:r w:rsidRPr="0960C778" w:rsidR="10575C9D">
        <w:rPr>
          <w:rFonts w:ascii="Aptos" w:hAnsi="Aptos" w:eastAsia="Aptos" w:cs="Aptos" w:asciiTheme="minorAscii" w:hAnsiTheme="minorAscii" w:eastAsiaTheme="minorAscii" w:cstheme="minorAscii"/>
          <w:noProof w:val="0"/>
          <w:lang w:val="en-GB"/>
        </w:rPr>
        <w:t xml:space="preserve">nfluence of </w:t>
      </w:r>
      <w:r w:rsidRPr="0960C778" w:rsidR="05801ACC">
        <w:rPr>
          <w:rFonts w:ascii="Aptos" w:hAnsi="Aptos" w:eastAsia="Aptos" w:cs="Aptos" w:asciiTheme="minorAscii" w:hAnsiTheme="minorAscii" w:eastAsiaTheme="minorAscii" w:cstheme="minorAscii"/>
          <w:noProof w:val="0"/>
          <w:lang w:val="en-GB"/>
        </w:rPr>
        <w:t>E</w:t>
      </w:r>
      <w:r w:rsidRPr="0960C778" w:rsidR="10575C9D">
        <w:rPr>
          <w:rFonts w:ascii="Aptos" w:hAnsi="Aptos" w:eastAsia="Aptos" w:cs="Aptos" w:asciiTheme="minorAscii" w:hAnsiTheme="minorAscii" w:eastAsiaTheme="minorAscii" w:cstheme="minorAscii"/>
          <w:noProof w:val="0"/>
          <w:lang w:val="en-GB"/>
        </w:rPr>
        <w:t xml:space="preserve">lite </w:t>
      </w:r>
      <w:r w:rsidRPr="0960C778" w:rsidR="6D5547E0">
        <w:rPr>
          <w:rFonts w:ascii="Aptos" w:hAnsi="Aptos" w:eastAsia="Aptos" w:cs="Aptos" w:asciiTheme="minorAscii" w:hAnsiTheme="minorAscii" w:eastAsiaTheme="minorAscii" w:cstheme="minorAscii"/>
          <w:noProof w:val="0"/>
          <w:lang w:val="en-GB"/>
        </w:rPr>
        <w:t>M</w:t>
      </w:r>
      <w:r w:rsidRPr="0960C778" w:rsidR="10575C9D">
        <w:rPr>
          <w:rFonts w:ascii="Aptos" w:hAnsi="Aptos" w:eastAsia="Aptos" w:cs="Aptos" w:asciiTheme="minorAscii" w:hAnsiTheme="minorAscii" w:eastAsiaTheme="minorAscii" w:cstheme="minorAscii"/>
          <w:noProof w:val="0"/>
          <w:lang w:val="en-GB"/>
        </w:rPr>
        <w:t>odels</w:t>
      </w:r>
      <w:bookmarkEnd w:id="376962868"/>
    </w:p>
    <w:p xmlns:wp14="http://schemas.microsoft.com/office/word/2010/wordml" w:rsidP="0960C778" wp14:paraId="03F9229D" wp14:textId="385A2B06">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Adolescents who participate in football experience growing levels of performance evaluation and social comparison, which can lead to a shift in motivational climates that may not be advantageous for all participants to retain, especially for later developers and those who are primarily interested in participation (Moulds &amp; Cobley, 2024; Castillo-Jimenez et al., 2022).</w:t>
      </w:r>
    </w:p>
    <w:p xmlns:wp14="http://schemas.microsoft.com/office/word/2010/wordml" w:rsidP="0960C778" wp14:paraId="0CA544DF" wp14:textId="529A832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60CDA2F4" wp14:textId="4B110B7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Recent reviews of research on early speciali</w:t>
      </w:r>
      <w:r w:rsidRPr="0960C778" w:rsidR="0029FE3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ation have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identified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possible negative impacts on both physical and mental health of youth athletes, including higher injury rates and symptoms related to burnout and organi</w:t>
      </w:r>
      <w:r w:rsidRPr="0960C778" w:rsidR="1F55BD3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ational recommendations to guide youth athlete development and participation (Buckley et al., 2021;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Diotaiuti</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2025).</w:t>
      </w:r>
    </w:p>
    <w:p xmlns:wp14="http://schemas.microsoft.com/office/word/2010/wordml" w:rsidP="0960C778" wp14:paraId="50EC7875" wp14:textId="4E649BC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One recent study has found a direct link between early speciali</w:t>
      </w:r>
      <w:r w:rsidRPr="0960C778" w:rsidR="77A23EA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ation and symptoms of burnout in adolescent athletes, and this finding supports an interpretation that dropout may occur due to emotional exhaustion and lower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perceptions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of accomplishment rather than simply losing interest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Diotaiuti</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2025; Moulds &amp; Cobley, 2024).</w:t>
      </w:r>
    </w:p>
    <w:p xmlns:wp14="http://schemas.microsoft.com/office/word/2010/wordml" w:rsidP="0960C778" wp14:paraId="7B9BE2C1" wp14:textId="3D2FDCD8">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61769FE" wp14:textId="2FA1F50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 findings of these studies have implications for digital design as features that allow users to monitor their own performance and compare themselves to others, such as ranking systems, can increase the pressure on youth to perform and decrease their autonomy, especially if progress is defined solely through rankings and public metrics (ICO, 2021; Ryan &amp; Deci, 2017).</w:t>
      </w:r>
    </w:p>
    <w:p xmlns:wp14="http://schemas.microsoft.com/office/word/2010/wordml" w:rsidP="0960C778" wp14:paraId="52B5054F" wp14:textId="3D8250CF">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74EC2910" wp14:textId="469DF63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When used formatively, notational analysis and feedback technologies can facilitate the acquisition of skills, however, ethical and safety principles suggest that youth facing data should be proportional, private by default and used to promote mastery rather than to support selection or exclusion (ICO, 2021; NHS England, 2021).</w:t>
      </w:r>
    </w:p>
    <w:p xmlns:wp14="http://schemas.microsoft.com/office/word/2010/wordml" w:rsidP="0960C778" wp14:paraId="266D020C" wp14:textId="73909F9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06B33A00" wp14:textId="261DDAA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Participation policy in Wales emphasi</w:t>
      </w:r>
      <w:r w:rsidRPr="0960C778" w:rsidR="05F0B81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es that youth retention should be focused on enhancing the lives of youth through football and not solely focused on developing youth into elite performers (FAW, 2021; Sport Wales, 2022).</w:t>
      </w:r>
    </w:p>
    <w:p xmlns:wp14="http://schemas.microsoft.com/office/word/2010/wordml" w:rsidP="0960C778" wp14:paraId="6291FA4E" wp14:textId="03905FA8">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60A690D5" wp14:textId="36B2432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As such, an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evidence based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retention intervention should include developmentally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appropriate goal</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setting,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effort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feedback</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inclusive progression, while excluding any features that increase fear of failure or social exposure (Ryan &amp; Deci, 2017; Castillo-Jimenez et al., 2022).</w:t>
      </w:r>
    </w:p>
    <w:p xmlns:wp14="http://schemas.microsoft.com/office/word/2010/wordml" w:rsidP="0960C778" wp14:paraId="20F98D0F" wp14:textId="2D2A88DD">
      <w:pPr>
        <w:pStyle w:val="Heading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1349416738" w:id="1797917274"/>
      <w:r w:rsidRPr="0960C778" w:rsidR="29D7DE7B">
        <w:rPr>
          <w:rFonts w:ascii="Aptos" w:hAnsi="Aptos" w:eastAsia="Aptos" w:cs="Aptos" w:asciiTheme="minorAscii" w:hAnsiTheme="minorAscii" w:eastAsiaTheme="minorAscii" w:cstheme="minorAscii"/>
          <w:noProof w:val="0"/>
          <w:lang w:val="en-GB"/>
        </w:rPr>
        <w:t>9</w:t>
      </w:r>
      <w:r w:rsidRPr="0960C778" w:rsidR="615D2316">
        <w:rPr>
          <w:rFonts w:ascii="Aptos" w:hAnsi="Aptos" w:eastAsia="Aptos" w:cs="Aptos" w:asciiTheme="minorAscii" w:hAnsiTheme="minorAscii" w:eastAsiaTheme="minorAscii" w:cstheme="minorAscii"/>
          <w:noProof w:val="0"/>
          <w:lang w:val="en-GB"/>
        </w:rPr>
        <w:t xml:space="preserve">. Digital </w:t>
      </w:r>
      <w:r w:rsidRPr="0960C778" w:rsidR="089AFEAA">
        <w:rPr>
          <w:rFonts w:ascii="Aptos" w:hAnsi="Aptos" w:eastAsia="Aptos" w:cs="Aptos" w:asciiTheme="minorAscii" w:hAnsiTheme="minorAscii" w:eastAsiaTheme="minorAscii" w:cstheme="minorAscii"/>
          <w:noProof w:val="0"/>
          <w:lang w:val="en-GB"/>
        </w:rPr>
        <w:t>E</w:t>
      </w:r>
      <w:r w:rsidRPr="0960C778" w:rsidR="615D2316">
        <w:rPr>
          <w:rFonts w:ascii="Aptos" w:hAnsi="Aptos" w:eastAsia="Aptos" w:cs="Aptos" w:asciiTheme="minorAscii" w:hAnsiTheme="minorAscii" w:eastAsiaTheme="minorAscii" w:cstheme="minorAscii"/>
          <w:noProof w:val="0"/>
          <w:lang w:val="en-GB"/>
        </w:rPr>
        <w:t xml:space="preserve">ngagement and </w:t>
      </w:r>
      <w:r w:rsidRPr="0960C778" w:rsidR="4A93ED92">
        <w:rPr>
          <w:rFonts w:ascii="Aptos" w:hAnsi="Aptos" w:eastAsia="Aptos" w:cs="Aptos" w:asciiTheme="minorAscii" w:hAnsiTheme="minorAscii" w:eastAsiaTheme="minorAscii" w:cstheme="minorAscii"/>
          <w:noProof w:val="0"/>
          <w:lang w:val="en-GB"/>
        </w:rPr>
        <w:t>M</w:t>
      </w:r>
      <w:r w:rsidRPr="0960C778" w:rsidR="615D2316">
        <w:rPr>
          <w:rFonts w:ascii="Aptos" w:hAnsi="Aptos" w:eastAsia="Aptos" w:cs="Aptos" w:asciiTheme="minorAscii" w:hAnsiTheme="minorAscii" w:eastAsiaTheme="minorAscii" w:cstheme="minorAscii"/>
          <w:noProof w:val="0"/>
          <w:lang w:val="en-GB"/>
        </w:rPr>
        <w:t xml:space="preserve">obile </w:t>
      </w:r>
      <w:r w:rsidRPr="0960C778" w:rsidR="308F311B">
        <w:rPr>
          <w:rFonts w:ascii="Aptos" w:hAnsi="Aptos" w:eastAsia="Aptos" w:cs="Aptos" w:asciiTheme="minorAscii" w:hAnsiTheme="minorAscii" w:eastAsiaTheme="minorAscii" w:cstheme="minorAscii"/>
          <w:noProof w:val="0"/>
          <w:lang w:val="en-GB"/>
        </w:rPr>
        <w:t>T</w:t>
      </w:r>
      <w:r w:rsidRPr="0960C778" w:rsidR="615D2316">
        <w:rPr>
          <w:rFonts w:ascii="Aptos" w:hAnsi="Aptos" w:eastAsia="Aptos" w:cs="Aptos" w:asciiTheme="minorAscii" w:hAnsiTheme="minorAscii" w:eastAsiaTheme="minorAscii" w:cstheme="minorAscii"/>
          <w:noProof w:val="0"/>
          <w:lang w:val="en-GB"/>
        </w:rPr>
        <w:t xml:space="preserve">echnology in </w:t>
      </w:r>
      <w:r w:rsidRPr="0960C778" w:rsidR="06C427CE">
        <w:rPr>
          <w:rFonts w:ascii="Aptos" w:hAnsi="Aptos" w:eastAsia="Aptos" w:cs="Aptos" w:asciiTheme="minorAscii" w:hAnsiTheme="minorAscii" w:eastAsiaTheme="minorAscii" w:cstheme="minorAscii"/>
          <w:noProof w:val="0"/>
          <w:lang w:val="en-GB"/>
        </w:rPr>
        <w:t>Y</w:t>
      </w:r>
      <w:r w:rsidRPr="0960C778" w:rsidR="615D2316">
        <w:rPr>
          <w:rFonts w:ascii="Aptos" w:hAnsi="Aptos" w:eastAsia="Aptos" w:cs="Aptos" w:asciiTheme="minorAscii" w:hAnsiTheme="minorAscii" w:eastAsiaTheme="minorAscii" w:cstheme="minorAscii"/>
          <w:noProof w:val="0"/>
          <w:lang w:val="en-GB"/>
        </w:rPr>
        <w:t xml:space="preserve">outh </w:t>
      </w:r>
      <w:r w:rsidRPr="0960C778" w:rsidR="45EE28D8">
        <w:rPr>
          <w:rFonts w:ascii="Aptos" w:hAnsi="Aptos" w:eastAsia="Aptos" w:cs="Aptos" w:asciiTheme="minorAscii" w:hAnsiTheme="minorAscii" w:eastAsiaTheme="minorAscii" w:cstheme="minorAscii"/>
          <w:noProof w:val="0"/>
          <w:lang w:val="en-GB"/>
        </w:rPr>
        <w:t>S</w:t>
      </w:r>
      <w:r w:rsidRPr="0960C778" w:rsidR="615D2316">
        <w:rPr>
          <w:rFonts w:ascii="Aptos" w:hAnsi="Aptos" w:eastAsia="Aptos" w:cs="Aptos" w:asciiTheme="minorAscii" w:hAnsiTheme="minorAscii" w:eastAsiaTheme="minorAscii" w:cstheme="minorAscii"/>
          <w:noProof w:val="0"/>
          <w:lang w:val="en-GB"/>
        </w:rPr>
        <w:t>port</w:t>
      </w:r>
      <w:bookmarkEnd w:id="1797917274"/>
    </w:p>
    <w:p xmlns:wp14="http://schemas.microsoft.com/office/word/2010/wordml" w:rsidP="0960C778" wp14:paraId="1D573344" wp14:textId="60831DD6">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There is considerable evidence for the effectiveness of using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smartphone based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interventions to increase physical activity in children and adolescents, and there is substantial evidence to suggest that apps are more effective than other smartphone technologies for promoting increased physical activity (He et al., 2021; Lee et al., 2024).</w:t>
      </w:r>
    </w:p>
    <w:p xmlns:wp14="http://schemas.microsoft.com/office/word/2010/wordml" w:rsidP="0960C778" wp14:paraId="639AC2C0" wp14:textId="27F46A28">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60DDADC6" wp14:textId="4764DFA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However, there is also considerable variability in terms of how successful different smartphone based interventions are at promoting physical activity in young people, and a number of studies have reported that there is significant variable study quality among meta-analysis of </w:t>
      </w:r>
      <w:r w:rsidRPr="0960C778" w:rsidR="05D16E3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ealth app interventions in young people (Wang et al., 2024; He et al., 2021)</w:t>
      </w:r>
      <w:r w:rsidRPr="0960C778" w:rsidR="330FF2B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p>
    <w:p xmlns:wp14="http://schemas.microsoft.com/office/word/2010/wordml" w:rsidP="0960C778" wp14:paraId="15294A8E" wp14:textId="70912FBB">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 major problem for digital interventions is that there is a high rate of decline in user engagement over time, and thus the success of a digital intervention is heavily dependent upon maintaining meaningful levels of engagement rather than simply achieving large numbers of downloads or initial </w:t>
      </w:r>
      <w:r w:rsidRPr="0960C778" w:rsidR="3CFB365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signups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(Perski et al., 2017;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Mazeas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2022).</w:t>
      </w:r>
    </w:p>
    <w:p xmlns:wp14="http://schemas.microsoft.com/office/word/2010/wordml" w:rsidP="0960C778" wp14:paraId="01BCE469" wp14:textId="29F3F69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55F8F1E5" wp14:textId="3DA60046">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Engagement frameworks suggest that the most appropriate way to evaluate </w:t>
      </w:r>
      <w:r w:rsidRPr="0960C778" w:rsidR="361A6C7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behavioural</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measures of engagement is in conjunction with subjective experience and contextual factors, and thus digital youth sport interventions should provide youth with personally relevant value that addresses their needs for competence and belonging (Perski et al., 2017; Ryan &amp; Deci, 2017).</w:t>
      </w:r>
    </w:p>
    <w:p xmlns:wp14="http://schemas.microsoft.com/office/word/2010/wordml" w:rsidP="0960C778" wp14:paraId="2B2E9947" wp14:textId="3F65169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4100BFE2" wp14:textId="7B5DB69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Gamification can be a useful mechanism for promoting engagement, and meta-analytic evidence provides strong support for the notion that gamified interventions are effective at promoting increases in physical activity, including emerging youth focused syntheses, although there is also a warning about the novelty effect and measurement bias associated with gamification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Mazeas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et al., 2022; Zhang et al., 2025).</w:t>
      </w:r>
    </w:p>
    <w:p xmlns:wp14="http://schemas.microsoft.com/office/word/2010/wordml" w:rsidP="0960C778" wp14:paraId="2FCDF1FD" wp14:textId="418D691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9A9977F" wp14:textId="1F55D4C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It is important to note that certain game elements, for example, leaderboards, streaks and public badges, can be controlling and socially risky for adolescents, therefore it is essential that when gamification is employed it is done in a manner that promotes mastery and autonomy rather than social comparison (ICO, 2021; Ryan &amp; Deci, 2017).</w:t>
      </w:r>
    </w:p>
    <w:p xmlns:wp14="http://schemas.microsoft.com/office/word/2010/wordml" w:rsidP="0960C778" wp14:paraId="58E1016C" wp14:textId="00E4D0A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02F1A1AC" wp14:textId="7D67568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Children's digital lives in the UK are characteri</w:t>
      </w:r>
      <w:r w:rsidRPr="0960C778" w:rsidR="2FC342D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ed by widespread use of smartphones and platforms, but also by the presence of online harms, and therefore digital sport tools must incorporate safety,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moderation</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privacy protections from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inception</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(Ofcom, 2024; ICO, 2021).</w:t>
      </w:r>
    </w:p>
    <w:p xmlns:wp14="http://schemas.microsoft.com/office/word/2010/wordml" w:rsidP="0960C778" wp14:paraId="1B30436C" wp14:textId="18BC16A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436C8082" wp14:textId="00DF20B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Additionally, digital interventions must be evaluated for their inclusiveness as assumptions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regarding</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access to devices and connectivity can </w:t>
      </w:r>
      <w:r w:rsidRPr="0960C778" w:rsidR="7A0E693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increase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existing deprivation</w:t>
      </w:r>
      <w:r w:rsidRPr="0960C778" w:rsidR="0BA5F0C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related inequalities in participation, and this is directly relevant given national evidence of socioeconomic gradients in physical activity (Sport England, 2024; Sport Wales, 2022).</w:t>
      </w:r>
    </w:p>
    <w:p xmlns:wp14="http://schemas.microsoft.com/office/word/2010/wordml" w:rsidP="0960C778" wp14:paraId="31C11B2F" wp14:textId="569A8C3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rPr>
      </w:pPr>
    </w:p>
    <w:p xmlns:wp14="http://schemas.microsoft.com/office/word/2010/wordml" w:rsidP="0960C778" wp14:paraId="6B6692D2" wp14:textId="6E6A99A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rPr>
      </w:pPr>
    </w:p>
    <w:p xmlns:wp14="http://schemas.microsoft.com/office/word/2010/wordml" w:rsidP="0960C778" wp14:paraId="66D23BB2" wp14:textId="446D50AF">
      <w:pPr>
        <w:pStyle w:val="Heading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1051678476" w:id="855657677"/>
      <w:r w:rsidRPr="0960C778" w:rsidR="580CAF78">
        <w:rPr>
          <w:rFonts w:ascii="Aptos" w:hAnsi="Aptos" w:eastAsia="Aptos" w:cs="Aptos" w:asciiTheme="minorAscii" w:hAnsiTheme="minorAscii" w:eastAsiaTheme="minorAscii" w:cstheme="minorAscii"/>
          <w:noProof w:val="0"/>
          <w:lang w:val="en-GB"/>
        </w:rPr>
        <w:t>10.</w:t>
      </w:r>
      <w:r w:rsidRPr="0960C778" w:rsidR="615D2316">
        <w:rPr>
          <w:rFonts w:ascii="Aptos" w:hAnsi="Aptos" w:eastAsia="Aptos" w:cs="Aptos" w:asciiTheme="minorAscii" w:hAnsiTheme="minorAscii" w:eastAsiaTheme="minorAscii" w:cstheme="minorAscii"/>
          <w:noProof w:val="0"/>
          <w:lang w:val="en-GB"/>
        </w:rPr>
        <w:t xml:space="preserve"> </w:t>
      </w:r>
      <w:r w:rsidRPr="0960C778" w:rsidR="4244A1BE">
        <w:rPr>
          <w:rFonts w:ascii="Aptos" w:hAnsi="Aptos" w:eastAsia="Aptos" w:cs="Aptos" w:asciiTheme="minorAscii" w:hAnsiTheme="minorAscii" w:eastAsiaTheme="minorAscii" w:cstheme="minorAscii"/>
          <w:noProof w:val="0"/>
          <w:lang w:val="en-GB"/>
        </w:rPr>
        <w:t xml:space="preserve">Planning, </w:t>
      </w:r>
      <w:r w:rsidRPr="0960C778" w:rsidR="3AA4EBE1">
        <w:rPr>
          <w:rFonts w:ascii="Aptos" w:hAnsi="Aptos" w:eastAsia="Aptos" w:cs="Aptos" w:asciiTheme="minorAscii" w:hAnsiTheme="minorAscii" w:eastAsiaTheme="minorAscii" w:cstheme="minorAscii"/>
          <w:noProof w:val="0"/>
          <w:lang w:val="en-GB"/>
        </w:rPr>
        <w:t>I</w:t>
      </w:r>
      <w:r w:rsidRPr="0960C778" w:rsidR="4244A1BE">
        <w:rPr>
          <w:rFonts w:ascii="Aptos" w:hAnsi="Aptos" w:eastAsia="Aptos" w:cs="Aptos" w:asciiTheme="minorAscii" w:hAnsiTheme="minorAscii" w:eastAsiaTheme="minorAscii" w:cstheme="minorAscii"/>
          <w:noProof w:val="0"/>
          <w:lang w:val="en-GB"/>
        </w:rPr>
        <w:t>mplementation</w:t>
      </w:r>
      <w:r w:rsidRPr="0960C778" w:rsidR="4244A1BE">
        <w:rPr>
          <w:rFonts w:ascii="Aptos" w:hAnsi="Aptos" w:eastAsia="Aptos" w:cs="Aptos" w:asciiTheme="minorAscii" w:hAnsiTheme="minorAscii" w:eastAsiaTheme="minorAscii" w:cstheme="minorAscii"/>
          <w:noProof w:val="0"/>
          <w:lang w:val="en-GB"/>
        </w:rPr>
        <w:t xml:space="preserve"> and </w:t>
      </w:r>
      <w:r w:rsidRPr="0960C778" w:rsidR="60217F06">
        <w:rPr>
          <w:rFonts w:ascii="Aptos" w:hAnsi="Aptos" w:eastAsia="Aptos" w:cs="Aptos" w:asciiTheme="minorAscii" w:hAnsiTheme="minorAscii" w:eastAsiaTheme="minorAscii" w:cstheme="minorAscii"/>
          <w:noProof w:val="0"/>
          <w:lang w:val="en-GB"/>
        </w:rPr>
        <w:t>O</w:t>
      </w:r>
      <w:r w:rsidRPr="0960C778" w:rsidR="4244A1BE">
        <w:rPr>
          <w:rFonts w:ascii="Aptos" w:hAnsi="Aptos" w:eastAsia="Aptos" w:cs="Aptos" w:asciiTheme="minorAscii" w:hAnsiTheme="minorAscii" w:eastAsiaTheme="minorAscii" w:cstheme="minorAscii"/>
          <w:noProof w:val="0"/>
          <w:lang w:val="en-GB"/>
        </w:rPr>
        <w:t xml:space="preserve">perational </w:t>
      </w:r>
      <w:r w:rsidRPr="0960C778" w:rsidR="2B6BDBF5">
        <w:rPr>
          <w:rFonts w:ascii="Aptos" w:hAnsi="Aptos" w:eastAsia="Aptos" w:cs="Aptos" w:asciiTheme="minorAscii" w:hAnsiTheme="minorAscii" w:eastAsiaTheme="minorAscii" w:cstheme="minorAscii"/>
          <w:noProof w:val="0"/>
          <w:lang w:val="en-GB"/>
        </w:rPr>
        <w:t>D</w:t>
      </w:r>
      <w:r w:rsidRPr="0960C778" w:rsidR="4244A1BE">
        <w:rPr>
          <w:rFonts w:ascii="Aptos" w:hAnsi="Aptos" w:eastAsia="Aptos" w:cs="Aptos" w:asciiTheme="minorAscii" w:hAnsiTheme="minorAscii" w:eastAsiaTheme="minorAscii" w:cstheme="minorAscii"/>
          <w:noProof w:val="0"/>
          <w:lang w:val="en-GB"/>
        </w:rPr>
        <w:t xml:space="preserve">elivery in </w:t>
      </w:r>
      <w:r w:rsidRPr="0960C778" w:rsidR="1219C276">
        <w:rPr>
          <w:rFonts w:ascii="Aptos" w:hAnsi="Aptos" w:eastAsia="Aptos" w:cs="Aptos" w:asciiTheme="minorAscii" w:hAnsiTheme="minorAscii" w:eastAsiaTheme="minorAscii" w:cstheme="minorAscii"/>
          <w:noProof w:val="0"/>
          <w:lang w:val="en-GB"/>
        </w:rPr>
        <w:t>C</w:t>
      </w:r>
      <w:r w:rsidRPr="0960C778" w:rsidR="4244A1BE">
        <w:rPr>
          <w:rFonts w:ascii="Aptos" w:hAnsi="Aptos" w:eastAsia="Aptos" w:cs="Aptos" w:asciiTheme="minorAscii" w:hAnsiTheme="minorAscii" w:eastAsiaTheme="minorAscii" w:cstheme="minorAscii"/>
          <w:noProof w:val="0"/>
          <w:lang w:val="en-GB"/>
        </w:rPr>
        <w:t xml:space="preserve">ommunity </w:t>
      </w:r>
      <w:r w:rsidRPr="0960C778" w:rsidR="01AF1E06">
        <w:rPr>
          <w:rFonts w:ascii="Aptos" w:hAnsi="Aptos" w:eastAsia="Aptos" w:cs="Aptos" w:asciiTheme="minorAscii" w:hAnsiTheme="minorAscii" w:eastAsiaTheme="minorAscii" w:cstheme="minorAscii"/>
          <w:noProof w:val="0"/>
          <w:lang w:val="en-GB"/>
        </w:rPr>
        <w:t>C</w:t>
      </w:r>
      <w:r w:rsidRPr="0960C778" w:rsidR="4244A1BE">
        <w:rPr>
          <w:rFonts w:ascii="Aptos" w:hAnsi="Aptos" w:eastAsia="Aptos" w:cs="Aptos" w:asciiTheme="minorAscii" w:hAnsiTheme="minorAscii" w:eastAsiaTheme="minorAscii" w:cstheme="minorAscii"/>
          <w:noProof w:val="0"/>
          <w:lang w:val="en-GB"/>
        </w:rPr>
        <w:t>lubs</w:t>
      </w:r>
      <w:bookmarkEnd w:id="855657677"/>
    </w:p>
    <w:p xmlns:wp14="http://schemas.microsoft.com/office/word/2010/wordml" w:rsidP="0960C778" wp14:paraId="675CA245" wp14:textId="467F44F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Evidence of implementation shows that the success of an intervention can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depend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upon how it is adopted and sustained by participants and the degree to which it is contextuali</w:t>
      </w:r>
      <w:r w:rsidRPr="0960C778" w:rsidR="4DB57F2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ed within the environment in which it is being delivered. This is especially true in volunteer-led clubs that have limited resources and where there is variability in the quality of delivery (Skivington et al., 2021; UK Coaching, 2024).</w:t>
      </w:r>
    </w:p>
    <w:p xmlns:wp14="http://schemas.microsoft.com/office/word/2010/wordml" w:rsidP="0960C778" wp14:paraId="66181011" wp14:textId="14DB498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652C33B" wp14:textId="5467A34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 revised </w:t>
      </w:r>
      <w:r w:rsidRPr="0960C778" w:rsidR="343C7F8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Medical Research Council</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guidelines emphasi</w:t>
      </w:r>
      <w:r w:rsidRPr="0960C778" w:rsidR="023BA6A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 iterative development of interventions, a theoretical basis for the proposed mechanisms of action and consideration of both the context and systems in which an intervention will be delivered. These changes support a process that will assess the usability and acceptability of the intervention through testing with coaches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players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parents (Skivington et al., 2021).</w:t>
      </w:r>
    </w:p>
    <w:p xmlns:wp14="http://schemas.microsoft.com/office/word/2010/wordml" w:rsidP="0960C778" wp14:paraId="358E2B82" wp14:textId="3DADDCB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0C92F6A" wp14:textId="4F988E4B">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FF8E201">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hile co-design processes are likely to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identify</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opportunities for better collaboration between users and developers, they may also disproportionately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represent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the needs of better resourced clubs.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w:t>
      </w:r>
      <w:r w:rsidRPr="0960C778" w:rsidR="37B7421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erefore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the implementation plan needs to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contain</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measures to encourage participation from under-resourced clubs and disadvantaged groups, so that inequality is not widened (Sport Wales, 2022; Sport England, 2024).</w:t>
      </w:r>
    </w:p>
    <w:p xmlns:wp14="http://schemas.microsoft.com/office/word/2010/wordml" w:rsidP="0960C778" wp14:paraId="1852D761" wp14:textId="1D40B63F">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7D338751" wp14:textId="6B1BDC5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9F1221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 Digital Technology Assessment Criteria</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is a minimum standard for digital tool usability, technical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security</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data protection across the UK. </w:t>
      </w:r>
      <w:r w:rsidRPr="0960C778" w:rsidR="470DC31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Therefore,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it would be possible to use this as a minimum standard for youth sports technologies outside of healthcare (ICO, 2021; NHS England, 2021).</w:t>
      </w:r>
    </w:p>
    <w:p xmlns:wp14="http://schemas.microsoft.com/office/word/2010/wordml" w:rsidP="0960C778" wp14:paraId="4ED14006" wp14:textId="2E464CE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A738C3F" wp14:textId="0F647E1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Research into volunteer </w:t>
      </w:r>
      <w:r w:rsidRPr="0960C778" w:rsidR="34F5C2E7">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drop off</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shows that the organi</w:t>
      </w:r>
      <w:r w:rsidRPr="0960C778" w:rsidR="36BC69B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ational support for volunteers and their understanding of the job role they are undertaking, both have a significant impact on whether they decide to continue as volunteers. This implies that youth sports digital tools need to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assist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coaches and welfare leads with their roles by reducing the amount of time spent completing administrative tasks, providing clear role-specific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permissions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providing immediate benefit (UK Coaching, 2024; Sport Wales, 2022).</w:t>
      </w:r>
    </w:p>
    <w:p xmlns:wp14="http://schemas.microsoft.com/office/word/2010/wordml" w:rsidP="0960C778" wp14:paraId="71557008" wp14:textId="60BFD93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63E30F1B" wp14:textId="049D0DDE">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301AA1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he operational delivery of digital technologies in clubs will require clear communication protocols, agreed</w:t>
      </w:r>
      <w:r w:rsidRPr="0960C778" w:rsidR="7899004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upon routes for escalating any concerns about safeguarding issues, and at least a basic level of digital literacy among club officials. Hence, the intervention is not limited to the app interface but includes training and procedures (ICO, 2021; FAW, 2021).</w:t>
      </w:r>
    </w:p>
    <w:p xmlns:wp14="http://schemas.microsoft.com/office/word/2010/wordml" w:rsidP="0960C778" wp14:paraId="5ACC592D" wp14:textId="1E2DC0D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rPr>
      </w:pPr>
    </w:p>
    <w:p xmlns:wp14="http://schemas.microsoft.com/office/word/2010/wordml" w:rsidP="0960C778" wp14:paraId="7DA29488" wp14:textId="4EB0E0E5">
      <w:pPr>
        <w:pStyle w:val="Heading1"/>
        <w:rPr>
          <w:rFonts w:ascii="Aptos" w:hAnsi="Aptos" w:eastAsia="Aptos" w:cs="Aptos" w:asciiTheme="minorAscii" w:hAnsiTheme="minorAscii" w:eastAsiaTheme="minorAscii" w:cstheme="minorAscii"/>
        </w:rPr>
      </w:pPr>
      <w:bookmarkStart w:name="_Toc830218106" w:id="1996622315"/>
      <w:r w:rsidRPr="0960C778" w:rsidR="3767926F">
        <w:rPr>
          <w:rFonts w:ascii="Aptos" w:hAnsi="Aptos" w:eastAsia="Aptos" w:cs="Aptos" w:asciiTheme="minorAscii" w:hAnsiTheme="minorAscii" w:eastAsiaTheme="minorAscii" w:cstheme="minorAscii"/>
        </w:rPr>
        <w:t>11</w:t>
      </w:r>
      <w:r w:rsidRPr="0960C778" w:rsidR="20CA59B8">
        <w:rPr>
          <w:rFonts w:ascii="Aptos" w:hAnsi="Aptos" w:eastAsia="Aptos" w:cs="Aptos" w:asciiTheme="minorAscii" w:hAnsiTheme="minorAscii" w:eastAsiaTheme="minorAscii" w:cstheme="minorAscii"/>
        </w:rPr>
        <w:t xml:space="preserve">. </w:t>
      </w:r>
      <w:r w:rsidRPr="0960C778" w:rsidR="26BE8F1B">
        <w:rPr>
          <w:rFonts w:ascii="Aptos" w:hAnsi="Aptos" w:eastAsia="Aptos" w:cs="Aptos" w:asciiTheme="minorAscii" w:hAnsiTheme="minorAscii" w:eastAsiaTheme="minorAscii" w:cstheme="minorAscii"/>
        </w:rPr>
        <w:t xml:space="preserve">Ethics, </w:t>
      </w:r>
      <w:r w:rsidRPr="0960C778" w:rsidR="4B932CBA">
        <w:rPr>
          <w:rFonts w:ascii="Aptos" w:hAnsi="Aptos" w:eastAsia="Aptos" w:cs="Aptos" w:asciiTheme="minorAscii" w:hAnsiTheme="minorAscii" w:eastAsiaTheme="minorAscii" w:cstheme="minorAscii"/>
        </w:rPr>
        <w:t>S</w:t>
      </w:r>
      <w:r w:rsidRPr="0960C778" w:rsidR="26BE8F1B">
        <w:rPr>
          <w:rFonts w:ascii="Aptos" w:hAnsi="Aptos" w:eastAsia="Aptos" w:cs="Aptos" w:asciiTheme="minorAscii" w:hAnsiTheme="minorAscii" w:eastAsiaTheme="minorAscii" w:cstheme="minorAscii"/>
        </w:rPr>
        <w:t xml:space="preserve">afeguarding, </w:t>
      </w:r>
      <w:r w:rsidRPr="0960C778" w:rsidR="28002240">
        <w:rPr>
          <w:rFonts w:ascii="Aptos" w:hAnsi="Aptos" w:eastAsia="Aptos" w:cs="Aptos" w:asciiTheme="minorAscii" w:hAnsiTheme="minorAscii" w:eastAsiaTheme="minorAscii" w:cstheme="minorAscii"/>
        </w:rPr>
        <w:t>D</w:t>
      </w:r>
      <w:r w:rsidRPr="0960C778" w:rsidR="26BE8F1B">
        <w:rPr>
          <w:rFonts w:ascii="Aptos" w:hAnsi="Aptos" w:eastAsia="Aptos" w:cs="Aptos" w:asciiTheme="minorAscii" w:hAnsiTheme="minorAscii" w:eastAsiaTheme="minorAscii" w:cstheme="minorAscii"/>
        </w:rPr>
        <w:t xml:space="preserve">ata </w:t>
      </w:r>
      <w:r w:rsidRPr="0960C778" w:rsidR="0872A9D8">
        <w:rPr>
          <w:rFonts w:ascii="Aptos" w:hAnsi="Aptos" w:eastAsia="Aptos" w:cs="Aptos" w:asciiTheme="minorAscii" w:hAnsiTheme="minorAscii" w:eastAsiaTheme="minorAscii" w:cstheme="minorAscii"/>
        </w:rPr>
        <w:t>P</w:t>
      </w:r>
      <w:bookmarkStart w:name="_Int_mXCzEjD5" w:id="73510656"/>
      <w:r w:rsidRPr="0960C778" w:rsidR="26BE8F1B">
        <w:rPr>
          <w:rFonts w:ascii="Aptos" w:hAnsi="Aptos" w:eastAsia="Aptos" w:cs="Aptos" w:asciiTheme="minorAscii" w:hAnsiTheme="minorAscii" w:eastAsiaTheme="minorAscii" w:cstheme="minorAscii"/>
        </w:rPr>
        <w:t>rotection</w:t>
      </w:r>
      <w:bookmarkEnd w:id="73510656"/>
      <w:r w:rsidRPr="0960C778" w:rsidR="26BE8F1B">
        <w:rPr>
          <w:rFonts w:ascii="Aptos" w:hAnsi="Aptos" w:eastAsia="Aptos" w:cs="Aptos" w:asciiTheme="minorAscii" w:hAnsiTheme="minorAscii" w:eastAsiaTheme="minorAscii" w:cstheme="minorAscii"/>
        </w:rPr>
        <w:t xml:space="preserve"> and </w:t>
      </w:r>
      <w:r w:rsidRPr="0960C778" w:rsidR="123688A9">
        <w:rPr>
          <w:rFonts w:ascii="Aptos" w:hAnsi="Aptos" w:eastAsia="Aptos" w:cs="Aptos" w:asciiTheme="minorAscii" w:hAnsiTheme="minorAscii" w:eastAsiaTheme="minorAscii" w:cstheme="minorAscii"/>
        </w:rPr>
        <w:t>W</w:t>
      </w:r>
      <w:r w:rsidRPr="0960C778" w:rsidR="26BE8F1B">
        <w:rPr>
          <w:rFonts w:ascii="Aptos" w:hAnsi="Aptos" w:eastAsia="Aptos" w:cs="Aptos" w:asciiTheme="minorAscii" w:hAnsiTheme="minorAscii" w:eastAsiaTheme="minorAscii" w:cstheme="minorAscii"/>
        </w:rPr>
        <w:t xml:space="preserve">ellbeing in </w:t>
      </w:r>
      <w:r w:rsidRPr="0960C778" w:rsidR="5837F223">
        <w:rPr>
          <w:rFonts w:ascii="Aptos" w:hAnsi="Aptos" w:eastAsia="Aptos" w:cs="Aptos" w:asciiTheme="minorAscii" w:hAnsiTheme="minorAscii" w:eastAsiaTheme="minorAscii" w:cstheme="minorAscii"/>
        </w:rPr>
        <w:t>D</w:t>
      </w:r>
      <w:r w:rsidRPr="0960C778" w:rsidR="26BE8F1B">
        <w:rPr>
          <w:rFonts w:ascii="Aptos" w:hAnsi="Aptos" w:eastAsia="Aptos" w:cs="Aptos" w:asciiTheme="minorAscii" w:hAnsiTheme="minorAscii" w:eastAsiaTheme="minorAscii" w:cstheme="minorAscii"/>
        </w:rPr>
        <w:t xml:space="preserve">igital </w:t>
      </w:r>
      <w:r w:rsidRPr="0960C778" w:rsidR="2B8E3F72">
        <w:rPr>
          <w:rFonts w:ascii="Aptos" w:hAnsi="Aptos" w:eastAsia="Aptos" w:cs="Aptos" w:asciiTheme="minorAscii" w:hAnsiTheme="minorAscii" w:eastAsiaTheme="minorAscii" w:cstheme="minorAscii"/>
        </w:rPr>
        <w:t>S</w:t>
      </w:r>
      <w:r w:rsidRPr="0960C778" w:rsidR="26BE8F1B">
        <w:rPr>
          <w:rFonts w:ascii="Aptos" w:hAnsi="Aptos" w:eastAsia="Aptos" w:cs="Aptos" w:asciiTheme="minorAscii" w:hAnsiTheme="minorAscii" w:eastAsiaTheme="minorAscii" w:cstheme="minorAscii"/>
        </w:rPr>
        <w:t xml:space="preserve">ports </w:t>
      </w:r>
      <w:r w:rsidRPr="0960C778" w:rsidR="3CAE1AAC">
        <w:rPr>
          <w:rFonts w:ascii="Aptos" w:hAnsi="Aptos" w:eastAsia="Aptos" w:cs="Aptos" w:asciiTheme="minorAscii" w:hAnsiTheme="minorAscii" w:eastAsiaTheme="minorAscii" w:cstheme="minorAscii"/>
        </w:rPr>
        <w:t>T</w:t>
      </w:r>
      <w:r w:rsidRPr="0960C778" w:rsidR="26BE8F1B">
        <w:rPr>
          <w:rFonts w:ascii="Aptos" w:hAnsi="Aptos" w:eastAsia="Aptos" w:cs="Aptos" w:asciiTheme="minorAscii" w:hAnsiTheme="minorAscii" w:eastAsiaTheme="minorAscii" w:cstheme="minorAscii"/>
        </w:rPr>
        <w:t>ools</w:t>
      </w:r>
      <w:bookmarkEnd w:id="1996622315"/>
    </w:p>
    <w:p xmlns:wp14="http://schemas.microsoft.com/office/word/2010/wordml" w:rsidP="0960C778" wp14:paraId="149F86F8" wp14:textId="3ADC1A5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In terms of digital youth service design in the UK, in addition to </w:t>
      </w:r>
      <w:r w:rsidRPr="0960C778" w:rsidR="39A3203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w:t>
      </w:r>
      <w:r w:rsidRPr="0960C778" w:rsidR="0D99B348">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r w:rsidRPr="0960C778" w:rsidR="6AFA912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focus</w:t>
      </w:r>
      <w:r w:rsidRPr="0960C778" w:rsidR="39A3203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on the needs of the children,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there are design principles in the </w:t>
      </w:r>
      <w:r w:rsidRPr="0960C778" w:rsidR="059E70D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ge appropriate design code from Ofcom, (2024), UK Parliament, (2023) and ICO (2021) that relate specifically to retaining young people in sports programs through digital technologies</w:t>
      </w:r>
      <w:r w:rsidRPr="0960C778" w:rsidR="1C931E0B">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These principles are, m</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inimi</w:t>
      </w:r>
      <w:r w:rsidRPr="0960C778" w:rsidR="6A54B095">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 how much personal data is processed</w:t>
      </w:r>
      <w:r w:rsidRPr="0960C778" w:rsidR="503A380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et high default levels of privacy</w:t>
      </w:r>
      <w:r w:rsidRPr="0960C778" w:rsidR="5AEE5900">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d</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o not use manipulative design techniques</w:t>
      </w:r>
      <w:r w:rsidRPr="0960C778" w:rsidR="347D62E5">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t>
      </w:r>
    </w:p>
    <w:p xmlns:wp14="http://schemas.microsoft.com/office/word/2010/wordml" w:rsidP="0960C778" wp14:paraId="4DEF54BB" wp14:textId="4DCD091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00F3E77D" wp14:textId="27E396A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All these are relevant when designing retention interventions using digital features that could potentially create safeguarding risks if there are inadequate moderation, access controls, and reporting mechanisms in place (</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Faw</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2021; ICO, 2021).</w:t>
      </w:r>
    </w:p>
    <w:p xmlns:wp14="http://schemas.microsoft.com/office/word/2010/wordml" w:rsidP="0960C778" wp14:paraId="25FA5ED7" wp14:textId="36D8EF8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The guidance related to safeguarding in sport also suggests that adult/child digital communications need to be structured, recorded and subject to the applicable roles' rules and not informal or </w:t>
      </w:r>
      <w:r w:rsidRPr="0960C778" w:rsidR="3A90D39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untraceable</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w:t>
      </w:r>
      <w:bookmarkStart w:name="_Int_AxPleJPw" w:id="1836596573"/>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Faw</w:t>
      </w:r>
      <w:bookmarkEnd w:id="1836596573"/>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2021; ICO, 2021).</w:t>
      </w:r>
    </w:p>
    <w:p xmlns:wp14="http://schemas.microsoft.com/office/word/2010/wordml" w:rsidP="0960C778" wp14:paraId="5A7E4324" wp14:textId="7C59372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19F47C5A" wp14:textId="3203D6E3">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Ethics of data collection also relates to motivational theories of </w:t>
      </w:r>
      <w:r w:rsidRPr="0960C778" w:rsidR="73E6A865">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behaviour</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as intrusive monitoring of children's activities and creating environments in which children compare themselves to others can compromise their autonomy and sense of relatedness, potentially reducing their engagement with the platform and possibly contributing to negative effects on their wellbeing (Ryan and Deci, 2017; ICO, 2021).</w:t>
      </w:r>
    </w:p>
    <w:p xmlns:wp14="http://schemas.microsoft.com/office/word/2010/wordml" w:rsidP="0960C778" wp14:paraId="5F1FBE26" wp14:textId="2F0D1B2D">
      <w:pPr>
        <w:pStyle w:val="Normal"/>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3A67AD5E" wp14:textId="138DE1A1">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Evaluation of digital interventions for effectiveness emphasi</w:t>
      </w:r>
      <w:r w:rsidRPr="0960C778" w:rsidR="7276B129">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es a proportionate level of scrutiny that is commensurate with the level of risk, and the fact that the interventions contain minors and/or allow for communication between minors and adults increases the risk associated with each, and thus, ethical design should include a formal assessment of risk and mitigation strategies as early as possible during the design phase (NHS England, 2021; Skivington et al., 2021).</w:t>
      </w:r>
    </w:p>
    <w:p xmlns:wp14="http://schemas.microsoft.com/office/word/2010/wordml" w:rsidP="0960C778" wp14:paraId="1517190F" wp14:textId="29784A5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5460A92B" wp14:textId="2751CB8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Equity </w:t>
      </w:r>
      <w:r w:rsidRPr="0960C778" w:rsidR="1CE25EE2">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is</w:t>
      </w:r>
      <w:r w:rsidRPr="0960C778" w:rsidR="615D2316">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 ethical issue when using digital technologies in youth sport as digital technologies can limit access to individuals who lack access to the technology or do not feel confident enough to use the technology. However, this is at odds with the Welsh evidence on participation in youth sport that indicates there is unmet demand for participation and existing inequalities that need to be addressed with solutions that are supportive and inclusive of all participants (Sport Wales, 2022; Sport England, 2024).</w:t>
      </w:r>
    </w:p>
    <w:p xmlns:wp14="http://schemas.microsoft.com/office/word/2010/wordml" w:rsidP="0960C778" wp14:paraId="2C2B52C2" wp14:textId="23183D6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077D4EDB" wp14:textId="0114651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bookmarkStart w:name="_Toc872776165" w:id="440448691"/>
      <w:r w:rsidRPr="0960C778" w:rsidR="220F61C1">
        <w:rPr>
          <w:rStyle w:val="Heading1Char"/>
          <w:rFonts w:ascii="Aptos" w:hAnsi="Aptos" w:eastAsia="Aptos" w:cs="Aptos" w:asciiTheme="minorAscii" w:hAnsiTheme="minorAscii" w:eastAsiaTheme="minorAscii" w:cstheme="minorAscii"/>
          <w:noProof w:val="0"/>
          <w:lang w:val="en-GB"/>
        </w:rPr>
        <w:t xml:space="preserve">12. </w:t>
      </w:r>
      <w:r w:rsidRPr="0960C778" w:rsidR="7A6E97F2">
        <w:rPr>
          <w:rStyle w:val="Heading1Char"/>
          <w:rFonts w:ascii="Aptos" w:hAnsi="Aptos" w:eastAsia="Aptos" w:cs="Aptos" w:asciiTheme="minorAscii" w:hAnsiTheme="minorAscii" w:eastAsiaTheme="minorAscii" w:cstheme="minorAscii"/>
          <w:noProof w:val="0"/>
          <w:lang w:val="en-GB"/>
        </w:rPr>
        <w:t>Conclusion</w:t>
      </w:r>
      <w:bookmarkEnd w:id="440448691"/>
      <w:r>
        <w:br/>
      </w:r>
      <w:r w:rsidRPr="0960C778" w:rsidR="0F7892E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Research shows that children from 12 to 16 years old continue in grassroot football based upon interaction of multiple psychological, social, and system-based factors as opposed to a singularly based mechanism solution (Moulds and Cobley, 2024; Moulds et al., 2022).</w:t>
      </w:r>
    </w:p>
    <w:p xmlns:wp14="http://schemas.microsoft.com/office/word/2010/wordml" w:rsidP="0960C778" wp14:paraId="610D911E" wp14:textId="5029806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7AF4F21A" wp14:textId="7BF6F70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F7892E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There is also consistent motivation based research that identifies three main areas of youth motivation: autonomy, competence and relatedness, along with the negative impact of highly controlling, highly ego involving and highly evaluation-oriented climates, which negatively impacts both the wellbeing and continued participation of youth in sports (Castillo-Jimenez et al., 2022; Ryan &amp; Deci, 2017).</w:t>
      </w:r>
    </w:p>
    <w:p xmlns:wp14="http://schemas.microsoft.com/office/word/2010/wordml" w:rsidP="0960C778" wp14:paraId="6A7AE863" wp14:textId="0C5FB902">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548FE797" wp14:textId="1B62E5A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F7892E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Additionally, there is a growing body of research that suggests that digital support systems have the potential to positively influence youth physical activity and engagement. However, the use of these systems is often hindered by user engagement decline, variability in study quality, and variability in how well the systems meet the needs of the intended users, all of which highlights the need to carefully consider the design and implementation of digital supports that are based on understanding the underlying mechanisms of youth motivation and engagement (He et al., 2021; Wang et al., 2024).</w:t>
      </w:r>
    </w:p>
    <w:p xmlns:wp14="http://schemas.microsoft.com/office/word/2010/wordml" w:rsidP="0960C778" wp14:paraId="7D2728F1" wp14:textId="1BE5B3A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28816E51" wp14:textId="759CB95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F7892E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Research conducted in the UK and Wales has shown that while there is a high level of unmet demand for participation in youth football, there are significant barriers to increasing participation including issues related to delivery and access to participation opportunities, all of which suggest that digital retention programs should prioritise accessibility, minimal burden for volunteers, and include strong safeguards and design features that protect the privacy of participants (ICO, 2021; Sport Wales, 2022).</w:t>
      </w:r>
    </w:p>
    <w:p xmlns:wp14="http://schemas.microsoft.com/office/word/2010/wordml" w:rsidP="0960C778" wp14:paraId="52AC3819" wp14:textId="0B4BC31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7E40DFA8" wp14:textId="0722DED8">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F7892ED">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 primary gap in the existing body of knowledge includes the lack of rigorous, peer-reviewed evidence that provides guidance for the development of digital support specifically designed for Welsh youth football players that explicitly incorporate key motivational mechanisms, coach realities and digital governance practices that prioritise the protection of the rights and interests of the children who will be using the digital supports (Skivington et al., 2021; FAW, 2021).</w:t>
      </w:r>
    </w:p>
    <w:p xmlns:wp14="http://schemas.microsoft.com/office/word/2010/wordml" w:rsidP="0960C778" wp14:paraId="5F261FF5" wp14:textId="76EB43A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p>
    <w:p xmlns:wp14="http://schemas.microsoft.com/office/word/2010/wordml" w:rsidP="0960C778" wp14:paraId="451AE395" wp14:textId="19871EB7">
      <w:pPr>
        <w:pStyle w:val="Heading1"/>
        <w:rPr>
          <w:rFonts w:ascii="Aptos" w:hAnsi="Aptos" w:eastAsia="Aptos" w:cs="Aptos" w:asciiTheme="minorAscii" w:hAnsiTheme="minorAscii" w:eastAsiaTheme="minorAscii" w:cstheme="minorAscii"/>
          <w:noProof w:val="0"/>
          <w:lang w:val="en-GB"/>
        </w:rPr>
      </w:pPr>
      <w:bookmarkStart w:name="_Toc15384926" w:id="107860538"/>
      <w:r w:rsidRPr="0960C778" w:rsidR="18928D3D">
        <w:rPr>
          <w:rFonts w:ascii="Aptos" w:hAnsi="Aptos" w:eastAsia="Aptos" w:cs="Aptos" w:asciiTheme="minorAscii" w:hAnsiTheme="minorAscii" w:eastAsiaTheme="minorAscii" w:cstheme="minorAscii"/>
          <w:noProof w:val="0"/>
          <w:lang w:val="en-GB"/>
        </w:rPr>
        <w:t xml:space="preserve">13. </w:t>
      </w:r>
      <w:r w:rsidRPr="0960C778" w:rsidR="0E2036F3">
        <w:rPr>
          <w:rFonts w:ascii="Aptos" w:hAnsi="Aptos" w:eastAsia="Aptos" w:cs="Aptos" w:asciiTheme="minorAscii" w:hAnsiTheme="minorAscii" w:eastAsiaTheme="minorAscii" w:cstheme="minorAscii"/>
          <w:noProof w:val="0"/>
          <w:lang w:val="en-GB"/>
        </w:rPr>
        <w:t>References</w:t>
      </w:r>
      <w:bookmarkEnd w:id="107860538"/>
    </w:p>
    <w:p xmlns:wp14="http://schemas.microsoft.com/office/word/2010/wordml" w:rsidP="0960C778" wp14:paraId="6DCE1285" wp14:textId="69A0E82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Buckley, P.S., Bishop, M., Kane,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others (2021) ‘Systematic review of health organi</w:t>
      </w:r>
      <w:r w:rsidRPr="0960C778" w:rsidR="23D9A405">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ation guidelines following youth sport speciali</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z</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ation’, Sports Health, 13(1), pp. 31–42. Available at: </w:t>
      </w:r>
      <w:hyperlink r:id="Rd4273d9056024296">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https://doi.org/10.1177/19417381211051371</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21 November 2025).</w:t>
      </w:r>
    </w:p>
    <w:p xmlns:wp14="http://schemas.microsoft.com/office/word/2010/wordml" w:rsidP="0960C778" wp14:paraId="54F544CB" wp14:textId="4A2AA216">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Diotaiuti</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P., et al. (2025) ‘Is early sport specialisation related to burnout?’, International Journal of Adolescence and Youth. Available at: </w:t>
      </w:r>
      <w:hyperlink r:id="Rae36523c3d6d4c12">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https://doi.org/10.1080/02673843.2025.2460626</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24 November 2025).</w:t>
      </w:r>
    </w:p>
    <w:p xmlns:wp14="http://schemas.microsoft.com/office/word/2010/wordml" w:rsidP="0960C778" wp14:paraId="169E1B81" wp14:textId="51207EA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Eime</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R.M., Young, J.A., Harvey, J.T., Charity, M.J. and Payne, W.R. (2013) ‘A systematic review of the psychological and social benefits of participation in sport for children and adolescents’, International Journal of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Behavioral</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Nutrition and Physical Activity, 10, 98. Available at: </w:t>
      </w:r>
      <w:hyperlink r:id="R096a8c8cb0e94ed2">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https://doi.org/10.1186/1479-5868-10-98</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20 November 2025).</w:t>
      </w:r>
    </w:p>
    <w:p xmlns:wp14="http://schemas.microsoft.com/office/word/2010/wordml" w:rsidP="0960C778" wp14:paraId="58971406" wp14:textId="544EBE3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Football Association of Wales (FAW) (2021) Enhancing Lives Through Football: Grassroots Strategy. Cardiff: FAW.</w:t>
      </w:r>
    </w:p>
    <w:p xmlns:wp14="http://schemas.microsoft.com/office/word/2010/wordml" w:rsidP="0960C778" wp14:paraId="5EA4D05F" wp14:textId="6E242F0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He, Z., Wu,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H.</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Yu, F. (2021) ‘Effects of smartphone-based interventions on physical activity in children and adolescents: systematic review and meta-analysis’, JMIR mHealth and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uHealth</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9(2), e22601. Available at: </w:t>
      </w:r>
      <w:hyperlink r:id="R4e9a9ef92b574af0">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https://doi.org/10.2196/22601</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23 November 2025).</w:t>
      </w:r>
    </w:p>
    <w:p xmlns:wp14="http://schemas.microsoft.com/office/word/2010/wordml" w:rsidP="0960C778" wp14:paraId="63048F99" wp14:textId="376B0D2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Information Commissioner’s Office (ICO) (2021)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Age Appropriate</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Design Code: A Code of Practice for Online Services. Wilmslow: ICO.</w:t>
      </w:r>
    </w:p>
    <w:p xmlns:wp14="http://schemas.microsoft.com/office/word/2010/wordml" w:rsidP="0960C778" wp14:paraId="5FE0C9FC" wp14:textId="259FCD69">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Lee, S., et al. (2024) ‘Effectiveness of eHealth interventions promoting physical activity in children and adolescents: systematic review and meta-analysis’, JMIR. Available at: </w:t>
      </w:r>
      <w:hyperlink r:id="R5d03ea9888524622">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https://doi.org/10.2196/41649</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24 November 2025).</w:t>
      </w:r>
    </w:p>
    <w:p xmlns:wp14="http://schemas.microsoft.com/office/word/2010/wordml" w:rsidP="0960C778" wp14:paraId="1729BC91" wp14:textId="5BE77B20">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Mazeas</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V., et al. (2022) ‘Gamification and physical activity: a systematic review and meta-analysis’, JMIR. Available at: </w:t>
      </w:r>
      <w:hyperlink r:id="R67dea0bedfb340ab">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https://doi.org/10.2196/26779</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20 November 2025).</w:t>
      </w:r>
    </w:p>
    <w:p xmlns:wp14="http://schemas.microsoft.com/office/word/2010/wordml" w:rsidP="0960C778" wp14:paraId="10C322D6" wp14:textId="6508697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Moulds,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K.</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Cobley, S. (2024) ‘Dropout from youth sport: a crisis in modern society?’, Kinesiology Review, 13(3). Available at: </w:t>
      </w:r>
      <w:hyperlink r:id="R20fcfc7db09e43c7">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https://doi.org/10.1123/kr.2023-0024</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22 November 2025).</w:t>
      </w:r>
    </w:p>
    <w:p xmlns:wp14="http://schemas.microsoft.com/office/word/2010/wordml" w:rsidP="0960C778" wp14:paraId="0B9410DB" wp14:textId="061712B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Moulds, K., Cobley, S., Till, K., Bennie,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A.</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others (2022) ‘A systematic review of youth sport dropout: a Process–Person–Context–Time approach’, International Review of Sport and Exercise Psychology. Available at: </w:t>
      </w:r>
      <w:hyperlink r:id="R10230ed25b484955">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https://doi.org/10.1080/1750984X.2021.2012817</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23 November 2025).</w:t>
      </w:r>
    </w:p>
    <w:p xmlns:wp14="http://schemas.microsoft.com/office/word/2010/wordml" w:rsidP="0960C778" wp14:paraId="454FEEF6" wp14:textId="120CBD32">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NHS England (2021) Digital Technology Assessment Criteria (DTAC). London: NHS England.</w:t>
      </w:r>
    </w:p>
    <w:p xmlns:wp14="http://schemas.microsoft.com/office/word/2010/wordml" w:rsidP="0960C778" wp14:paraId="59E7A73A" wp14:textId="6B2D5D4C">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Ofcom (2024) Children and Parents: Media Use and Attitudes Report 2024. London: Ofcom.</w:t>
      </w:r>
    </w:p>
    <w:p xmlns:wp14="http://schemas.microsoft.com/office/word/2010/wordml" w:rsidP="0960C778" wp14:paraId="6320A10B" wp14:textId="507553A2">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Perski, O., Blandford, A., West,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Michie, S. (2017) ‘Conceptualising engagement with digital behaviour change interventions: a systematic review using principles from critical interpretive synthesis’, Translational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Behavioral</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Medicine, 7(2), pp. 254–267. Available at: </w:t>
      </w:r>
      <w:hyperlink r:id="R78973355b3a74d66">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https://doi.org/10.1007/s13142-016-0453-1</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20 November 2025).</w:t>
      </w:r>
    </w:p>
    <w:p xmlns:wp14="http://schemas.microsoft.com/office/word/2010/wordml" w:rsidP="0960C778" wp14:paraId="6E7DD4E0" wp14:textId="2DCAE4F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References</w:t>
      </w:r>
    </w:p>
    <w:p xmlns:wp14="http://schemas.microsoft.com/office/word/2010/wordml" w:rsidP="0960C778" wp14:paraId="49367BC9" wp14:textId="136B245D">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Ryan, R.M. and Deci, E.L. (2017) Self-Determination Theory: Basic Psychological Needs in Motivation, Development, and Wellness. New York: Guilford Press.</w:t>
      </w:r>
    </w:p>
    <w:p xmlns:wp14="http://schemas.microsoft.com/office/word/2010/wordml" w:rsidP="0960C778" wp14:paraId="20DD8595" wp14:textId="02B063AB">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Skivington, K., Matthews, L., Simpson, S.A., Craig,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P.</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others (2021) ‘A new framework for developing and evaluating complex interventions: update of Medical Research Council guidance’, BMJ, 374, n2061. Available at: </w:t>
      </w:r>
      <w:hyperlink r:id="Red8e17c8136a4778">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https://doi.org/10.1136/bmj.n2061</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24 November 2025).</w:t>
      </w:r>
    </w:p>
    <w:p xmlns:wp14="http://schemas.microsoft.com/office/word/2010/wordml" w:rsidP="0960C778" wp14:paraId="0F18E8FB" wp14:textId="7CC1FDE2">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Sport England (2024) Active Lives Children and Young People Survey: Academic Year 2023/24. London: Sport England.</w:t>
      </w:r>
    </w:p>
    <w:p xmlns:wp14="http://schemas.microsoft.com/office/word/2010/wordml" w:rsidP="0960C778" wp14:paraId="0365127B" wp14:textId="743341FA">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Sport Wales (2022) School Sport Survey: State of the Nation. Cardiff: Sport Wales.</w:t>
      </w:r>
    </w:p>
    <w:p xmlns:wp14="http://schemas.microsoft.com/office/word/2010/wordml" w:rsidP="0960C778" wp14:paraId="7D57682D" wp14:textId="3F4E596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Sport Wales (2024) Annual Report and Accounts 2023/24. Cardiff: Sport Wales.</w:t>
      </w:r>
    </w:p>
    <w:p xmlns:wp14="http://schemas.microsoft.com/office/word/2010/wordml" w:rsidP="0960C778" wp14:paraId="5A773FBB" wp14:textId="41599333">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UK Chief Medical Officers (2019) UK Chief Medical Officers’ Physical Activity Guidelines. London: Department of Health and Social Care.</w:t>
      </w:r>
    </w:p>
    <w:p xmlns:wp14="http://schemas.microsoft.com/office/word/2010/wordml" w:rsidP="0960C778" wp14:paraId="07233F87" wp14:textId="028CA48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UK Coaching (2024) Coaches in the UK: Coaching and Coaches in 2024. Leeds: UK Coaching.</w:t>
      </w:r>
    </w:p>
    <w:p xmlns:wp14="http://schemas.microsoft.com/office/word/2010/wordml" w:rsidP="0960C778" wp14:paraId="6FB46C54" wp14:textId="453B4C0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UK Parliament (2023) Online Safety Act 2023. London: The Stationery Office.</w:t>
      </w:r>
    </w:p>
    <w:p xmlns:wp14="http://schemas.microsoft.com/office/word/2010/wordml" w:rsidP="0960C778" wp14:paraId="0319E532" wp14:textId="5A4C1534">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Wang, Y., Zhu,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X.</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and others (2024) ‘Effectiveness of mHealth app-based interventions for increasing physical activity and improving physical fitness in children and adolescents: systematic review and meta-analysis’, JMIR mHealth and </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uHealth</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Available at: </w:t>
      </w:r>
      <w:hyperlink r:id="R7101d3dfa08f4205">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https://doi.org/10.2196/51478</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24 November 2025).</w:t>
      </w:r>
    </w:p>
    <w:p xmlns:wp14="http://schemas.microsoft.com/office/word/2010/wordml" w:rsidP="0960C778" wp14:paraId="1280E9B4" wp14:textId="06B7F595">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Wekesser</w:t>
      </w: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 M., Larkin, P., Elsworthy, N. and O’Connor, D. (2021) ‘Coaches’ impact on youth athletes’ intentions to continue sport participation: the mediating effect of coach–athlete relationship quality’, International Journal of Sports Science &amp; Coaching. Available at: </w:t>
      </w:r>
      <w:hyperlink r:id="R916d8809f18c4595">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https://doi.org/10.1177/1747954121991817</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21 November 2025).</w:t>
      </w:r>
    </w:p>
    <w:p xmlns:wp14="http://schemas.microsoft.com/office/word/2010/wordml" w:rsidP="0960C778" wp14:paraId="51A4CFD5" wp14:textId="3FB9CAFF">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Welsh Government (2023) National Survey for Wales 2022–23: Technical Report. Cardiff: Welsh Government.</w:t>
      </w:r>
    </w:p>
    <w:p xmlns:wp14="http://schemas.microsoft.com/office/word/2010/wordml" w:rsidP="0960C778" wp14:paraId="6C3CB3F7" wp14:textId="7C7E94F7">
      <w:pPr>
        <w:shd w:val="clear" w:color="auto" w:fill="FFFFFF" w:themeFill="background1"/>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pPr>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xml:space="preserve">Zhang, J., et al. (2025) ‘Gamification and smartphone applications for improving physical activity outcomes in children and adolescents: systematic review and meta-analysis’, JMIR Serious Games, 13, e68151. Available at: </w:t>
      </w:r>
      <w:hyperlink r:id="R404aa775f29c4158">
        <w:r w:rsidRPr="0960C778" w:rsidR="0E2036F3">
          <w:rPr>
            <w:rStyle w:val="Hyperlink"/>
            <w:rFonts w:ascii="Aptos" w:hAnsi="Aptos" w:eastAsia="Aptos" w:cs="Aptos" w:asciiTheme="minorAscii" w:hAnsiTheme="minorAscii" w:eastAsiaTheme="minorAscii" w:cstheme="minorAscii"/>
            <w:b w:val="0"/>
            <w:bCs w:val="0"/>
            <w:i w:val="0"/>
            <w:iCs w:val="0"/>
            <w:caps w:val="0"/>
            <w:smallCaps w:val="0"/>
            <w:noProof w:val="0"/>
            <w:color w:val="1155CC"/>
            <w:sz w:val="24"/>
            <w:szCs w:val="24"/>
            <w:lang w:val="en-GB"/>
          </w:rPr>
          <w:t>https://doi.org/10.2196/68151</w:t>
        </w:r>
      </w:hyperlink>
      <w:r w:rsidRPr="0960C778" w:rsidR="0E2036F3">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 (Accessed: 23 November 2025).</w:t>
      </w:r>
    </w:p>
    <w:p xmlns:wp14="http://schemas.microsoft.com/office/word/2010/wordml" wp14:paraId="5E5787A5" wp14:textId="10BE17D0"/>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kCX6lzSZ" int2:invalidationBookmarkName="" int2:hashCode="M709wvdL2QO7iF" int2:id="bYJQ9ER3">
      <int2:state int2:type="spell" int2:value="Rejected"/>
    </int2:bookmark>
    <int2:bookmark int2:bookmarkName="_Int_AxPleJPw" int2:invalidationBookmarkName="" int2:hashCode="rf0s00OiQ+pZFr" int2:id="sTxkeUqS">
      <int2:state int2:type="spell" int2:value="Rejected"/>
    </int2:bookmark>
    <int2:bookmark int2:bookmarkName="_Int_mXCzEjD5" int2:invalidationBookmarkName="" int2:hashCode="JnUvIALWBuwDjD" int2:id="iob1pgS7">
      <int2:state int2:type="style" int2:value="Rejected"/>
    </int2:bookmark>
    <int2:bookmark int2:bookmarkName="_Int_CqPjx8Sd" int2:invalidationBookmarkName="" int2:hashCode="4xcARSVbYCbtaj" int2:id="ffFG9J7Y">
      <int2:state int2:type="gram" int2:value="Rejected"/>
    </int2:bookmark>
    <int2:bookmark int2:bookmarkName="_Int_2ei1yyPo" int2:invalidationBookmarkName="" int2:hashCode="8SZHXLNRCs5Ur+" int2:id="IfQq4pxW">
      <int2:state int2:type="gram" int2:value="Rejected"/>
    </int2:bookmark>
    <int2:bookmark int2:bookmarkName="_Int_xSYuS053" int2:invalidationBookmarkName="" int2:hashCode="P0kNoa7c8QyUOZ" int2:id="2ODpbmk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1525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672d5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Sans-Serif" w:hAnsi="Arial,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F488E5"/>
    <w:rsid w:val="00003A3B"/>
    <w:rsid w:val="0029FE3B"/>
    <w:rsid w:val="01AF1E06"/>
    <w:rsid w:val="023BA6AE"/>
    <w:rsid w:val="02527084"/>
    <w:rsid w:val="03BDED6C"/>
    <w:rsid w:val="03DE9424"/>
    <w:rsid w:val="04497B18"/>
    <w:rsid w:val="048D08F1"/>
    <w:rsid w:val="05801ACC"/>
    <w:rsid w:val="059E70DB"/>
    <w:rsid w:val="05D16E36"/>
    <w:rsid w:val="05F0B811"/>
    <w:rsid w:val="06459EC3"/>
    <w:rsid w:val="066C37CB"/>
    <w:rsid w:val="06C427CE"/>
    <w:rsid w:val="06EEB3E3"/>
    <w:rsid w:val="0708CBDE"/>
    <w:rsid w:val="07501DC2"/>
    <w:rsid w:val="08406A49"/>
    <w:rsid w:val="0872A9D8"/>
    <w:rsid w:val="089AFEAA"/>
    <w:rsid w:val="08B56BFC"/>
    <w:rsid w:val="0960C778"/>
    <w:rsid w:val="09F12210"/>
    <w:rsid w:val="0A685C66"/>
    <w:rsid w:val="0AF95951"/>
    <w:rsid w:val="0B55E2FB"/>
    <w:rsid w:val="0BA5F0C6"/>
    <w:rsid w:val="0D94778A"/>
    <w:rsid w:val="0D99B348"/>
    <w:rsid w:val="0E2036F3"/>
    <w:rsid w:val="0E3724A9"/>
    <w:rsid w:val="0E60E9BA"/>
    <w:rsid w:val="0EE0852E"/>
    <w:rsid w:val="0F7892ED"/>
    <w:rsid w:val="0FA643F7"/>
    <w:rsid w:val="10575C9D"/>
    <w:rsid w:val="10DEAF5D"/>
    <w:rsid w:val="118CCA93"/>
    <w:rsid w:val="1219C276"/>
    <w:rsid w:val="123688A9"/>
    <w:rsid w:val="1253397E"/>
    <w:rsid w:val="12AFE05A"/>
    <w:rsid w:val="1327C94E"/>
    <w:rsid w:val="137CF2C5"/>
    <w:rsid w:val="14649FBB"/>
    <w:rsid w:val="152E8D3D"/>
    <w:rsid w:val="163771A6"/>
    <w:rsid w:val="1662D7D0"/>
    <w:rsid w:val="166F6A7C"/>
    <w:rsid w:val="185BF2C1"/>
    <w:rsid w:val="18928D3D"/>
    <w:rsid w:val="18BFB729"/>
    <w:rsid w:val="1906FDE2"/>
    <w:rsid w:val="19ED797A"/>
    <w:rsid w:val="1AD83BEA"/>
    <w:rsid w:val="1AD93762"/>
    <w:rsid w:val="1BF054D9"/>
    <w:rsid w:val="1C823661"/>
    <w:rsid w:val="1C931E0B"/>
    <w:rsid w:val="1CDDD48E"/>
    <w:rsid w:val="1CE25EE2"/>
    <w:rsid w:val="1D5093E5"/>
    <w:rsid w:val="1DB0A85E"/>
    <w:rsid w:val="1E2B3619"/>
    <w:rsid w:val="1EDCCADA"/>
    <w:rsid w:val="1F55BD32"/>
    <w:rsid w:val="1F6BDBC7"/>
    <w:rsid w:val="20CA59B8"/>
    <w:rsid w:val="21056C0B"/>
    <w:rsid w:val="21413F48"/>
    <w:rsid w:val="2144472A"/>
    <w:rsid w:val="21F3B84B"/>
    <w:rsid w:val="220F61C1"/>
    <w:rsid w:val="2245083E"/>
    <w:rsid w:val="228DB4BE"/>
    <w:rsid w:val="22EC0058"/>
    <w:rsid w:val="237A891A"/>
    <w:rsid w:val="23D9A405"/>
    <w:rsid w:val="23FB5EA1"/>
    <w:rsid w:val="248A0AF8"/>
    <w:rsid w:val="24B7F33C"/>
    <w:rsid w:val="24B95C57"/>
    <w:rsid w:val="26BE8F1B"/>
    <w:rsid w:val="27119ABC"/>
    <w:rsid w:val="28002240"/>
    <w:rsid w:val="28C5787F"/>
    <w:rsid w:val="28FCA2FF"/>
    <w:rsid w:val="29D7DE7B"/>
    <w:rsid w:val="29E76E47"/>
    <w:rsid w:val="2AFE8053"/>
    <w:rsid w:val="2B544791"/>
    <w:rsid w:val="2B6BDBF5"/>
    <w:rsid w:val="2B8E3F72"/>
    <w:rsid w:val="2BD35C3B"/>
    <w:rsid w:val="2BFF232E"/>
    <w:rsid w:val="2E6EF4C2"/>
    <w:rsid w:val="2F1FA45B"/>
    <w:rsid w:val="2F41FADB"/>
    <w:rsid w:val="2F8E931E"/>
    <w:rsid w:val="2FC342DE"/>
    <w:rsid w:val="308F311B"/>
    <w:rsid w:val="31808995"/>
    <w:rsid w:val="32FEC6FC"/>
    <w:rsid w:val="330C2B6E"/>
    <w:rsid w:val="330FF2B7"/>
    <w:rsid w:val="33A83A50"/>
    <w:rsid w:val="343C7F81"/>
    <w:rsid w:val="347D62E5"/>
    <w:rsid w:val="34F5C2E7"/>
    <w:rsid w:val="350B1EA7"/>
    <w:rsid w:val="353451FB"/>
    <w:rsid w:val="35CBECA7"/>
    <w:rsid w:val="361A6C71"/>
    <w:rsid w:val="36BC69B3"/>
    <w:rsid w:val="36BF2AF1"/>
    <w:rsid w:val="36E4875D"/>
    <w:rsid w:val="3705E6AF"/>
    <w:rsid w:val="370A9251"/>
    <w:rsid w:val="3752460D"/>
    <w:rsid w:val="3767926F"/>
    <w:rsid w:val="37B7421D"/>
    <w:rsid w:val="37DC3176"/>
    <w:rsid w:val="3866C1AF"/>
    <w:rsid w:val="390422E8"/>
    <w:rsid w:val="3985E236"/>
    <w:rsid w:val="39A32036"/>
    <w:rsid w:val="3A90D393"/>
    <w:rsid w:val="3AA4EBE1"/>
    <w:rsid w:val="3B09BD79"/>
    <w:rsid w:val="3B610EF6"/>
    <w:rsid w:val="3B7BD6A8"/>
    <w:rsid w:val="3BA4504A"/>
    <w:rsid w:val="3CAE1AAC"/>
    <w:rsid w:val="3CF82764"/>
    <w:rsid w:val="3CFB365B"/>
    <w:rsid w:val="3E3CC3BB"/>
    <w:rsid w:val="3F27FC47"/>
    <w:rsid w:val="3F71DC9E"/>
    <w:rsid w:val="3FD814D1"/>
    <w:rsid w:val="4043F2A1"/>
    <w:rsid w:val="40C04D6A"/>
    <w:rsid w:val="41B011AF"/>
    <w:rsid w:val="41C182EF"/>
    <w:rsid w:val="4244A1BE"/>
    <w:rsid w:val="42B9F2F6"/>
    <w:rsid w:val="42DEA7F8"/>
    <w:rsid w:val="4338912C"/>
    <w:rsid w:val="43494869"/>
    <w:rsid w:val="43A913A2"/>
    <w:rsid w:val="45959D37"/>
    <w:rsid w:val="45EE28D8"/>
    <w:rsid w:val="463A0F19"/>
    <w:rsid w:val="465FA532"/>
    <w:rsid w:val="470DC317"/>
    <w:rsid w:val="47FA7A6C"/>
    <w:rsid w:val="4964DB3C"/>
    <w:rsid w:val="4985C36A"/>
    <w:rsid w:val="4A93ED92"/>
    <w:rsid w:val="4ACC4588"/>
    <w:rsid w:val="4B932CBA"/>
    <w:rsid w:val="4BD8D5EA"/>
    <w:rsid w:val="4D0BD4F9"/>
    <w:rsid w:val="4D832A9C"/>
    <w:rsid w:val="4DB57F2B"/>
    <w:rsid w:val="4DDCE63A"/>
    <w:rsid w:val="4EE20A21"/>
    <w:rsid w:val="503A380D"/>
    <w:rsid w:val="51280C6A"/>
    <w:rsid w:val="529CDCFD"/>
    <w:rsid w:val="54BF7273"/>
    <w:rsid w:val="551B7B5C"/>
    <w:rsid w:val="55CD5436"/>
    <w:rsid w:val="55ED8B30"/>
    <w:rsid w:val="56D3C71A"/>
    <w:rsid w:val="56DEDA44"/>
    <w:rsid w:val="57D5264A"/>
    <w:rsid w:val="580CAF78"/>
    <w:rsid w:val="5834F41F"/>
    <w:rsid w:val="5837F223"/>
    <w:rsid w:val="586969F6"/>
    <w:rsid w:val="598E9901"/>
    <w:rsid w:val="5A42F529"/>
    <w:rsid w:val="5A9A43C6"/>
    <w:rsid w:val="5ABF7F3A"/>
    <w:rsid w:val="5AE66481"/>
    <w:rsid w:val="5AEE5900"/>
    <w:rsid w:val="5BBAC28A"/>
    <w:rsid w:val="5C8F5A02"/>
    <w:rsid w:val="5CBE9AB9"/>
    <w:rsid w:val="5CE26825"/>
    <w:rsid w:val="5CEB6554"/>
    <w:rsid w:val="5DC4CA8F"/>
    <w:rsid w:val="5DC890FF"/>
    <w:rsid w:val="60134744"/>
    <w:rsid w:val="601A2F0A"/>
    <w:rsid w:val="60217F06"/>
    <w:rsid w:val="615D2316"/>
    <w:rsid w:val="6301AA19"/>
    <w:rsid w:val="6386419F"/>
    <w:rsid w:val="6449F7C6"/>
    <w:rsid w:val="64D3F64A"/>
    <w:rsid w:val="6593C3BE"/>
    <w:rsid w:val="66AFE1A3"/>
    <w:rsid w:val="684B9439"/>
    <w:rsid w:val="69098FCE"/>
    <w:rsid w:val="691C3782"/>
    <w:rsid w:val="69417D41"/>
    <w:rsid w:val="6A54B095"/>
    <w:rsid w:val="6AA074F8"/>
    <w:rsid w:val="6AAA12B3"/>
    <w:rsid w:val="6AFA912F"/>
    <w:rsid w:val="6BE70F09"/>
    <w:rsid w:val="6BF488E5"/>
    <w:rsid w:val="6D5547E0"/>
    <w:rsid w:val="6E854521"/>
    <w:rsid w:val="6EE93252"/>
    <w:rsid w:val="6F522E3B"/>
    <w:rsid w:val="6FA8A578"/>
    <w:rsid w:val="6FF8E201"/>
    <w:rsid w:val="70DFB0DE"/>
    <w:rsid w:val="7276B129"/>
    <w:rsid w:val="729641A9"/>
    <w:rsid w:val="73E6A865"/>
    <w:rsid w:val="75F46559"/>
    <w:rsid w:val="75F869E4"/>
    <w:rsid w:val="7717AC48"/>
    <w:rsid w:val="773D4E4B"/>
    <w:rsid w:val="77823B41"/>
    <w:rsid w:val="77A23EA6"/>
    <w:rsid w:val="787D0315"/>
    <w:rsid w:val="7899004D"/>
    <w:rsid w:val="798AE1AD"/>
    <w:rsid w:val="7A0E693F"/>
    <w:rsid w:val="7A6E97F2"/>
    <w:rsid w:val="7A9A2C2C"/>
    <w:rsid w:val="7A9DB9AB"/>
    <w:rsid w:val="7B61CA2A"/>
    <w:rsid w:val="7B61CA2A"/>
    <w:rsid w:val="7C277BDA"/>
    <w:rsid w:val="7C579DB3"/>
    <w:rsid w:val="7CD669D6"/>
    <w:rsid w:val="7E1E115B"/>
    <w:rsid w:val="7E43C053"/>
    <w:rsid w:val="7EA7E291"/>
    <w:rsid w:val="7EC72243"/>
    <w:rsid w:val="7F438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88E5"/>
  <w15:chartTrackingRefBased/>
  <w15:docId w15:val="{7517202D-39E6-4813-A5C0-DD1618FCD8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960C778"/>
    <w:pPr>
      <w:spacing/>
      <w:ind w:left="720"/>
      <w:contextualSpacing/>
    </w:pPr>
  </w:style>
  <w:style w:type="character" w:styleId="Heading1Char" w:customStyle="true">
    <w:uiPriority w:val="9"/>
    <w:name w:val="Heading 1 Char"/>
    <w:basedOn w:val="DefaultParagraphFont"/>
    <w:link w:val="Heading1"/>
    <w:rsid w:val="0960C778"/>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TOC1">
    <w:uiPriority w:val="39"/>
    <w:name w:val="toc 1"/>
    <w:basedOn w:val="Normal"/>
    <w:next w:val="Normal"/>
    <w:unhideWhenUsed/>
    <w:rsid w:val="0960C778"/>
    <w:pPr>
      <w:spacing w:after="100"/>
    </w:pPr>
  </w:style>
  <w:style w:type="character" w:styleId="Hyperlink">
    <w:uiPriority w:val="99"/>
    <w:name w:val="Hyperlink"/>
    <w:basedOn w:val="DefaultParagraphFont"/>
    <w:unhideWhenUsed/>
    <w:rsid w:val="0960C778"/>
    <w:rPr>
      <w:color w:val="467886"/>
      <w:u w:val="single"/>
    </w:rPr>
  </w:style>
  <w:style w:type="paragraph" w:styleId="Heading1">
    <w:uiPriority w:val="9"/>
    <w:name w:val="heading 1"/>
    <w:basedOn w:val="Normal"/>
    <w:next w:val="Normal"/>
    <w:link w:val="Heading1Char"/>
    <w:qFormat/>
    <w:rsid w:val="0960C77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77/19417381211051371" TargetMode="External" Id="Rd4273d9056024296" /><Relationship Type="http://schemas.openxmlformats.org/officeDocument/2006/relationships/hyperlink" Target="https://doi.org/10.1080/02673843.2025.2460626" TargetMode="External" Id="Rae36523c3d6d4c12" /><Relationship Type="http://schemas.openxmlformats.org/officeDocument/2006/relationships/hyperlink" Target="https://doi.org/10.1186/1479-5868-10-98" TargetMode="External" Id="R096a8c8cb0e94ed2" /><Relationship Type="http://schemas.openxmlformats.org/officeDocument/2006/relationships/hyperlink" Target="https://doi.org/10.2196/22601" TargetMode="External" Id="R4e9a9ef92b574af0" /><Relationship Type="http://schemas.openxmlformats.org/officeDocument/2006/relationships/hyperlink" Target="https://doi.org/10.2196/41649" TargetMode="External" Id="R5d03ea9888524622" /><Relationship Type="http://schemas.openxmlformats.org/officeDocument/2006/relationships/hyperlink" Target="https://doi.org/10.2196/26779" TargetMode="External" Id="R67dea0bedfb340ab" /><Relationship Type="http://schemas.openxmlformats.org/officeDocument/2006/relationships/hyperlink" Target="https://doi.org/10.1123/kr.2023-0024" TargetMode="External" Id="R20fcfc7db09e43c7" /><Relationship Type="http://schemas.openxmlformats.org/officeDocument/2006/relationships/hyperlink" Target="https://doi.org/10.1080/1750984X.2021.2012817" TargetMode="External" Id="R10230ed25b484955" /><Relationship Type="http://schemas.openxmlformats.org/officeDocument/2006/relationships/hyperlink" Target="https://doi.org/10.1007/s13142-016-0453-1" TargetMode="External" Id="R78973355b3a74d66" /><Relationship Type="http://schemas.openxmlformats.org/officeDocument/2006/relationships/hyperlink" Target="https://doi.org/10.1136/bmj.n2061" TargetMode="External" Id="Red8e17c8136a4778" /><Relationship Type="http://schemas.openxmlformats.org/officeDocument/2006/relationships/hyperlink" Target="https://doi.org/10.2196/51478" TargetMode="External" Id="R7101d3dfa08f4205" /><Relationship Type="http://schemas.openxmlformats.org/officeDocument/2006/relationships/hyperlink" Target="https://doi.org/10.1177/1747954121991817" TargetMode="External" Id="R916d8809f18c4595" /><Relationship Type="http://schemas.openxmlformats.org/officeDocument/2006/relationships/hyperlink" Target="https://doi.org/10.2196/68151" TargetMode="External" Id="R404aa775f29c4158" /><Relationship Type="http://schemas.microsoft.com/office/2020/10/relationships/intelligence" Target="/word/intelligence2.xml" Id="Rd507604fee664858" /><Relationship Type="http://schemas.openxmlformats.org/officeDocument/2006/relationships/numbering" Target="/word/numbering.xml" Id="R3d2db6b18aba442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 Howell McKnight (2221975)</dc:creator>
  <keywords/>
  <dc:description/>
  <lastModifiedBy>Alex Howell McKnight (2221975)</lastModifiedBy>
  <revision>2</revision>
  <dcterms:created xsi:type="dcterms:W3CDTF">2026-01-11T20:21:16.5267430Z</dcterms:created>
  <dcterms:modified xsi:type="dcterms:W3CDTF">2026-01-11T23:39:03.1558785Z</dcterms:modified>
</coreProperties>
</file>