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17B1C" w14:textId="77777777" w:rsidR="002D4A96" w:rsidRPr="00D9089F" w:rsidRDefault="00000000" w:rsidP="009C7A0B">
      <w:pPr>
        <w:pStyle w:val="Body"/>
        <w:ind w:left="644" w:hanging="360"/>
        <w:rPr>
          <w:rFonts w:eastAsia="Arial" w:cs="Calibri"/>
          <w:color w:val="000000" w:themeColor="text1"/>
          <w:sz w:val="24"/>
          <w:szCs w:val="24"/>
        </w:rPr>
      </w:pPr>
      <w:bookmarkStart w:id="0" w:name="_Hlk197867260"/>
      <w:r w:rsidRPr="00D9089F">
        <w:rPr>
          <w:rFonts w:cs="Calibri"/>
          <w:color w:val="000000" w:themeColor="text1"/>
          <w:sz w:val="24"/>
          <w:szCs w:val="24"/>
        </w:rPr>
        <w:t xml:space="preserve">  </w:t>
      </w:r>
    </w:p>
    <w:p w14:paraId="7BFC9864" w14:textId="77777777" w:rsidR="002D4A96" w:rsidRPr="00D9089F" w:rsidRDefault="002D4A96" w:rsidP="009C7A0B">
      <w:pPr>
        <w:pStyle w:val="Body"/>
        <w:ind w:left="644" w:hanging="360"/>
        <w:rPr>
          <w:rFonts w:eastAsia="Arial" w:cs="Calibri"/>
          <w:color w:val="000000" w:themeColor="text1"/>
          <w:sz w:val="24"/>
          <w:szCs w:val="24"/>
        </w:rPr>
      </w:pPr>
    </w:p>
    <w:p w14:paraId="246F2F83" w14:textId="77777777" w:rsidR="002D4A96" w:rsidRPr="00D9089F" w:rsidRDefault="002D4A96" w:rsidP="009C7A0B">
      <w:pPr>
        <w:pStyle w:val="Body"/>
        <w:ind w:left="644" w:hanging="360"/>
        <w:rPr>
          <w:rFonts w:eastAsia="Arial" w:cs="Calibri"/>
          <w:color w:val="000000" w:themeColor="text1"/>
          <w:sz w:val="24"/>
          <w:szCs w:val="24"/>
        </w:rPr>
      </w:pPr>
    </w:p>
    <w:p w14:paraId="6E5F5869" w14:textId="77777777" w:rsidR="00E10F96" w:rsidRPr="00D77BD1" w:rsidRDefault="00E10F96" w:rsidP="009C7A0B">
      <w:pPr>
        <w:pStyle w:val="Body"/>
        <w:ind w:left="644" w:hanging="360"/>
        <w:rPr>
          <w:rFonts w:eastAsia="Arial" w:cs="Calibri"/>
          <w:b/>
          <w:bCs/>
          <w:color w:val="000000" w:themeColor="text1"/>
          <w:sz w:val="24"/>
          <w:szCs w:val="24"/>
        </w:rPr>
      </w:pPr>
    </w:p>
    <w:p w14:paraId="69920DAF" w14:textId="77777777" w:rsidR="00E10F96" w:rsidRPr="00D9089F" w:rsidRDefault="00E10F96" w:rsidP="009C7A0B">
      <w:pPr>
        <w:pStyle w:val="Body"/>
        <w:ind w:left="644" w:hanging="360"/>
        <w:rPr>
          <w:rFonts w:eastAsia="Arial" w:cs="Calibri"/>
          <w:color w:val="000000" w:themeColor="text1"/>
          <w:sz w:val="24"/>
          <w:szCs w:val="24"/>
        </w:rPr>
      </w:pPr>
    </w:p>
    <w:p w14:paraId="444DEB1A" w14:textId="5F14E056" w:rsidR="009B029F" w:rsidRPr="00D77BD1" w:rsidRDefault="009B029F" w:rsidP="009C7A0B">
      <w:pPr>
        <w:pStyle w:val="Body"/>
        <w:rPr>
          <w:rFonts w:cs="Calibri"/>
          <w:b/>
          <w:bCs/>
          <w:sz w:val="40"/>
          <w:szCs w:val="40"/>
        </w:rPr>
      </w:pPr>
      <w:r w:rsidRPr="00D77BD1">
        <w:rPr>
          <w:rFonts w:cs="Calibri"/>
          <w:b/>
          <w:bCs/>
          <w:color w:val="004147"/>
          <w:sz w:val="40"/>
          <w:szCs w:val="40"/>
        </w:rPr>
        <w:t xml:space="preserve">5HR01 </w:t>
      </w:r>
      <w:r w:rsidRPr="00D77BD1">
        <w:rPr>
          <w:rFonts w:eastAsia="Trebuchet MS" w:cs="Calibri"/>
          <w:b/>
          <w:bCs/>
          <w:color w:val="004147"/>
          <w:sz w:val="40"/>
          <w:szCs w:val="40"/>
        </w:rPr>
        <w:br/>
      </w:r>
      <w:r w:rsidRPr="00D77BD1">
        <w:rPr>
          <w:rFonts w:cs="Calibri"/>
          <w:b/>
          <w:bCs/>
          <w:color w:val="004147"/>
          <w:sz w:val="40"/>
          <w:szCs w:val="40"/>
        </w:rPr>
        <w:t>Employment</w:t>
      </w:r>
      <w:r w:rsidR="00E56633" w:rsidRPr="00D77BD1">
        <w:rPr>
          <w:rFonts w:cs="Calibri"/>
          <w:b/>
          <w:bCs/>
          <w:color w:val="004147"/>
          <w:sz w:val="40"/>
          <w:szCs w:val="40"/>
        </w:rPr>
        <w:t xml:space="preserve"> </w:t>
      </w:r>
      <w:r w:rsidRPr="00D77BD1">
        <w:rPr>
          <w:rFonts w:cs="Calibri"/>
          <w:b/>
          <w:bCs/>
          <w:color w:val="004147"/>
          <w:sz w:val="40"/>
          <w:szCs w:val="40"/>
        </w:rPr>
        <w:t>relationship management</w:t>
      </w:r>
    </w:p>
    <w:p w14:paraId="76288C01" w14:textId="77777777" w:rsidR="002D4A96" w:rsidRPr="00D9089F" w:rsidRDefault="002D4A96" w:rsidP="009C7A0B">
      <w:pPr>
        <w:pStyle w:val="Body"/>
        <w:ind w:firstLine="284"/>
        <w:rPr>
          <w:rFonts w:cs="Calibri"/>
          <w:color w:val="000000" w:themeColor="text1"/>
          <w:sz w:val="24"/>
          <w:szCs w:val="24"/>
        </w:rPr>
      </w:pPr>
    </w:p>
    <w:p w14:paraId="0C8FF42F" w14:textId="77777777" w:rsidR="002D4A96" w:rsidRPr="00D9089F" w:rsidRDefault="002D4A96" w:rsidP="009C7A0B">
      <w:pPr>
        <w:pStyle w:val="Body"/>
        <w:ind w:firstLine="284"/>
        <w:rPr>
          <w:rFonts w:cs="Calibri"/>
          <w:color w:val="000000" w:themeColor="text1"/>
          <w:sz w:val="24"/>
          <w:szCs w:val="24"/>
        </w:rPr>
      </w:pPr>
    </w:p>
    <w:p w14:paraId="049AFDFD" w14:textId="77777777" w:rsidR="00E10F96" w:rsidRPr="00D9089F" w:rsidRDefault="00E10F96" w:rsidP="009C7A0B">
      <w:pPr>
        <w:pStyle w:val="Body"/>
        <w:ind w:firstLine="284"/>
        <w:rPr>
          <w:rFonts w:cs="Calibri"/>
          <w:color w:val="000000" w:themeColor="text1"/>
          <w:sz w:val="24"/>
          <w:szCs w:val="24"/>
        </w:rPr>
      </w:pPr>
    </w:p>
    <w:p w14:paraId="4D8B5288" w14:textId="77777777" w:rsidR="00E10F96" w:rsidRPr="00D9089F" w:rsidRDefault="00E10F96" w:rsidP="009C7A0B">
      <w:pPr>
        <w:pStyle w:val="Body"/>
        <w:ind w:firstLine="284"/>
        <w:rPr>
          <w:rFonts w:cs="Calibri"/>
          <w:color w:val="000000" w:themeColor="text1"/>
          <w:sz w:val="24"/>
          <w:szCs w:val="24"/>
        </w:rPr>
      </w:pPr>
    </w:p>
    <w:p w14:paraId="5333B866" w14:textId="77777777" w:rsidR="00E10F96" w:rsidRPr="00D9089F" w:rsidRDefault="00E10F96" w:rsidP="009C7A0B">
      <w:pPr>
        <w:pStyle w:val="Body"/>
        <w:ind w:firstLine="284"/>
        <w:rPr>
          <w:rFonts w:cs="Calibri"/>
          <w:color w:val="000000" w:themeColor="text1"/>
          <w:sz w:val="24"/>
          <w:szCs w:val="24"/>
        </w:rPr>
      </w:pPr>
    </w:p>
    <w:p w14:paraId="09975F42" w14:textId="77777777" w:rsidR="002D4A96" w:rsidRPr="00D77BD1" w:rsidRDefault="00000000" w:rsidP="009C7A0B">
      <w:pPr>
        <w:pStyle w:val="Body"/>
        <w:ind w:firstLine="284"/>
        <w:rPr>
          <w:rFonts w:cs="Calibri"/>
          <w:color w:val="004147"/>
          <w:sz w:val="28"/>
          <w:szCs w:val="28"/>
        </w:rPr>
      </w:pPr>
      <w:r w:rsidRPr="00D77BD1">
        <w:rPr>
          <w:rFonts w:cs="Calibri"/>
          <w:color w:val="004147"/>
          <w:sz w:val="28"/>
          <w:szCs w:val="28"/>
        </w:rPr>
        <w:t>Mehrnoush Markey</w:t>
      </w:r>
    </w:p>
    <w:p w14:paraId="0F2E1297" w14:textId="725312BC" w:rsidR="002D4A96" w:rsidRPr="00D77BD1" w:rsidRDefault="00000000" w:rsidP="009C7A0B">
      <w:pPr>
        <w:pStyle w:val="Body"/>
        <w:ind w:left="284"/>
        <w:rPr>
          <w:rFonts w:cs="Calibri"/>
          <w:color w:val="004147"/>
          <w:sz w:val="28"/>
          <w:szCs w:val="28"/>
        </w:rPr>
      </w:pPr>
      <w:r w:rsidRPr="00D77BD1">
        <w:rPr>
          <w:rFonts w:cs="Calibri"/>
          <w:color w:val="004147"/>
          <w:sz w:val="28"/>
          <w:szCs w:val="28"/>
        </w:rPr>
        <w:t xml:space="preserve">Word count – </w:t>
      </w:r>
      <w:r w:rsidR="001A4E91" w:rsidRPr="00D77BD1">
        <w:rPr>
          <w:rFonts w:cs="Calibri"/>
          <w:color w:val="004147"/>
          <w:sz w:val="28"/>
          <w:szCs w:val="28"/>
        </w:rPr>
        <w:t>42</w:t>
      </w:r>
      <w:r w:rsidR="00AF0CD9">
        <w:rPr>
          <w:rFonts w:cs="Calibri"/>
          <w:color w:val="004147"/>
          <w:sz w:val="28"/>
          <w:szCs w:val="28"/>
        </w:rPr>
        <w:t>54</w:t>
      </w:r>
      <w:r w:rsidR="001A4E91" w:rsidRPr="00D77BD1">
        <w:rPr>
          <w:rFonts w:cs="Calibri"/>
          <w:color w:val="004147"/>
          <w:sz w:val="28"/>
          <w:szCs w:val="28"/>
        </w:rPr>
        <w:t xml:space="preserve"> without questions and Bibliography</w:t>
      </w:r>
    </w:p>
    <w:p w14:paraId="308DE2DC" w14:textId="4FC3C182" w:rsidR="00E10F96" w:rsidRPr="00D77BD1" w:rsidRDefault="00B5248B" w:rsidP="009C7A0B">
      <w:pPr>
        <w:pStyle w:val="Body"/>
        <w:ind w:left="284"/>
        <w:rPr>
          <w:rFonts w:cs="Calibri"/>
          <w:color w:val="004147"/>
          <w:sz w:val="28"/>
          <w:szCs w:val="28"/>
        </w:rPr>
      </w:pPr>
      <w:r w:rsidRPr="00D77BD1">
        <w:rPr>
          <w:rFonts w:cs="Calibri"/>
          <w:color w:val="004147"/>
          <w:sz w:val="28"/>
          <w:szCs w:val="28"/>
        </w:rPr>
        <w:t>Date:</w:t>
      </w:r>
      <w:r w:rsidR="00E10F96" w:rsidRPr="00D77BD1">
        <w:rPr>
          <w:rFonts w:cs="Calibri"/>
          <w:color w:val="004147"/>
          <w:sz w:val="28"/>
          <w:szCs w:val="28"/>
        </w:rPr>
        <w:t xml:space="preserve"> </w:t>
      </w:r>
      <w:r w:rsidR="001A4E91" w:rsidRPr="00D77BD1">
        <w:rPr>
          <w:rFonts w:cs="Calibri"/>
          <w:color w:val="004147"/>
          <w:sz w:val="28"/>
          <w:szCs w:val="28"/>
        </w:rPr>
        <w:t>12 May 2025</w:t>
      </w:r>
    </w:p>
    <w:p w14:paraId="758BD364" w14:textId="77777777" w:rsidR="002D4A96" w:rsidRPr="00D9089F" w:rsidRDefault="002D4A96" w:rsidP="009C7A0B">
      <w:pPr>
        <w:pStyle w:val="Body"/>
        <w:ind w:left="284"/>
        <w:rPr>
          <w:rFonts w:eastAsia="Arial" w:cs="Calibri"/>
          <w:b/>
          <w:bCs/>
          <w:color w:val="000000" w:themeColor="text1"/>
          <w:sz w:val="24"/>
          <w:szCs w:val="24"/>
        </w:rPr>
      </w:pPr>
    </w:p>
    <w:p w14:paraId="10398770" w14:textId="77777777" w:rsidR="002D4A96" w:rsidRPr="00D9089F" w:rsidRDefault="002D4A96" w:rsidP="009C7A0B">
      <w:pPr>
        <w:pStyle w:val="Body"/>
        <w:ind w:left="284"/>
        <w:rPr>
          <w:rFonts w:eastAsia="Arial" w:cs="Calibri"/>
          <w:b/>
          <w:bCs/>
          <w:color w:val="000000" w:themeColor="text1"/>
          <w:sz w:val="24"/>
          <w:szCs w:val="24"/>
        </w:rPr>
      </w:pPr>
    </w:p>
    <w:p w14:paraId="4F930D5B" w14:textId="77777777" w:rsidR="002D4A96" w:rsidRDefault="002D4A96" w:rsidP="009C7A0B">
      <w:pPr>
        <w:pStyle w:val="Body"/>
        <w:rPr>
          <w:rFonts w:eastAsia="Arial" w:cs="Calibri"/>
          <w:b/>
          <w:bCs/>
          <w:color w:val="000000" w:themeColor="text1"/>
          <w:sz w:val="24"/>
          <w:szCs w:val="24"/>
        </w:rPr>
      </w:pPr>
    </w:p>
    <w:p w14:paraId="484CA879" w14:textId="77777777" w:rsidR="00D97234" w:rsidRDefault="00D97234" w:rsidP="009C7A0B">
      <w:pPr>
        <w:pStyle w:val="Body"/>
        <w:rPr>
          <w:rFonts w:eastAsia="Arial" w:cs="Calibri"/>
          <w:b/>
          <w:bCs/>
          <w:color w:val="000000" w:themeColor="text1"/>
          <w:sz w:val="24"/>
          <w:szCs w:val="24"/>
        </w:rPr>
      </w:pPr>
    </w:p>
    <w:p w14:paraId="41B2E89F" w14:textId="77777777" w:rsidR="00D97234" w:rsidRDefault="00D97234" w:rsidP="009C7A0B">
      <w:pPr>
        <w:pStyle w:val="Body"/>
        <w:rPr>
          <w:rFonts w:eastAsia="Arial" w:cs="Calibri"/>
          <w:b/>
          <w:bCs/>
          <w:color w:val="000000" w:themeColor="text1"/>
          <w:sz w:val="24"/>
          <w:szCs w:val="24"/>
        </w:rPr>
      </w:pPr>
    </w:p>
    <w:p w14:paraId="28EB28E4" w14:textId="77777777" w:rsidR="00D97234" w:rsidRDefault="00D97234" w:rsidP="009C7A0B">
      <w:pPr>
        <w:pStyle w:val="Body"/>
        <w:rPr>
          <w:rFonts w:eastAsia="Arial" w:cs="Calibri"/>
          <w:b/>
          <w:bCs/>
          <w:color w:val="000000" w:themeColor="text1"/>
          <w:sz w:val="24"/>
          <w:szCs w:val="24"/>
        </w:rPr>
      </w:pPr>
    </w:p>
    <w:p w14:paraId="07DB51E1" w14:textId="77777777" w:rsidR="00D97234" w:rsidRDefault="00D97234" w:rsidP="009C7A0B">
      <w:pPr>
        <w:pStyle w:val="Body"/>
        <w:rPr>
          <w:rFonts w:eastAsia="Arial" w:cs="Calibri"/>
          <w:b/>
          <w:bCs/>
          <w:color w:val="000000" w:themeColor="text1"/>
          <w:sz w:val="24"/>
          <w:szCs w:val="24"/>
        </w:rPr>
      </w:pPr>
    </w:p>
    <w:p w14:paraId="63972A5E" w14:textId="77777777" w:rsidR="00D97234" w:rsidRDefault="00D97234" w:rsidP="009C7A0B">
      <w:pPr>
        <w:pStyle w:val="Body"/>
        <w:rPr>
          <w:rFonts w:eastAsia="Arial" w:cs="Calibri"/>
          <w:b/>
          <w:bCs/>
          <w:color w:val="000000" w:themeColor="text1"/>
          <w:sz w:val="24"/>
          <w:szCs w:val="24"/>
        </w:rPr>
      </w:pPr>
    </w:p>
    <w:p w14:paraId="168ED86B" w14:textId="77777777" w:rsidR="00D97234" w:rsidRDefault="00D97234" w:rsidP="009C7A0B">
      <w:pPr>
        <w:pStyle w:val="Body"/>
        <w:rPr>
          <w:rFonts w:eastAsia="Arial" w:cs="Calibri"/>
          <w:b/>
          <w:bCs/>
          <w:color w:val="000000" w:themeColor="text1"/>
          <w:sz w:val="24"/>
          <w:szCs w:val="24"/>
        </w:rPr>
      </w:pPr>
    </w:p>
    <w:p w14:paraId="0F4B06E4" w14:textId="77777777" w:rsidR="00D97234" w:rsidRDefault="00D97234" w:rsidP="009C7A0B">
      <w:pPr>
        <w:pStyle w:val="Body"/>
        <w:rPr>
          <w:rFonts w:eastAsia="Arial" w:cs="Calibri"/>
          <w:b/>
          <w:bCs/>
          <w:color w:val="000000" w:themeColor="text1"/>
          <w:sz w:val="24"/>
          <w:szCs w:val="24"/>
        </w:rPr>
      </w:pPr>
    </w:p>
    <w:p w14:paraId="5051BF09" w14:textId="77777777" w:rsidR="00D97234" w:rsidRDefault="00D97234" w:rsidP="009C7A0B">
      <w:pPr>
        <w:pStyle w:val="Body"/>
        <w:rPr>
          <w:rFonts w:eastAsia="Arial" w:cs="Calibri"/>
          <w:b/>
          <w:bCs/>
          <w:color w:val="000000" w:themeColor="text1"/>
          <w:sz w:val="24"/>
          <w:szCs w:val="24"/>
        </w:rPr>
      </w:pPr>
    </w:p>
    <w:p w14:paraId="7417B7B2" w14:textId="77777777" w:rsidR="00D97234" w:rsidRDefault="00D97234" w:rsidP="009C7A0B">
      <w:pPr>
        <w:pStyle w:val="Body"/>
        <w:rPr>
          <w:rFonts w:eastAsia="Arial" w:cs="Calibri"/>
          <w:b/>
          <w:bCs/>
          <w:color w:val="000000" w:themeColor="text1"/>
          <w:sz w:val="24"/>
          <w:szCs w:val="24"/>
        </w:rPr>
      </w:pPr>
    </w:p>
    <w:p w14:paraId="723092B7" w14:textId="3FCD2AF7" w:rsidR="004D3920" w:rsidRPr="0023097E" w:rsidRDefault="00376B4A" w:rsidP="009C7A0B">
      <w:pPr>
        <w:pStyle w:val="Body"/>
        <w:rPr>
          <w:rFonts w:cs="Calibri"/>
          <w:b/>
          <w:bCs/>
          <w:color w:val="000000" w:themeColor="text1"/>
          <w:sz w:val="32"/>
          <w:szCs w:val="32"/>
        </w:rPr>
      </w:pPr>
      <w:r w:rsidRPr="0023097E">
        <w:rPr>
          <w:rFonts w:eastAsia="Arial" w:cs="Calibri"/>
          <w:b/>
          <w:bCs/>
          <w:color w:val="000000" w:themeColor="text1"/>
          <w:sz w:val="32"/>
          <w:szCs w:val="32"/>
        </w:rPr>
        <w:lastRenderedPageBreak/>
        <w:t xml:space="preserve">1.1 </w:t>
      </w:r>
      <w:r w:rsidR="004D3920" w:rsidRPr="0023097E">
        <w:rPr>
          <w:rFonts w:cs="Calibri"/>
          <w:b/>
          <w:bCs/>
          <w:color w:val="000000" w:themeColor="text1"/>
          <w:sz w:val="32"/>
          <w:szCs w:val="32"/>
        </w:rPr>
        <w:t xml:space="preserve">Differentiate between employee involvement and employee participation and how they build relationships. </w:t>
      </w:r>
    </w:p>
    <w:p w14:paraId="7A01D67B" w14:textId="77777777" w:rsidR="00FC7FB7"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In human resource management, employee involvement and employee participation are distinct concepts that serve different purposes in fostering positive employment relationships.</w:t>
      </w:r>
    </w:p>
    <w:p w14:paraId="6ECB9864" w14:textId="7486FF6C"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br/>
        <w:t>Employee involvement refers to the informal process through which managers engage staff members in the company's operational activities. This process aims to increase employee commitment by seeking their feedback on work-related topics, which can occur through consultations, surveys, and team briefings (CIPD, N.D.). By participating in this process, employees strengthen their relationship with their employers and gain recognition. For daily or weekly team meetings, for instance, nurses or healthcare support staff members review any challenges during their shifts, health and safety issues, and patient care. They could advocate for necessary changes and identify what is working and what is not. Even though they arrange these brief, informal meetings, ward managers improve communication and morale by making employees feel heard and appreciated.</w:t>
      </w:r>
      <w:r w:rsidRPr="00A47F9C">
        <w:rPr>
          <w:rFonts w:ascii="Calibri" w:hAnsi="Calibri" w:cs="Calibri"/>
          <w:color w:val="000000" w:themeColor="text1"/>
          <w:u w:color="000000"/>
          <w14:textOutline w14:w="0" w14:cap="flat" w14:cmpd="sng" w14:algn="ctr">
            <w14:noFill/>
            <w14:prstDash w14:val="solid"/>
            <w14:bevel/>
          </w14:textOutline>
        </w:rPr>
        <w:br/>
        <w:t>Employee participation, on the other hand, refers to the involvement of employees in decision-making processes, usually through partnership agreements, joint consultation committees, or trade union representation.</w:t>
      </w:r>
    </w:p>
    <w:p w14:paraId="13A23236"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Based on pluralist views that acknowledge that employees and upper management may have different goals, describe participation as a more focused on groups and structured way of completing tasks (Taylor and Woodhams, 2022).</w:t>
      </w:r>
    </w:p>
    <w:p w14:paraId="506CFB16"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 </w:t>
      </w:r>
    </w:p>
    <w:p w14:paraId="7FE9610A"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According to CIPD (2024f), involvement and participation improve workplace connections, interaction, and engagement. An open-door policy and frequent feedback help employees to feel valued and heard, therefore reducing isolation. Participation structures let everyone contribute, therefore promoting ownership and preventing inequality of power. </w:t>
      </w:r>
    </w:p>
    <w:p w14:paraId="373CCBF9"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With 22.4% of UK workers unionised in 2023, mostly in public services. For the public sector, trade union membership is still absolutely vital (Statista, 2024).</w:t>
      </w:r>
    </w:p>
    <w:p w14:paraId="3269D55E"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 </w:t>
      </w:r>
    </w:p>
    <w:p w14:paraId="212B3CAF" w14:textId="2F30BFC7" w:rsidR="00A47F9C" w:rsidRPr="00A47F9C" w:rsidRDefault="00A47F9C" w:rsidP="001A2616">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For Nottinghamshire Healthcare NHS, a part of the NHS, staff forums and consultations have enhanced employee voic</w:t>
      </w:r>
      <w:r>
        <w:rPr>
          <w:rFonts w:ascii="Calibri" w:hAnsi="Calibri" w:cs="Calibri"/>
          <w:color w:val="000000" w:themeColor="text1"/>
          <w:u w:color="000000"/>
          <w14:textOutline w14:w="0" w14:cap="flat" w14:cmpd="sng" w14:algn="ctr">
            <w14:noFill/>
            <w14:prstDash w14:val="solid"/>
            <w14:bevel/>
          </w14:textOutline>
        </w:rPr>
        <w:t>e.</w:t>
      </w:r>
      <w:r w:rsidR="009E0967">
        <w:rPr>
          <w:rFonts w:ascii="Calibri" w:hAnsi="Calibri" w:cs="Calibri"/>
          <w:color w:val="000000" w:themeColor="text1"/>
          <w:u w:color="000000"/>
          <w14:textOutline w14:w="0" w14:cap="flat" w14:cmpd="sng" w14:algn="ctr">
            <w14:noFill/>
            <w14:prstDash w14:val="solid"/>
            <w14:bevel/>
          </w14:textOutline>
        </w:rPr>
        <w:t xml:space="preserve"> </w:t>
      </w:r>
      <w:r w:rsidRPr="00A47F9C">
        <w:rPr>
          <w:rFonts w:ascii="Calibri" w:hAnsi="Calibri" w:cs="Calibri"/>
          <w:color w:val="000000" w:themeColor="text1"/>
          <w:u w:color="000000"/>
          <w14:textOutline w14:w="0" w14:cap="flat" w14:cmpd="sng" w14:algn="ctr">
            <w14:noFill/>
            <w14:prstDash w14:val="solid"/>
            <w14:bevel/>
          </w14:textOutline>
        </w:rPr>
        <w:t>This case study, conducted by Nottingham Trent University and the University of Twente, demonstrates how employee involvement boosted engagement and trust, thereby improving workplace harmony after the restructuring (CIPD, 202)</w:t>
      </w:r>
      <w:r w:rsidR="001A2616">
        <w:rPr>
          <w:rFonts w:ascii="Calibri" w:hAnsi="Calibri" w:cs="Calibri"/>
          <w:color w:val="000000" w:themeColor="text1"/>
          <w:u w:color="000000"/>
          <w14:textOutline w14:w="0" w14:cap="flat" w14:cmpd="sng" w14:algn="ctr">
            <w14:noFill/>
            <w14:prstDash w14:val="solid"/>
            <w14:bevel/>
          </w14:textOutline>
        </w:rPr>
        <w:t>.</w:t>
      </w:r>
    </w:p>
    <w:p w14:paraId="12C3CEA2"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 </w:t>
      </w:r>
    </w:p>
    <w:p w14:paraId="7CDAD425" w14:textId="77777777"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Dispute resolution methods include informal resolution, such as mediation; formal procedures, such as disciplinary and grievance procedures; and alternative dispute resolution (ADR), such as conciliation and arbitration (ACAS, 2015).</w:t>
      </w:r>
    </w:p>
    <w:p w14:paraId="72099197" w14:textId="524C11DD" w:rsidR="00A47F9C" w:rsidRPr="00A47F9C" w:rsidRDefault="00A47F9C" w:rsidP="00A47F9C">
      <w:pPr>
        <w:rPr>
          <w:rFonts w:ascii="Calibri" w:hAnsi="Calibri" w:cs="Calibri"/>
          <w:color w:val="000000" w:themeColor="text1"/>
          <w:u w:color="000000"/>
          <w14:textOutline w14:w="0" w14:cap="flat" w14:cmpd="sng" w14:algn="ctr">
            <w14:noFill/>
            <w14:prstDash w14:val="solid"/>
            <w14:bevel/>
          </w14:textOutline>
        </w:rPr>
      </w:pPr>
      <w:r w:rsidRPr="00A47F9C">
        <w:rPr>
          <w:rFonts w:ascii="Calibri" w:hAnsi="Calibri" w:cs="Calibri"/>
          <w:color w:val="000000" w:themeColor="text1"/>
          <w:u w:color="000000"/>
          <w14:textOutline w14:w="0" w14:cap="flat" w14:cmpd="sng" w14:algn="ctr">
            <w14:noFill/>
            <w14:prstDash w14:val="solid"/>
            <w14:bevel/>
          </w14:textOutline>
        </w:rPr>
        <w:t>These behaviors work best when genuine; if not performed truthfully, they can cause employee dissatisfaction, especially in circumstances with recent mergers and new managers who may not understand public sector</w:t>
      </w:r>
      <w:r w:rsidR="003B11AC">
        <w:rPr>
          <w:rFonts w:ascii="Calibri" w:hAnsi="Calibri" w:cs="Calibri"/>
          <w:color w:val="000000" w:themeColor="text1"/>
          <w:u w:color="000000"/>
          <w14:textOutline w14:w="0" w14:cap="flat" w14:cmpd="sng" w14:algn="ctr">
            <w14:noFill/>
            <w14:prstDash w14:val="solid"/>
            <w14:bevel/>
          </w14:textOutline>
        </w:rPr>
        <w:t>.</w:t>
      </w:r>
    </w:p>
    <w:p w14:paraId="01E45779" w14:textId="77777777" w:rsidR="00593B88" w:rsidRPr="00D9089F" w:rsidRDefault="00593B88" w:rsidP="009C7A0B">
      <w:pPr>
        <w:rPr>
          <w:rFonts w:ascii="Calibri" w:hAnsi="Calibri" w:cs="Calibri"/>
          <w:color w:val="000000" w:themeColor="text1"/>
          <w:u w:color="000000"/>
          <w14:textOutline w14:w="0" w14:cap="flat" w14:cmpd="sng" w14:algn="ctr">
            <w14:noFill/>
            <w14:prstDash w14:val="solid"/>
            <w14:bevel/>
          </w14:textOutline>
        </w:rPr>
      </w:pPr>
    </w:p>
    <w:p w14:paraId="7F9AE4B7" w14:textId="77777777" w:rsidR="00593B88" w:rsidRPr="00D9089F" w:rsidRDefault="00593B88" w:rsidP="009C7A0B">
      <w:pPr>
        <w:rPr>
          <w:rFonts w:ascii="Calibri" w:hAnsi="Calibri" w:cs="Calibri"/>
          <w:color w:val="000000" w:themeColor="text1"/>
          <w:u w:color="000000"/>
          <w14:textOutline w14:w="0" w14:cap="flat" w14:cmpd="sng" w14:algn="ctr">
            <w14:noFill/>
            <w14:prstDash w14:val="solid"/>
            <w14:bevel/>
          </w14:textOutline>
        </w:rPr>
      </w:pPr>
    </w:p>
    <w:p w14:paraId="77308416" w14:textId="2A08231B" w:rsidR="004D3920" w:rsidRPr="00D9089F" w:rsidRDefault="008B6632" w:rsidP="009C7A0B">
      <w:pPr>
        <w:pStyle w:val="Body"/>
        <w:rPr>
          <w:rFonts w:cs="Calibri"/>
          <w:color w:val="000000" w:themeColor="text1"/>
          <w:sz w:val="24"/>
          <w:szCs w:val="24"/>
        </w:rPr>
      </w:pPr>
      <w:r w:rsidRPr="00D9089F">
        <w:rPr>
          <w:rFonts w:cs="Calibri"/>
          <w:color w:val="000000" w:themeColor="text1"/>
          <w:sz w:val="24"/>
          <w:szCs w:val="24"/>
        </w:rPr>
        <w:t xml:space="preserve">  </w:t>
      </w:r>
    </w:p>
    <w:p w14:paraId="20BD00A3" w14:textId="442FC6F1" w:rsidR="00131E41" w:rsidRPr="003A395E" w:rsidRDefault="004C62FB" w:rsidP="009C7A0B">
      <w:pPr>
        <w:pStyle w:val="Body"/>
        <w:rPr>
          <w:rFonts w:cs="Calibri"/>
          <w:b/>
          <w:bCs/>
          <w:color w:val="000000" w:themeColor="text1"/>
          <w:sz w:val="32"/>
          <w:szCs w:val="32"/>
        </w:rPr>
      </w:pPr>
      <w:r w:rsidRPr="003A395E">
        <w:rPr>
          <w:rFonts w:cs="Calibri"/>
          <w:b/>
          <w:bCs/>
          <w:color w:val="000000" w:themeColor="text1"/>
          <w:sz w:val="32"/>
          <w:szCs w:val="32"/>
        </w:rPr>
        <w:lastRenderedPageBreak/>
        <w:t xml:space="preserve">1.2 </w:t>
      </w:r>
      <w:r w:rsidR="00131E41" w:rsidRPr="003A395E">
        <w:rPr>
          <w:rFonts w:cs="Calibri"/>
          <w:b/>
          <w:bCs/>
          <w:color w:val="000000" w:themeColor="text1"/>
          <w:sz w:val="32"/>
          <w:szCs w:val="32"/>
        </w:rPr>
        <w:t>Compare forms of union and non-union employee</w:t>
      </w:r>
      <w:r w:rsidR="00351F6C" w:rsidRPr="003A395E">
        <w:rPr>
          <w:rFonts w:cs="Calibri"/>
          <w:b/>
          <w:bCs/>
          <w:color w:val="000000" w:themeColor="text1"/>
          <w:sz w:val="32"/>
          <w:szCs w:val="32"/>
        </w:rPr>
        <w:t xml:space="preserve"> </w:t>
      </w:r>
      <w:r w:rsidR="00131E41" w:rsidRPr="003A395E">
        <w:rPr>
          <w:rFonts w:cs="Calibri"/>
          <w:b/>
          <w:bCs/>
          <w:color w:val="000000" w:themeColor="text1"/>
          <w:sz w:val="32"/>
          <w:szCs w:val="32"/>
        </w:rPr>
        <w:t xml:space="preserve">representation. </w:t>
      </w:r>
    </w:p>
    <w:p w14:paraId="7857B419" w14:textId="47C43617" w:rsidR="003A395E" w:rsidRPr="003A395E" w:rsidRDefault="003A395E" w:rsidP="008658D8">
      <w:pPr>
        <w:pStyle w:val="Body"/>
        <w:rPr>
          <w:rFonts w:eastAsia="Times New Roman" w:cs="Calibri"/>
          <w:sz w:val="24"/>
          <w:szCs w:val="24"/>
          <w:bdr w:val="none" w:sz="0" w:space="0" w:color="auto"/>
        </w:rPr>
      </w:pPr>
      <w:r w:rsidRPr="003A395E">
        <w:rPr>
          <w:rFonts w:eastAsia="Times New Roman" w:cs="Calibri"/>
          <w:sz w:val="24"/>
          <w:szCs w:val="24"/>
          <w:bdr w:val="none" w:sz="0" w:space="0" w:color="auto"/>
        </w:rPr>
        <w:t xml:space="preserve">Both union and non-union employee representation aim to protect employees' rights and interests, but they differ significantly in how they're organised, how much authority </w:t>
      </w:r>
      <w:r w:rsidR="00E837CC">
        <w:rPr>
          <w:rFonts w:eastAsia="Times New Roman" w:cs="Calibri"/>
          <w:sz w:val="24"/>
          <w:szCs w:val="24"/>
          <w:bdr w:val="none" w:sz="0" w:space="0" w:color="auto"/>
        </w:rPr>
        <w:t xml:space="preserve">and influence </w:t>
      </w:r>
      <w:r w:rsidRPr="003A395E">
        <w:rPr>
          <w:rFonts w:eastAsia="Times New Roman" w:cs="Calibri"/>
          <w:sz w:val="24"/>
          <w:szCs w:val="24"/>
          <w:bdr w:val="none" w:sz="0" w:space="0" w:color="auto"/>
        </w:rPr>
        <w:t>they have</w:t>
      </w:r>
      <w:r w:rsidR="00E837CC">
        <w:rPr>
          <w:rFonts w:eastAsia="Times New Roman" w:cs="Calibri"/>
          <w:sz w:val="24"/>
          <w:szCs w:val="24"/>
          <w:bdr w:val="none" w:sz="0" w:space="0" w:color="auto"/>
        </w:rPr>
        <w:t>.</w:t>
      </w:r>
      <w:r w:rsidRPr="003A395E">
        <w:rPr>
          <w:rFonts w:eastAsia="Times New Roman" w:cs="Calibri"/>
          <w:sz w:val="24"/>
          <w:szCs w:val="24"/>
          <w:bdr w:val="none" w:sz="0" w:space="0" w:color="auto"/>
        </w:rPr>
        <w:t> </w:t>
      </w:r>
    </w:p>
    <w:p w14:paraId="57A52648" w14:textId="77777777"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b/>
          <w:bCs/>
          <w:sz w:val="24"/>
          <w:szCs w:val="24"/>
          <w:bdr w:val="none" w:sz="0" w:space="0" w:color="auto"/>
        </w:rPr>
        <w:t xml:space="preserve">A trade union </w:t>
      </w:r>
      <w:r w:rsidRPr="003A395E">
        <w:rPr>
          <w:rFonts w:eastAsia="Times New Roman" w:cs="Calibri"/>
          <w:sz w:val="24"/>
          <w:szCs w:val="24"/>
          <w:bdr w:val="none" w:sz="0" w:space="0" w:color="auto"/>
        </w:rPr>
        <w:t>is a group of employees who join together to maintain and improve their conditions of employment. Trade unions are independent organisations that assist and support their members through collectively bargaining for their fair salaries, employment rights, and better working conditions on behalf of all workers and working to enhance public services, participating in political campaigns, and organising industrial actions when necessary. UNISON is one of the trade unions in the United Kingdom (UNISON, 2025).</w:t>
      </w:r>
    </w:p>
    <w:p w14:paraId="75BA7417" w14:textId="77777777"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b/>
          <w:bCs/>
          <w:sz w:val="24"/>
          <w:szCs w:val="24"/>
          <w:bdr w:val="none" w:sz="0" w:space="0" w:color="auto"/>
        </w:rPr>
        <w:t xml:space="preserve">Non-union employee representation </w:t>
      </w:r>
      <w:r w:rsidRPr="003A395E">
        <w:rPr>
          <w:rFonts w:eastAsia="Times New Roman" w:cs="Calibri"/>
          <w:sz w:val="24"/>
          <w:szCs w:val="24"/>
          <w:bdr w:val="none" w:sz="0" w:space="0" w:color="auto"/>
        </w:rPr>
        <w:t>refers to employees being represented by individuals or groups within the organisation who are not part of a formal labor union. It includes employee resource groups, employee councils, TUPE and employee safety representatives, especially in organisations without union recognition. Employee representatives serve as a direct link between staff and management, helping to communicate shared concerns and reach agreements without involving external parties. This approach to representation has drawn interest from HR professionals (This vs. That, 2023; Labour Relations Agency, 2022).</w:t>
      </w:r>
    </w:p>
    <w:p w14:paraId="0D0491B1" w14:textId="7BCC1393"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sz w:val="24"/>
          <w:szCs w:val="24"/>
          <w:bdr w:val="none" w:sz="0" w:space="0" w:color="auto"/>
        </w:rPr>
        <w:t xml:space="preserve">Whether unionised or not, these representatives play a key role in </w:t>
      </w:r>
      <w:r w:rsidR="00762153">
        <w:rPr>
          <w:rFonts w:eastAsia="Times New Roman" w:cs="Calibri"/>
          <w:sz w:val="24"/>
          <w:szCs w:val="24"/>
          <w:bdr w:val="none" w:sz="0" w:space="0" w:color="auto"/>
        </w:rPr>
        <w:t>helping</w:t>
      </w:r>
      <w:r w:rsidRPr="003A395E">
        <w:rPr>
          <w:rFonts w:eastAsia="Times New Roman" w:cs="Calibri"/>
          <w:sz w:val="24"/>
          <w:szCs w:val="24"/>
          <w:bdr w:val="none" w:sz="0" w:space="0" w:color="auto"/>
        </w:rPr>
        <w:t xml:space="preserve"> effective communication and collaboration within the workplace. Both union and non-union employee representatives play a crucial role in facilitating communications between employees and management. Both union representatives, who typically operate under a formal collective bargaining framework, and non-union representatives, who may function through more informal or consultative mechanisms, are crucial in sharing the common employee concerns and interests with the management, so supporting and participating in discussions on effective workplace relations, so promoting a positive organisational culture, and so improving employee well-being (CIPD, 2025).</w:t>
      </w:r>
    </w:p>
    <w:p w14:paraId="0355E62E" w14:textId="77777777"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sz w:val="24"/>
          <w:szCs w:val="24"/>
          <w:bdr w:val="none" w:sz="0" w:space="0" w:color="auto"/>
        </w:rPr>
        <w:t>The demands of the employees and the company culture determine whether to have union or non-union employee representation. Union representation, which is prevalent in industries where employment disputes arise, offers legal protections, collective bargaining power, and the capacity to negotiate legally binding agreements or take industrial action (such as strikes). Officially recognized and independent, union representatives act on behalf of paying members. Conversely, non-union representation fosters open communication through internal forums or staff committees and performs well in cooperative environments. Despite their adaptability and teamwork, non-union representatives lack legal authority, bargaining power, and the capacity to negotiate legally binding agreements.</w:t>
      </w:r>
    </w:p>
    <w:p w14:paraId="116C3301" w14:textId="77777777" w:rsidR="003A395E" w:rsidRPr="003A395E" w:rsidRDefault="003A395E" w:rsidP="003A395E">
      <w:pPr>
        <w:pStyle w:val="Body"/>
        <w:rPr>
          <w:rFonts w:eastAsia="Times New Roman" w:cs="Calibri"/>
          <w:sz w:val="24"/>
          <w:szCs w:val="24"/>
          <w:bdr w:val="none" w:sz="0" w:space="0" w:color="auto"/>
        </w:rPr>
      </w:pPr>
      <w:r w:rsidRPr="003A395E">
        <w:rPr>
          <w:rFonts w:eastAsia="Times New Roman" w:cs="Calibri"/>
          <w:sz w:val="24"/>
          <w:szCs w:val="24"/>
          <w:bdr w:val="none" w:sz="0" w:space="0" w:color="auto"/>
        </w:rPr>
        <w:t>They play an advisory role and rely on employer cooperation (CIPD, 2025; Labour Relations Agency, 2022).</w:t>
      </w:r>
    </w:p>
    <w:p w14:paraId="095966F6" w14:textId="0E72061A" w:rsidR="001461CF" w:rsidRPr="003A395E" w:rsidRDefault="00287015" w:rsidP="009C7A0B">
      <w:pPr>
        <w:pStyle w:val="Body"/>
        <w:rPr>
          <w:rFonts w:cs="Calibri"/>
          <w:b/>
          <w:bCs/>
          <w:color w:val="auto"/>
          <w:sz w:val="32"/>
          <w:szCs w:val="32"/>
        </w:rPr>
      </w:pPr>
      <w:r w:rsidRPr="003A395E">
        <w:rPr>
          <w:rFonts w:cs="Calibri"/>
          <w:b/>
          <w:bCs/>
          <w:color w:val="auto"/>
          <w:sz w:val="32"/>
          <w:szCs w:val="32"/>
        </w:rPr>
        <w:lastRenderedPageBreak/>
        <w:t xml:space="preserve">1.3 </w:t>
      </w:r>
      <w:r w:rsidR="001461CF" w:rsidRPr="003A395E">
        <w:rPr>
          <w:rFonts w:cs="Calibri"/>
          <w:b/>
          <w:bCs/>
          <w:color w:val="auto"/>
          <w:sz w:val="32"/>
          <w:szCs w:val="32"/>
        </w:rPr>
        <w:t xml:space="preserve">Evaluate the relationship between employee voice and organisational performance. </w:t>
      </w:r>
    </w:p>
    <w:p w14:paraId="451101A9" w14:textId="77777777" w:rsidR="008658D8" w:rsidRPr="008658D8" w:rsidRDefault="008658D8" w:rsidP="008658D8">
      <w:pPr>
        <w:pStyle w:val="Body"/>
        <w:rPr>
          <w:rFonts w:cs="Calibri"/>
          <w:sz w:val="24"/>
          <w:szCs w:val="24"/>
        </w:rPr>
      </w:pPr>
      <w:r w:rsidRPr="008658D8">
        <w:rPr>
          <w:rFonts w:cs="Calibri"/>
          <w:sz w:val="24"/>
          <w:szCs w:val="24"/>
        </w:rPr>
        <w:t>Employee voice is the freedom and capacity of workers to communicate their views, ideas, and concerns to their employer, influencing work-related decisions. Formal channels—such as employee surveys, suggestion boxes, and joint consultation committees—or informal channels—direct conversation with managers—are critical components of employment relations, allowing employees to feel valued and engaged, which can drive organisational improvement—CIPD, 2025).</w:t>
      </w:r>
    </w:p>
    <w:p w14:paraId="38797751" w14:textId="77777777" w:rsidR="008658D8" w:rsidRPr="008658D8" w:rsidRDefault="008658D8" w:rsidP="008658D8">
      <w:pPr>
        <w:pStyle w:val="Body"/>
        <w:rPr>
          <w:rFonts w:cs="Calibri"/>
          <w:sz w:val="24"/>
          <w:szCs w:val="24"/>
        </w:rPr>
      </w:pPr>
      <w:r w:rsidRPr="008658D8">
        <w:rPr>
          <w:rFonts w:cs="Calibri"/>
          <w:sz w:val="24"/>
          <w:szCs w:val="24"/>
        </w:rPr>
        <w:t>The connection between employee voice and organisational effectiveness is supported by a number of theories. Daniels (2022) claims that the unitarist viewpoint sees organisations as unified structures where employee feedback coordinates personal and organisational objectives, improving performance through common goals. On the other hand, the pluralist perspective suggests that there are various interests within the company and proposes that employee voice acts as a fair means of balancing different interests, which could enhance equality and improve the effectiveness of decision-making (Armstrong and Taylor 2021). Furthermore, according to social exchange theory, when workers believe their opinions are respected and acknowledged, they respond by becoming more committed, motivated, and productive, which starts a positive feedback process (CIPD, 2025).</w:t>
      </w:r>
    </w:p>
    <w:p w14:paraId="26E3222A" w14:textId="77777777" w:rsidR="008658D8" w:rsidRPr="008658D8" w:rsidRDefault="008658D8" w:rsidP="008658D8">
      <w:pPr>
        <w:pStyle w:val="Body"/>
        <w:rPr>
          <w:rFonts w:cs="Calibri"/>
          <w:sz w:val="24"/>
          <w:szCs w:val="24"/>
        </w:rPr>
      </w:pPr>
      <w:r w:rsidRPr="008658D8">
        <w:rPr>
          <w:rFonts w:cs="Calibri"/>
          <w:sz w:val="24"/>
          <w:szCs w:val="24"/>
        </w:rPr>
        <w:t>According to CIPD (2024a; 2025), organisations achieve better performance outcomes when they actively encourage employee voice, allowing individuals to share their ideas, concerns, and suggestions. Paying attention to what employees have to say helps build a workplace where people feel respected and that they belong. This kind of environment often leads to higher job satisfaction, stronger loyalty to the organisation and lower employee turnover. When employees know they're valued, they're more likely to remain in their roles, which helps reduce the costs of hiring and training new staff. Encouragement of employee voice also brings a greater spectrum of ideas to the forefront, which promotes continuous development and more innovative problem-solving. Employers can support this by using formal and informal tools such as staff surveys, grievance procedures, and employee forums, as well as team meetings, open-door policies, staff reps, and online platforms of communication (Armstrong and Taylor, 2020; ipa, no date).</w:t>
      </w:r>
    </w:p>
    <w:p w14:paraId="72A26086" w14:textId="77777777" w:rsidR="008658D8" w:rsidRPr="008658D8" w:rsidRDefault="008658D8" w:rsidP="008658D8">
      <w:pPr>
        <w:pStyle w:val="Body"/>
        <w:rPr>
          <w:rFonts w:cs="Calibri"/>
          <w:sz w:val="24"/>
          <w:szCs w:val="24"/>
        </w:rPr>
      </w:pPr>
      <w:r w:rsidRPr="008658D8">
        <w:rPr>
          <w:rFonts w:cs="Calibri"/>
          <w:sz w:val="24"/>
          <w:szCs w:val="24"/>
        </w:rPr>
        <w:t>Companies such as Toyota have used employee voice to empower frontline workers, which has helped raise efficiency and product quality. Open, two-way communication also builds trust between employee and employer, allowing for better collaboration and a more motivated workforce. By surfacing day-to-day issues and helping to improve how things are done, employee voice becomes a valuable part of a company's strategy for growth and productivity (Woods, 2011).</w:t>
      </w:r>
    </w:p>
    <w:p w14:paraId="5A5DE884" w14:textId="77777777" w:rsidR="008658D8" w:rsidRPr="008658D8" w:rsidRDefault="008658D8" w:rsidP="008658D8">
      <w:pPr>
        <w:pStyle w:val="Body"/>
        <w:rPr>
          <w:rFonts w:cs="Calibri"/>
          <w:sz w:val="24"/>
          <w:szCs w:val="24"/>
        </w:rPr>
      </w:pPr>
      <w:r w:rsidRPr="008658D8">
        <w:rPr>
          <w:rFonts w:cs="Calibri"/>
          <w:sz w:val="24"/>
          <w:szCs w:val="24"/>
        </w:rPr>
        <w:t xml:space="preserve">Although the advantages are obvious, true execution is necessary for employee voice to be effective. Tokenistic techniques, in which input is requested but not implemented, can result in distrust and low morale, which may hinder performance, according to the CIPD (2025). Companies need to foster a psychologically safe environment where workers can express their opinions without worrying about retaliation. According to Armstrong and </w:t>
      </w:r>
      <w:r w:rsidRPr="008658D8">
        <w:rPr>
          <w:rFonts w:cs="Calibri"/>
          <w:sz w:val="24"/>
          <w:szCs w:val="24"/>
        </w:rPr>
        <w:lastRenderedPageBreak/>
        <w:t>Taylor (2021), to successfully include voice mechanisms into HR initiatives, leadership commitment is necessary.</w:t>
      </w:r>
    </w:p>
    <w:p w14:paraId="696F829D" w14:textId="77777777" w:rsidR="00AA2540" w:rsidRPr="00D9089F" w:rsidRDefault="00AA2540" w:rsidP="009C7A0B">
      <w:pPr>
        <w:pStyle w:val="Body"/>
        <w:rPr>
          <w:rFonts w:cs="Calibri"/>
          <w:color w:val="auto"/>
          <w:sz w:val="24"/>
          <w:szCs w:val="24"/>
        </w:rPr>
      </w:pPr>
    </w:p>
    <w:p w14:paraId="7EE871C1" w14:textId="1485BB4F" w:rsidR="001D03E8" w:rsidRPr="00CD36E2" w:rsidRDefault="00973311" w:rsidP="009C7A0B">
      <w:pPr>
        <w:pStyle w:val="Body"/>
        <w:rPr>
          <w:rFonts w:cs="Calibri"/>
          <w:color w:val="auto"/>
          <w:sz w:val="32"/>
          <w:szCs w:val="32"/>
        </w:rPr>
      </w:pPr>
      <w:r w:rsidRPr="00CD36E2">
        <w:rPr>
          <w:rFonts w:cs="Calibri"/>
          <w:b/>
          <w:bCs/>
          <w:color w:val="auto"/>
          <w:sz w:val="32"/>
          <w:szCs w:val="32"/>
        </w:rPr>
        <w:t xml:space="preserve">1.4 </w:t>
      </w:r>
      <w:r w:rsidR="001D03E8" w:rsidRPr="00CD36E2">
        <w:rPr>
          <w:rFonts w:cs="Calibri"/>
          <w:b/>
          <w:bCs/>
          <w:color w:val="auto"/>
          <w:sz w:val="32"/>
          <w:szCs w:val="32"/>
        </w:rPr>
        <w:t>Explain the concept of better working lives and how this can be designed</w:t>
      </w:r>
      <w:r w:rsidR="009B2EE0" w:rsidRPr="00CD36E2">
        <w:rPr>
          <w:rFonts w:cs="Calibri"/>
          <w:b/>
          <w:bCs/>
          <w:color w:val="auto"/>
          <w:sz w:val="32"/>
          <w:szCs w:val="32"/>
        </w:rPr>
        <w:t>.</w:t>
      </w:r>
    </w:p>
    <w:p w14:paraId="1609BD48"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The concept of better working lives focuses on creating work environments that promote employee wellbeing, involvement, and productivity. Good work is characterised by seven dimensions: pay and benefits, contracts, work–life balance, job design and the nature of work, relationships at work, employee voice, and health and well-being (CIPD, 2024a).</w:t>
      </w:r>
    </w:p>
    <w:p w14:paraId="0EAF33F9"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Daniels (2022) discusses the legal and HR frameworks that support good work, like fair hiring practices. On the other hand, Armstrong and Taylor (2020) discuss the role of good work in HR strategy and the connection between job quality, engagement, and performance. The "What's hampering 'Good Work'?" CIPD Podcast (2024h) goes into more detail about the problems that stop people from doing good work. The podcast discusses workplace conflict as a serious issue, linking it to poor mental health, negative opinions of leadership, and higher turnover intentions.</w:t>
      </w:r>
    </w:p>
    <w:p w14:paraId="72698F80"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The CIPD Good Work Index (2024) discusses each dimension, which are essential for creating a positive work environment:</w:t>
      </w:r>
    </w:p>
    <w:p w14:paraId="56B31C9B"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Fair Rewards and Security Skill development and career fulfillment; supportive environments and relationships; work-life balance; health and well-being; voice and choice; and accessibility.</w:t>
      </w:r>
    </w:p>
    <w:p w14:paraId="305D50EF"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Designing better working lives means including these elements in corporate policies using particular techniques to handle each:</w:t>
      </w:r>
    </w:p>
    <w:p w14:paraId="06F6A683"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Job Design &amp; Meaningful Work: Workers view their jobs more and more as essentially transactional (Index, 2024). Reversing this requires intentional, well-defined responsibilities supported by chances for skill usage. Feeling valued increases involvement and work satisfaction.</w:t>
      </w:r>
    </w:p>
    <w:p w14:paraId="3F5EA038"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Workplace Wellbeing: Although some say their health improves at their place of employment, others say their health declines (Index, 2024). Especially in times of financial difficulty, managers should promote well-being by means of resilience-building, goal-setting, and communication.</w:t>
      </w:r>
    </w:p>
    <w:p w14:paraId="2C3559C3"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Employee Autonomy: Autonomy enhances well-being, yet not all groups have equal access (Index, 2024). Leaders should promote flexibility and inclusive tech use to increase employee control, voice, and empowerment.</w:t>
      </w:r>
    </w:p>
    <w:p w14:paraId="15C16A61"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lastRenderedPageBreak/>
        <w:t>·       Work-Life Balance: More people find it easier to take time off, but continued focus is needed (Index, 2024). Early implementation of flexible policies and manager training is key to maintaining balance.</w:t>
      </w:r>
    </w:p>
    <w:p w14:paraId="381ACB3A"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Job Security: Many feel secure in their current roles, though fewer believe they could find similar work (Index, 2024). Inclusive hiring and talent strategies can improve both perceived and actual job security.</w:t>
      </w:r>
    </w:p>
    <w:p w14:paraId="76F34E8D"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Skills and Training: Overqualification remains a challenge (Index, 2024). Organisations should align roles and skills through audits, recruitment changes, and useful training to support development and retention.</w:t>
      </w:r>
    </w:p>
    <w:p w14:paraId="6F19794C"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Overcoming Barriers: Workplace conflict is common and affects mental health and retention (Podcast, 2024). Building trust and psychological safety is essential to create supportive, inclusive environments.</w:t>
      </w:r>
    </w:p>
    <w:p w14:paraId="3F4F3F09"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       Leveraging Technology: Technology, especially AI, can improve job quality and productivity. When guided by strategy and flexibility, it supports accessibility, well-being, and skill growth (CIPD, 2025).</w:t>
      </w:r>
    </w:p>
    <w:p w14:paraId="5E3221CC" w14:textId="77777777" w:rsidR="00E7024D" w:rsidRPr="00E7024D" w:rsidRDefault="00E7024D" w:rsidP="00E702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Designing better working lives is vital for maintaining employee commitment and supporting workplace harmony in the public sector after the merger, which involves significant staff changes and new leadership from the private sector. With minimal knowledge of public sector employee relations, the incoming teams have to give training on union cooperation and conflict resolution top priority, therefore ensuring alignment with public sector ideals. This approach helps to properly handle issues of performance, disciplinary, and grievance management (Daniels, 2022; Armstrong and Taylor, 2020).</w:t>
      </w:r>
    </w:p>
    <w:p w14:paraId="16E90FEB" w14:textId="62EF414A" w:rsidR="00097411" w:rsidRPr="0073584D" w:rsidRDefault="00E7024D" w:rsidP="0073584D">
      <w:pPr>
        <w:spacing w:after="160" w:line="278" w:lineRule="auto"/>
        <w:rPr>
          <w:rFonts w:ascii="Calibri" w:eastAsia="Times New Roman" w:hAnsi="Calibri" w:cs="Calibri"/>
          <w:u w:color="000000"/>
          <w:bdr w:val="none" w:sz="0" w:space="0" w:color="auto"/>
        </w:rPr>
      </w:pPr>
      <w:r w:rsidRPr="00E7024D">
        <w:rPr>
          <w:rFonts w:ascii="Calibri" w:eastAsia="Times New Roman" w:hAnsi="Calibri" w:cs="Calibri"/>
          <w:u w:color="000000"/>
          <w:bdr w:val="none" w:sz="0" w:space="0" w:color="auto"/>
        </w:rPr>
        <w:t>Fair rewards, security, development, supporting environments, balance, health, voice, and accessibility describe better working lives. Designing them calls for strategic work design, wellness promotion, autonomy, flexibility, security, skill development, overcoming obstacles including conflict, and using technology. Particularly in the public sector post-merger environment, this all-encompassing strategy improves employee wellbeing, organisational performance, and social outcomes, therefore guaranteeing that employment is rewarding and sustainable.</w:t>
      </w:r>
    </w:p>
    <w:p w14:paraId="520F4FD5" w14:textId="77777777" w:rsidR="0073584D" w:rsidRDefault="0073584D" w:rsidP="009C7A0B">
      <w:pPr>
        <w:spacing w:after="160" w:line="278" w:lineRule="auto"/>
        <w:rPr>
          <w:rFonts w:ascii="Calibri" w:hAnsi="Calibri" w:cs="Calibri"/>
        </w:rPr>
      </w:pPr>
    </w:p>
    <w:p w14:paraId="4DE017A4" w14:textId="77777777" w:rsidR="0073584D" w:rsidRDefault="0073584D" w:rsidP="009C7A0B">
      <w:pPr>
        <w:spacing w:after="160" w:line="278" w:lineRule="auto"/>
        <w:rPr>
          <w:rFonts w:ascii="Calibri" w:hAnsi="Calibri" w:cs="Calibri"/>
        </w:rPr>
      </w:pPr>
    </w:p>
    <w:p w14:paraId="5DA2E603" w14:textId="3076852F" w:rsidR="00FC5991" w:rsidRPr="00A311DE" w:rsidRDefault="00FC5991" w:rsidP="009C7A0B">
      <w:pPr>
        <w:spacing w:after="160" w:line="278" w:lineRule="auto"/>
        <w:rPr>
          <w:rFonts w:ascii="Calibri" w:hAnsi="Calibri" w:cs="Calibri"/>
          <w:sz w:val="32"/>
          <w:szCs w:val="32"/>
        </w:rPr>
      </w:pPr>
      <w:r w:rsidRPr="00A311DE">
        <w:rPr>
          <w:rFonts w:ascii="Calibri" w:hAnsi="Calibri" w:cs="Calibri"/>
          <w:b/>
          <w:bCs/>
          <w:sz w:val="32"/>
          <w:szCs w:val="32"/>
        </w:rPr>
        <w:t>2.1 Distinguish between organisational conflict and misbehavior.</w:t>
      </w:r>
    </w:p>
    <w:p w14:paraId="48BF89FD" w14:textId="703E87A6" w:rsidR="007C2567" w:rsidRPr="007C2567" w:rsidRDefault="007C2567" w:rsidP="008756F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bookmarkStart w:id="1" w:name="_Hlk196658815"/>
      <w:r w:rsidRPr="007C2567">
        <w:rPr>
          <w:rFonts w:ascii="Calibri" w:eastAsia="Times New Roman" w:hAnsi="Calibri" w:cs="Calibri"/>
          <w:bdr w:val="none" w:sz="0" w:space="0" w:color="auto"/>
        </w:rPr>
        <w:t xml:space="preserve">Conflict at work arises from the differing experiences, opinions, and feelings that employers and employees have about certain occurrences. </w:t>
      </w:r>
      <w:r w:rsidR="008756FB" w:rsidRPr="008756FB">
        <w:rPr>
          <w:rFonts w:ascii="Calibri" w:eastAsia="Times New Roman" w:hAnsi="Calibri" w:cs="Calibri"/>
          <w:bdr w:val="none" w:sz="0" w:space="0" w:color="auto"/>
        </w:rPr>
        <w:t>Inequalities</w:t>
      </w:r>
      <w:r w:rsidRPr="007C2567">
        <w:rPr>
          <w:rFonts w:ascii="Calibri" w:eastAsia="Times New Roman" w:hAnsi="Calibri" w:cs="Calibri"/>
          <w:bdr w:val="none" w:sz="0" w:space="0" w:color="auto"/>
        </w:rPr>
        <w:t xml:space="preserve"> can lead to misunderstandings and interpersonal conflict. When conflict results in distress, disruption, or unethical actions like bullying or harassment, it turns into an undesirable circumstance.</w:t>
      </w:r>
    </w:p>
    <w:p w14:paraId="771D84C6"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lastRenderedPageBreak/>
        <w:t>Conflict can also be constructive, as seen in productive debates or healthy rivalry that fosters innovation. It can be invisible, like lingering resentment or social isolation, or obvious, like verbal disagreements. Understanding the true causes of conflict is essential for managing it effectively and maintaining a healthy work environment (CIPD, 2020).</w:t>
      </w:r>
    </w:p>
    <w:p w14:paraId="427BA647"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Organisational misbehavior is an intentional action by employees that deviates from accepted organisational standards, policies, or objectives. These behaviors can range from minor violations, like dishonesty and absenteeism, to severe violations and misconduct, such as theft or destruction. Misbehavior is usually deliberate and can undermine organisational performance (Aylott, 2022).</w:t>
      </w:r>
    </w:p>
    <w:p w14:paraId="1CA6BF7F"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For example, a disagreement between nurses and management over staff shortages would lead to tensions but will improve patient care quality and staff well-being. However, when an employee misuses patient data and breaches confidentiality rules, it results in disciplinary action.</w:t>
      </w:r>
    </w:p>
    <w:p w14:paraId="440D2C79"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Although differing points of view or interests might lead to conflict, violations of rules are not usually a factor. While it can lead to conflict, most often, disagreements arise from differing points of view or goals instead of misbehavior. Misbehavior is a deliberate breach of business policies and standards. While misconduct typically requires an appropriate response, disagreements are inevitable and can improve organisational dynamics when managed effectively. Many things can trigger workplace conflict. Poor communication often leads to misunderstandings within teams or between individuals. Lack of resources is another factor that could lead to rivalry over few resources. Since departments or individuals may have conflicting personal or professional ambitions, conflicting values or goals are also relevant (CIPD, 2020).</w:t>
      </w:r>
    </w:p>
    <w:p w14:paraId="487006C8"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However, misbehavior could result from several underlying problems. Among these is unfair treatment by the employer, which could cause resentment or disengagement. Inappropriate behavior can also stem from a lack of involvement itself, in which case employees feel cut off from the goals of the company. Misalignment with the company's values and standards can also lead to misbehavior at work.</w:t>
      </w:r>
    </w:p>
    <w:p w14:paraId="0CC104EB"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Unresolved conflicts have the potential to lower morale. This situation reduces teamwork and results in less work being completed. However, if effectively managed, it can foster creativity and strengthen team unity.</w:t>
      </w:r>
    </w:p>
    <w:p w14:paraId="63E6722D"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Misbehavior can lead to worse outcomes, such as harming the organisation's reputation, financial losses, and legal liabilities. It can also create a toxic work environment. These events can result in a significant increase in employee turnover (CIPD, 2024g).</w:t>
      </w:r>
    </w:p>
    <w:p w14:paraId="1AB71B24" w14:textId="77777777" w:rsidR="007C2567" w:rsidRPr="007C2567" w:rsidRDefault="007C2567" w:rsidP="007C2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7C2567">
        <w:rPr>
          <w:rFonts w:ascii="Calibri" w:eastAsia="Times New Roman" w:hAnsi="Calibri" w:cs="Calibri"/>
          <w:bdr w:val="none" w:sz="0" w:space="0" w:color="auto"/>
        </w:rPr>
        <w:t>Understanding the distinction between organisational conflict and misbehavior is crucial for effective people management. While conflict, when managed well, can help the organisation and personal growth, misbehavior poses significant risks that require proactive management. Implementing appropriate strategies to address both can enhance organisational performance and employee well-being.</w:t>
      </w:r>
    </w:p>
    <w:p w14:paraId="7D98F20A" w14:textId="77777777" w:rsidR="007C2567" w:rsidRPr="007C2567" w:rsidRDefault="007C2567" w:rsidP="007C2567">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510"/>
        <w:rPr>
          <w:rFonts w:eastAsia="Times New Roman"/>
          <w:bdr w:val="none" w:sz="0" w:space="0" w:color="auto"/>
        </w:rPr>
      </w:pPr>
      <w:r w:rsidRPr="007C2567">
        <w:rPr>
          <w:rFonts w:eastAsia="Times New Roman"/>
          <w:bdr w:val="none" w:sz="0" w:space="0" w:color="auto"/>
        </w:rPr>
        <w:t> </w:t>
      </w:r>
    </w:p>
    <w:p w14:paraId="79721DCD" w14:textId="53CAFEF8" w:rsidR="00207692" w:rsidRPr="00C61B1D" w:rsidRDefault="00207692" w:rsidP="009C7A0B">
      <w:pPr>
        <w:pStyle w:val="Body"/>
        <w:numPr>
          <w:ilvl w:val="1"/>
          <w:numId w:val="51"/>
        </w:numPr>
        <w:rPr>
          <w:rFonts w:cs="Calibri"/>
          <w:b/>
          <w:bCs/>
          <w:color w:val="auto"/>
          <w:sz w:val="32"/>
          <w:szCs w:val="32"/>
        </w:rPr>
      </w:pPr>
      <w:r w:rsidRPr="00C61B1D">
        <w:rPr>
          <w:rFonts w:cs="Calibri"/>
          <w:b/>
          <w:bCs/>
          <w:color w:val="auto"/>
          <w:sz w:val="32"/>
          <w:szCs w:val="32"/>
        </w:rPr>
        <w:lastRenderedPageBreak/>
        <w:t>Assess emerging trends in the types of conflict and industrial sanctions</w:t>
      </w:r>
      <w:bookmarkEnd w:id="1"/>
      <w:r w:rsidRPr="00C61B1D">
        <w:rPr>
          <w:rFonts w:cs="Calibri"/>
          <w:b/>
          <w:bCs/>
          <w:color w:val="auto"/>
          <w:sz w:val="32"/>
          <w:szCs w:val="32"/>
        </w:rPr>
        <w:t xml:space="preserve">. </w:t>
      </w:r>
    </w:p>
    <w:p w14:paraId="0B4651BE" w14:textId="77777777" w:rsidR="00457ECF" w:rsidRPr="00D9089F" w:rsidRDefault="009C13D4" w:rsidP="00D32F3C">
      <w:pPr>
        <w:rPr>
          <w:rFonts w:ascii="Calibri" w:hAnsi="Calibri" w:cs="Calibri"/>
        </w:rPr>
      </w:pPr>
      <w:r w:rsidRPr="00D9089F">
        <w:rPr>
          <w:rFonts w:ascii="Calibri" w:hAnsi="Calibri" w:cs="Calibri"/>
        </w:rPr>
        <w:t xml:space="preserve">There have been 3.9 million missed workdays in the UK because of strikes in the last year, which is the most since the 1980s (Resolution Foundation, 2023). The rising cost of living and falling real wages are among the factors contributing to this increase. Strikes are particularly concentrated in the public and transport sectors, where unionisation remains strong. </w:t>
      </w:r>
    </w:p>
    <w:p w14:paraId="0FE5FDFE" w14:textId="77777777" w:rsidR="002F69B0" w:rsidRPr="00D9089F" w:rsidRDefault="009C13D4" w:rsidP="00D32F3C">
      <w:pPr>
        <w:rPr>
          <w:rFonts w:ascii="Calibri" w:hAnsi="Calibri" w:cs="Calibri"/>
        </w:rPr>
      </w:pPr>
      <w:r w:rsidRPr="00D9089F">
        <w:rPr>
          <w:rFonts w:ascii="Calibri" w:hAnsi="Calibri" w:cs="Calibri"/>
        </w:rPr>
        <w:t xml:space="preserve">A CIPD news release from 2022 indicates that more than half of employers think that the UK's employment relations are about to become less stable, and 42% think that there will be more strikes the following year (CIPD, 2022). </w:t>
      </w:r>
      <w:r w:rsidR="002F69B0" w:rsidRPr="00D9089F">
        <w:rPr>
          <w:rFonts w:ascii="Calibri" w:hAnsi="Calibri" w:cs="Calibri"/>
        </w:rPr>
        <w:t>Unlike the prolonged strikes of the 1970s and 1980s, strikes nowadays usually last less time and are better scheduled. Historical data reveals a change in strike patterns:</w:t>
      </w:r>
    </w:p>
    <w:p w14:paraId="0C679322" w14:textId="77777777" w:rsidR="002F69B0" w:rsidRPr="00D9089F" w:rsidRDefault="002F69B0" w:rsidP="00D32F3C">
      <w:pPr>
        <w:rPr>
          <w:rFonts w:ascii="Calibri" w:hAnsi="Calibri" w:cs="Calibri"/>
        </w:rPr>
      </w:pPr>
    </w:p>
    <w:p w14:paraId="6E3E36CA" w14:textId="054DB48C" w:rsidR="009C13D4" w:rsidRPr="00D9089F" w:rsidRDefault="009C13D4" w:rsidP="00D32F3C">
      <w:pPr>
        <w:rPr>
          <w:rFonts w:ascii="Calibri" w:hAnsi="Calibri" w:cs="Calibri"/>
        </w:rPr>
      </w:pPr>
      <w:r w:rsidRPr="00D9089F">
        <w:rPr>
          <w:rFonts w:ascii="Calibri" w:hAnsi="Calibri" w:cs="Calibri"/>
        </w:rPr>
        <w:t>•          1970s: 12.9 million days lost annually (broad sector)</w:t>
      </w:r>
    </w:p>
    <w:p w14:paraId="2885B4A5" w14:textId="77777777" w:rsidR="009C13D4" w:rsidRPr="00D9089F" w:rsidRDefault="009C13D4" w:rsidP="00D32F3C">
      <w:pPr>
        <w:rPr>
          <w:rFonts w:ascii="Calibri" w:hAnsi="Calibri" w:cs="Calibri"/>
        </w:rPr>
      </w:pPr>
      <w:r w:rsidRPr="00D9089F">
        <w:rPr>
          <w:rFonts w:ascii="Calibri" w:hAnsi="Calibri" w:cs="Calibri"/>
        </w:rPr>
        <w:t>•          1980s: 7.2 million (broad sector)</w:t>
      </w:r>
    </w:p>
    <w:p w14:paraId="1061D301" w14:textId="77777777" w:rsidR="009C13D4" w:rsidRPr="00D9089F" w:rsidRDefault="009C13D4" w:rsidP="00D32F3C">
      <w:pPr>
        <w:rPr>
          <w:rFonts w:ascii="Calibri" w:hAnsi="Calibri" w:cs="Calibri"/>
        </w:rPr>
      </w:pPr>
      <w:r w:rsidRPr="00D9089F">
        <w:rPr>
          <w:rFonts w:ascii="Calibri" w:hAnsi="Calibri" w:cs="Calibri"/>
        </w:rPr>
        <w:t xml:space="preserve">•          2000s–2020s: &lt;1 million, but recently rising to 3.9 million, mostly in    </w:t>
      </w:r>
    </w:p>
    <w:p w14:paraId="57F26767" w14:textId="0EA199A9" w:rsidR="009C13D4" w:rsidRPr="00D9089F" w:rsidRDefault="009C13D4" w:rsidP="00D32F3C">
      <w:pPr>
        <w:rPr>
          <w:rFonts w:ascii="Calibri" w:hAnsi="Calibri" w:cs="Calibri"/>
        </w:rPr>
      </w:pPr>
      <w:r w:rsidRPr="00D9089F">
        <w:rPr>
          <w:rFonts w:ascii="Calibri" w:hAnsi="Calibri" w:cs="Calibri"/>
        </w:rPr>
        <w:t xml:space="preserve">            the public sector (CIPD, 2020).</w:t>
      </w:r>
    </w:p>
    <w:p w14:paraId="07B8A9CD" w14:textId="77777777" w:rsidR="009C13D4" w:rsidRPr="00D9089F" w:rsidRDefault="009C13D4" w:rsidP="00D32F3C">
      <w:pPr>
        <w:rPr>
          <w:rFonts w:ascii="Calibri" w:hAnsi="Calibri" w:cs="Calibri"/>
        </w:rPr>
      </w:pPr>
    </w:p>
    <w:p w14:paraId="0EE23DDC" w14:textId="77777777" w:rsidR="00AE2F83" w:rsidRPr="00D9089F" w:rsidRDefault="009C13D4" w:rsidP="00D32F3C">
      <w:pPr>
        <w:rPr>
          <w:rFonts w:ascii="Calibri" w:hAnsi="Calibri" w:cs="Calibri"/>
        </w:rPr>
      </w:pPr>
      <w:r w:rsidRPr="00D9089F">
        <w:rPr>
          <w:rFonts w:ascii="Calibri" w:hAnsi="Calibri" w:cs="Calibri"/>
        </w:rPr>
        <w:t xml:space="preserve">In 2011, 92% of strike days were linked to the public sector, highlighting where union influence is most effective (CIPD, 2012). </w:t>
      </w:r>
    </w:p>
    <w:p w14:paraId="050ED798" w14:textId="7B508B5F" w:rsidR="00AE2F83" w:rsidRPr="00D9089F" w:rsidRDefault="009C13D4" w:rsidP="00D32F3C">
      <w:pPr>
        <w:rPr>
          <w:rFonts w:ascii="Calibri" w:hAnsi="Calibri" w:cs="Calibri"/>
        </w:rPr>
      </w:pPr>
      <w:r w:rsidRPr="00D9089F">
        <w:rPr>
          <w:rFonts w:ascii="Calibri" w:hAnsi="Calibri" w:cs="Calibri"/>
        </w:rPr>
        <w:t>While union power in the private sector has declined due to changing laws and more individualised employment practices, public sector unions remain active and relevant</w:t>
      </w:r>
      <w:r w:rsidR="001B1428" w:rsidRPr="00D9089F">
        <w:rPr>
          <w:rFonts w:ascii="Calibri" w:hAnsi="Calibri" w:cs="Calibri"/>
        </w:rPr>
        <w:t xml:space="preserve"> 55% of employers acknowledge that unions continue to play an important role in protecting employees from ineffective or unfair management (CIPD, </w:t>
      </w:r>
      <w:r w:rsidR="00C61B1D" w:rsidRPr="00D9089F">
        <w:rPr>
          <w:rFonts w:ascii="Calibri" w:hAnsi="Calibri" w:cs="Calibri"/>
        </w:rPr>
        <w:t>2022)</w:t>
      </w:r>
      <w:r w:rsidR="001B1428" w:rsidRPr="00D9089F">
        <w:rPr>
          <w:rFonts w:ascii="Calibri" w:hAnsi="Calibri" w:cs="Calibri"/>
        </w:rPr>
        <w:t>.</w:t>
      </w:r>
    </w:p>
    <w:p w14:paraId="7DB44838" w14:textId="77777777" w:rsidR="00AE2F83" w:rsidRPr="00D9089F" w:rsidRDefault="00AE2F83" w:rsidP="00D32F3C">
      <w:pPr>
        <w:rPr>
          <w:rFonts w:ascii="Calibri" w:hAnsi="Calibri" w:cs="Calibri"/>
        </w:rPr>
      </w:pPr>
    </w:p>
    <w:p w14:paraId="5368CCBC" w14:textId="77777777" w:rsidR="00DC7139" w:rsidRPr="00D9089F" w:rsidRDefault="009C13D4" w:rsidP="00D32F3C">
      <w:pPr>
        <w:rPr>
          <w:rFonts w:ascii="Calibri" w:hAnsi="Calibri" w:cs="Calibri"/>
        </w:rPr>
      </w:pPr>
      <w:r w:rsidRPr="00D9089F">
        <w:rPr>
          <w:rFonts w:ascii="Calibri" w:hAnsi="Calibri" w:cs="Calibri"/>
        </w:rPr>
        <w:t xml:space="preserve">Despite some decline, employer-employee relations have generally improved. 87% of businesses claim to have a positive working relationship with their employees, according to CIPD. During the COVID-19 pandemic, many employers worked well with unions (CIPD, 2022). </w:t>
      </w:r>
    </w:p>
    <w:p w14:paraId="242894F3" w14:textId="77109D20" w:rsidR="00AE2F83" w:rsidRPr="00D9089F" w:rsidRDefault="009C13D4" w:rsidP="00D32F3C">
      <w:pPr>
        <w:rPr>
          <w:rFonts w:ascii="Calibri" w:hAnsi="Calibri" w:cs="Calibri"/>
        </w:rPr>
      </w:pPr>
      <w:r w:rsidRPr="00D9089F">
        <w:rPr>
          <w:rFonts w:ascii="Calibri" w:hAnsi="Calibri" w:cs="Calibri"/>
        </w:rPr>
        <w:t xml:space="preserve">In their answer to the consultation for 2024, the CIPD continues this trend by focusing on sector-based cooperation and constructive engagement as ways to handle conflict (CIPD, 2024). </w:t>
      </w:r>
    </w:p>
    <w:p w14:paraId="3DE9BE2C" w14:textId="77777777" w:rsidR="00FC5991" w:rsidRPr="00D9089F" w:rsidRDefault="00FC5991" w:rsidP="00D32F3C">
      <w:pPr>
        <w:rPr>
          <w:rFonts w:ascii="Calibri" w:hAnsi="Calibri" w:cs="Calibri"/>
        </w:rPr>
      </w:pPr>
    </w:p>
    <w:p w14:paraId="1046630D" w14:textId="77777777" w:rsidR="00AE2F83" w:rsidRPr="00D9089F" w:rsidRDefault="009C13D4" w:rsidP="00D32F3C">
      <w:pPr>
        <w:rPr>
          <w:rFonts w:ascii="Calibri" w:hAnsi="Calibri" w:cs="Calibri"/>
        </w:rPr>
      </w:pPr>
      <w:r w:rsidRPr="00D9089F">
        <w:rPr>
          <w:rFonts w:ascii="Calibri" w:hAnsi="Calibri" w:cs="Calibri"/>
        </w:rPr>
        <w:t>Legislation also plays a vital role. As job models evolve — including the rise of gig work and insecure work — there is growing recognition of the need for updated industrial relations laws. Modernising employment relations was recently put to the test by the UK government (CIPD, 2024) as part of a debate.</w:t>
      </w:r>
    </w:p>
    <w:p w14:paraId="686412CD" w14:textId="77777777" w:rsidR="00D32F3C" w:rsidRDefault="00D32F3C" w:rsidP="00D32F3C">
      <w:pPr>
        <w:pStyle w:val="Body"/>
        <w:rPr>
          <w:rFonts w:cs="Calibri"/>
          <w:sz w:val="24"/>
          <w:szCs w:val="24"/>
        </w:rPr>
      </w:pPr>
      <w:r w:rsidRPr="00D32F3C">
        <w:rPr>
          <w:rFonts w:cs="Calibri"/>
          <w:sz w:val="24"/>
          <w:szCs w:val="24"/>
        </w:rPr>
        <w:t>Generally speaking, the increase in strike activity especially in the public sector shows increasing financial difficulty. Unions will have to change to remain relevant even if they still have impact. The industrial relations scene of today demands modern laws and a more cooperative strategy to handle fresh and difficult problems.</w:t>
      </w:r>
    </w:p>
    <w:p w14:paraId="38C830A6" w14:textId="77777777" w:rsidR="000802F8" w:rsidRDefault="000802F8" w:rsidP="00D32F3C">
      <w:pPr>
        <w:pStyle w:val="Body"/>
        <w:rPr>
          <w:rFonts w:cs="Calibri"/>
          <w:sz w:val="24"/>
          <w:szCs w:val="24"/>
        </w:rPr>
      </w:pPr>
    </w:p>
    <w:p w14:paraId="415CC67C" w14:textId="77777777" w:rsidR="000802F8" w:rsidRDefault="000802F8" w:rsidP="00D32F3C">
      <w:pPr>
        <w:pStyle w:val="Body"/>
        <w:rPr>
          <w:rFonts w:cs="Calibri"/>
          <w:sz w:val="24"/>
          <w:szCs w:val="24"/>
        </w:rPr>
      </w:pPr>
    </w:p>
    <w:p w14:paraId="2A99FAA3" w14:textId="77777777" w:rsidR="000802F8" w:rsidRPr="00D32F3C" w:rsidRDefault="000802F8" w:rsidP="00D32F3C">
      <w:pPr>
        <w:pStyle w:val="Body"/>
        <w:rPr>
          <w:rFonts w:cs="Calibri"/>
          <w:sz w:val="24"/>
          <w:szCs w:val="24"/>
        </w:rPr>
      </w:pPr>
    </w:p>
    <w:p w14:paraId="17FBA849" w14:textId="7BB707FA" w:rsidR="004D3920" w:rsidRPr="00D9089F" w:rsidRDefault="00301C6F" w:rsidP="009C7A0B">
      <w:pPr>
        <w:pStyle w:val="Body"/>
        <w:rPr>
          <w:rFonts w:cs="Calibri"/>
          <w:b/>
          <w:bCs/>
          <w:color w:val="auto"/>
          <w:sz w:val="24"/>
          <w:szCs w:val="24"/>
        </w:rPr>
      </w:pPr>
      <w:r w:rsidRPr="000802F8">
        <w:rPr>
          <w:rFonts w:cs="Calibri"/>
          <w:b/>
          <w:bCs/>
          <w:color w:val="auto"/>
          <w:sz w:val="32"/>
          <w:szCs w:val="32"/>
        </w:rPr>
        <w:lastRenderedPageBreak/>
        <w:t xml:space="preserve">2.3 </w:t>
      </w:r>
      <w:r w:rsidR="009E0BE7" w:rsidRPr="000802F8">
        <w:rPr>
          <w:rFonts w:cs="Calibri"/>
          <w:b/>
          <w:bCs/>
          <w:color w:val="auto"/>
          <w:sz w:val="32"/>
          <w:szCs w:val="32"/>
        </w:rPr>
        <w:t>Distinguish between third-party conciliation, mediation and arbitration</w:t>
      </w:r>
      <w:r w:rsidR="007069B2" w:rsidRPr="000802F8">
        <w:rPr>
          <w:rFonts w:cs="Calibri"/>
          <w:b/>
          <w:bCs/>
          <w:color w:val="auto"/>
          <w:sz w:val="32"/>
          <w:szCs w:val="32"/>
        </w:rPr>
        <w:t>.</w:t>
      </w:r>
    </w:p>
    <w:p w14:paraId="768E8983" w14:textId="77777777" w:rsidR="00B00D5F" w:rsidRPr="00D9089F" w:rsidRDefault="00B00D5F"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Employee representation offers staff members a voice and helps problems be resolved before they become more serious. Still essential in this regard is the union system, particularly in the public sector, where membership is higher. Through collective bargaining (CIPD, 2024), they negotiate compensation and conditions and significantly help to prevent conflicts.</w:t>
      </w:r>
    </w:p>
    <w:p w14:paraId="401D981C" w14:textId="77777777" w:rsidR="00B00D5F" w:rsidRPr="00D9089F" w:rsidRDefault="00B00D5F"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Especially in less unionised companies, non-union representatives also are rather important. Safety representatives and information and consultation representatives (ICE), who participate in consultations about changes, are included in the various categories identified by ACAS (2021).</w:t>
      </w:r>
      <w:r w:rsidRPr="00D9089F">
        <w:rPr>
          <w:rFonts w:ascii="Calibri" w:eastAsia="Times New Roman" w:hAnsi="Calibri" w:cs="Calibri"/>
          <w:bdr w:val="none" w:sz="0" w:space="0" w:color="auto"/>
        </w:rPr>
        <w:br/>
        <w:t xml:space="preserve">Pension and TUPE representatives assist employees during corporate transitions. </w:t>
      </w:r>
      <w:r w:rsidRPr="00D9089F">
        <w:rPr>
          <w:rFonts w:ascii="Calibri" w:eastAsia="Times New Roman" w:hAnsi="Calibri" w:cs="Calibri"/>
          <w:bdr w:val="none" w:sz="0" w:space="0" w:color="auto"/>
        </w:rPr>
        <w:br/>
      </w:r>
      <w:r w:rsidRPr="00D9089F">
        <w:rPr>
          <w:rFonts w:ascii="Calibri" w:eastAsia="Times New Roman" w:hAnsi="Calibri" w:cs="Calibri"/>
          <w:bdr w:val="none" w:sz="0" w:space="0" w:color="auto"/>
        </w:rPr>
        <w:br/>
        <w:t xml:space="preserve">Redundancy representatives are chosen during staff reductions. </w:t>
      </w:r>
      <w:r w:rsidRPr="00D9089F">
        <w:rPr>
          <w:rFonts w:ascii="Calibri" w:eastAsia="Times New Roman" w:hAnsi="Calibri" w:cs="Calibri"/>
          <w:bdr w:val="none" w:sz="0" w:space="0" w:color="auto"/>
        </w:rPr>
        <w:br/>
        <w:t>These positions help keep open lines of contact and lower workplace conflict (ACAS, 2021).</w:t>
      </w:r>
    </w:p>
    <w:p w14:paraId="33A44DD7" w14:textId="750FAD2E" w:rsidR="00241C6D" w:rsidRPr="00D9089F" w:rsidRDefault="00B00D5F"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bookmarkStart w:id="2" w:name="_Hlk191233269"/>
      <w:bookmarkStart w:id="3" w:name="_Hlk191219136"/>
      <w:r w:rsidRPr="00D9089F">
        <w:rPr>
          <w:rFonts w:ascii="Calibri" w:eastAsia="Times New Roman" w:hAnsi="Calibri" w:cs="Calibri"/>
          <w:bdr w:val="none" w:sz="0" w:space="0" w:color="auto"/>
        </w:rPr>
        <w:t>Whether between people or among larger groups, workplace conflict calls for quick and efficient resolution. Various strategies exist:</w:t>
      </w:r>
      <w:r w:rsidRPr="00D9089F">
        <w:rPr>
          <w:rFonts w:ascii="Calibri" w:eastAsia="Times New Roman" w:hAnsi="Calibri" w:cs="Calibri"/>
          <w:bdr w:val="none" w:sz="0" w:space="0" w:color="auto"/>
        </w:rPr>
        <w:br/>
        <w:t>Often before legal claims are submitted, ACAS helps both sides come to agreed-upon decisions (ACAS, 2021).</w:t>
      </w:r>
      <w:r w:rsidRPr="00D9089F">
        <w:rPr>
          <w:rFonts w:ascii="Calibri" w:eastAsia="Times New Roman" w:hAnsi="Calibri" w:cs="Calibri"/>
          <w:bdr w:val="none" w:sz="0" w:space="0" w:color="auto"/>
        </w:rPr>
        <w:br/>
        <w:t xml:space="preserve">Aiming to mend relationships and prevent escalation (ACAS, 2022b), a neutral third party helps to mediate communication. </w:t>
      </w:r>
      <w:r w:rsidRPr="00D9089F">
        <w:rPr>
          <w:rFonts w:ascii="Calibri" w:eastAsia="Times New Roman" w:hAnsi="Calibri" w:cs="Calibri"/>
          <w:bdr w:val="none" w:sz="0" w:space="0" w:color="auto"/>
        </w:rPr>
        <w:br/>
      </w:r>
      <w:r w:rsidRPr="00D9089F">
        <w:rPr>
          <w:rFonts w:ascii="Calibri" w:eastAsia="Times New Roman" w:hAnsi="Calibri" w:cs="Calibri"/>
          <w:bdr w:val="none" w:sz="0" w:space="0" w:color="auto"/>
        </w:rPr>
        <w:br/>
        <w:t xml:space="preserve">After hearing all sides, an arbitrator makes a legally binding ruling providing closure in more complicated or significant conflicts (ACAS, 2022a). </w:t>
      </w:r>
      <w:r w:rsidRPr="00D9089F">
        <w:rPr>
          <w:rFonts w:ascii="Calibri" w:eastAsia="Times New Roman" w:hAnsi="Calibri" w:cs="Calibri"/>
          <w:bdr w:val="none" w:sz="0" w:space="0" w:color="auto"/>
        </w:rPr>
        <w:br/>
        <w:t xml:space="preserve">Conciliation and mediation are typically more collaborative, while arbitration provides a definitive outcome. </w:t>
      </w:r>
      <w:r w:rsidRPr="00D9089F">
        <w:rPr>
          <w:rFonts w:ascii="Calibri" w:eastAsia="Times New Roman" w:hAnsi="Calibri" w:cs="Calibri"/>
          <w:bdr w:val="none" w:sz="0" w:space="0" w:color="auto"/>
        </w:rPr>
        <w:br/>
      </w:r>
      <w:r w:rsidRPr="00D9089F">
        <w:rPr>
          <w:rFonts w:ascii="Calibri" w:eastAsia="Times New Roman" w:hAnsi="Calibri" w:cs="Calibri"/>
          <w:bdr w:val="none" w:sz="0" w:space="0" w:color="auto"/>
        </w:rPr>
        <w:br/>
        <w:t xml:space="preserve">Dealing with performance, grievances, and discipline calls for both legal compliance and justice. Clear guidelines for investigations, hearings, and appeals occur in the 2015 ACAS Code of Practice. The code guarantees procedures are open and non-discriminatory in tandem with the Employment Rights Act 1996 and Equality Act 2010. Among best practices is early intervention in performance problems. Fair, recorded disciplinary action supported by a right to representation. It is crucial to handle grievances in a fair and timely manner. </w:t>
      </w:r>
    </w:p>
    <w:p w14:paraId="202FAFFF" w14:textId="44956DDB" w:rsidR="00B00D5F" w:rsidRPr="00D9089F" w:rsidRDefault="00B00D5F"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br/>
        <w:t>Ultimately</w:t>
      </w:r>
      <w:r w:rsidR="00241C6D" w:rsidRPr="00D9089F">
        <w:rPr>
          <w:rFonts w:ascii="Calibri" w:eastAsia="Times New Roman" w:hAnsi="Calibri" w:cs="Calibri"/>
          <w:bdr w:val="none" w:sz="0" w:space="0" w:color="auto"/>
        </w:rPr>
        <w:t>, i</w:t>
      </w:r>
      <w:r w:rsidRPr="00D9089F">
        <w:rPr>
          <w:rFonts w:ascii="Calibri" w:eastAsia="Times New Roman" w:hAnsi="Calibri" w:cs="Calibri"/>
          <w:bdr w:val="none" w:sz="0" w:space="0" w:color="auto"/>
        </w:rPr>
        <w:t>n the post-merger environment, we must maintain strong representation and equitable conflict resolution. Whether via trade unions, non-union representatives, or outside systems like conciliation and mediation, these instruments guarantee workers feel heard and treated fairly—so building the basis for a healthy and efficient workplace.</w:t>
      </w:r>
    </w:p>
    <w:p w14:paraId="5596DF2B" w14:textId="77777777" w:rsidR="00B447E3" w:rsidRPr="00D9089F" w:rsidRDefault="00B447E3" w:rsidP="009C7A0B">
      <w:pPr>
        <w:pStyle w:val="Body"/>
        <w:rPr>
          <w:rFonts w:eastAsia="Times New Roman" w:cs="Calibri"/>
          <w:color w:val="70AD47" w:themeColor="accent6"/>
          <w:sz w:val="24"/>
          <w:szCs w:val="24"/>
          <w:bdr w:val="none" w:sz="0" w:space="0" w:color="auto"/>
        </w:rPr>
      </w:pPr>
    </w:p>
    <w:p w14:paraId="3CAF4CF0" w14:textId="77777777" w:rsidR="00B447E3" w:rsidRPr="00D9089F" w:rsidRDefault="00B447E3" w:rsidP="009C7A0B">
      <w:pPr>
        <w:pStyle w:val="Body"/>
        <w:rPr>
          <w:rFonts w:eastAsia="Times New Roman" w:cs="Calibri"/>
          <w:color w:val="70AD47" w:themeColor="accent6"/>
          <w:sz w:val="24"/>
          <w:szCs w:val="24"/>
          <w:bdr w:val="none" w:sz="0" w:space="0" w:color="auto"/>
        </w:rPr>
      </w:pPr>
    </w:p>
    <w:p w14:paraId="221EF072" w14:textId="2584B04B" w:rsidR="00A76F20" w:rsidRPr="000C065D" w:rsidRDefault="00FB47C8" w:rsidP="009C7A0B">
      <w:pPr>
        <w:pStyle w:val="Body"/>
        <w:rPr>
          <w:rFonts w:cs="Calibri"/>
          <w:b/>
          <w:bCs/>
          <w:color w:val="auto"/>
          <w:sz w:val="32"/>
          <w:szCs w:val="32"/>
        </w:rPr>
      </w:pPr>
      <w:r w:rsidRPr="000C065D">
        <w:rPr>
          <w:rFonts w:cs="Calibri"/>
          <w:b/>
          <w:bCs/>
          <w:color w:val="auto"/>
          <w:sz w:val="32"/>
          <w:szCs w:val="32"/>
        </w:rPr>
        <w:lastRenderedPageBreak/>
        <w:t xml:space="preserve">3.1 </w:t>
      </w:r>
      <w:r w:rsidR="00A76F20" w:rsidRPr="000C065D">
        <w:rPr>
          <w:rFonts w:cs="Calibri"/>
          <w:b/>
          <w:bCs/>
          <w:color w:val="auto"/>
          <w:sz w:val="32"/>
          <w:szCs w:val="32"/>
        </w:rPr>
        <w:t xml:space="preserve">Explain the principles of legislation relating to unfair dismissal in respect of capability and misconduct </w:t>
      </w:r>
      <w:r w:rsidR="00FF3472" w:rsidRPr="000C065D">
        <w:rPr>
          <w:rFonts w:cs="Calibri"/>
          <w:b/>
          <w:bCs/>
          <w:color w:val="auto"/>
          <w:sz w:val="32"/>
          <w:szCs w:val="32"/>
        </w:rPr>
        <w:t>issues.</w:t>
      </w:r>
    </w:p>
    <w:p w14:paraId="323163CA" w14:textId="77777777" w:rsidR="00CA471A" w:rsidRPr="00D9089F" w:rsidRDefault="00CA471A" w:rsidP="009C7A0B">
      <w:pPr>
        <w:rPr>
          <w:rFonts w:ascii="Calibri" w:hAnsi="Calibri" w:cs="Calibri"/>
        </w:rPr>
      </w:pPr>
      <w:r w:rsidRPr="00D9089F">
        <w:rPr>
          <w:rFonts w:ascii="Calibri" w:hAnsi="Calibri" w:cs="Calibri"/>
        </w:rPr>
        <w:t>Employees with at least two years of service are protected from unfair dismissal under UK legislation, specifically the Employment Rights Act 1996, unless it is due to one of five valid reasons: capability, behavior, redundancy, illegality, or another significant reason (Daniel, 2022). Employers must adhere to a fair procedure that includes meetings, investigations, and an appeals process even if they have a good reason.</w:t>
      </w:r>
    </w:p>
    <w:p w14:paraId="671808B8" w14:textId="77777777" w:rsidR="00CA471A" w:rsidRPr="00D9089F" w:rsidRDefault="00CA471A" w:rsidP="009C7A0B">
      <w:pPr>
        <w:rPr>
          <w:rFonts w:ascii="Calibri" w:hAnsi="Calibri" w:cs="Calibri"/>
        </w:rPr>
      </w:pPr>
    </w:p>
    <w:p w14:paraId="1AD96FA4" w14:textId="77777777" w:rsidR="005520D3" w:rsidRPr="00D9089F" w:rsidRDefault="00CA471A" w:rsidP="005520D3">
      <w:pPr>
        <w:rPr>
          <w:rFonts w:ascii="Calibri" w:hAnsi="Calibri" w:cs="Calibri"/>
        </w:rPr>
      </w:pPr>
      <w:r w:rsidRPr="00D9089F">
        <w:rPr>
          <w:rFonts w:ascii="Calibri" w:hAnsi="Calibri" w:cs="Calibri"/>
        </w:rPr>
        <w:t xml:space="preserve">Capability refers to an employee's capacity to perform their role, influenced by factors such as skill level, health status, or related aptitude (Aylott, 2022). </w:t>
      </w:r>
      <w:r w:rsidR="005520D3" w:rsidRPr="00D9089F">
        <w:rPr>
          <w:rFonts w:ascii="Calibri" w:hAnsi="Calibri" w:cs="Calibri"/>
        </w:rPr>
        <w:t>Employers have to comply with an appropriate and clear procedure, publicly address the issue, offer help and an opportunity for improvement. When someone struggles with new technology, for instance, it's crucial to help them and create specific goals instead than seeing it as a misconduct.</w:t>
      </w:r>
    </w:p>
    <w:p w14:paraId="310B3D45" w14:textId="229CA273" w:rsidR="00CA471A" w:rsidRPr="00D9089F" w:rsidRDefault="00CA471A" w:rsidP="005520D3">
      <w:pPr>
        <w:rPr>
          <w:rFonts w:ascii="Calibri" w:hAnsi="Calibri" w:cs="Calibri"/>
        </w:rPr>
      </w:pPr>
    </w:p>
    <w:p w14:paraId="73C77C48" w14:textId="1BA74A09" w:rsidR="00CA471A" w:rsidRPr="00D9089F" w:rsidRDefault="00CA471A" w:rsidP="009C7A0B">
      <w:pPr>
        <w:rPr>
          <w:rFonts w:ascii="Calibri" w:hAnsi="Calibri" w:cs="Calibri"/>
        </w:rPr>
      </w:pPr>
      <w:r w:rsidRPr="00D9089F">
        <w:rPr>
          <w:rFonts w:ascii="Calibri" w:hAnsi="Calibri" w:cs="Calibri"/>
        </w:rPr>
        <w:t>The Acas Code of Practice details the necessary steps, such as notifying the employee of any concerns, providing an opportunity for them to respond, and permitting representation in meetings. In the end, any termination should be justified and grounded in substantial evidence (CIPD, 2024d). In BS v Dundee City Council (2013), the court highlighted the necessity of having a sincere and rational belief regarding the employee’s incapacity (Daniel, 2022).</w:t>
      </w:r>
    </w:p>
    <w:p w14:paraId="0A88A273" w14:textId="77777777" w:rsidR="00C961BF" w:rsidRPr="00D9089F" w:rsidRDefault="00C961BF" w:rsidP="00C961BF">
      <w:pPr>
        <w:rPr>
          <w:rFonts w:ascii="Calibri" w:hAnsi="Calibri" w:cs="Calibri"/>
        </w:rPr>
      </w:pPr>
    </w:p>
    <w:p w14:paraId="46F7D576" w14:textId="059043E0" w:rsidR="00CA471A" w:rsidRPr="00D9089F" w:rsidRDefault="00C961BF" w:rsidP="00C961BF">
      <w:pPr>
        <w:rPr>
          <w:rFonts w:ascii="Calibri" w:hAnsi="Calibri" w:cs="Calibri"/>
        </w:rPr>
      </w:pPr>
      <w:r w:rsidRPr="00C961BF">
        <w:rPr>
          <w:rFonts w:ascii="Calibri" w:hAnsi="Calibri" w:cs="Calibri"/>
        </w:rPr>
        <w:t>Misconduct covers a range of behaviors, from routine absence to more serious violations including theft or aggression</w:t>
      </w:r>
      <w:r w:rsidR="00CA471A" w:rsidRPr="00D9089F">
        <w:rPr>
          <w:rFonts w:ascii="Calibri" w:hAnsi="Calibri" w:cs="Calibri"/>
        </w:rPr>
        <w:t>. Employers need to establish transparent disciplinary policies and conduct comprehensive investigations prior to implementing any actions.</w:t>
      </w:r>
      <w:r w:rsidR="00CA471A" w:rsidRPr="00D9089F">
        <w:rPr>
          <w:rFonts w:ascii="Calibri" w:eastAsia="Times New Roman" w:hAnsi="Calibri" w:cs="Calibri"/>
          <w:bdr w:val="none" w:sz="0" w:space="0" w:color="auto"/>
        </w:rPr>
        <w:t xml:space="preserve"> </w:t>
      </w:r>
      <w:r w:rsidR="00CA471A" w:rsidRPr="00D9089F">
        <w:rPr>
          <w:rFonts w:ascii="Calibri" w:hAnsi="Calibri" w:cs="Calibri"/>
        </w:rPr>
        <w:t>This involves collecting evidence and providing the employee with an equitable opportunity to present their case. In the case of British Home Stores v Burchell (1980), the court emphasised the importance of conducting an impartial investigation prior to any dismissal (Daniel, 2022). Minor misconduct usually leads to a written warning that outlines specific expectations for improvement, whereas gross misconduct can result in immediate dismissal; however, maintaining fairness is essential.</w:t>
      </w:r>
    </w:p>
    <w:p w14:paraId="3A4D84D9" w14:textId="77777777" w:rsidR="00FB47C8" w:rsidRPr="00D9089F" w:rsidRDefault="00FB47C8" w:rsidP="009C7A0B">
      <w:pPr>
        <w:rPr>
          <w:rFonts w:ascii="Calibri" w:hAnsi="Calibri" w:cs="Calibri"/>
        </w:rPr>
      </w:pPr>
    </w:p>
    <w:p w14:paraId="34761BB1" w14:textId="77777777" w:rsidR="00FB47C8" w:rsidRPr="00D9089F" w:rsidRDefault="00CA471A" w:rsidP="009C7A0B">
      <w:pPr>
        <w:rPr>
          <w:rFonts w:ascii="Calibri" w:hAnsi="Calibri" w:cs="Calibri"/>
        </w:rPr>
      </w:pPr>
      <w:r w:rsidRPr="00D9089F">
        <w:rPr>
          <w:rFonts w:ascii="Calibri" w:hAnsi="Calibri" w:cs="Calibri"/>
        </w:rPr>
        <w:t xml:space="preserve">Fairness is crucial in cases involving both ability and misconduct. It guarantees that employees receive fair treatment, maintaining consistency and providing them with the opportunity to appeal. These safeguards are particularly essential in the public sector, where trust and fairness hold significant importance. </w:t>
      </w:r>
    </w:p>
    <w:p w14:paraId="5616E319" w14:textId="77777777" w:rsidR="00FB47C8" w:rsidRPr="00D9089F" w:rsidRDefault="00CA471A" w:rsidP="009C7A0B">
      <w:pPr>
        <w:rPr>
          <w:rFonts w:ascii="Calibri" w:hAnsi="Calibri" w:cs="Calibri"/>
        </w:rPr>
      </w:pPr>
      <w:r w:rsidRPr="00D9089F">
        <w:rPr>
          <w:rFonts w:ascii="Calibri" w:hAnsi="Calibri" w:cs="Calibri"/>
        </w:rPr>
        <w:br/>
        <w:t xml:space="preserve">Employers are required to adhere to the Equality Act 2010 and TUPE regulations. This involves steering clear of discrimination and implementing sensible modifications for employees with disabilities, particularly in situations related to capability. Neglecting these responsibilities may result in claims of unfair dismissal (Daniel, 2022). </w:t>
      </w:r>
    </w:p>
    <w:p w14:paraId="2CC4DAB9" w14:textId="32112074" w:rsidR="00CA471A" w:rsidRPr="00D9089F" w:rsidRDefault="00CA471A" w:rsidP="009C7A0B">
      <w:pPr>
        <w:rPr>
          <w:rFonts w:ascii="Calibri" w:hAnsi="Calibri" w:cs="Calibri"/>
        </w:rPr>
      </w:pPr>
      <w:r w:rsidRPr="00D9089F">
        <w:rPr>
          <w:rFonts w:ascii="Calibri" w:hAnsi="Calibri" w:cs="Calibri"/>
        </w:rPr>
        <w:br/>
        <w:t>To sum up, just dismissals depend on legitimate reasons and an equitable, clear procedure. Employers need to find a way to meet legal obligations while also showing understanding and maintaining a steady approach to ensure fairness in the workplace and minimise the chances of tribunal claims.</w:t>
      </w:r>
    </w:p>
    <w:p w14:paraId="0AD0ECD8" w14:textId="484A6665" w:rsidR="00503665" w:rsidRPr="000C065D" w:rsidRDefault="002401F5" w:rsidP="009C7A0B">
      <w:pPr>
        <w:pStyle w:val="Body"/>
        <w:rPr>
          <w:rFonts w:cs="Calibri"/>
          <w:b/>
          <w:bCs/>
          <w:color w:val="auto"/>
          <w:sz w:val="32"/>
          <w:szCs w:val="32"/>
        </w:rPr>
      </w:pPr>
      <w:r w:rsidRPr="000C065D">
        <w:rPr>
          <w:rFonts w:cs="Calibri"/>
          <w:b/>
          <w:bCs/>
          <w:color w:val="auto"/>
          <w:sz w:val="32"/>
          <w:szCs w:val="32"/>
        </w:rPr>
        <w:lastRenderedPageBreak/>
        <w:t xml:space="preserve">3.2 </w:t>
      </w:r>
      <w:r w:rsidR="00503665" w:rsidRPr="000C065D">
        <w:rPr>
          <w:rFonts w:cs="Calibri"/>
          <w:b/>
          <w:bCs/>
          <w:color w:val="auto"/>
          <w:sz w:val="32"/>
          <w:szCs w:val="32"/>
        </w:rPr>
        <w:t>Analyse key causes of employee grievances</w:t>
      </w:r>
      <w:r w:rsidR="00C32231" w:rsidRPr="000C065D">
        <w:rPr>
          <w:rFonts w:cs="Calibri"/>
          <w:b/>
          <w:bCs/>
          <w:color w:val="auto"/>
          <w:sz w:val="32"/>
          <w:szCs w:val="32"/>
        </w:rPr>
        <w:t xml:space="preserve"> </w:t>
      </w:r>
    </w:p>
    <w:p w14:paraId="3FEFCC78" w14:textId="7633ACF6" w:rsidR="008643F1" w:rsidRPr="00D9089F" w:rsidRDefault="008643F1" w:rsidP="009C7A0B">
      <w:pPr>
        <w:pStyle w:val="NormalWeb"/>
        <w:rPr>
          <w:rFonts w:ascii="Calibri" w:hAnsi="Calibri" w:cs="Calibri"/>
        </w:rPr>
      </w:pPr>
      <w:r w:rsidRPr="00D9089F">
        <w:rPr>
          <w:rFonts w:ascii="Calibri" w:hAnsi="Calibri" w:cs="Calibri"/>
        </w:rPr>
        <w:t>Grievances are formal complaints concerning workplace issues, including unfair treatment or salary. These can result from new policies or job positions in public sector organisations after a merger, especially with leadership unfamiliar with public sector standards. New managers may treat employees unfairly, especially if their management styles differ. Conflicts between cultures can cause bullying and discrimination. Unequal pay changes might induce dissatisfaction. Working conditions include office moves and position changes that can disrupt work. Increased workloads during a merger can lead to stress and grievances. With new private sector leadership, poor communication about change can increase uncertainty and mistrust (CIPD, 2024b).</w:t>
      </w:r>
    </w:p>
    <w:p w14:paraId="6D83F88C" w14:textId="77777777" w:rsidR="008643F1" w:rsidRPr="00D9089F" w:rsidRDefault="008643F1" w:rsidP="009C7A0B">
      <w:pPr>
        <w:pStyle w:val="NormalWeb"/>
        <w:rPr>
          <w:rFonts w:ascii="Calibri" w:hAnsi="Calibri" w:cs="Calibri"/>
        </w:rPr>
      </w:pPr>
      <w:r w:rsidRPr="00D9089F">
        <w:rPr>
          <w:rFonts w:ascii="Calibri" w:hAnsi="Calibri" w:cs="Calibri"/>
        </w:rPr>
        <w:t>These grievances must be addressed to maintain balance. Effective communication and fair policies, according to the Acas Code of Practice on Disciplinary and Grievance Procedures (2015), can reduce challenges.</w:t>
      </w:r>
    </w:p>
    <w:p w14:paraId="7AE314B5" w14:textId="77777777" w:rsidR="008643F1" w:rsidRPr="00D9089F" w:rsidRDefault="008643F1" w:rsidP="009C7A0B">
      <w:pPr>
        <w:pStyle w:val="NormalWeb"/>
        <w:rPr>
          <w:rFonts w:ascii="Calibri" w:hAnsi="Calibri" w:cs="Calibri"/>
        </w:rPr>
      </w:pPr>
      <w:r w:rsidRPr="00D9089F">
        <w:rPr>
          <w:rFonts w:ascii="Calibri" w:hAnsi="Calibri" w:cs="Calibri"/>
        </w:rPr>
        <w:t>Due to the specific obstacles of integrating the two organisations and introducing new leadership, mergers create various additional or increased grievances:</w:t>
      </w:r>
    </w:p>
    <w:p w14:paraId="749E5BB6" w14:textId="77777777" w:rsidR="008643F1" w:rsidRPr="00D9089F" w:rsidRDefault="008643F1" w:rsidP="009C7A0B">
      <w:pPr>
        <w:pStyle w:val="NormalWeb"/>
        <w:rPr>
          <w:rFonts w:ascii="Calibri" w:hAnsi="Calibri" w:cs="Calibri"/>
        </w:rPr>
      </w:pPr>
      <w:r w:rsidRPr="00D9089F">
        <w:rPr>
          <w:rStyle w:val="Strong"/>
          <w:rFonts w:ascii="Calibri" w:hAnsi="Calibri" w:cs="Calibri"/>
        </w:rPr>
        <w:t>Cultural Integration Issues</w:t>
      </w:r>
      <w:r w:rsidRPr="00D9089F">
        <w:rPr>
          <w:rFonts w:ascii="Calibri" w:hAnsi="Calibri" w:cs="Calibri"/>
        </w:rPr>
        <w:t>: Mergers combine organisations with different cultures, values, and work cultures. Culture misalignment issues may result from employees resisting changes that threaten their norms or identity. Employees of one organisation may believe their values are being undercut by those of the other, resulting in unhappiness and formal complaints (CIPD, 2024c).</w:t>
      </w:r>
    </w:p>
    <w:p w14:paraId="7A314DF9" w14:textId="77777777" w:rsidR="008643F1" w:rsidRPr="00D9089F" w:rsidRDefault="008643F1" w:rsidP="009C7A0B">
      <w:pPr>
        <w:pStyle w:val="NormalWeb"/>
        <w:rPr>
          <w:rFonts w:ascii="Calibri" w:hAnsi="Calibri" w:cs="Calibri"/>
        </w:rPr>
      </w:pPr>
      <w:r w:rsidRPr="00D9089F">
        <w:rPr>
          <w:rStyle w:val="Strong"/>
          <w:rFonts w:ascii="Calibri" w:hAnsi="Calibri" w:cs="Calibri"/>
        </w:rPr>
        <w:t>Job Insecurity and Restructuring:</w:t>
      </w:r>
      <w:r w:rsidRPr="00D9089F">
        <w:rPr>
          <w:rFonts w:ascii="Calibri" w:hAnsi="Calibri" w:cs="Calibri"/>
        </w:rPr>
        <w:t xml:space="preserve"> Restructuring during mergers might threaten job security. Grievances about unfair treatment or lack of consultation may result from employees fearing redundancy or feeling devalued. In the public sector, job security is typically a worry, and changes can cause unfair treatment (CIPD, 2024c).</w:t>
      </w:r>
    </w:p>
    <w:p w14:paraId="50894936" w14:textId="77777777" w:rsidR="008643F1" w:rsidRPr="00D9089F" w:rsidRDefault="008643F1" w:rsidP="009C7A0B">
      <w:pPr>
        <w:pStyle w:val="NormalWeb"/>
        <w:rPr>
          <w:rFonts w:ascii="Calibri" w:hAnsi="Calibri" w:cs="Calibri"/>
        </w:rPr>
      </w:pPr>
      <w:r w:rsidRPr="00D9089F">
        <w:rPr>
          <w:rStyle w:val="Strong"/>
          <w:rFonts w:ascii="Calibri" w:hAnsi="Calibri" w:cs="Calibri"/>
        </w:rPr>
        <w:t>Differences in Policies and Practices:</w:t>
      </w:r>
      <w:r w:rsidRPr="00D9089F">
        <w:rPr>
          <w:rFonts w:ascii="Calibri" w:hAnsi="Calibri" w:cs="Calibri"/>
        </w:rPr>
        <w:t xml:space="preserve"> Different benefits and disciplinary practices between merging organisations might create inequality. Employees may complain that one group is favored. If one company had greater pension plans, employees from the other might complain about unfair benefits.</w:t>
      </w:r>
    </w:p>
    <w:p w14:paraId="19748C18" w14:textId="30B8A474" w:rsidR="008643F1" w:rsidRPr="00D9089F" w:rsidRDefault="008643F1" w:rsidP="009C7A0B">
      <w:pPr>
        <w:pStyle w:val="NormalWeb"/>
        <w:rPr>
          <w:rFonts w:ascii="Calibri" w:hAnsi="Calibri" w:cs="Calibri"/>
        </w:rPr>
      </w:pPr>
      <w:r w:rsidRPr="00D9089F">
        <w:rPr>
          <w:rFonts w:ascii="Calibri" w:hAnsi="Calibri" w:cs="Calibri"/>
        </w:rPr>
        <w:t> </w:t>
      </w:r>
      <w:r w:rsidRPr="00D9089F">
        <w:rPr>
          <w:rStyle w:val="Strong"/>
          <w:rFonts w:ascii="Calibri" w:hAnsi="Calibri" w:cs="Calibri"/>
        </w:rPr>
        <w:t>Lack of Communication and Change Management</w:t>
      </w:r>
      <w:r w:rsidRPr="00D9089F">
        <w:rPr>
          <w:rFonts w:ascii="Calibri" w:hAnsi="Calibri" w:cs="Calibri"/>
        </w:rPr>
        <w:t>:</w:t>
      </w:r>
    </w:p>
    <w:p w14:paraId="272F3C94" w14:textId="77777777" w:rsidR="008643F1" w:rsidRPr="00D9089F" w:rsidRDefault="008643F1" w:rsidP="009C7A0B">
      <w:pPr>
        <w:pStyle w:val="NormalWeb"/>
        <w:rPr>
          <w:rFonts w:ascii="Calibri" w:hAnsi="Calibri" w:cs="Calibri"/>
        </w:rPr>
      </w:pPr>
      <w:r w:rsidRPr="00D9089F">
        <w:rPr>
          <w:rFonts w:ascii="Calibri" w:hAnsi="Calibri" w:cs="Calibri"/>
        </w:rPr>
        <w:t>Miscommunication from leadership may cause dissatisfaction. In a merger where job security is uncertain, employees may feel unaware about changes or worried about their future positions. Addressing these issues and maintaining confidence requires effective change management. Clear communication prevents uncertainty and lack of clarity concerns, especially during major organisational changes like mergers, according to the CIPD (2024).</w:t>
      </w:r>
    </w:p>
    <w:p w14:paraId="5A33B4A8" w14:textId="77777777" w:rsidR="008643F1" w:rsidRPr="00D9089F" w:rsidRDefault="008643F1" w:rsidP="009C7A0B">
      <w:pPr>
        <w:pStyle w:val="NormalWeb"/>
        <w:rPr>
          <w:rFonts w:ascii="Calibri" w:hAnsi="Calibri" w:cs="Calibri"/>
        </w:rPr>
      </w:pPr>
      <w:r w:rsidRPr="00D9089F">
        <w:rPr>
          <w:rFonts w:ascii="Calibri" w:hAnsi="Calibri" w:cs="Calibri"/>
        </w:rPr>
        <w:t>These issues demand proactive communication, fair policies, and strict grievance procedures that follow the Acas Code of Practice on Disciplinary and Grievance Procedures (Acas, 2015).</w:t>
      </w:r>
    </w:p>
    <w:p w14:paraId="4116AE91" w14:textId="77777777" w:rsidR="00025F53" w:rsidRPr="00D9089F" w:rsidRDefault="008643F1" w:rsidP="009C7A0B">
      <w:pPr>
        <w:pStyle w:val="NormalWeb"/>
        <w:rPr>
          <w:rFonts w:ascii="Calibri" w:hAnsi="Calibri" w:cs="Calibri"/>
        </w:rPr>
      </w:pPr>
      <w:r w:rsidRPr="00D9089F">
        <w:rPr>
          <w:rFonts w:ascii="Calibri" w:hAnsi="Calibri" w:cs="Calibri"/>
        </w:rPr>
        <w:t>Leadership can reduce unhappiness and promote unity at work by understanding the specific causes of discontent, especially those that affect team dynamics.</w:t>
      </w:r>
    </w:p>
    <w:p w14:paraId="400ACEA6" w14:textId="77777777" w:rsidR="001D6C68" w:rsidRPr="00D9089F" w:rsidRDefault="001D6C68" w:rsidP="009C7A0B">
      <w:pPr>
        <w:pStyle w:val="NormalWeb"/>
        <w:rPr>
          <w:rFonts w:ascii="Calibri" w:hAnsi="Calibri" w:cs="Calibri"/>
        </w:rPr>
      </w:pPr>
    </w:p>
    <w:p w14:paraId="04EF18E3" w14:textId="77777777" w:rsidR="001D6C68" w:rsidRPr="00D9089F" w:rsidRDefault="001D6C68" w:rsidP="009C7A0B">
      <w:pPr>
        <w:pStyle w:val="NormalWeb"/>
        <w:rPr>
          <w:rFonts w:ascii="Calibri" w:hAnsi="Calibri" w:cs="Calibri"/>
        </w:rPr>
      </w:pPr>
    </w:p>
    <w:p w14:paraId="5C0B3EEB" w14:textId="79A68952" w:rsidR="0058208D" w:rsidRPr="00D9089F" w:rsidRDefault="00025F53" w:rsidP="009C7A0B">
      <w:pPr>
        <w:pStyle w:val="NormalWeb"/>
        <w:rPr>
          <w:rFonts w:ascii="Calibri" w:hAnsi="Calibri" w:cs="Calibri"/>
        </w:rPr>
      </w:pPr>
      <w:r w:rsidRPr="000C065D">
        <w:rPr>
          <w:rFonts w:ascii="Calibri" w:hAnsi="Calibri" w:cs="Calibri"/>
          <w:b/>
          <w:bCs/>
          <w:sz w:val="32"/>
          <w:szCs w:val="32"/>
        </w:rPr>
        <w:t xml:space="preserve">3.3 </w:t>
      </w:r>
      <w:r w:rsidR="0058208D" w:rsidRPr="000C065D">
        <w:rPr>
          <w:rFonts w:ascii="Calibri" w:hAnsi="Calibri" w:cs="Calibri"/>
          <w:b/>
          <w:bCs/>
          <w:sz w:val="32"/>
          <w:szCs w:val="32"/>
        </w:rPr>
        <w:t>Advise on the importance of handling grievances effectively</w:t>
      </w:r>
      <w:r w:rsidR="00B3091A" w:rsidRPr="000C065D">
        <w:rPr>
          <w:rFonts w:ascii="Calibri" w:hAnsi="Calibri" w:cs="Calibri"/>
          <w:b/>
          <w:bCs/>
          <w:sz w:val="32"/>
          <w:szCs w:val="32"/>
        </w:rPr>
        <w:t>.</w:t>
      </w:r>
    </w:p>
    <w:p w14:paraId="2D5416A8" w14:textId="4906FCB9" w:rsidR="008E5DD5" w:rsidRPr="00D9089F" w:rsidRDefault="008104D8" w:rsidP="008104D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8104D8">
        <w:rPr>
          <w:rFonts w:ascii="Calibri" w:eastAsia="Times New Roman" w:hAnsi="Calibri" w:cs="Calibri"/>
          <w:bdr w:val="none" w:sz="0" w:space="0" w:color="auto"/>
        </w:rPr>
        <w:t xml:space="preserve">Public sector mergers often result in restructuring, job uncertainty, and cultural conflicts that cause increased staff complaints. Beneficial grievance management provides a </w:t>
      </w:r>
      <w:r w:rsidRPr="008104D8">
        <w:rPr>
          <w:rFonts w:ascii="Calibri" w:eastAsia="Times New Roman" w:hAnsi="Calibri" w:cs="Calibri"/>
          <w:bdr w:val="none" w:sz="0" w:space="0" w:color="auto"/>
        </w:rPr>
        <w:lastRenderedPageBreak/>
        <w:t>disciplined approach to address issues, so supporting stability and preventing escalation (CIPD, 2020).</w:t>
      </w:r>
      <w:r w:rsidRPr="008104D8">
        <w:rPr>
          <w:rFonts w:ascii="Calibri" w:eastAsia="Times New Roman" w:hAnsi="Calibri" w:cs="Calibri"/>
          <w:bdr w:val="none" w:sz="0" w:space="0" w:color="auto"/>
        </w:rPr>
        <w:br/>
        <w:t>Particularly from the private sector, new leadership might bring unfamiliar policies and management approaches</w:t>
      </w:r>
      <w:r w:rsidR="008E5DD5" w:rsidRPr="00D9089F">
        <w:rPr>
          <w:rFonts w:ascii="Calibri" w:eastAsia="Times New Roman" w:hAnsi="Calibri" w:cs="Calibri"/>
          <w:bdr w:val="none" w:sz="0" w:space="0" w:color="auto"/>
        </w:rPr>
        <w:t>. A clear grievance process helps employees voice concerns, reducing resistance and fostering trust. Manager training on grievance procedures is critical for guaranteeing fairness (CIPD, 2020).</w:t>
      </w:r>
    </w:p>
    <w:p w14:paraId="0DF5F729"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Grievance handling also supports transparency, which is essential in maintaining public trust during highly visible transitions. Ignored concerns can damage reputations and morale.</w:t>
      </w:r>
    </w:p>
    <w:p w14:paraId="3017A85A"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Legally, UK employers must follow written grievance procedures (ACAS, 2015). The ACAS Code, while not binding, is considered by tribunals, and non-compliance can increase compensation awards by up to 25%—a significant risk for budget-conscious public bodies.</w:t>
      </w:r>
    </w:p>
    <w:p w14:paraId="16A250FA"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Finally, prompt resolution of grievances boosts engagement and retention, supporting service continuity post-merger (CIPD, 2020).</w:t>
      </w:r>
    </w:p>
    <w:p w14:paraId="232A6794" w14:textId="1587BE15"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 Mediation is essential for grievance resolution, especially for maintaining working relationships and avoiding formal legal proceedings. It is a voluntary process where an ACAS mediator helps an unsatisfied employee and the company achieve a compromise. Mediation is particularly helpful at resolving conflicts between individuals and miscommunication, whether before or during a formal grievance process.</w:t>
      </w:r>
    </w:p>
    <w:p w14:paraId="2CD455C2"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Mediation helps resolve cultural conflicts caused by new leadership styles in mergers. Mediation can assist employees in addressing issues without formal processes if they feel a new manager is unfair. ACAS (2024) offers free mediation to public sector organisations to resolve disputes amicably, preserving working relationships and reducing formal proceedings.</w:t>
      </w:r>
    </w:p>
    <w:p w14:paraId="68EAC7C5"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The investigator is crucial to fairness and impartiality in formal grievance procedures. They must undertake a complete, unbiased investigation; gather all necessary data; interview concerned parties; and write a detailed report to inform future decisions. For impartiality, the investigator must be independent of the grievance and produce evidence-based, complete findings.</w:t>
      </w:r>
    </w:p>
    <w:p w14:paraId="11FEB7AC" w14:textId="77777777" w:rsidR="008E5DD5"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In a merger, the investigator is key. A thorough investigation ensures that all parties have their say, enhancing confidence and reducing bias, especially for new leaders unfamiliar with new organisations norms. A fair investigation can establish the facts and recommend appropriate action if an employee complains about a new manager's unfair treatment, preserving the organisation's fairness guarantee.</w:t>
      </w:r>
    </w:p>
    <w:p w14:paraId="4BF4E686" w14:textId="4C3E1770" w:rsidR="00F255CA" w:rsidRPr="00D9089F" w:rsidRDefault="008E5DD5" w:rsidP="009C7A0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Calibri" w:eastAsia="Times New Roman" w:hAnsi="Calibri" w:cs="Calibri"/>
          <w:bdr w:val="none" w:sz="0" w:space="0" w:color="auto"/>
        </w:rPr>
      </w:pPr>
      <w:r w:rsidRPr="00D9089F">
        <w:rPr>
          <w:rFonts w:ascii="Calibri" w:eastAsia="Times New Roman" w:hAnsi="Calibri" w:cs="Calibri"/>
          <w:bdr w:val="none" w:sz="0" w:space="0" w:color="auto"/>
        </w:rPr>
        <w:t>In an employment tribunal, the investigator's report is essential. A fair inquiry can demonstrate Acas Code of Practice compliance, reducing employment tribunal challenges</w:t>
      </w:r>
    </w:p>
    <w:p w14:paraId="3EE48EBA" w14:textId="77777777" w:rsidR="00811F2F" w:rsidRPr="00D9089F" w:rsidRDefault="00811F2F" w:rsidP="009C7A0B">
      <w:pPr>
        <w:pStyle w:val="Body"/>
        <w:rPr>
          <w:rFonts w:cs="Calibri"/>
          <w:b/>
          <w:bCs/>
          <w:color w:val="000000" w:themeColor="text1"/>
          <w:sz w:val="24"/>
          <w:szCs w:val="24"/>
          <w:u w:val="single"/>
        </w:rPr>
      </w:pPr>
    </w:p>
    <w:p w14:paraId="07FF1541" w14:textId="77777777" w:rsidR="00B20CBC" w:rsidRDefault="00B20CBC" w:rsidP="009C7A0B">
      <w:pPr>
        <w:pStyle w:val="Body"/>
        <w:rPr>
          <w:rFonts w:cs="Calibri"/>
          <w:b/>
          <w:bCs/>
          <w:color w:val="000000" w:themeColor="text1"/>
          <w:sz w:val="24"/>
          <w:szCs w:val="24"/>
          <w:u w:val="single"/>
        </w:rPr>
      </w:pPr>
    </w:p>
    <w:p w14:paraId="35C5AB63" w14:textId="3C6EF6CE" w:rsidR="00826E7E" w:rsidRPr="00B20CBC" w:rsidRDefault="00826E7E" w:rsidP="009C7A0B">
      <w:pPr>
        <w:pStyle w:val="Body"/>
        <w:rPr>
          <w:rFonts w:cs="Calibri"/>
          <w:b/>
          <w:bCs/>
          <w:color w:val="000000" w:themeColor="text1"/>
          <w:sz w:val="32"/>
          <w:szCs w:val="32"/>
          <w:u w:val="single"/>
        </w:rPr>
      </w:pPr>
      <w:r w:rsidRPr="00B20CBC">
        <w:rPr>
          <w:rFonts w:cs="Calibri"/>
          <w:b/>
          <w:bCs/>
          <w:color w:val="000000" w:themeColor="text1"/>
          <w:sz w:val="32"/>
          <w:szCs w:val="32"/>
          <w:u w:val="single"/>
        </w:rPr>
        <w:lastRenderedPageBreak/>
        <w:t xml:space="preserve">Bibliography </w:t>
      </w:r>
    </w:p>
    <w:p w14:paraId="01730CFB" w14:textId="77777777" w:rsidR="00826E7E" w:rsidRPr="00D9089F" w:rsidRDefault="00826E7E" w:rsidP="009C7A0B">
      <w:pPr>
        <w:pStyle w:val="Body"/>
        <w:rPr>
          <w:rFonts w:cs="Calibri"/>
          <w:color w:val="000000" w:themeColor="text1"/>
          <w:sz w:val="24"/>
          <w:szCs w:val="24"/>
        </w:rPr>
      </w:pPr>
    </w:p>
    <w:p w14:paraId="1891C39A" w14:textId="50288914" w:rsidR="009E0BE7" w:rsidRPr="00D9089F" w:rsidRDefault="004E10CB"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ACAS, </w:t>
      </w:r>
      <w:r w:rsidR="00E77BAC" w:rsidRPr="00D9089F">
        <w:rPr>
          <w:rFonts w:cs="Calibri"/>
          <w:color w:val="000000" w:themeColor="text1"/>
          <w:sz w:val="24"/>
          <w:szCs w:val="24"/>
        </w:rPr>
        <w:t>2015. Code</w:t>
      </w:r>
      <w:r w:rsidRPr="00D9089F">
        <w:rPr>
          <w:rFonts w:cs="Calibri"/>
          <w:i/>
          <w:iCs/>
          <w:color w:val="000000" w:themeColor="text1"/>
          <w:sz w:val="24"/>
          <w:szCs w:val="24"/>
        </w:rPr>
        <w:t xml:space="preserve"> of Practice</w:t>
      </w:r>
      <w:r w:rsidR="00CC38AA" w:rsidRPr="00D9089F">
        <w:rPr>
          <w:rFonts w:cs="Calibri"/>
          <w:color w:val="000000" w:themeColor="text1"/>
          <w:sz w:val="24"/>
          <w:szCs w:val="24"/>
        </w:rPr>
        <w:t>.</w:t>
      </w:r>
      <w:r w:rsidRPr="00D9089F">
        <w:rPr>
          <w:rFonts w:cs="Calibri"/>
          <w:color w:val="000000" w:themeColor="text1"/>
          <w:sz w:val="24"/>
          <w:szCs w:val="24"/>
        </w:rPr>
        <w:t xml:space="preserve"> Available at: </w:t>
      </w:r>
      <w:hyperlink r:id="rId7" w:history="1">
        <w:r w:rsidRPr="00D9089F">
          <w:rPr>
            <w:rFonts w:cs="Calibri"/>
            <w:color w:val="000000" w:themeColor="text1"/>
            <w:sz w:val="24"/>
            <w:szCs w:val="24"/>
          </w:rPr>
          <w:t>https://www.acas.org.uk/acas-code-of-practice-on-disciplinary-and-grievance-procedures/html</w:t>
        </w:r>
      </w:hyperlink>
      <w:r w:rsidRPr="00D9089F">
        <w:rPr>
          <w:rFonts w:cs="Calibri"/>
          <w:color w:val="000000" w:themeColor="text1"/>
          <w:sz w:val="24"/>
          <w:szCs w:val="24"/>
        </w:rPr>
        <w:t xml:space="preserve"> (Accessed 28 April 2025).</w:t>
      </w:r>
    </w:p>
    <w:p w14:paraId="5115635E" w14:textId="3C6DDB99" w:rsidR="003D2199" w:rsidRPr="00D9089F" w:rsidRDefault="008F62F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ACAS, 2021</w:t>
      </w:r>
      <w:r w:rsidRPr="00D9089F">
        <w:rPr>
          <w:rFonts w:cs="Calibri"/>
          <w:i/>
          <w:iCs/>
          <w:color w:val="000000" w:themeColor="text1"/>
          <w:sz w:val="24"/>
          <w:szCs w:val="24"/>
        </w:rPr>
        <w:t>. Dispute resolution</w:t>
      </w:r>
      <w:r w:rsidRPr="00D9089F">
        <w:rPr>
          <w:rFonts w:cs="Calibri"/>
          <w:color w:val="000000" w:themeColor="text1"/>
          <w:sz w:val="24"/>
          <w:szCs w:val="24"/>
        </w:rPr>
        <w:t xml:space="preserve">. Available at: </w:t>
      </w:r>
      <w:hyperlink r:id="rId8" w:tgtFrame="_new" w:history="1">
        <w:r w:rsidRPr="00D9089F">
          <w:rPr>
            <w:rFonts w:cs="Calibri"/>
            <w:color w:val="000000" w:themeColor="text1"/>
            <w:sz w:val="24"/>
            <w:szCs w:val="24"/>
          </w:rPr>
          <w:t>https://www.acas.org.uk/dispute-resolution</w:t>
        </w:r>
      </w:hyperlink>
      <w:r w:rsidRPr="00D9089F">
        <w:rPr>
          <w:rFonts w:cs="Calibri"/>
          <w:color w:val="000000" w:themeColor="text1"/>
          <w:sz w:val="24"/>
          <w:szCs w:val="24"/>
        </w:rPr>
        <w:t xml:space="preserve"> </w:t>
      </w:r>
      <w:r w:rsidR="003D2199" w:rsidRPr="00D9089F">
        <w:rPr>
          <w:rFonts w:cs="Calibri"/>
          <w:color w:val="000000" w:themeColor="text1"/>
          <w:sz w:val="24"/>
          <w:szCs w:val="24"/>
        </w:rPr>
        <w:t>(</w:t>
      </w:r>
      <w:r w:rsidRPr="00D9089F">
        <w:rPr>
          <w:rFonts w:cs="Calibri"/>
          <w:color w:val="000000" w:themeColor="text1"/>
          <w:sz w:val="24"/>
          <w:szCs w:val="24"/>
        </w:rPr>
        <w:t>Accessed 28 April 2025</w:t>
      </w:r>
      <w:r w:rsidR="003D2199" w:rsidRPr="00D9089F">
        <w:rPr>
          <w:rFonts w:cs="Calibri"/>
          <w:color w:val="000000" w:themeColor="text1"/>
          <w:sz w:val="24"/>
          <w:szCs w:val="24"/>
        </w:rPr>
        <w:t>)</w:t>
      </w:r>
      <w:r w:rsidRPr="00D9089F">
        <w:rPr>
          <w:rFonts w:cs="Calibri"/>
          <w:color w:val="000000" w:themeColor="text1"/>
          <w:sz w:val="24"/>
          <w:szCs w:val="24"/>
        </w:rPr>
        <w:t>.</w:t>
      </w:r>
    </w:p>
    <w:p w14:paraId="19DB4C97" w14:textId="21E99335" w:rsidR="003D2199" w:rsidRPr="00D9089F" w:rsidRDefault="003D2199"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ACAS, 2022</w:t>
      </w:r>
      <w:r w:rsidR="004E10CB" w:rsidRPr="00D9089F">
        <w:rPr>
          <w:rFonts w:cs="Calibri"/>
          <w:color w:val="000000" w:themeColor="text1"/>
          <w:sz w:val="24"/>
          <w:szCs w:val="24"/>
        </w:rPr>
        <w:t>a</w:t>
      </w:r>
      <w:r w:rsidRPr="00D9089F">
        <w:rPr>
          <w:rFonts w:cs="Calibri"/>
          <w:color w:val="000000" w:themeColor="text1"/>
          <w:sz w:val="24"/>
          <w:szCs w:val="24"/>
        </w:rPr>
        <w:t xml:space="preserve">. </w:t>
      </w:r>
      <w:r w:rsidRPr="00D9089F">
        <w:rPr>
          <w:rFonts w:cs="Calibri"/>
          <w:i/>
          <w:iCs/>
          <w:color w:val="000000" w:themeColor="text1"/>
          <w:sz w:val="24"/>
          <w:szCs w:val="24"/>
        </w:rPr>
        <w:t>Arbitration</w:t>
      </w:r>
      <w:r w:rsidRPr="00D9089F">
        <w:rPr>
          <w:rFonts w:cs="Calibri"/>
          <w:color w:val="000000" w:themeColor="text1"/>
          <w:sz w:val="24"/>
          <w:szCs w:val="24"/>
        </w:rPr>
        <w:t xml:space="preserve">. Available at: </w:t>
      </w:r>
      <w:hyperlink r:id="rId9" w:history="1">
        <w:r w:rsidRPr="00D9089F">
          <w:rPr>
            <w:rFonts w:cs="Calibri"/>
            <w:color w:val="000000" w:themeColor="text1"/>
            <w:sz w:val="24"/>
            <w:szCs w:val="24"/>
          </w:rPr>
          <w:t>https://www.acas.org.uk/arbitration</w:t>
        </w:r>
      </w:hyperlink>
      <w:r w:rsidRPr="00D9089F">
        <w:rPr>
          <w:rFonts w:cs="Calibri"/>
          <w:color w:val="000000" w:themeColor="text1"/>
          <w:sz w:val="24"/>
          <w:szCs w:val="24"/>
        </w:rPr>
        <w:t xml:space="preserve"> </w:t>
      </w:r>
      <w:r w:rsidR="00F2783D" w:rsidRPr="00D9089F">
        <w:rPr>
          <w:rFonts w:cs="Calibri"/>
          <w:color w:val="000000" w:themeColor="text1"/>
          <w:sz w:val="24"/>
          <w:szCs w:val="24"/>
        </w:rPr>
        <w:t>(</w:t>
      </w:r>
      <w:r w:rsidRPr="00D9089F">
        <w:rPr>
          <w:rFonts w:cs="Calibri"/>
          <w:color w:val="000000" w:themeColor="text1"/>
          <w:sz w:val="24"/>
          <w:szCs w:val="24"/>
        </w:rPr>
        <w:t>Accessed 28 April 2025).</w:t>
      </w:r>
    </w:p>
    <w:p w14:paraId="3EAF80EE" w14:textId="5BEC3B29" w:rsidR="007558AC" w:rsidRPr="00D9089F" w:rsidRDefault="007558AC"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ACAS, 2022</w:t>
      </w:r>
      <w:r w:rsidR="001157D7" w:rsidRPr="00D9089F">
        <w:rPr>
          <w:rFonts w:cs="Calibri"/>
          <w:color w:val="000000" w:themeColor="text1"/>
          <w:sz w:val="24"/>
          <w:szCs w:val="24"/>
        </w:rPr>
        <w:t>b</w:t>
      </w:r>
      <w:r w:rsidRPr="00D9089F">
        <w:rPr>
          <w:rFonts w:cs="Calibri"/>
          <w:color w:val="000000" w:themeColor="text1"/>
          <w:sz w:val="24"/>
          <w:szCs w:val="24"/>
        </w:rPr>
        <w:t xml:space="preserve">. </w:t>
      </w:r>
      <w:r w:rsidRPr="00D9089F">
        <w:rPr>
          <w:rFonts w:cs="Calibri"/>
          <w:i/>
          <w:iCs/>
          <w:color w:val="000000" w:themeColor="text1"/>
          <w:sz w:val="24"/>
          <w:szCs w:val="24"/>
        </w:rPr>
        <w:t>Mediation at work</w:t>
      </w:r>
      <w:r w:rsidRPr="00D9089F">
        <w:rPr>
          <w:rFonts w:cs="Calibri"/>
          <w:color w:val="000000" w:themeColor="text1"/>
          <w:sz w:val="24"/>
          <w:szCs w:val="24"/>
        </w:rPr>
        <w:t>. Available at:</w:t>
      </w:r>
      <w:r w:rsidR="002B44FB" w:rsidRPr="00D9089F">
        <w:rPr>
          <w:rFonts w:cs="Calibri"/>
          <w:color w:val="000000" w:themeColor="text1"/>
          <w:sz w:val="24"/>
          <w:szCs w:val="24"/>
        </w:rPr>
        <w:t xml:space="preserve"> </w:t>
      </w:r>
      <w:hyperlink r:id="rId10" w:history="1">
        <w:r w:rsidR="002B44FB" w:rsidRPr="00D9089F">
          <w:rPr>
            <w:rFonts w:cs="Calibri"/>
            <w:color w:val="000000" w:themeColor="text1"/>
            <w:sz w:val="24"/>
            <w:szCs w:val="24"/>
          </w:rPr>
          <w:t>https://www.acas.org.uk/mediation</w:t>
        </w:r>
      </w:hyperlink>
      <w:r w:rsidR="002B44FB" w:rsidRPr="00D9089F">
        <w:rPr>
          <w:rFonts w:cs="Calibri"/>
          <w:color w:val="000000" w:themeColor="text1"/>
          <w:sz w:val="24"/>
          <w:szCs w:val="24"/>
        </w:rPr>
        <w:t xml:space="preserve"> (Accessed 28 April 2025).</w:t>
      </w:r>
    </w:p>
    <w:p w14:paraId="04ED3FB3" w14:textId="56EF8C92" w:rsidR="00916712" w:rsidRPr="00D9089F" w:rsidRDefault="0091671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Armstrong, M. and Taylor, S. (2020) </w:t>
      </w:r>
      <w:r w:rsidRPr="00D9089F">
        <w:rPr>
          <w:rFonts w:cs="Calibri"/>
          <w:i/>
          <w:iCs/>
          <w:color w:val="000000" w:themeColor="text1"/>
          <w:sz w:val="24"/>
          <w:szCs w:val="24"/>
        </w:rPr>
        <w:t>Armstrong’s Handbook of Human Resource Management Practice</w:t>
      </w:r>
      <w:r w:rsidRPr="00D9089F">
        <w:rPr>
          <w:rFonts w:cs="Calibri"/>
          <w:color w:val="000000" w:themeColor="text1"/>
          <w:sz w:val="24"/>
          <w:szCs w:val="24"/>
        </w:rPr>
        <w:t>. 15th edn. Kogan Page</w:t>
      </w:r>
    </w:p>
    <w:p w14:paraId="43017933" w14:textId="79899465" w:rsidR="00BF1CB0" w:rsidRPr="00D9089F" w:rsidRDefault="00BF1CB0"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Aylott, E. (2022) </w:t>
      </w:r>
      <w:r w:rsidRPr="00D9089F">
        <w:rPr>
          <w:rFonts w:cs="Calibri"/>
          <w:i/>
          <w:iCs/>
          <w:color w:val="000000" w:themeColor="text1"/>
          <w:sz w:val="24"/>
          <w:szCs w:val="24"/>
        </w:rPr>
        <w:t>Employee Relations</w:t>
      </w:r>
      <w:r w:rsidRPr="00D9089F">
        <w:rPr>
          <w:rFonts w:cs="Calibri"/>
          <w:color w:val="000000" w:themeColor="text1"/>
          <w:sz w:val="24"/>
          <w:szCs w:val="24"/>
        </w:rPr>
        <w:t xml:space="preserve">. 3rd edn. Kogan Page. </w:t>
      </w:r>
    </w:p>
    <w:p w14:paraId="28E93D4A" w14:textId="7EF42628" w:rsidR="00025A79" w:rsidRPr="00D9089F" w:rsidRDefault="005D5F1B"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CIPD (2020) </w:t>
      </w:r>
      <w:r w:rsidRPr="00D9089F">
        <w:rPr>
          <w:rFonts w:cs="Calibri"/>
          <w:i/>
          <w:iCs/>
          <w:color w:val="000000" w:themeColor="text1"/>
          <w:sz w:val="24"/>
          <w:szCs w:val="24"/>
        </w:rPr>
        <w:t>Managing conflict in the modern workplace report</w:t>
      </w:r>
      <w:r w:rsidRPr="00D9089F">
        <w:rPr>
          <w:rFonts w:cs="Calibri"/>
          <w:color w:val="000000" w:themeColor="text1"/>
          <w:sz w:val="24"/>
          <w:szCs w:val="24"/>
        </w:rPr>
        <w:t xml:space="preserve"> London: CIPD available at </w:t>
      </w:r>
      <w:hyperlink r:id="rId11" w:history="1">
        <w:r w:rsidR="007558AC" w:rsidRPr="00D9089F">
          <w:rPr>
            <w:rFonts w:cs="Calibri"/>
            <w:color w:val="000000" w:themeColor="text1"/>
            <w:sz w:val="24"/>
            <w:szCs w:val="24"/>
          </w:rPr>
          <w:t>https://www.cipd.org/globalassets/media/knowledge/knowledge-hub/reports/managing-conflict-in-the-workplace-2_tcm18-70655.pdf</w:t>
        </w:r>
      </w:hyperlink>
      <w:r w:rsidRPr="00D9089F">
        <w:rPr>
          <w:rFonts w:cs="Calibri"/>
          <w:color w:val="000000" w:themeColor="text1"/>
          <w:sz w:val="24"/>
          <w:szCs w:val="24"/>
        </w:rPr>
        <w:t xml:space="preserve"> (Accessed on 24 April 2025).</w:t>
      </w:r>
    </w:p>
    <w:p w14:paraId="33A17C9E" w14:textId="48691926" w:rsidR="00986591" w:rsidRPr="00D9089F" w:rsidRDefault="00986591" w:rsidP="009C7A0B">
      <w:pPr>
        <w:pStyle w:val="Body"/>
        <w:numPr>
          <w:ilvl w:val="0"/>
          <w:numId w:val="45"/>
        </w:numPr>
        <w:rPr>
          <w:rFonts w:cs="Calibri"/>
          <w:i/>
          <w:iCs/>
          <w:color w:val="000000" w:themeColor="text1"/>
          <w:sz w:val="24"/>
          <w:szCs w:val="24"/>
        </w:rPr>
      </w:pPr>
      <w:r w:rsidRPr="00D9089F">
        <w:rPr>
          <w:rFonts w:cs="Calibri"/>
          <w:color w:val="000000" w:themeColor="text1"/>
          <w:sz w:val="24"/>
          <w:szCs w:val="24"/>
        </w:rPr>
        <w:t xml:space="preserve">CIPD (2021) </w:t>
      </w:r>
      <w:r w:rsidRPr="00D9089F">
        <w:rPr>
          <w:rFonts w:cs="Calibri"/>
          <w:i/>
          <w:iCs/>
          <w:color w:val="000000" w:themeColor="text1"/>
          <w:sz w:val="24"/>
          <w:szCs w:val="24"/>
        </w:rPr>
        <w:t>Talking about voice: Nottinghamshire Healthcare NHS Trust.</w:t>
      </w:r>
      <w:r w:rsidRPr="00D9089F">
        <w:rPr>
          <w:rFonts w:cs="Calibri"/>
          <w:color w:val="000000" w:themeColor="text1"/>
          <w:sz w:val="24"/>
          <w:szCs w:val="24"/>
        </w:rPr>
        <w:t xml:space="preserve"> London: CIPD available at https://www.cipd.org/uk/knowledge/case-studies/nottingham-healthcare-trust/ (Accessed on 30 April 2025).</w:t>
      </w:r>
    </w:p>
    <w:p w14:paraId="5151C629" w14:textId="635AB956" w:rsidR="00025A79" w:rsidRPr="00D9089F" w:rsidRDefault="00025A79"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CIPD (2022) </w:t>
      </w:r>
      <w:r w:rsidRPr="00D9089F">
        <w:rPr>
          <w:rFonts w:cs="Calibri"/>
          <w:i/>
          <w:iCs/>
          <w:color w:val="000000" w:themeColor="text1"/>
          <w:sz w:val="24"/>
          <w:szCs w:val="24"/>
        </w:rPr>
        <w:t>Employment Relations in the UK: A Shift in Expectations</w:t>
      </w:r>
      <w:r w:rsidRPr="00D9089F">
        <w:rPr>
          <w:rFonts w:cs="Calibri"/>
          <w:color w:val="000000" w:themeColor="text1"/>
          <w:sz w:val="24"/>
          <w:szCs w:val="24"/>
        </w:rPr>
        <w:t xml:space="preserve">. London: CIPD. </w:t>
      </w:r>
      <w:hyperlink r:id="rId12" w:history="1">
        <w:r w:rsidRPr="00D9089F">
          <w:rPr>
            <w:rFonts w:cs="Calibri"/>
            <w:color w:val="000000" w:themeColor="text1"/>
            <w:sz w:val="24"/>
            <w:szCs w:val="24"/>
          </w:rPr>
          <w:t>https://hrreview.co.uk/hr-news/strategy-news/cipd-report-exposes-changing-nature-of-employee-relations/39896</w:t>
        </w:r>
      </w:hyperlink>
      <w:r w:rsidRPr="00D9089F">
        <w:rPr>
          <w:rFonts w:cs="Calibri"/>
          <w:color w:val="000000" w:themeColor="text1"/>
          <w:sz w:val="24"/>
          <w:szCs w:val="24"/>
        </w:rPr>
        <w:t xml:space="preserve">  (Accessed on 28 April 2025).</w:t>
      </w:r>
    </w:p>
    <w:p w14:paraId="52270645" w14:textId="2FEAAB3B" w:rsidR="00874BEE" w:rsidRPr="00D9089F" w:rsidRDefault="00874BEE"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CIPD (2024) </w:t>
      </w:r>
      <w:r w:rsidRPr="00D9089F">
        <w:rPr>
          <w:rFonts w:cs="Calibri"/>
          <w:i/>
          <w:iCs/>
          <w:color w:val="000000" w:themeColor="text1"/>
          <w:sz w:val="24"/>
          <w:szCs w:val="24"/>
        </w:rPr>
        <w:t>Consultation Response: Building a Modern Industrial Relations Framework.</w:t>
      </w:r>
      <w:r w:rsidRPr="00D9089F">
        <w:rPr>
          <w:rFonts w:cs="Calibri"/>
          <w:color w:val="000000" w:themeColor="text1"/>
          <w:sz w:val="24"/>
          <w:szCs w:val="24"/>
        </w:rPr>
        <w:t xml:space="preserve"> London: CIPD. https://www.cipd.org/uk/about/public-policy/our-calls-for-action/creating-a-modern-industrial-relations-framework-2024/(Accessed on 2</w:t>
      </w:r>
      <w:r w:rsidR="00DC0A74" w:rsidRPr="00D9089F">
        <w:rPr>
          <w:rFonts w:cs="Calibri"/>
          <w:color w:val="000000" w:themeColor="text1"/>
          <w:sz w:val="24"/>
          <w:szCs w:val="24"/>
        </w:rPr>
        <w:t>8</w:t>
      </w:r>
      <w:r w:rsidRPr="00D9089F">
        <w:rPr>
          <w:rFonts w:cs="Calibri"/>
          <w:color w:val="000000" w:themeColor="text1"/>
          <w:sz w:val="24"/>
          <w:szCs w:val="24"/>
        </w:rPr>
        <w:t xml:space="preserve"> April 2025).</w:t>
      </w:r>
    </w:p>
    <w:p w14:paraId="26FD872C" w14:textId="05FD0C6D" w:rsidR="003C01B2" w:rsidRPr="00D9089F" w:rsidRDefault="003C01B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764F07" w:rsidRPr="00D9089F">
        <w:rPr>
          <w:rFonts w:cs="Calibri"/>
          <w:color w:val="000000" w:themeColor="text1"/>
          <w:sz w:val="24"/>
          <w:szCs w:val="24"/>
        </w:rPr>
        <w:t>a</w:t>
      </w:r>
      <w:r w:rsidRPr="00D9089F">
        <w:rPr>
          <w:rFonts w:cs="Calibri"/>
          <w:color w:val="000000" w:themeColor="text1"/>
          <w:sz w:val="24"/>
          <w:szCs w:val="24"/>
        </w:rPr>
        <w:t xml:space="preserve">) </w:t>
      </w:r>
      <w:r w:rsidRPr="00D9089F">
        <w:rPr>
          <w:rFonts w:cs="Calibri"/>
          <w:i/>
          <w:iCs/>
          <w:color w:val="000000" w:themeColor="text1"/>
          <w:sz w:val="24"/>
          <w:szCs w:val="24"/>
        </w:rPr>
        <w:t>CIPD Good Work Index</w:t>
      </w:r>
      <w:r w:rsidRPr="00D9089F">
        <w:rPr>
          <w:rFonts w:cs="Calibri"/>
          <w:color w:val="000000" w:themeColor="text1"/>
          <w:sz w:val="24"/>
          <w:szCs w:val="24"/>
        </w:rPr>
        <w:t>. London: CIPD https://www.cipd.org/uk/knowledge/reports/goodwork/ (Accessed on 22 April 2025).</w:t>
      </w:r>
    </w:p>
    <w:p w14:paraId="3ECE7747" w14:textId="121FE7C3" w:rsidR="00915C32" w:rsidRPr="00D9089F" w:rsidRDefault="00915C3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05756B" w:rsidRPr="00D9089F">
        <w:rPr>
          <w:rFonts w:cs="Calibri"/>
          <w:color w:val="000000" w:themeColor="text1"/>
          <w:sz w:val="24"/>
          <w:szCs w:val="24"/>
        </w:rPr>
        <w:t>b</w:t>
      </w:r>
      <w:r w:rsidRPr="00D9089F">
        <w:rPr>
          <w:rFonts w:cs="Calibri"/>
          <w:color w:val="000000" w:themeColor="text1"/>
          <w:sz w:val="24"/>
          <w:szCs w:val="24"/>
        </w:rPr>
        <w:t xml:space="preserve"> ) </w:t>
      </w:r>
      <w:r w:rsidRPr="00D9089F">
        <w:rPr>
          <w:rFonts w:cs="Calibri"/>
          <w:i/>
          <w:iCs/>
          <w:color w:val="000000" w:themeColor="text1"/>
          <w:sz w:val="24"/>
          <w:szCs w:val="24"/>
        </w:rPr>
        <w:t xml:space="preserve">Disciplinary and grievance procedures: Guidance for managers. </w:t>
      </w:r>
      <w:r w:rsidRPr="00D9089F">
        <w:rPr>
          <w:rFonts w:cs="Calibri"/>
          <w:color w:val="000000" w:themeColor="text1"/>
          <w:sz w:val="24"/>
          <w:szCs w:val="24"/>
        </w:rPr>
        <w:t xml:space="preserve">London: CIPD. </w:t>
      </w:r>
      <w:hyperlink r:id="rId13" w:anchor="when-would-an-employee-raise-a-grievance" w:history="1">
        <w:r w:rsidRPr="00D9089F">
          <w:rPr>
            <w:rStyle w:val="Hyperlink"/>
            <w:rFonts w:cs="Calibri"/>
            <w:sz w:val="24"/>
            <w:szCs w:val="24"/>
          </w:rPr>
          <w:t>https://www.cipd.org/uk/knowledge/guides/disciplinary-and-grievance-procedures-guidance-for-managers/#when-would-an-employee-raise-a-grievance</w:t>
        </w:r>
      </w:hyperlink>
      <w:r w:rsidRPr="00D9089F">
        <w:rPr>
          <w:rFonts w:cs="Calibri"/>
          <w:color w:val="000000" w:themeColor="text1"/>
          <w:sz w:val="24"/>
          <w:szCs w:val="24"/>
        </w:rPr>
        <w:t xml:space="preserve"> / (Accessed on 30 April 2025).</w:t>
      </w:r>
    </w:p>
    <w:p w14:paraId="265134AF" w14:textId="62E16C70" w:rsidR="00915C32" w:rsidRPr="00D9089F" w:rsidRDefault="00EE1C61" w:rsidP="009C7A0B">
      <w:pPr>
        <w:pStyle w:val="Body"/>
        <w:numPr>
          <w:ilvl w:val="0"/>
          <w:numId w:val="45"/>
        </w:numPr>
        <w:rPr>
          <w:rFonts w:cs="Calibri"/>
          <w:i/>
          <w:iCs/>
          <w:color w:val="000000" w:themeColor="text1"/>
          <w:sz w:val="24"/>
          <w:szCs w:val="24"/>
        </w:rPr>
      </w:pPr>
      <w:r w:rsidRPr="00D9089F">
        <w:rPr>
          <w:rFonts w:cs="Calibri"/>
          <w:color w:val="000000" w:themeColor="text1"/>
          <w:sz w:val="24"/>
          <w:szCs w:val="24"/>
        </w:rPr>
        <w:lastRenderedPageBreak/>
        <w:t>CIPD (2024</w:t>
      </w:r>
      <w:r w:rsidR="00675B3B" w:rsidRPr="00D9089F">
        <w:rPr>
          <w:rFonts w:cs="Calibri"/>
          <w:color w:val="000000" w:themeColor="text1"/>
          <w:sz w:val="24"/>
          <w:szCs w:val="24"/>
        </w:rPr>
        <w:t>c</w:t>
      </w:r>
      <w:r w:rsidRPr="00D9089F">
        <w:rPr>
          <w:rFonts w:cs="Calibri"/>
          <w:color w:val="000000" w:themeColor="text1"/>
          <w:sz w:val="24"/>
          <w:szCs w:val="24"/>
        </w:rPr>
        <w:t xml:space="preserve"> ) </w:t>
      </w:r>
      <w:r w:rsidR="00AA5F08" w:rsidRPr="00D9089F">
        <w:rPr>
          <w:rFonts w:cs="Calibri"/>
          <w:i/>
          <w:iCs/>
          <w:color w:val="000000" w:themeColor="text1"/>
          <w:sz w:val="24"/>
          <w:szCs w:val="24"/>
        </w:rPr>
        <w:t>Discipline and grievance at work</w:t>
      </w:r>
      <w:r w:rsidRPr="00D9089F">
        <w:rPr>
          <w:rFonts w:cs="Calibri"/>
          <w:i/>
          <w:iCs/>
          <w:color w:val="000000" w:themeColor="text1"/>
          <w:sz w:val="24"/>
          <w:szCs w:val="24"/>
        </w:rPr>
        <w:t xml:space="preserve">. </w:t>
      </w:r>
      <w:r w:rsidRPr="00D9089F">
        <w:rPr>
          <w:rFonts w:cs="Calibri"/>
          <w:color w:val="000000" w:themeColor="text1"/>
          <w:sz w:val="24"/>
          <w:szCs w:val="24"/>
        </w:rPr>
        <w:t xml:space="preserve">London: CIPD. </w:t>
      </w:r>
      <w:r w:rsidR="00AA5F08" w:rsidRPr="00D9089F">
        <w:rPr>
          <w:rFonts w:cs="Calibri"/>
          <w:color w:val="000000" w:themeColor="text1"/>
          <w:sz w:val="24"/>
          <w:szCs w:val="24"/>
        </w:rPr>
        <w:t xml:space="preserve">https://www.cipd.org/uk/knowledge/factsheets/discipline-factsheet/ </w:t>
      </w:r>
      <w:r w:rsidRPr="00D9089F">
        <w:rPr>
          <w:rFonts w:cs="Calibri"/>
          <w:color w:val="000000" w:themeColor="text1"/>
          <w:sz w:val="24"/>
          <w:szCs w:val="24"/>
        </w:rPr>
        <w:t>(Accessed on 30 April 2025).</w:t>
      </w:r>
    </w:p>
    <w:p w14:paraId="5C829309" w14:textId="35B68CA9" w:rsidR="00916712" w:rsidRPr="00D9089F" w:rsidRDefault="00D21634"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CIPD(2024</w:t>
      </w:r>
      <w:r w:rsidR="00675B3B" w:rsidRPr="00D9089F">
        <w:rPr>
          <w:rFonts w:cs="Calibri"/>
          <w:color w:val="000000" w:themeColor="text1"/>
          <w:sz w:val="24"/>
          <w:szCs w:val="24"/>
        </w:rPr>
        <w:t>d</w:t>
      </w:r>
      <w:r w:rsidRPr="00D9089F">
        <w:rPr>
          <w:rFonts w:cs="Calibri"/>
          <w:color w:val="000000" w:themeColor="text1"/>
          <w:sz w:val="24"/>
          <w:szCs w:val="24"/>
        </w:rPr>
        <w:t xml:space="preserve">) </w:t>
      </w:r>
      <w:r w:rsidRPr="00D9089F">
        <w:rPr>
          <w:rFonts w:cs="Calibri"/>
          <w:i/>
          <w:iCs/>
          <w:color w:val="000000" w:themeColor="text1"/>
          <w:sz w:val="24"/>
          <w:szCs w:val="24"/>
        </w:rPr>
        <w:t>Dismissal procedures</w:t>
      </w:r>
      <w:r w:rsidRPr="00D9089F">
        <w:rPr>
          <w:rFonts w:cs="Calibri"/>
          <w:color w:val="000000" w:themeColor="text1"/>
          <w:sz w:val="24"/>
          <w:szCs w:val="24"/>
        </w:rPr>
        <w:t xml:space="preserve">. London: CIPD </w:t>
      </w:r>
      <w:hyperlink r:id="rId14" w:history="1">
        <w:r w:rsidRPr="00D9089F">
          <w:rPr>
            <w:rFonts w:cs="Calibri"/>
            <w:color w:val="000000" w:themeColor="text1"/>
            <w:sz w:val="24"/>
            <w:szCs w:val="24"/>
          </w:rPr>
          <w:t>https://www.cipd.org/uk/knowledge/factsheets/dismissal-factsheet/</w:t>
        </w:r>
      </w:hyperlink>
      <w:r w:rsidRPr="00D9089F">
        <w:rPr>
          <w:rFonts w:cs="Calibri"/>
          <w:color w:val="000000" w:themeColor="text1"/>
          <w:sz w:val="24"/>
          <w:szCs w:val="24"/>
        </w:rPr>
        <w:t xml:space="preserve"> (Accessed on 29 April 2025).</w:t>
      </w:r>
    </w:p>
    <w:p w14:paraId="290A3BFE" w14:textId="607B6EA7" w:rsidR="00215BF0" w:rsidRPr="00D9089F" w:rsidRDefault="00215BF0"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675B3B" w:rsidRPr="00D9089F">
        <w:rPr>
          <w:rFonts w:cs="Calibri"/>
          <w:color w:val="000000" w:themeColor="text1"/>
          <w:sz w:val="24"/>
          <w:szCs w:val="24"/>
        </w:rPr>
        <w:t>e</w:t>
      </w:r>
      <w:r w:rsidRPr="00D9089F">
        <w:rPr>
          <w:rFonts w:cs="Calibri"/>
          <w:color w:val="000000" w:themeColor="text1"/>
          <w:sz w:val="24"/>
          <w:szCs w:val="24"/>
        </w:rPr>
        <w:t xml:space="preserve">) </w:t>
      </w:r>
      <w:r w:rsidRPr="00D9089F">
        <w:rPr>
          <w:rFonts w:cs="Calibri"/>
          <w:i/>
          <w:iCs/>
          <w:color w:val="000000" w:themeColor="text1"/>
          <w:sz w:val="24"/>
          <w:szCs w:val="24"/>
        </w:rPr>
        <w:t>Employee voice boosts outcomes of management practices</w:t>
      </w:r>
      <w:r w:rsidRPr="00D9089F">
        <w:rPr>
          <w:rFonts w:cs="Calibri"/>
          <w:color w:val="000000" w:themeColor="text1"/>
          <w:sz w:val="24"/>
          <w:szCs w:val="24"/>
        </w:rPr>
        <w:t>. London: CIPD https://www.cipd.org/uk/knowledge/bitesize-research/employee-representation/ (Accessed on 21 April 2025).</w:t>
      </w:r>
    </w:p>
    <w:p w14:paraId="40B8F6E8" w14:textId="76C6FED7" w:rsidR="0051042E" w:rsidRPr="00D9089F" w:rsidRDefault="0051042E"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675B3B" w:rsidRPr="00D9089F">
        <w:rPr>
          <w:rFonts w:cs="Calibri"/>
          <w:color w:val="000000" w:themeColor="text1"/>
          <w:sz w:val="24"/>
          <w:szCs w:val="24"/>
        </w:rPr>
        <w:t>f</w:t>
      </w:r>
      <w:r w:rsidRPr="00D9089F">
        <w:rPr>
          <w:rFonts w:cs="Calibri"/>
          <w:color w:val="000000" w:themeColor="text1"/>
          <w:sz w:val="24"/>
          <w:szCs w:val="24"/>
        </w:rPr>
        <w:t xml:space="preserve">) </w:t>
      </w:r>
      <w:r w:rsidRPr="00D9089F">
        <w:rPr>
          <w:rFonts w:cs="Calibri"/>
          <w:i/>
          <w:iCs/>
          <w:color w:val="000000" w:themeColor="text1"/>
          <w:sz w:val="24"/>
          <w:szCs w:val="24"/>
        </w:rPr>
        <w:t>Employee voice</w:t>
      </w:r>
      <w:r w:rsidRPr="00D9089F">
        <w:rPr>
          <w:rFonts w:cs="Calibri"/>
          <w:color w:val="000000" w:themeColor="text1"/>
          <w:sz w:val="24"/>
          <w:szCs w:val="24"/>
        </w:rPr>
        <w:t>. London: CIPD https://www.cipd.org/uk/views-and-insights/cipd-viewpoint/employee-voice/ (Accessed on 21 April 2025).</w:t>
      </w:r>
    </w:p>
    <w:p w14:paraId="52C1AECC" w14:textId="769875CF" w:rsidR="00215BF0" w:rsidRPr="00D9089F" w:rsidRDefault="00C3541F"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F66466" w:rsidRPr="00D9089F">
        <w:rPr>
          <w:rFonts w:cs="Calibri"/>
          <w:color w:val="000000" w:themeColor="text1"/>
          <w:sz w:val="24"/>
          <w:szCs w:val="24"/>
        </w:rPr>
        <w:t>g</w:t>
      </w:r>
      <w:r w:rsidRPr="00D9089F">
        <w:rPr>
          <w:rFonts w:cs="Calibri"/>
          <w:color w:val="000000" w:themeColor="text1"/>
          <w:sz w:val="24"/>
          <w:szCs w:val="24"/>
        </w:rPr>
        <w:t xml:space="preserve">) </w:t>
      </w:r>
      <w:r w:rsidR="00E6326C" w:rsidRPr="00D9089F">
        <w:rPr>
          <w:rFonts w:cs="Calibri"/>
          <w:i/>
          <w:iCs/>
          <w:color w:val="000000" w:themeColor="text1"/>
          <w:sz w:val="24"/>
          <w:szCs w:val="24"/>
        </w:rPr>
        <w:t>Preventing and dealing with bullying and workplace conflict: Guide for managers</w:t>
      </w:r>
      <w:r w:rsidRPr="00D9089F">
        <w:rPr>
          <w:rFonts w:cs="Calibri"/>
          <w:i/>
          <w:iCs/>
          <w:color w:val="000000" w:themeColor="text1"/>
          <w:sz w:val="24"/>
          <w:szCs w:val="24"/>
        </w:rPr>
        <w:t>.</w:t>
      </w:r>
      <w:r w:rsidRPr="00D9089F">
        <w:rPr>
          <w:rFonts w:cs="Calibri"/>
          <w:color w:val="000000" w:themeColor="text1"/>
          <w:sz w:val="24"/>
          <w:szCs w:val="24"/>
        </w:rPr>
        <w:t xml:space="preserve"> London: CIPD </w:t>
      </w:r>
      <w:r w:rsidR="00E6326C" w:rsidRPr="00D9089F">
        <w:rPr>
          <w:rFonts w:cs="Calibri"/>
          <w:color w:val="000000" w:themeColor="text1"/>
          <w:sz w:val="24"/>
          <w:szCs w:val="24"/>
        </w:rPr>
        <w:t xml:space="preserve">https://www.cipd.org/uk/knowledge/guides/workplace-conflict-people-manager-guide/ </w:t>
      </w:r>
      <w:r w:rsidRPr="00D9089F">
        <w:rPr>
          <w:rFonts w:cs="Calibri"/>
          <w:color w:val="000000" w:themeColor="text1"/>
          <w:sz w:val="24"/>
          <w:szCs w:val="24"/>
        </w:rPr>
        <w:t>(Accessed on 2</w:t>
      </w:r>
      <w:r w:rsidR="00E6326C" w:rsidRPr="00D9089F">
        <w:rPr>
          <w:rFonts w:cs="Calibri"/>
          <w:color w:val="000000" w:themeColor="text1"/>
          <w:sz w:val="24"/>
          <w:szCs w:val="24"/>
        </w:rPr>
        <w:t>5</w:t>
      </w:r>
      <w:r w:rsidRPr="00D9089F">
        <w:rPr>
          <w:rFonts w:cs="Calibri"/>
          <w:color w:val="000000" w:themeColor="text1"/>
          <w:sz w:val="24"/>
          <w:szCs w:val="24"/>
        </w:rPr>
        <w:t>April 2025).</w:t>
      </w:r>
    </w:p>
    <w:p w14:paraId="385D568D" w14:textId="73FC275C" w:rsidR="00215BF0" w:rsidRPr="00D9089F" w:rsidRDefault="00A70E9F"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CIPD (2024</w:t>
      </w:r>
      <w:r w:rsidR="00CA4AAC" w:rsidRPr="00D9089F">
        <w:rPr>
          <w:rFonts w:cs="Calibri"/>
          <w:color w:val="000000" w:themeColor="text1"/>
          <w:sz w:val="24"/>
          <w:szCs w:val="24"/>
        </w:rPr>
        <w:t>h</w:t>
      </w:r>
      <w:r w:rsidRPr="00D9089F">
        <w:rPr>
          <w:rFonts w:cs="Calibri"/>
          <w:color w:val="000000" w:themeColor="text1"/>
          <w:sz w:val="24"/>
          <w:szCs w:val="24"/>
        </w:rPr>
        <w:t xml:space="preserve">) </w:t>
      </w:r>
      <w:r w:rsidRPr="00D9089F">
        <w:rPr>
          <w:rFonts w:cs="Calibri"/>
          <w:i/>
          <w:iCs/>
          <w:color w:val="000000" w:themeColor="text1"/>
          <w:sz w:val="24"/>
          <w:szCs w:val="24"/>
        </w:rPr>
        <w:t>What’s hampering ‘good work</w:t>
      </w:r>
      <w:r w:rsidRPr="00D9089F">
        <w:rPr>
          <w:rFonts w:cs="Calibri"/>
          <w:color w:val="000000" w:themeColor="text1"/>
          <w:sz w:val="24"/>
          <w:szCs w:val="24"/>
        </w:rPr>
        <w:t>’?[podcast].209, 02 Jul. available at https://www.cipd.org/uk/knowledge/podcasts/whats-hampering-good-work/ (Accessed on 22 April 2025).</w:t>
      </w:r>
    </w:p>
    <w:p w14:paraId="2ED91084" w14:textId="6B5BB5E1" w:rsidR="00FF0993" w:rsidRPr="00D9089F" w:rsidRDefault="00FF0993"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CIPD (2025) </w:t>
      </w:r>
      <w:r w:rsidRPr="00D9089F">
        <w:rPr>
          <w:rFonts w:cs="Calibri"/>
          <w:i/>
          <w:iCs/>
          <w:color w:val="000000" w:themeColor="text1"/>
          <w:sz w:val="24"/>
          <w:szCs w:val="24"/>
        </w:rPr>
        <w:t>Employee voice</w:t>
      </w:r>
      <w:r w:rsidRPr="00D9089F">
        <w:rPr>
          <w:rFonts w:cs="Calibri"/>
          <w:color w:val="000000" w:themeColor="text1"/>
          <w:sz w:val="24"/>
          <w:szCs w:val="24"/>
        </w:rPr>
        <w:t>. London: CIPD https://www.cipd.org/uk/knowledge/factsheets/voice-factsheet/#Whatis (Accessed on 20 April 2025).</w:t>
      </w:r>
    </w:p>
    <w:p w14:paraId="01ACD4A9" w14:textId="77777777" w:rsidR="00606C7A" w:rsidRPr="00D9089F" w:rsidRDefault="00606C7A"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Daniels, K. (2022) </w:t>
      </w:r>
      <w:r w:rsidRPr="00D9089F">
        <w:rPr>
          <w:rFonts w:cs="Calibri"/>
          <w:i/>
          <w:iCs/>
          <w:color w:val="000000" w:themeColor="text1"/>
          <w:sz w:val="24"/>
          <w:szCs w:val="24"/>
        </w:rPr>
        <w:t>Introduction to Employment Law</w:t>
      </w:r>
      <w:r w:rsidRPr="00D9089F">
        <w:rPr>
          <w:rFonts w:cs="Calibri"/>
          <w:color w:val="000000" w:themeColor="text1"/>
          <w:sz w:val="24"/>
          <w:szCs w:val="24"/>
        </w:rPr>
        <w:t xml:space="preserve">. 6th edn. London: Kogan Page. </w:t>
      </w:r>
    </w:p>
    <w:p w14:paraId="38DCD17A" w14:textId="735205E6" w:rsidR="002C7CAA" w:rsidRPr="00D9089F" w:rsidRDefault="002C7CAA"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Equality Act 2010(2010) </w:t>
      </w:r>
      <w:r w:rsidRPr="00D9089F">
        <w:rPr>
          <w:rFonts w:cs="Calibri"/>
          <w:i/>
          <w:iCs/>
          <w:color w:val="000000" w:themeColor="text1"/>
          <w:sz w:val="24"/>
          <w:szCs w:val="24"/>
        </w:rPr>
        <w:t>UK Public General Acts</w:t>
      </w:r>
      <w:r w:rsidRPr="00D9089F">
        <w:rPr>
          <w:rFonts w:cs="Calibri"/>
          <w:color w:val="000000" w:themeColor="text1"/>
          <w:sz w:val="24"/>
          <w:szCs w:val="24"/>
        </w:rPr>
        <w:t xml:space="preserve">. Available at: </w:t>
      </w:r>
      <w:hyperlink r:id="rId15" w:history="1">
        <w:r w:rsidRPr="00D9089F">
          <w:rPr>
            <w:rFonts w:cs="Calibri"/>
            <w:color w:val="000000" w:themeColor="text1"/>
            <w:sz w:val="24"/>
            <w:szCs w:val="24"/>
          </w:rPr>
          <w:t>https://www.legislation.gov.uk/ukpga/2010/15/contents</w:t>
        </w:r>
      </w:hyperlink>
      <w:r w:rsidRPr="00D9089F">
        <w:rPr>
          <w:rFonts w:cs="Calibri"/>
          <w:color w:val="000000" w:themeColor="text1"/>
          <w:sz w:val="24"/>
          <w:szCs w:val="24"/>
        </w:rPr>
        <w:t xml:space="preserve">  (Accessed on 29 April 2025).</w:t>
      </w:r>
    </w:p>
    <w:p w14:paraId="1020661B" w14:textId="3DEC6A99" w:rsidR="00B44F15" w:rsidRPr="00D9089F" w:rsidRDefault="00B44F15"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Hyman, J. (2018) </w:t>
      </w:r>
      <w:r w:rsidRPr="00D9089F">
        <w:rPr>
          <w:rFonts w:cs="Calibri"/>
          <w:i/>
          <w:iCs/>
          <w:color w:val="000000" w:themeColor="text1"/>
          <w:sz w:val="24"/>
          <w:szCs w:val="24"/>
        </w:rPr>
        <w:t>Employee Voice and Participation</w:t>
      </w:r>
      <w:r w:rsidRPr="00D9089F">
        <w:rPr>
          <w:rFonts w:cs="Calibri"/>
          <w:color w:val="000000" w:themeColor="text1"/>
          <w:sz w:val="24"/>
          <w:szCs w:val="24"/>
        </w:rPr>
        <w:t xml:space="preserve">. 1st edn. Routledge. </w:t>
      </w:r>
    </w:p>
    <w:p w14:paraId="2A4FBEC8" w14:textId="71812EC6" w:rsidR="00FF0993" w:rsidRPr="00D9089F" w:rsidRDefault="003E1AD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Ipa </w:t>
      </w:r>
      <w:r w:rsidR="002D2977" w:rsidRPr="00D9089F">
        <w:rPr>
          <w:rFonts w:cs="Calibri"/>
          <w:color w:val="000000" w:themeColor="text1"/>
          <w:sz w:val="24"/>
          <w:szCs w:val="24"/>
        </w:rPr>
        <w:t xml:space="preserve">(no date) </w:t>
      </w:r>
      <w:r w:rsidR="002D2977" w:rsidRPr="00D9089F">
        <w:rPr>
          <w:rFonts w:cs="Calibri"/>
          <w:i/>
          <w:iCs/>
          <w:color w:val="000000" w:themeColor="text1"/>
          <w:sz w:val="24"/>
          <w:szCs w:val="24"/>
        </w:rPr>
        <w:t>Employee voice</w:t>
      </w:r>
      <w:r w:rsidR="002D2977" w:rsidRPr="00D9089F">
        <w:rPr>
          <w:rFonts w:cs="Calibri"/>
          <w:color w:val="000000" w:themeColor="text1"/>
          <w:sz w:val="24"/>
          <w:szCs w:val="24"/>
        </w:rPr>
        <w:t xml:space="preserve">. Available at: </w:t>
      </w:r>
      <w:hyperlink r:id="rId16" w:history="1">
        <w:r w:rsidR="002D2977" w:rsidRPr="00D9089F">
          <w:rPr>
            <w:rFonts w:cs="Calibri"/>
            <w:color w:val="000000" w:themeColor="text1"/>
            <w:sz w:val="24"/>
            <w:szCs w:val="24"/>
          </w:rPr>
          <w:t>https://www.ipa-involve.com/employee-voice</w:t>
        </w:r>
      </w:hyperlink>
      <w:r w:rsidR="002D2977" w:rsidRPr="00D9089F">
        <w:rPr>
          <w:rFonts w:cs="Calibri"/>
          <w:color w:val="000000" w:themeColor="text1"/>
          <w:sz w:val="24"/>
          <w:szCs w:val="24"/>
        </w:rPr>
        <w:t xml:space="preserve"> (Accessed on 21 April 2025).</w:t>
      </w:r>
    </w:p>
    <w:p w14:paraId="5D711246" w14:textId="6ACF35CC" w:rsidR="0009227C" w:rsidRPr="00D9089F" w:rsidRDefault="005D0DC2"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Labour Relations Agency (2022) </w:t>
      </w:r>
      <w:r w:rsidRPr="00D9089F">
        <w:rPr>
          <w:rFonts w:cs="Calibri"/>
          <w:i/>
          <w:iCs/>
          <w:color w:val="000000" w:themeColor="text1"/>
          <w:sz w:val="24"/>
          <w:szCs w:val="24"/>
        </w:rPr>
        <w:t>Advice on Non-Union Representation In the Workplace</w:t>
      </w:r>
      <w:r w:rsidR="0009227C" w:rsidRPr="00D9089F">
        <w:rPr>
          <w:rFonts w:cs="Calibri"/>
          <w:color w:val="000000" w:themeColor="text1"/>
          <w:sz w:val="24"/>
          <w:szCs w:val="24"/>
        </w:rPr>
        <w:t xml:space="preserve">. Available at: </w:t>
      </w:r>
      <w:hyperlink r:id="rId17" w:history="1">
        <w:r w:rsidR="0009227C" w:rsidRPr="00D9089F">
          <w:rPr>
            <w:rFonts w:cs="Calibri"/>
            <w:color w:val="000000" w:themeColor="text1"/>
            <w:sz w:val="24"/>
            <w:szCs w:val="24"/>
          </w:rPr>
          <w:t>https://www.lra.org.uk/sites/default/files/2019-03/Advisory%20Guide%20-%20Advice%20on%20Non-Union%20Representation%20In%20the%20Workplace.pdf</w:t>
        </w:r>
      </w:hyperlink>
      <w:r w:rsidR="0009227C" w:rsidRPr="00D9089F">
        <w:rPr>
          <w:rFonts w:cs="Calibri"/>
          <w:color w:val="000000" w:themeColor="text1"/>
          <w:sz w:val="24"/>
          <w:szCs w:val="24"/>
        </w:rPr>
        <w:t xml:space="preserve"> (Accessed on 20 April 2025).</w:t>
      </w:r>
    </w:p>
    <w:p w14:paraId="43505DD6" w14:textId="4A406342" w:rsidR="00000235" w:rsidRPr="00D9089F" w:rsidRDefault="00CC1BDD"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Resolution Foundation (2023</w:t>
      </w:r>
      <w:r w:rsidRPr="00D9089F">
        <w:rPr>
          <w:rFonts w:cs="Calibri"/>
          <w:i/>
          <w:iCs/>
          <w:color w:val="000000" w:themeColor="text1"/>
          <w:sz w:val="24"/>
          <w:szCs w:val="24"/>
        </w:rPr>
        <w:t>) Labour Market Outlook Q4.</w:t>
      </w:r>
      <w:r w:rsidRPr="00D9089F">
        <w:rPr>
          <w:rFonts w:cs="Calibri"/>
          <w:color w:val="000000" w:themeColor="text1"/>
          <w:sz w:val="24"/>
          <w:szCs w:val="24"/>
        </w:rPr>
        <w:t xml:space="preserve"> Available at: </w:t>
      </w:r>
      <w:hyperlink r:id="rId18" w:tgtFrame="_new" w:history="1">
        <w:r w:rsidRPr="00D9089F">
          <w:rPr>
            <w:rFonts w:cs="Calibri"/>
            <w:color w:val="000000" w:themeColor="text1"/>
            <w:sz w:val="24"/>
            <w:szCs w:val="24"/>
          </w:rPr>
          <w:t>https://www.resolutionfoundation.org</w:t>
        </w:r>
      </w:hyperlink>
      <w:r w:rsidRPr="00D9089F">
        <w:rPr>
          <w:rFonts w:cs="Calibri"/>
          <w:color w:val="000000" w:themeColor="text1"/>
          <w:sz w:val="24"/>
          <w:szCs w:val="24"/>
        </w:rPr>
        <w:t xml:space="preserve"> (Accessed: 27 April 2025).</w:t>
      </w:r>
    </w:p>
    <w:p w14:paraId="635B5A07" w14:textId="1D653BA7" w:rsidR="008735D9" w:rsidRPr="00D9089F" w:rsidRDefault="008735D9"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Satista (2024). </w:t>
      </w:r>
      <w:r w:rsidRPr="00D9089F">
        <w:rPr>
          <w:rFonts w:cs="Calibri"/>
          <w:i/>
          <w:iCs/>
          <w:color w:val="000000" w:themeColor="text1"/>
          <w:sz w:val="24"/>
          <w:szCs w:val="24"/>
        </w:rPr>
        <w:t xml:space="preserve">Percentage of employees that are members of a trade union in the United Kingdom from 1995 to 2023. </w:t>
      </w:r>
      <w:r w:rsidRPr="00D9089F">
        <w:rPr>
          <w:rFonts w:cs="Calibri"/>
          <w:color w:val="000000" w:themeColor="text1"/>
          <w:sz w:val="24"/>
          <w:szCs w:val="24"/>
        </w:rPr>
        <w:t xml:space="preserve">Available at : </w:t>
      </w:r>
      <w:hyperlink r:id="rId19" w:anchor=":~:text=The%20share%20of%20employees%20that%20were%20members%20of,22.2%20percent%20of%20employees%20were%20trade%20union%20members" w:history="1">
        <w:r w:rsidRPr="00D9089F">
          <w:rPr>
            <w:rStyle w:val="Hyperlink"/>
            <w:rFonts w:cs="Calibri"/>
            <w:sz w:val="24"/>
            <w:szCs w:val="24"/>
          </w:rPr>
          <w:t>https://www.statista.com/statistics/287232/uk-trade-union-</w:t>
        </w:r>
        <w:r w:rsidRPr="00D9089F">
          <w:rPr>
            <w:rStyle w:val="Hyperlink"/>
            <w:rFonts w:cs="Calibri"/>
            <w:sz w:val="24"/>
            <w:szCs w:val="24"/>
          </w:rPr>
          <w:lastRenderedPageBreak/>
          <w:t>density/#:~:text=The%20share%20of%20employees%20that%20were%20members%20of,22.2%20percent%20of%20employees%20were%20trade%20union%20members</w:t>
        </w:r>
      </w:hyperlink>
      <w:r w:rsidRPr="00D9089F">
        <w:rPr>
          <w:rFonts w:cs="Calibri"/>
          <w:color w:val="000000" w:themeColor="text1"/>
          <w:sz w:val="24"/>
          <w:szCs w:val="24"/>
        </w:rPr>
        <w:t>. (Accessed: 30 April 2025).</w:t>
      </w:r>
    </w:p>
    <w:p w14:paraId="0D993A10" w14:textId="4B5D0773" w:rsidR="00C84D1A" w:rsidRPr="00D9089F" w:rsidRDefault="00C84D1A"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Taylor, S. and Woodhams, C. (2022) </w:t>
      </w:r>
      <w:r w:rsidRPr="00D9089F">
        <w:rPr>
          <w:rFonts w:cs="Calibri"/>
          <w:i/>
          <w:iCs/>
          <w:color w:val="000000" w:themeColor="text1"/>
          <w:sz w:val="24"/>
          <w:szCs w:val="24"/>
        </w:rPr>
        <w:t>Studying Human Resource Management</w:t>
      </w:r>
      <w:r w:rsidRPr="00D9089F">
        <w:rPr>
          <w:rFonts w:cs="Calibri"/>
          <w:color w:val="000000" w:themeColor="text1"/>
          <w:sz w:val="24"/>
          <w:szCs w:val="24"/>
        </w:rPr>
        <w:t xml:space="preserve">. </w:t>
      </w:r>
      <w:r w:rsidR="00D956A3" w:rsidRPr="00D9089F">
        <w:rPr>
          <w:rFonts w:cs="Calibri"/>
          <w:color w:val="000000" w:themeColor="text1"/>
          <w:sz w:val="24"/>
          <w:szCs w:val="24"/>
        </w:rPr>
        <w:t>5</w:t>
      </w:r>
      <w:r w:rsidR="00D956A3" w:rsidRPr="00D9089F">
        <w:rPr>
          <w:rFonts w:cs="Calibri"/>
          <w:color w:val="000000" w:themeColor="text1"/>
          <w:sz w:val="24"/>
          <w:szCs w:val="24"/>
          <w:vertAlign w:val="superscript"/>
        </w:rPr>
        <w:t>th</w:t>
      </w:r>
      <w:r w:rsidRPr="00D9089F">
        <w:rPr>
          <w:rFonts w:cs="Calibri"/>
          <w:color w:val="000000" w:themeColor="text1"/>
          <w:sz w:val="24"/>
          <w:szCs w:val="24"/>
        </w:rPr>
        <w:t xml:space="preserve"> edn. CIPD - Kogan Page. </w:t>
      </w:r>
    </w:p>
    <w:p w14:paraId="54ED3667" w14:textId="12251A71" w:rsidR="00CC38AA" w:rsidRPr="00D9089F" w:rsidRDefault="00000235"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UNISON (2025) </w:t>
      </w:r>
      <w:r w:rsidRPr="00D9089F">
        <w:rPr>
          <w:rFonts w:cs="Calibri"/>
          <w:i/>
          <w:iCs/>
          <w:color w:val="000000" w:themeColor="text1"/>
          <w:sz w:val="24"/>
          <w:szCs w:val="24"/>
        </w:rPr>
        <w:t>What is a trade union?</w:t>
      </w:r>
      <w:r w:rsidRPr="00D9089F">
        <w:rPr>
          <w:rFonts w:cs="Calibri"/>
          <w:color w:val="000000" w:themeColor="text1"/>
          <w:sz w:val="24"/>
          <w:szCs w:val="24"/>
        </w:rPr>
        <w:t xml:space="preserve"> Available at: </w:t>
      </w:r>
      <w:hyperlink r:id="rId20" w:history="1">
        <w:r w:rsidRPr="00D9089F">
          <w:rPr>
            <w:rFonts w:cs="Calibri"/>
            <w:color w:val="000000" w:themeColor="text1"/>
            <w:sz w:val="24"/>
            <w:szCs w:val="24"/>
          </w:rPr>
          <w:t>https://www.unison.org.uk/about/what-we-do/about-trade-unions/</w:t>
        </w:r>
      </w:hyperlink>
      <w:r w:rsidRPr="00D9089F">
        <w:rPr>
          <w:rFonts w:cs="Calibri"/>
          <w:color w:val="000000" w:themeColor="text1"/>
          <w:sz w:val="24"/>
          <w:szCs w:val="24"/>
        </w:rPr>
        <w:t xml:space="preserve"> (Accessed on 20 April 2025).</w:t>
      </w:r>
    </w:p>
    <w:p w14:paraId="4A71A32E" w14:textId="76428056" w:rsidR="009C21BF" w:rsidRPr="00D9089F" w:rsidRDefault="009C21BF" w:rsidP="009C7A0B">
      <w:pPr>
        <w:pStyle w:val="Body"/>
        <w:numPr>
          <w:ilvl w:val="0"/>
          <w:numId w:val="45"/>
        </w:numPr>
        <w:rPr>
          <w:rFonts w:cs="Calibri"/>
          <w:color w:val="000000" w:themeColor="text1"/>
          <w:sz w:val="24"/>
          <w:szCs w:val="24"/>
        </w:rPr>
      </w:pPr>
      <w:r w:rsidRPr="00D9089F">
        <w:rPr>
          <w:rFonts w:cs="Calibri"/>
          <w:color w:val="000000" w:themeColor="text1"/>
          <w:sz w:val="24"/>
          <w:szCs w:val="24"/>
        </w:rPr>
        <w:t xml:space="preserve">Woods, D. (2011) </w:t>
      </w:r>
      <w:r w:rsidRPr="00D9089F">
        <w:rPr>
          <w:rFonts w:cs="Calibri"/>
          <w:i/>
          <w:iCs/>
          <w:color w:val="000000" w:themeColor="text1"/>
          <w:sz w:val="24"/>
          <w:szCs w:val="24"/>
        </w:rPr>
        <w:t>CIPD Conference: Toyota GB dismantles business silos to drive through recession.HR Magazine,</w:t>
      </w:r>
      <w:r w:rsidRPr="00D9089F">
        <w:rPr>
          <w:rFonts w:cs="Calibri"/>
          <w:color w:val="000000" w:themeColor="text1"/>
          <w:sz w:val="24"/>
          <w:szCs w:val="24"/>
        </w:rPr>
        <w:t xml:space="preserve"> 10 November. Available at: https://www.hrmagazine.co.uk/content/news/cipd-conference-toyota-gb-dismantles-business-silos-to-drive-through-recession?utm_source=chatgpt.com (Accessed on 21</w:t>
      </w:r>
      <w:r w:rsidR="008D0560" w:rsidRPr="00D9089F">
        <w:rPr>
          <w:rFonts w:cs="Calibri"/>
          <w:color w:val="000000" w:themeColor="text1"/>
          <w:sz w:val="24"/>
          <w:szCs w:val="24"/>
        </w:rPr>
        <w:t xml:space="preserve"> </w:t>
      </w:r>
      <w:r w:rsidRPr="00D9089F">
        <w:rPr>
          <w:rFonts w:cs="Calibri"/>
          <w:color w:val="000000" w:themeColor="text1"/>
          <w:sz w:val="24"/>
          <w:szCs w:val="24"/>
        </w:rPr>
        <w:t>April 2025).</w:t>
      </w:r>
      <w:bookmarkEnd w:id="0"/>
      <w:bookmarkEnd w:id="2"/>
      <w:bookmarkEnd w:id="3"/>
    </w:p>
    <w:sectPr w:rsidR="009C21BF" w:rsidRPr="00D9089F" w:rsidSect="00BC516D">
      <w:footerReference w:type="default" r:id="rId21"/>
      <w:pgSz w:w="11900" w:h="16840"/>
      <w:pgMar w:top="1440" w:right="1440" w:bottom="1440" w:left="1440" w:header="708" w:footer="708" w:gutter="0"/>
      <w:pgBorders w:offsetFrom="page">
        <w:top w:val="single" w:sz="18" w:space="24" w:color="979797" w:themeColor="background2" w:themeTint="99" w:shadow="1"/>
        <w:left w:val="single" w:sz="18" w:space="24" w:color="979797" w:themeColor="background2" w:themeTint="99" w:shadow="1"/>
        <w:bottom w:val="single" w:sz="18" w:space="24" w:color="979797" w:themeColor="background2" w:themeTint="99" w:shadow="1"/>
        <w:right w:val="single" w:sz="18" w:space="24" w:color="979797" w:themeColor="background2" w:themeTint="99" w:shadow="1"/>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5EF11" w14:textId="77777777" w:rsidR="00CE77E5" w:rsidRDefault="00CE77E5">
      <w:r>
        <w:separator/>
      </w:r>
    </w:p>
  </w:endnote>
  <w:endnote w:type="continuationSeparator" w:id="0">
    <w:p w14:paraId="1AD39A70" w14:textId="77777777" w:rsidR="00CE77E5" w:rsidRDefault="00CE77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4776171"/>
      <w:docPartObj>
        <w:docPartGallery w:val="Page Numbers (Bottom of Page)"/>
        <w:docPartUnique/>
      </w:docPartObj>
    </w:sdtPr>
    <w:sdtEndPr>
      <w:rPr>
        <w:color w:val="7F7F7F" w:themeColor="background1" w:themeShade="7F"/>
        <w:spacing w:val="60"/>
      </w:rPr>
    </w:sdtEndPr>
    <w:sdtContent>
      <w:p w14:paraId="1E89BF1B" w14:textId="10D76476" w:rsidR="00BC516D" w:rsidRDefault="00BC516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B0B594" w14:textId="77777777" w:rsidR="002D4A96" w:rsidRDefault="002D4A96">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B6BCE" w14:textId="77777777" w:rsidR="00CE77E5" w:rsidRDefault="00CE77E5">
      <w:r>
        <w:separator/>
      </w:r>
    </w:p>
  </w:footnote>
  <w:footnote w:type="continuationSeparator" w:id="0">
    <w:p w14:paraId="0CA98C13" w14:textId="77777777" w:rsidR="00CE77E5" w:rsidRDefault="00CE77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B0663"/>
    <w:multiLevelType w:val="hybridMultilevel"/>
    <w:tmpl w:val="06E4C9B4"/>
    <w:numStyleLink w:val="ImportedStyle6"/>
  </w:abstractNum>
  <w:abstractNum w:abstractNumId="1" w15:restartNumberingAfterBreak="0">
    <w:nsid w:val="079E7583"/>
    <w:multiLevelType w:val="multilevel"/>
    <w:tmpl w:val="C4E070B4"/>
    <w:lvl w:ilvl="0">
      <w:start w:val="3"/>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7B0190F"/>
    <w:multiLevelType w:val="multilevel"/>
    <w:tmpl w:val="EE3620A8"/>
    <w:lvl w:ilvl="0">
      <w:start w:val="2"/>
      <w:numFmt w:val="decimal"/>
      <w:lvlText w:val="%1"/>
      <w:lvlJc w:val="left"/>
      <w:pPr>
        <w:ind w:left="420" w:hanging="4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8612FAD"/>
    <w:multiLevelType w:val="hybridMultilevel"/>
    <w:tmpl w:val="92845D3E"/>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180E17"/>
    <w:multiLevelType w:val="hybridMultilevel"/>
    <w:tmpl w:val="06E4C9B4"/>
    <w:numStyleLink w:val="ImportedStyle6"/>
  </w:abstractNum>
  <w:abstractNum w:abstractNumId="5" w15:restartNumberingAfterBreak="0">
    <w:nsid w:val="09AB0C9B"/>
    <w:multiLevelType w:val="hybridMultilevel"/>
    <w:tmpl w:val="B456C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4329F7"/>
    <w:multiLevelType w:val="multilevel"/>
    <w:tmpl w:val="2716D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753CBB"/>
    <w:multiLevelType w:val="hybridMultilevel"/>
    <w:tmpl w:val="16E24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0354A3"/>
    <w:multiLevelType w:val="hybridMultilevel"/>
    <w:tmpl w:val="7DDAAB1E"/>
    <w:styleLink w:val="ImportedStyle9"/>
    <w:lvl w:ilvl="0" w:tplc="2A6CD9D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A724E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1502B1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3B0EB7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1F8FB0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6160BF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716A31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406B0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254E86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11B177BE"/>
    <w:multiLevelType w:val="hybridMultilevel"/>
    <w:tmpl w:val="EC5E51A8"/>
    <w:styleLink w:val="ImportedStyle4"/>
    <w:lvl w:ilvl="0" w:tplc="03A407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60268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07221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42F8A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DAC9C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F6ED38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96C04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8A29D1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F529F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149B31BF"/>
    <w:multiLevelType w:val="hybridMultilevel"/>
    <w:tmpl w:val="3AAE6D9E"/>
    <w:styleLink w:val="ImportedStyle2"/>
    <w:lvl w:ilvl="0" w:tplc="D646D8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F2298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412FA4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C2C60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5DC280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14C929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97EE5B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A0E49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BC0D5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16EE6A69"/>
    <w:multiLevelType w:val="hybridMultilevel"/>
    <w:tmpl w:val="1B62D482"/>
    <w:styleLink w:val="ImportedStyle5"/>
    <w:lvl w:ilvl="0" w:tplc="01C2DE7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7FACCB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B0A9B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7345CC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6DA470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96C9FF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2A68D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B46BC6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E44E56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17E43DE7"/>
    <w:multiLevelType w:val="multilevel"/>
    <w:tmpl w:val="FF2CC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F25352"/>
    <w:multiLevelType w:val="hybridMultilevel"/>
    <w:tmpl w:val="06E4C9B4"/>
    <w:numStyleLink w:val="ImportedStyle6"/>
  </w:abstractNum>
  <w:abstractNum w:abstractNumId="14" w15:restartNumberingAfterBreak="0">
    <w:nsid w:val="185B132F"/>
    <w:multiLevelType w:val="multilevel"/>
    <w:tmpl w:val="324E2C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0155EA"/>
    <w:multiLevelType w:val="hybridMultilevel"/>
    <w:tmpl w:val="92F07CA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1A8E0093"/>
    <w:multiLevelType w:val="hybridMultilevel"/>
    <w:tmpl w:val="6D7ED516"/>
    <w:numStyleLink w:val="ImportedStyle10"/>
  </w:abstractNum>
  <w:abstractNum w:abstractNumId="17" w15:restartNumberingAfterBreak="0">
    <w:nsid w:val="1B524661"/>
    <w:multiLevelType w:val="hybridMultilevel"/>
    <w:tmpl w:val="603A0640"/>
    <w:styleLink w:val="ImportedStyle1"/>
    <w:lvl w:ilvl="0" w:tplc="1F60280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BE30B314">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8AD8177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46CEE00">
      <w:start w:val="1"/>
      <w:numFmt w:val="bullet"/>
      <w:lvlText w:val="▪"/>
      <w:lvlJc w:val="left"/>
      <w:pPr>
        <w:tabs>
          <w:tab w:val="left" w:pos="216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03983C12">
      <w:start w:val="1"/>
      <w:numFmt w:val="bullet"/>
      <w:lvlText w:val="▪"/>
      <w:lvlJc w:val="left"/>
      <w:pPr>
        <w:tabs>
          <w:tab w:val="left" w:pos="216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FB6AC6B0">
      <w:start w:val="1"/>
      <w:numFmt w:val="bullet"/>
      <w:lvlText w:val="▪"/>
      <w:lvlJc w:val="left"/>
      <w:pPr>
        <w:tabs>
          <w:tab w:val="left" w:pos="216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DE5C122A">
      <w:start w:val="1"/>
      <w:numFmt w:val="bullet"/>
      <w:lvlText w:val="▪"/>
      <w:lvlJc w:val="left"/>
      <w:pPr>
        <w:tabs>
          <w:tab w:val="left" w:pos="216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33EEF00">
      <w:start w:val="1"/>
      <w:numFmt w:val="bullet"/>
      <w:lvlText w:val="▪"/>
      <w:lvlJc w:val="left"/>
      <w:pPr>
        <w:tabs>
          <w:tab w:val="left" w:pos="216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85B4DFBC">
      <w:start w:val="1"/>
      <w:numFmt w:val="bullet"/>
      <w:lvlText w:val="▪"/>
      <w:lvlJc w:val="left"/>
      <w:pPr>
        <w:tabs>
          <w:tab w:val="left" w:pos="216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18" w15:restartNumberingAfterBreak="0">
    <w:nsid w:val="1CA87D1C"/>
    <w:multiLevelType w:val="hybridMultilevel"/>
    <w:tmpl w:val="C46E3180"/>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E530306"/>
    <w:multiLevelType w:val="hybridMultilevel"/>
    <w:tmpl w:val="3AAE6D9E"/>
    <w:numStyleLink w:val="ImportedStyle2"/>
  </w:abstractNum>
  <w:abstractNum w:abstractNumId="20" w15:restartNumberingAfterBreak="0">
    <w:nsid w:val="23A40888"/>
    <w:multiLevelType w:val="hybridMultilevel"/>
    <w:tmpl w:val="EBCA5BC2"/>
    <w:lvl w:ilvl="0" w:tplc="791820F8">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28A4508C"/>
    <w:multiLevelType w:val="hybridMultilevel"/>
    <w:tmpl w:val="C846CB78"/>
    <w:styleLink w:val="ImportedStyle7"/>
    <w:lvl w:ilvl="0" w:tplc="762026B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97ED9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6880A2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BCC7E2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2CA68E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A9EC3F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5CE7E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6E4CB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5F0BA2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2" w15:restartNumberingAfterBreak="0">
    <w:nsid w:val="2993229B"/>
    <w:multiLevelType w:val="multilevel"/>
    <w:tmpl w:val="100279A6"/>
    <w:lvl w:ilvl="0">
      <w:start w:val="1"/>
      <w:numFmt w:val="decimal"/>
      <w:lvlText w:val="%1."/>
      <w:lvlJc w:val="left"/>
      <w:pPr>
        <w:ind w:left="450" w:hanging="360"/>
      </w:pPr>
    </w:lvl>
    <w:lvl w:ilvl="1">
      <w:start w:val="2"/>
      <w:numFmt w:val="decimal"/>
      <w:isLgl/>
      <w:lvlText w:val="%1.%2"/>
      <w:lvlJc w:val="left"/>
      <w:pPr>
        <w:ind w:left="810" w:hanging="720"/>
      </w:pPr>
      <w:rPr>
        <w:rFonts w:hint="default"/>
      </w:rPr>
    </w:lvl>
    <w:lvl w:ilvl="2">
      <w:start w:val="1"/>
      <w:numFmt w:val="decimal"/>
      <w:isLgl/>
      <w:lvlText w:val="%1.%2.%3"/>
      <w:lvlJc w:val="left"/>
      <w:pPr>
        <w:ind w:left="810" w:hanging="720"/>
      </w:pPr>
      <w:rPr>
        <w:rFonts w:hint="default"/>
      </w:rPr>
    </w:lvl>
    <w:lvl w:ilvl="3">
      <w:start w:val="1"/>
      <w:numFmt w:val="decimal"/>
      <w:isLgl/>
      <w:lvlText w:val="%1.%2.%3.%4"/>
      <w:lvlJc w:val="left"/>
      <w:pPr>
        <w:ind w:left="1170" w:hanging="1080"/>
      </w:pPr>
      <w:rPr>
        <w:rFonts w:hint="default"/>
      </w:rPr>
    </w:lvl>
    <w:lvl w:ilvl="4">
      <w:start w:val="1"/>
      <w:numFmt w:val="decimal"/>
      <w:isLgl/>
      <w:lvlText w:val="%1.%2.%3.%4.%5"/>
      <w:lvlJc w:val="left"/>
      <w:pPr>
        <w:ind w:left="1530" w:hanging="1440"/>
      </w:pPr>
      <w:rPr>
        <w:rFonts w:hint="default"/>
      </w:rPr>
    </w:lvl>
    <w:lvl w:ilvl="5">
      <w:start w:val="1"/>
      <w:numFmt w:val="decimal"/>
      <w:isLgl/>
      <w:lvlText w:val="%1.%2.%3.%4.%5.%6"/>
      <w:lvlJc w:val="left"/>
      <w:pPr>
        <w:ind w:left="1530" w:hanging="1440"/>
      </w:pPr>
      <w:rPr>
        <w:rFonts w:hint="default"/>
      </w:rPr>
    </w:lvl>
    <w:lvl w:ilvl="6">
      <w:start w:val="1"/>
      <w:numFmt w:val="decimal"/>
      <w:isLgl/>
      <w:lvlText w:val="%1.%2.%3.%4.%5.%6.%7"/>
      <w:lvlJc w:val="left"/>
      <w:pPr>
        <w:ind w:left="1890" w:hanging="1800"/>
      </w:pPr>
      <w:rPr>
        <w:rFonts w:hint="default"/>
      </w:rPr>
    </w:lvl>
    <w:lvl w:ilvl="7">
      <w:start w:val="1"/>
      <w:numFmt w:val="decimal"/>
      <w:isLgl/>
      <w:lvlText w:val="%1.%2.%3.%4.%5.%6.%7.%8"/>
      <w:lvlJc w:val="left"/>
      <w:pPr>
        <w:ind w:left="2250" w:hanging="2160"/>
      </w:pPr>
      <w:rPr>
        <w:rFonts w:hint="default"/>
      </w:rPr>
    </w:lvl>
    <w:lvl w:ilvl="8">
      <w:start w:val="1"/>
      <w:numFmt w:val="decimal"/>
      <w:isLgl/>
      <w:lvlText w:val="%1.%2.%3.%4.%5.%6.%7.%8.%9"/>
      <w:lvlJc w:val="left"/>
      <w:pPr>
        <w:ind w:left="2250" w:hanging="2160"/>
      </w:pPr>
      <w:rPr>
        <w:rFonts w:hint="default"/>
      </w:rPr>
    </w:lvl>
  </w:abstractNum>
  <w:abstractNum w:abstractNumId="23" w15:restartNumberingAfterBreak="0">
    <w:nsid w:val="2C725209"/>
    <w:multiLevelType w:val="multilevel"/>
    <w:tmpl w:val="E7B806E2"/>
    <w:lvl w:ilvl="0">
      <w:start w:val="1"/>
      <w:numFmt w:val="decimal"/>
      <w:lvlText w:val="%1"/>
      <w:lvlJc w:val="left"/>
      <w:pPr>
        <w:ind w:left="510" w:hanging="51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4" w15:restartNumberingAfterBreak="0">
    <w:nsid w:val="2DA674D0"/>
    <w:multiLevelType w:val="multilevel"/>
    <w:tmpl w:val="C492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BB17EF"/>
    <w:multiLevelType w:val="hybridMultilevel"/>
    <w:tmpl w:val="84B83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1A8387F"/>
    <w:multiLevelType w:val="hybridMultilevel"/>
    <w:tmpl w:val="073E1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25B7D86"/>
    <w:multiLevelType w:val="hybridMultilevel"/>
    <w:tmpl w:val="F00EF1FC"/>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3C01623"/>
    <w:multiLevelType w:val="hybridMultilevel"/>
    <w:tmpl w:val="06E4C9B4"/>
    <w:styleLink w:val="ImportedStyle6"/>
    <w:lvl w:ilvl="0" w:tplc="9164515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528219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DC0D3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7229A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0AA6C2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BD87AC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C1481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5D6A0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886F3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9" w15:restartNumberingAfterBreak="0">
    <w:nsid w:val="35843ECE"/>
    <w:multiLevelType w:val="hybridMultilevel"/>
    <w:tmpl w:val="63004FC2"/>
    <w:styleLink w:val="ImportedStyle8"/>
    <w:lvl w:ilvl="0" w:tplc="58EA821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07C304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7FE3C6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88672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A60EB5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E22B1B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F366C0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D983B0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C74DBA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0" w15:restartNumberingAfterBreak="0">
    <w:nsid w:val="3A934B46"/>
    <w:multiLevelType w:val="hybridMultilevel"/>
    <w:tmpl w:val="EE5ABC40"/>
    <w:styleLink w:val="ImportedStyle3"/>
    <w:lvl w:ilvl="0" w:tplc="750246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DFC9DF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9FE954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0EE69C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95C264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988F1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D8081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014E0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880737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1" w15:restartNumberingAfterBreak="0">
    <w:nsid w:val="3C507D44"/>
    <w:multiLevelType w:val="hybridMultilevel"/>
    <w:tmpl w:val="603A0640"/>
    <w:numStyleLink w:val="ImportedStyle1"/>
  </w:abstractNum>
  <w:abstractNum w:abstractNumId="32" w15:restartNumberingAfterBreak="0">
    <w:nsid w:val="45871217"/>
    <w:multiLevelType w:val="hybridMultilevel"/>
    <w:tmpl w:val="6CAA4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A3E7A23"/>
    <w:multiLevelType w:val="multilevel"/>
    <w:tmpl w:val="DC64A20C"/>
    <w:lvl w:ilvl="0">
      <w:start w:val="2"/>
      <w:numFmt w:val="decimal"/>
      <w:lvlText w:val="%1"/>
      <w:lvlJc w:val="left"/>
      <w:pPr>
        <w:ind w:left="510" w:hanging="51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4" w15:restartNumberingAfterBreak="0">
    <w:nsid w:val="4B0B22EC"/>
    <w:multiLevelType w:val="multilevel"/>
    <w:tmpl w:val="C492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CAB0BAA"/>
    <w:multiLevelType w:val="hybridMultilevel"/>
    <w:tmpl w:val="5204C84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6" w15:restartNumberingAfterBreak="0">
    <w:nsid w:val="511F4F22"/>
    <w:multiLevelType w:val="hybridMultilevel"/>
    <w:tmpl w:val="C846CB78"/>
    <w:numStyleLink w:val="ImportedStyle7"/>
  </w:abstractNum>
  <w:abstractNum w:abstractNumId="37" w15:restartNumberingAfterBreak="0">
    <w:nsid w:val="56205788"/>
    <w:multiLevelType w:val="hybridMultilevel"/>
    <w:tmpl w:val="6D7ED516"/>
    <w:styleLink w:val="ImportedStyle10"/>
    <w:lvl w:ilvl="0" w:tplc="3F3647E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5B2628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518E5D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44667D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59474A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1AE4C5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C0262D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8E8BDB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EC6B5C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8" w15:restartNumberingAfterBreak="0">
    <w:nsid w:val="563D2339"/>
    <w:multiLevelType w:val="hybridMultilevel"/>
    <w:tmpl w:val="08DE8C5A"/>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66D5C5A"/>
    <w:multiLevelType w:val="hybridMultilevel"/>
    <w:tmpl w:val="7DDAAB1E"/>
    <w:numStyleLink w:val="ImportedStyle9"/>
  </w:abstractNum>
  <w:abstractNum w:abstractNumId="40" w15:restartNumberingAfterBreak="0">
    <w:nsid w:val="57436283"/>
    <w:multiLevelType w:val="hybridMultilevel"/>
    <w:tmpl w:val="1B62D482"/>
    <w:numStyleLink w:val="ImportedStyle5"/>
  </w:abstractNum>
  <w:abstractNum w:abstractNumId="41" w15:restartNumberingAfterBreak="0">
    <w:nsid w:val="5A06533D"/>
    <w:multiLevelType w:val="multilevel"/>
    <w:tmpl w:val="3C54D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C5045F7"/>
    <w:multiLevelType w:val="multilevel"/>
    <w:tmpl w:val="A90837F4"/>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5CED422D"/>
    <w:multiLevelType w:val="multilevel"/>
    <w:tmpl w:val="088411AC"/>
    <w:lvl w:ilvl="0">
      <w:start w:val="2"/>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4" w15:restartNumberingAfterBreak="0">
    <w:nsid w:val="614C6044"/>
    <w:multiLevelType w:val="multilevel"/>
    <w:tmpl w:val="D2049A6C"/>
    <w:lvl w:ilvl="0">
      <w:start w:val="1"/>
      <w:numFmt w:val="decimal"/>
      <w:lvlText w:val="%1"/>
      <w:lvlJc w:val="left"/>
      <w:pPr>
        <w:ind w:left="420" w:hanging="420"/>
      </w:pPr>
      <w:rPr>
        <w:rFonts w:hint="default"/>
      </w:rPr>
    </w:lvl>
    <w:lvl w:ilvl="1">
      <w:start w:val="3"/>
      <w:numFmt w:val="decimal"/>
      <w:lvlText w:val="%1.%2"/>
      <w:lvlJc w:val="left"/>
      <w:pPr>
        <w:ind w:left="990" w:hanging="72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520" w:hanging="144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420" w:hanging="1800"/>
      </w:pPr>
      <w:rPr>
        <w:rFonts w:hint="default"/>
      </w:rPr>
    </w:lvl>
    <w:lvl w:ilvl="7">
      <w:start w:val="1"/>
      <w:numFmt w:val="decimal"/>
      <w:lvlText w:val="%1.%2.%3.%4.%5.%6.%7.%8"/>
      <w:lvlJc w:val="left"/>
      <w:pPr>
        <w:ind w:left="4050" w:hanging="2160"/>
      </w:pPr>
      <w:rPr>
        <w:rFonts w:hint="default"/>
      </w:rPr>
    </w:lvl>
    <w:lvl w:ilvl="8">
      <w:start w:val="1"/>
      <w:numFmt w:val="decimal"/>
      <w:lvlText w:val="%1.%2.%3.%4.%5.%6.%7.%8.%9"/>
      <w:lvlJc w:val="left"/>
      <w:pPr>
        <w:ind w:left="4320" w:hanging="2160"/>
      </w:pPr>
      <w:rPr>
        <w:rFonts w:hint="default"/>
      </w:rPr>
    </w:lvl>
  </w:abstractNum>
  <w:abstractNum w:abstractNumId="45" w15:restartNumberingAfterBreak="0">
    <w:nsid w:val="64042FF3"/>
    <w:multiLevelType w:val="multilevel"/>
    <w:tmpl w:val="59CC7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5E269C0"/>
    <w:multiLevelType w:val="hybridMultilevel"/>
    <w:tmpl w:val="EE5ABC40"/>
    <w:numStyleLink w:val="ImportedStyle3"/>
  </w:abstractNum>
  <w:abstractNum w:abstractNumId="47" w15:restartNumberingAfterBreak="0">
    <w:nsid w:val="66051C63"/>
    <w:multiLevelType w:val="hybridMultilevel"/>
    <w:tmpl w:val="79CCEF28"/>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6B654718"/>
    <w:multiLevelType w:val="hybridMultilevel"/>
    <w:tmpl w:val="63004FC2"/>
    <w:numStyleLink w:val="ImportedStyle8"/>
  </w:abstractNum>
  <w:abstractNum w:abstractNumId="49" w15:restartNumberingAfterBreak="0">
    <w:nsid w:val="7324744E"/>
    <w:multiLevelType w:val="multilevel"/>
    <w:tmpl w:val="311C6ED6"/>
    <w:lvl w:ilvl="0">
      <w:start w:val="1"/>
      <w:numFmt w:val="decimal"/>
      <w:lvlText w:val="%1"/>
      <w:lvlJc w:val="left"/>
      <w:pPr>
        <w:ind w:left="420" w:hanging="420"/>
      </w:pPr>
      <w:rPr>
        <w:rFonts w:hint="default"/>
      </w:rPr>
    </w:lvl>
    <w:lvl w:ilvl="1">
      <w:start w:val="4"/>
      <w:numFmt w:val="decimal"/>
      <w:lvlText w:val="%1.%2"/>
      <w:lvlJc w:val="left"/>
      <w:pPr>
        <w:ind w:left="990" w:hanging="72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520" w:hanging="144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420" w:hanging="1800"/>
      </w:pPr>
      <w:rPr>
        <w:rFonts w:hint="default"/>
      </w:rPr>
    </w:lvl>
    <w:lvl w:ilvl="7">
      <w:start w:val="1"/>
      <w:numFmt w:val="decimal"/>
      <w:lvlText w:val="%1.%2.%3.%4.%5.%6.%7.%8"/>
      <w:lvlJc w:val="left"/>
      <w:pPr>
        <w:ind w:left="4050" w:hanging="2160"/>
      </w:pPr>
      <w:rPr>
        <w:rFonts w:hint="default"/>
      </w:rPr>
    </w:lvl>
    <w:lvl w:ilvl="8">
      <w:start w:val="1"/>
      <w:numFmt w:val="decimal"/>
      <w:lvlText w:val="%1.%2.%3.%4.%5.%6.%7.%8.%9"/>
      <w:lvlJc w:val="left"/>
      <w:pPr>
        <w:ind w:left="4320" w:hanging="2160"/>
      </w:pPr>
      <w:rPr>
        <w:rFonts w:hint="default"/>
      </w:rPr>
    </w:lvl>
  </w:abstractNum>
  <w:abstractNum w:abstractNumId="50" w15:restartNumberingAfterBreak="0">
    <w:nsid w:val="7BC51850"/>
    <w:multiLevelType w:val="hybridMultilevel"/>
    <w:tmpl w:val="EC5E51A8"/>
    <w:numStyleLink w:val="ImportedStyle4"/>
  </w:abstractNum>
  <w:abstractNum w:abstractNumId="51" w15:restartNumberingAfterBreak="0">
    <w:nsid w:val="7E892566"/>
    <w:multiLevelType w:val="hybridMultilevel"/>
    <w:tmpl w:val="EB9A3B52"/>
    <w:lvl w:ilvl="0" w:tplc="791820F8">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63616">
    <w:abstractNumId w:val="17"/>
  </w:num>
  <w:num w:numId="2" w16cid:durableId="217087923">
    <w:abstractNumId w:val="31"/>
  </w:num>
  <w:num w:numId="3" w16cid:durableId="1354190727">
    <w:abstractNumId w:val="10"/>
  </w:num>
  <w:num w:numId="4" w16cid:durableId="344788194">
    <w:abstractNumId w:val="19"/>
  </w:num>
  <w:num w:numId="5" w16cid:durableId="1519075842">
    <w:abstractNumId w:val="30"/>
  </w:num>
  <w:num w:numId="6" w16cid:durableId="527137815">
    <w:abstractNumId w:val="46"/>
  </w:num>
  <w:num w:numId="7" w16cid:durableId="1746564115">
    <w:abstractNumId w:val="9"/>
  </w:num>
  <w:num w:numId="8" w16cid:durableId="410858971">
    <w:abstractNumId w:val="50"/>
  </w:num>
  <w:num w:numId="9" w16cid:durableId="743572961">
    <w:abstractNumId w:val="11"/>
  </w:num>
  <w:num w:numId="10" w16cid:durableId="1093697086">
    <w:abstractNumId w:val="40"/>
  </w:num>
  <w:num w:numId="11" w16cid:durableId="1486816637">
    <w:abstractNumId w:val="28"/>
  </w:num>
  <w:num w:numId="12" w16cid:durableId="1393655423">
    <w:abstractNumId w:val="4"/>
  </w:num>
  <w:num w:numId="13" w16cid:durableId="2002193542">
    <w:abstractNumId w:val="21"/>
  </w:num>
  <w:num w:numId="14" w16cid:durableId="793716682">
    <w:abstractNumId w:val="36"/>
  </w:num>
  <w:num w:numId="15" w16cid:durableId="916094400">
    <w:abstractNumId w:val="29"/>
  </w:num>
  <w:num w:numId="16" w16cid:durableId="1470512036">
    <w:abstractNumId w:val="48"/>
  </w:num>
  <w:num w:numId="17" w16cid:durableId="1231116705">
    <w:abstractNumId w:val="8"/>
  </w:num>
  <w:num w:numId="18" w16cid:durableId="285550815">
    <w:abstractNumId w:val="39"/>
    <w:lvlOverride w:ilvl="0">
      <w:lvl w:ilvl="0" w:tplc="7F2A0F7A">
        <w:start w:val="1"/>
        <w:numFmt w:val="bullet"/>
        <w:lvlText w:val="·"/>
        <w:lvlJc w:val="left"/>
        <w:pPr>
          <w:ind w:left="630" w:hanging="360"/>
        </w:pPr>
        <w:rPr>
          <w:rFonts w:ascii="Symbol" w:eastAsia="Symbol" w:hAnsi="Symbol" w:cs="Symbol"/>
          <w:b w:val="0"/>
          <w:bCs w:val="0"/>
          <w:i w:val="0"/>
          <w:iCs w:val="0"/>
          <w:caps w:val="0"/>
          <w:smallCaps w:val="0"/>
          <w:strike w:val="0"/>
          <w:dstrike w:val="0"/>
          <w:outline w:val="0"/>
          <w:emboss w:val="0"/>
          <w:imprint w:val="0"/>
          <w:color w:val="000000" w:themeColor="text1"/>
          <w:spacing w:val="0"/>
          <w:w w:val="100"/>
          <w:kern w:val="0"/>
          <w:position w:val="0"/>
          <w:highlight w:val="none"/>
          <w:vertAlign w:val="baseline"/>
        </w:rPr>
      </w:lvl>
    </w:lvlOverride>
  </w:num>
  <w:num w:numId="19" w16cid:durableId="312219709">
    <w:abstractNumId w:val="39"/>
    <w:lvlOverride w:ilvl="0">
      <w:lvl w:ilvl="0" w:tplc="7F2A0F7A">
        <w:start w:val="1"/>
        <w:numFmt w:val="bullet"/>
        <w:lvlText w:val="·"/>
        <w:lvlJc w:val="left"/>
        <w:pPr>
          <w:ind w:left="553" w:hanging="283"/>
        </w:pPr>
        <w:rPr>
          <w:rFonts w:ascii="Symbol" w:eastAsia="Symbol" w:hAnsi="Symbol" w:cs="Symbol"/>
          <w:b w:val="0"/>
          <w:bCs w:val="0"/>
          <w:i w:val="0"/>
          <w:iCs w:val="0"/>
          <w:caps w:val="0"/>
          <w:smallCaps w:val="0"/>
          <w:strike w:val="0"/>
          <w:dstrike w:val="0"/>
          <w:outline w:val="0"/>
          <w:emboss w:val="0"/>
          <w:imprint w:val="0"/>
          <w:spacing w:val="0"/>
          <w:w w:val="100"/>
          <w:kern w:val="0"/>
          <w:position w:val="0"/>
          <w:sz w:val="22"/>
          <w:szCs w:val="22"/>
          <w:highlight w:val="none"/>
          <w:vertAlign w:val="baseline"/>
        </w:rPr>
      </w:lvl>
    </w:lvlOverride>
    <w:lvlOverride w:ilvl="1">
      <w:lvl w:ilvl="1" w:tplc="0F963B90" w:tentative="1">
        <w:start w:val="1"/>
        <w:numFmt w:val="bullet"/>
        <w:lvlText w:val="o"/>
        <w:lvlJc w:val="left"/>
        <w:pPr>
          <w:ind w:left="1440" w:hanging="360"/>
        </w:pPr>
        <w:rPr>
          <w:rFonts w:ascii="Courier New" w:hAnsi="Courier New" w:cs="Courier New" w:hint="default"/>
        </w:rPr>
      </w:lvl>
    </w:lvlOverride>
    <w:lvlOverride w:ilvl="2">
      <w:lvl w:ilvl="2" w:tplc="9026AF6E" w:tentative="1">
        <w:start w:val="1"/>
        <w:numFmt w:val="bullet"/>
        <w:lvlText w:val=""/>
        <w:lvlJc w:val="left"/>
        <w:pPr>
          <w:ind w:left="2160" w:hanging="360"/>
        </w:pPr>
        <w:rPr>
          <w:rFonts w:ascii="Wingdings" w:hAnsi="Wingdings" w:hint="default"/>
        </w:rPr>
      </w:lvl>
    </w:lvlOverride>
    <w:lvlOverride w:ilvl="3">
      <w:lvl w:ilvl="3" w:tplc="825C9800" w:tentative="1">
        <w:start w:val="1"/>
        <w:numFmt w:val="bullet"/>
        <w:lvlText w:val=""/>
        <w:lvlJc w:val="left"/>
        <w:pPr>
          <w:ind w:left="2880" w:hanging="360"/>
        </w:pPr>
        <w:rPr>
          <w:rFonts w:ascii="Symbol" w:hAnsi="Symbol" w:hint="default"/>
        </w:rPr>
      </w:lvl>
    </w:lvlOverride>
    <w:lvlOverride w:ilvl="4">
      <w:lvl w:ilvl="4" w:tplc="B73AC28E" w:tentative="1">
        <w:start w:val="1"/>
        <w:numFmt w:val="bullet"/>
        <w:lvlText w:val="o"/>
        <w:lvlJc w:val="left"/>
        <w:pPr>
          <w:ind w:left="3600" w:hanging="360"/>
        </w:pPr>
        <w:rPr>
          <w:rFonts w:ascii="Courier New" w:hAnsi="Courier New" w:cs="Courier New" w:hint="default"/>
        </w:rPr>
      </w:lvl>
    </w:lvlOverride>
    <w:lvlOverride w:ilvl="5">
      <w:lvl w:ilvl="5" w:tplc="6B064168" w:tentative="1">
        <w:start w:val="1"/>
        <w:numFmt w:val="bullet"/>
        <w:lvlText w:val=""/>
        <w:lvlJc w:val="left"/>
        <w:pPr>
          <w:ind w:left="4320" w:hanging="360"/>
        </w:pPr>
        <w:rPr>
          <w:rFonts w:ascii="Wingdings" w:hAnsi="Wingdings" w:hint="default"/>
        </w:rPr>
      </w:lvl>
    </w:lvlOverride>
    <w:lvlOverride w:ilvl="6">
      <w:lvl w:ilvl="6" w:tplc="7F3EE2FA" w:tentative="1">
        <w:start w:val="1"/>
        <w:numFmt w:val="bullet"/>
        <w:lvlText w:val=""/>
        <w:lvlJc w:val="left"/>
        <w:pPr>
          <w:ind w:left="5040" w:hanging="360"/>
        </w:pPr>
        <w:rPr>
          <w:rFonts w:ascii="Symbol" w:hAnsi="Symbol" w:hint="default"/>
        </w:rPr>
      </w:lvl>
    </w:lvlOverride>
    <w:lvlOverride w:ilvl="7">
      <w:lvl w:ilvl="7" w:tplc="27E6F25E" w:tentative="1">
        <w:start w:val="1"/>
        <w:numFmt w:val="bullet"/>
        <w:lvlText w:val="o"/>
        <w:lvlJc w:val="left"/>
        <w:pPr>
          <w:ind w:left="5760" w:hanging="360"/>
        </w:pPr>
        <w:rPr>
          <w:rFonts w:ascii="Courier New" w:hAnsi="Courier New" w:cs="Courier New" w:hint="default"/>
        </w:rPr>
      </w:lvl>
    </w:lvlOverride>
    <w:lvlOverride w:ilvl="8">
      <w:lvl w:ilvl="8" w:tplc="C67AE886" w:tentative="1">
        <w:start w:val="1"/>
        <w:numFmt w:val="bullet"/>
        <w:lvlText w:val=""/>
        <w:lvlJc w:val="left"/>
        <w:pPr>
          <w:ind w:left="6480" w:hanging="360"/>
        </w:pPr>
        <w:rPr>
          <w:rFonts w:ascii="Wingdings" w:hAnsi="Wingdings" w:hint="default"/>
        </w:rPr>
      </w:lvl>
    </w:lvlOverride>
  </w:num>
  <w:num w:numId="20" w16cid:durableId="433945661">
    <w:abstractNumId w:val="39"/>
    <w:lvlOverride w:ilvl="0">
      <w:lvl w:ilvl="0" w:tplc="7F2A0F7A">
        <w:start w:val="1"/>
        <w:numFmt w:val="bullet"/>
        <w:lvlText w:val="·"/>
        <w:lvlJc w:val="left"/>
        <w:pPr>
          <w:ind w:left="66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F963B90">
        <w:start w:val="1"/>
        <w:numFmt w:val="bullet"/>
        <w:lvlText w:val="o"/>
        <w:lvlJc w:val="left"/>
        <w:pPr>
          <w:ind w:left="138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9026AF6E">
        <w:start w:val="1"/>
        <w:numFmt w:val="bullet"/>
        <w:lvlText w:val="▪"/>
        <w:lvlJc w:val="left"/>
        <w:pPr>
          <w:ind w:left="210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25C9800">
        <w:start w:val="1"/>
        <w:numFmt w:val="bullet"/>
        <w:lvlText w:val="·"/>
        <w:lvlJc w:val="left"/>
        <w:pPr>
          <w:ind w:left="282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B73AC28E">
        <w:start w:val="1"/>
        <w:numFmt w:val="bullet"/>
        <w:lvlText w:val="o"/>
        <w:lvlJc w:val="left"/>
        <w:pPr>
          <w:ind w:left="354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B064168">
        <w:start w:val="1"/>
        <w:numFmt w:val="bullet"/>
        <w:lvlText w:val="▪"/>
        <w:lvlJc w:val="left"/>
        <w:pPr>
          <w:ind w:left="426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7F3EE2FA">
        <w:start w:val="1"/>
        <w:numFmt w:val="bullet"/>
        <w:lvlText w:val="·"/>
        <w:lvlJc w:val="left"/>
        <w:pPr>
          <w:ind w:left="498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7E6F25E">
        <w:start w:val="1"/>
        <w:numFmt w:val="bullet"/>
        <w:lvlText w:val="o"/>
        <w:lvlJc w:val="left"/>
        <w:pPr>
          <w:ind w:left="570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C67AE886">
        <w:start w:val="1"/>
        <w:numFmt w:val="bullet"/>
        <w:lvlText w:val="▪"/>
        <w:lvlJc w:val="left"/>
        <w:pPr>
          <w:ind w:left="642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21" w16cid:durableId="1269776992">
    <w:abstractNumId w:val="37"/>
  </w:num>
  <w:num w:numId="22" w16cid:durableId="337121186">
    <w:abstractNumId w:val="16"/>
  </w:num>
  <w:num w:numId="23" w16cid:durableId="1078672820">
    <w:abstractNumId w:val="38"/>
  </w:num>
  <w:num w:numId="24" w16cid:durableId="1576015706">
    <w:abstractNumId w:val="3"/>
  </w:num>
  <w:num w:numId="25" w16cid:durableId="1919904044">
    <w:abstractNumId w:val="18"/>
  </w:num>
  <w:num w:numId="26" w16cid:durableId="399644967">
    <w:abstractNumId w:val="27"/>
  </w:num>
  <w:num w:numId="27" w16cid:durableId="1944916414">
    <w:abstractNumId w:val="47"/>
  </w:num>
  <w:num w:numId="28" w16cid:durableId="2002923953">
    <w:abstractNumId w:val="7"/>
  </w:num>
  <w:num w:numId="29" w16cid:durableId="2025394290">
    <w:abstractNumId w:val="20"/>
  </w:num>
  <w:num w:numId="30" w16cid:durableId="703748218">
    <w:abstractNumId w:val="51"/>
  </w:num>
  <w:num w:numId="31" w16cid:durableId="46662988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833833628">
    <w:abstractNumId w:val="35"/>
  </w:num>
  <w:num w:numId="33" w16cid:durableId="649558401">
    <w:abstractNumId w:val="22"/>
  </w:num>
  <w:num w:numId="34" w16cid:durableId="1385566096">
    <w:abstractNumId w:val="25"/>
  </w:num>
  <w:num w:numId="35" w16cid:durableId="2098476532">
    <w:abstractNumId w:val="14"/>
  </w:num>
  <w:num w:numId="36" w16cid:durableId="131401900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850490459">
    <w:abstractNumId w:val="12"/>
  </w:num>
  <w:num w:numId="38" w16cid:durableId="213085838">
    <w:abstractNumId w:val="0"/>
    <w:lvlOverride w:ilvl="0">
      <w:lvl w:ilvl="0" w:tplc="1C068734">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41F00C1C">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082032AE">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82D6D1F4">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276E05AE">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26A02572">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D4729F84">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1E3AF944">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3DAC6A24">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39" w16cid:durableId="546576344">
    <w:abstractNumId w:val="0"/>
    <w:lvlOverride w:ilvl="0">
      <w:lvl w:ilvl="0" w:tplc="1C068734">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41F00C1C">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082032AE">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82D6D1F4">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276E05AE">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26A02572">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D4729F84">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1E3AF944">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3DAC6A24">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40" w16cid:durableId="124785900">
    <w:abstractNumId w:val="34"/>
  </w:num>
  <w:num w:numId="41" w16cid:durableId="19430600">
    <w:abstractNumId w:val="45"/>
  </w:num>
  <w:num w:numId="42" w16cid:durableId="1605772320">
    <w:abstractNumId w:val="41"/>
  </w:num>
  <w:num w:numId="43" w16cid:durableId="942686611">
    <w:abstractNumId w:val="6"/>
  </w:num>
  <w:num w:numId="44" w16cid:durableId="146407541">
    <w:abstractNumId w:val="24"/>
  </w:num>
  <w:num w:numId="45" w16cid:durableId="265578230">
    <w:abstractNumId w:val="26"/>
  </w:num>
  <w:num w:numId="46" w16cid:durableId="354692953">
    <w:abstractNumId w:val="1"/>
  </w:num>
  <w:num w:numId="47" w16cid:durableId="836117248">
    <w:abstractNumId w:val="43"/>
  </w:num>
  <w:num w:numId="48" w16cid:durableId="595361768">
    <w:abstractNumId w:val="2"/>
  </w:num>
  <w:num w:numId="49" w16cid:durableId="1196773240">
    <w:abstractNumId w:val="49"/>
  </w:num>
  <w:num w:numId="50" w16cid:durableId="1138915983">
    <w:abstractNumId w:val="44"/>
  </w:num>
  <w:num w:numId="51" w16cid:durableId="265618262">
    <w:abstractNumId w:val="33"/>
  </w:num>
  <w:num w:numId="52" w16cid:durableId="800077287">
    <w:abstractNumId w:val="23"/>
  </w:num>
  <w:num w:numId="53" w16cid:durableId="21253257">
    <w:abstractNumId w:val="42"/>
  </w:num>
  <w:num w:numId="54" w16cid:durableId="1078289435">
    <w:abstractNumId w:val="15"/>
  </w:num>
  <w:num w:numId="55" w16cid:durableId="2066635792">
    <w:abstractNumId w:val="5"/>
  </w:num>
  <w:num w:numId="56" w16cid:durableId="43209435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A96"/>
    <w:rsid w:val="00000235"/>
    <w:rsid w:val="00000AF0"/>
    <w:rsid w:val="0000109E"/>
    <w:rsid w:val="0000425A"/>
    <w:rsid w:val="00005503"/>
    <w:rsid w:val="000060DA"/>
    <w:rsid w:val="000100B7"/>
    <w:rsid w:val="00013DF6"/>
    <w:rsid w:val="00013F1A"/>
    <w:rsid w:val="00021E53"/>
    <w:rsid w:val="0002358F"/>
    <w:rsid w:val="000253D1"/>
    <w:rsid w:val="00025A79"/>
    <w:rsid w:val="00025F53"/>
    <w:rsid w:val="000478F8"/>
    <w:rsid w:val="00050F34"/>
    <w:rsid w:val="00051A8E"/>
    <w:rsid w:val="000556BC"/>
    <w:rsid w:val="00055AD4"/>
    <w:rsid w:val="0005756B"/>
    <w:rsid w:val="00060308"/>
    <w:rsid w:val="00061E07"/>
    <w:rsid w:val="00062047"/>
    <w:rsid w:val="00062753"/>
    <w:rsid w:val="00070C76"/>
    <w:rsid w:val="000802F8"/>
    <w:rsid w:val="00082909"/>
    <w:rsid w:val="000906A9"/>
    <w:rsid w:val="0009227C"/>
    <w:rsid w:val="000954E7"/>
    <w:rsid w:val="00097411"/>
    <w:rsid w:val="00097439"/>
    <w:rsid w:val="000A4E51"/>
    <w:rsid w:val="000B1E29"/>
    <w:rsid w:val="000B74AB"/>
    <w:rsid w:val="000C065D"/>
    <w:rsid w:val="000C21A6"/>
    <w:rsid w:val="000C2C9C"/>
    <w:rsid w:val="000E013C"/>
    <w:rsid w:val="000E1450"/>
    <w:rsid w:val="000E1A74"/>
    <w:rsid w:val="000F54AC"/>
    <w:rsid w:val="000F638E"/>
    <w:rsid w:val="000F7236"/>
    <w:rsid w:val="001078E0"/>
    <w:rsid w:val="001150BB"/>
    <w:rsid w:val="001152BC"/>
    <w:rsid w:val="001157D7"/>
    <w:rsid w:val="001242D7"/>
    <w:rsid w:val="00131E41"/>
    <w:rsid w:val="00137150"/>
    <w:rsid w:val="00137710"/>
    <w:rsid w:val="00145DF7"/>
    <w:rsid w:val="001461CF"/>
    <w:rsid w:val="00147630"/>
    <w:rsid w:val="00156C3C"/>
    <w:rsid w:val="00163750"/>
    <w:rsid w:val="00165BB0"/>
    <w:rsid w:val="00182925"/>
    <w:rsid w:val="0018358A"/>
    <w:rsid w:val="00183798"/>
    <w:rsid w:val="00193932"/>
    <w:rsid w:val="0019504A"/>
    <w:rsid w:val="001A2616"/>
    <w:rsid w:val="001A4E91"/>
    <w:rsid w:val="001A5224"/>
    <w:rsid w:val="001A70A9"/>
    <w:rsid w:val="001B1428"/>
    <w:rsid w:val="001B1E36"/>
    <w:rsid w:val="001B5766"/>
    <w:rsid w:val="001B763C"/>
    <w:rsid w:val="001C152F"/>
    <w:rsid w:val="001C34FB"/>
    <w:rsid w:val="001C3E21"/>
    <w:rsid w:val="001C6F3D"/>
    <w:rsid w:val="001D03E8"/>
    <w:rsid w:val="001D2B5F"/>
    <w:rsid w:val="001D3A2C"/>
    <w:rsid w:val="001D6C68"/>
    <w:rsid w:val="001E0F4C"/>
    <w:rsid w:val="001F0098"/>
    <w:rsid w:val="001F73D9"/>
    <w:rsid w:val="0020491F"/>
    <w:rsid w:val="00204D79"/>
    <w:rsid w:val="00207692"/>
    <w:rsid w:val="0021237A"/>
    <w:rsid w:val="00215BF0"/>
    <w:rsid w:val="00216D58"/>
    <w:rsid w:val="002207B0"/>
    <w:rsid w:val="0023097E"/>
    <w:rsid w:val="00236B44"/>
    <w:rsid w:val="002401F5"/>
    <w:rsid w:val="00241C6D"/>
    <w:rsid w:val="00246E5C"/>
    <w:rsid w:val="0025010D"/>
    <w:rsid w:val="00254215"/>
    <w:rsid w:val="00287015"/>
    <w:rsid w:val="00291261"/>
    <w:rsid w:val="00296CD2"/>
    <w:rsid w:val="002A0EFA"/>
    <w:rsid w:val="002A27A6"/>
    <w:rsid w:val="002B0CED"/>
    <w:rsid w:val="002B44FB"/>
    <w:rsid w:val="002B52DF"/>
    <w:rsid w:val="002C40D6"/>
    <w:rsid w:val="002C4371"/>
    <w:rsid w:val="002C6808"/>
    <w:rsid w:val="002C7A76"/>
    <w:rsid w:val="002C7CAA"/>
    <w:rsid w:val="002D0DCF"/>
    <w:rsid w:val="002D2977"/>
    <w:rsid w:val="002D4A96"/>
    <w:rsid w:val="002D5BB3"/>
    <w:rsid w:val="002D5FAB"/>
    <w:rsid w:val="002E243F"/>
    <w:rsid w:val="002E2633"/>
    <w:rsid w:val="002E5460"/>
    <w:rsid w:val="002E5CA3"/>
    <w:rsid w:val="002E5EED"/>
    <w:rsid w:val="002F69B0"/>
    <w:rsid w:val="002F6CC4"/>
    <w:rsid w:val="00301C6F"/>
    <w:rsid w:val="003028C6"/>
    <w:rsid w:val="0031212D"/>
    <w:rsid w:val="003225F5"/>
    <w:rsid w:val="00325EA4"/>
    <w:rsid w:val="00331EC1"/>
    <w:rsid w:val="0033779E"/>
    <w:rsid w:val="00342C38"/>
    <w:rsid w:val="003457EE"/>
    <w:rsid w:val="003508B3"/>
    <w:rsid w:val="0035095C"/>
    <w:rsid w:val="00351F6C"/>
    <w:rsid w:val="00355330"/>
    <w:rsid w:val="003558C2"/>
    <w:rsid w:val="00360840"/>
    <w:rsid w:val="00363628"/>
    <w:rsid w:val="00364715"/>
    <w:rsid w:val="00367026"/>
    <w:rsid w:val="00367354"/>
    <w:rsid w:val="003736D3"/>
    <w:rsid w:val="00376B4A"/>
    <w:rsid w:val="003816CF"/>
    <w:rsid w:val="00381BB8"/>
    <w:rsid w:val="00383C4A"/>
    <w:rsid w:val="00384634"/>
    <w:rsid w:val="003854BD"/>
    <w:rsid w:val="00386934"/>
    <w:rsid w:val="00390E83"/>
    <w:rsid w:val="003A395E"/>
    <w:rsid w:val="003B11AC"/>
    <w:rsid w:val="003C01B2"/>
    <w:rsid w:val="003C0EC3"/>
    <w:rsid w:val="003D1627"/>
    <w:rsid w:val="003D2199"/>
    <w:rsid w:val="003D5923"/>
    <w:rsid w:val="003D72B0"/>
    <w:rsid w:val="003E1AD2"/>
    <w:rsid w:val="003E216F"/>
    <w:rsid w:val="003F4289"/>
    <w:rsid w:val="003F5547"/>
    <w:rsid w:val="00402A1F"/>
    <w:rsid w:val="00417C0F"/>
    <w:rsid w:val="00421F56"/>
    <w:rsid w:val="00424A18"/>
    <w:rsid w:val="0043359A"/>
    <w:rsid w:val="0043547C"/>
    <w:rsid w:val="0043601E"/>
    <w:rsid w:val="004519E7"/>
    <w:rsid w:val="00453D3D"/>
    <w:rsid w:val="004546D0"/>
    <w:rsid w:val="0045617A"/>
    <w:rsid w:val="00457ECF"/>
    <w:rsid w:val="00460090"/>
    <w:rsid w:val="0047080A"/>
    <w:rsid w:val="00472982"/>
    <w:rsid w:val="0047653E"/>
    <w:rsid w:val="0047720C"/>
    <w:rsid w:val="00485D7B"/>
    <w:rsid w:val="00491BA4"/>
    <w:rsid w:val="00495176"/>
    <w:rsid w:val="004A19E7"/>
    <w:rsid w:val="004B003B"/>
    <w:rsid w:val="004C169E"/>
    <w:rsid w:val="004C4B15"/>
    <w:rsid w:val="004C5E2C"/>
    <w:rsid w:val="004C62FB"/>
    <w:rsid w:val="004D0695"/>
    <w:rsid w:val="004D3920"/>
    <w:rsid w:val="004D658C"/>
    <w:rsid w:val="004D6C55"/>
    <w:rsid w:val="004D7D5C"/>
    <w:rsid w:val="004E10CB"/>
    <w:rsid w:val="004F30A4"/>
    <w:rsid w:val="00503665"/>
    <w:rsid w:val="00504B44"/>
    <w:rsid w:val="0051042E"/>
    <w:rsid w:val="00512867"/>
    <w:rsid w:val="00515018"/>
    <w:rsid w:val="005172C8"/>
    <w:rsid w:val="00522005"/>
    <w:rsid w:val="00524AC9"/>
    <w:rsid w:val="0052757F"/>
    <w:rsid w:val="00527B44"/>
    <w:rsid w:val="005324A4"/>
    <w:rsid w:val="00532F29"/>
    <w:rsid w:val="00536FEF"/>
    <w:rsid w:val="005401E0"/>
    <w:rsid w:val="00541C25"/>
    <w:rsid w:val="00545D25"/>
    <w:rsid w:val="005519B3"/>
    <w:rsid w:val="005520D3"/>
    <w:rsid w:val="005656E2"/>
    <w:rsid w:val="00566600"/>
    <w:rsid w:val="00573A26"/>
    <w:rsid w:val="00573E26"/>
    <w:rsid w:val="00581EAE"/>
    <w:rsid w:val="0058208D"/>
    <w:rsid w:val="00593B88"/>
    <w:rsid w:val="005947E3"/>
    <w:rsid w:val="005950A5"/>
    <w:rsid w:val="00597298"/>
    <w:rsid w:val="005A09A7"/>
    <w:rsid w:val="005A4071"/>
    <w:rsid w:val="005A7690"/>
    <w:rsid w:val="005A7D6F"/>
    <w:rsid w:val="005B017E"/>
    <w:rsid w:val="005B7C80"/>
    <w:rsid w:val="005D0DC2"/>
    <w:rsid w:val="005D25EA"/>
    <w:rsid w:val="005D5F1B"/>
    <w:rsid w:val="005D6892"/>
    <w:rsid w:val="005D6A74"/>
    <w:rsid w:val="005D7D86"/>
    <w:rsid w:val="005E2B45"/>
    <w:rsid w:val="005E613D"/>
    <w:rsid w:val="005F0CF3"/>
    <w:rsid w:val="005F1B2B"/>
    <w:rsid w:val="005F6E97"/>
    <w:rsid w:val="005F7F02"/>
    <w:rsid w:val="00605E86"/>
    <w:rsid w:val="00606C7A"/>
    <w:rsid w:val="006104D9"/>
    <w:rsid w:val="0061409A"/>
    <w:rsid w:val="00617E35"/>
    <w:rsid w:val="00620737"/>
    <w:rsid w:val="00634ADE"/>
    <w:rsid w:val="00644BDA"/>
    <w:rsid w:val="00652820"/>
    <w:rsid w:val="0066701B"/>
    <w:rsid w:val="0067230E"/>
    <w:rsid w:val="0067281F"/>
    <w:rsid w:val="00672F34"/>
    <w:rsid w:val="0067385C"/>
    <w:rsid w:val="00674345"/>
    <w:rsid w:val="006752AC"/>
    <w:rsid w:val="00675B3B"/>
    <w:rsid w:val="00685A43"/>
    <w:rsid w:val="00685DF6"/>
    <w:rsid w:val="0069416C"/>
    <w:rsid w:val="00696D03"/>
    <w:rsid w:val="00696F4D"/>
    <w:rsid w:val="006C122A"/>
    <w:rsid w:val="006C4A0A"/>
    <w:rsid w:val="006C4F96"/>
    <w:rsid w:val="006C5D3C"/>
    <w:rsid w:val="006C7396"/>
    <w:rsid w:val="006C7989"/>
    <w:rsid w:val="006C7D2E"/>
    <w:rsid w:val="006D5280"/>
    <w:rsid w:val="006D6B76"/>
    <w:rsid w:val="006E062F"/>
    <w:rsid w:val="006E1E90"/>
    <w:rsid w:val="006E206B"/>
    <w:rsid w:val="006E2F35"/>
    <w:rsid w:val="006E4908"/>
    <w:rsid w:val="006E4FD6"/>
    <w:rsid w:val="006E635F"/>
    <w:rsid w:val="007069B2"/>
    <w:rsid w:val="00726FA1"/>
    <w:rsid w:val="007309EC"/>
    <w:rsid w:val="007329F2"/>
    <w:rsid w:val="00732F32"/>
    <w:rsid w:val="0073584D"/>
    <w:rsid w:val="00743A7A"/>
    <w:rsid w:val="00747301"/>
    <w:rsid w:val="00747CE5"/>
    <w:rsid w:val="0075301C"/>
    <w:rsid w:val="007556CC"/>
    <w:rsid w:val="007558AC"/>
    <w:rsid w:val="00757AC3"/>
    <w:rsid w:val="00761996"/>
    <w:rsid w:val="00762153"/>
    <w:rsid w:val="00762E79"/>
    <w:rsid w:val="00764A5D"/>
    <w:rsid w:val="00764F07"/>
    <w:rsid w:val="00767474"/>
    <w:rsid w:val="00770FC7"/>
    <w:rsid w:val="007745C2"/>
    <w:rsid w:val="0077478A"/>
    <w:rsid w:val="007751CA"/>
    <w:rsid w:val="00780DBF"/>
    <w:rsid w:val="0078121A"/>
    <w:rsid w:val="00783CDA"/>
    <w:rsid w:val="0078734B"/>
    <w:rsid w:val="007B0E53"/>
    <w:rsid w:val="007B38A1"/>
    <w:rsid w:val="007C2567"/>
    <w:rsid w:val="007C6140"/>
    <w:rsid w:val="007C6207"/>
    <w:rsid w:val="007D1470"/>
    <w:rsid w:val="007D3C62"/>
    <w:rsid w:val="007D62FD"/>
    <w:rsid w:val="007E1BB8"/>
    <w:rsid w:val="007F2AF5"/>
    <w:rsid w:val="007F5FC7"/>
    <w:rsid w:val="007F67DF"/>
    <w:rsid w:val="00803E8E"/>
    <w:rsid w:val="008104D8"/>
    <w:rsid w:val="00810CDE"/>
    <w:rsid w:val="00811F2F"/>
    <w:rsid w:val="00825089"/>
    <w:rsid w:val="00826E7E"/>
    <w:rsid w:val="00834CF4"/>
    <w:rsid w:val="00836380"/>
    <w:rsid w:val="008575B9"/>
    <w:rsid w:val="008638DE"/>
    <w:rsid w:val="00863ED8"/>
    <w:rsid w:val="008643F1"/>
    <w:rsid w:val="008658D8"/>
    <w:rsid w:val="008735D9"/>
    <w:rsid w:val="00874BEE"/>
    <w:rsid w:val="008756FB"/>
    <w:rsid w:val="008761D8"/>
    <w:rsid w:val="0088123E"/>
    <w:rsid w:val="00890E7E"/>
    <w:rsid w:val="00894B1D"/>
    <w:rsid w:val="0089601D"/>
    <w:rsid w:val="0089710A"/>
    <w:rsid w:val="008A2812"/>
    <w:rsid w:val="008A3597"/>
    <w:rsid w:val="008A47E2"/>
    <w:rsid w:val="008A657E"/>
    <w:rsid w:val="008A7C44"/>
    <w:rsid w:val="008B6632"/>
    <w:rsid w:val="008C0228"/>
    <w:rsid w:val="008C78D0"/>
    <w:rsid w:val="008D0560"/>
    <w:rsid w:val="008D2C52"/>
    <w:rsid w:val="008D63FE"/>
    <w:rsid w:val="008E1AA5"/>
    <w:rsid w:val="008E5DD5"/>
    <w:rsid w:val="008E661E"/>
    <w:rsid w:val="008F62F2"/>
    <w:rsid w:val="008F75C6"/>
    <w:rsid w:val="00903604"/>
    <w:rsid w:val="00915C32"/>
    <w:rsid w:val="00916712"/>
    <w:rsid w:val="00917250"/>
    <w:rsid w:val="00920F3A"/>
    <w:rsid w:val="00931C13"/>
    <w:rsid w:val="00934270"/>
    <w:rsid w:val="00937F28"/>
    <w:rsid w:val="009400B2"/>
    <w:rsid w:val="00941F62"/>
    <w:rsid w:val="009529A5"/>
    <w:rsid w:val="00955F3E"/>
    <w:rsid w:val="009652C7"/>
    <w:rsid w:val="00972C21"/>
    <w:rsid w:val="00973311"/>
    <w:rsid w:val="00975209"/>
    <w:rsid w:val="0097675B"/>
    <w:rsid w:val="00986591"/>
    <w:rsid w:val="00986C92"/>
    <w:rsid w:val="00996FA7"/>
    <w:rsid w:val="009A2D5A"/>
    <w:rsid w:val="009A4AAB"/>
    <w:rsid w:val="009B029F"/>
    <w:rsid w:val="009B176A"/>
    <w:rsid w:val="009B2EE0"/>
    <w:rsid w:val="009B472D"/>
    <w:rsid w:val="009B48B6"/>
    <w:rsid w:val="009B56AD"/>
    <w:rsid w:val="009C13D4"/>
    <w:rsid w:val="009C21BF"/>
    <w:rsid w:val="009C5366"/>
    <w:rsid w:val="009C704A"/>
    <w:rsid w:val="009C7A0B"/>
    <w:rsid w:val="009D245F"/>
    <w:rsid w:val="009E0967"/>
    <w:rsid w:val="009E0BE7"/>
    <w:rsid w:val="009E15BC"/>
    <w:rsid w:val="009F1345"/>
    <w:rsid w:val="009F1DE1"/>
    <w:rsid w:val="009F778A"/>
    <w:rsid w:val="00A0212F"/>
    <w:rsid w:val="00A031DF"/>
    <w:rsid w:val="00A04177"/>
    <w:rsid w:val="00A2138A"/>
    <w:rsid w:val="00A22F2D"/>
    <w:rsid w:val="00A26047"/>
    <w:rsid w:val="00A27070"/>
    <w:rsid w:val="00A30179"/>
    <w:rsid w:val="00A311DE"/>
    <w:rsid w:val="00A3295F"/>
    <w:rsid w:val="00A44026"/>
    <w:rsid w:val="00A44D5D"/>
    <w:rsid w:val="00A45E62"/>
    <w:rsid w:val="00A46491"/>
    <w:rsid w:val="00A47F9C"/>
    <w:rsid w:val="00A50C76"/>
    <w:rsid w:val="00A54704"/>
    <w:rsid w:val="00A65902"/>
    <w:rsid w:val="00A70E9F"/>
    <w:rsid w:val="00A7132B"/>
    <w:rsid w:val="00A76F20"/>
    <w:rsid w:val="00A812F1"/>
    <w:rsid w:val="00A85EB4"/>
    <w:rsid w:val="00A86965"/>
    <w:rsid w:val="00A9268C"/>
    <w:rsid w:val="00A92FC9"/>
    <w:rsid w:val="00A96860"/>
    <w:rsid w:val="00AA2540"/>
    <w:rsid w:val="00AA43E3"/>
    <w:rsid w:val="00AA5F08"/>
    <w:rsid w:val="00AC6EA8"/>
    <w:rsid w:val="00AD1B59"/>
    <w:rsid w:val="00AE19E3"/>
    <w:rsid w:val="00AE1FFB"/>
    <w:rsid w:val="00AE2F83"/>
    <w:rsid w:val="00AE6628"/>
    <w:rsid w:val="00AE7BB0"/>
    <w:rsid w:val="00AF0CD9"/>
    <w:rsid w:val="00AF11FA"/>
    <w:rsid w:val="00AF1EC1"/>
    <w:rsid w:val="00AF58A0"/>
    <w:rsid w:val="00B00D5F"/>
    <w:rsid w:val="00B01FD4"/>
    <w:rsid w:val="00B0699B"/>
    <w:rsid w:val="00B07A6F"/>
    <w:rsid w:val="00B115DB"/>
    <w:rsid w:val="00B11A9D"/>
    <w:rsid w:val="00B11D04"/>
    <w:rsid w:val="00B121AE"/>
    <w:rsid w:val="00B13095"/>
    <w:rsid w:val="00B13721"/>
    <w:rsid w:val="00B13B3D"/>
    <w:rsid w:val="00B20A97"/>
    <w:rsid w:val="00B20CBC"/>
    <w:rsid w:val="00B21D79"/>
    <w:rsid w:val="00B3091A"/>
    <w:rsid w:val="00B4126C"/>
    <w:rsid w:val="00B44797"/>
    <w:rsid w:val="00B447E3"/>
    <w:rsid w:val="00B44F15"/>
    <w:rsid w:val="00B47FE2"/>
    <w:rsid w:val="00B5248B"/>
    <w:rsid w:val="00B60649"/>
    <w:rsid w:val="00B64025"/>
    <w:rsid w:val="00B663FA"/>
    <w:rsid w:val="00B72EC7"/>
    <w:rsid w:val="00B77A4B"/>
    <w:rsid w:val="00B8501C"/>
    <w:rsid w:val="00BA3E3B"/>
    <w:rsid w:val="00BA3F7F"/>
    <w:rsid w:val="00BB55D6"/>
    <w:rsid w:val="00BC0540"/>
    <w:rsid w:val="00BC16F1"/>
    <w:rsid w:val="00BC1C79"/>
    <w:rsid w:val="00BC4A43"/>
    <w:rsid w:val="00BC516D"/>
    <w:rsid w:val="00BD0039"/>
    <w:rsid w:val="00BE202A"/>
    <w:rsid w:val="00BE395B"/>
    <w:rsid w:val="00BF114E"/>
    <w:rsid w:val="00BF1CB0"/>
    <w:rsid w:val="00C0122B"/>
    <w:rsid w:val="00C07A13"/>
    <w:rsid w:val="00C10B28"/>
    <w:rsid w:val="00C1474A"/>
    <w:rsid w:val="00C17F65"/>
    <w:rsid w:val="00C32231"/>
    <w:rsid w:val="00C32CC8"/>
    <w:rsid w:val="00C3389A"/>
    <w:rsid w:val="00C34FA5"/>
    <w:rsid w:val="00C350CE"/>
    <w:rsid w:val="00C3541F"/>
    <w:rsid w:val="00C42833"/>
    <w:rsid w:val="00C435A1"/>
    <w:rsid w:val="00C473E9"/>
    <w:rsid w:val="00C55103"/>
    <w:rsid w:val="00C5511F"/>
    <w:rsid w:val="00C60368"/>
    <w:rsid w:val="00C61526"/>
    <w:rsid w:val="00C61B1D"/>
    <w:rsid w:val="00C622AB"/>
    <w:rsid w:val="00C66ADB"/>
    <w:rsid w:val="00C7322E"/>
    <w:rsid w:val="00C77AED"/>
    <w:rsid w:val="00C839BB"/>
    <w:rsid w:val="00C84D1A"/>
    <w:rsid w:val="00C961A4"/>
    <w:rsid w:val="00C961BF"/>
    <w:rsid w:val="00C9729E"/>
    <w:rsid w:val="00CA2110"/>
    <w:rsid w:val="00CA332F"/>
    <w:rsid w:val="00CA471A"/>
    <w:rsid w:val="00CA4AAC"/>
    <w:rsid w:val="00CA74FB"/>
    <w:rsid w:val="00CB7E52"/>
    <w:rsid w:val="00CC1BDD"/>
    <w:rsid w:val="00CC2F52"/>
    <w:rsid w:val="00CC38AA"/>
    <w:rsid w:val="00CC4004"/>
    <w:rsid w:val="00CD36E2"/>
    <w:rsid w:val="00CD48B2"/>
    <w:rsid w:val="00CD689B"/>
    <w:rsid w:val="00CD746B"/>
    <w:rsid w:val="00CE043E"/>
    <w:rsid w:val="00CE1D40"/>
    <w:rsid w:val="00CE5748"/>
    <w:rsid w:val="00CE77E5"/>
    <w:rsid w:val="00D00C2E"/>
    <w:rsid w:val="00D0327E"/>
    <w:rsid w:val="00D20AB6"/>
    <w:rsid w:val="00D21634"/>
    <w:rsid w:val="00D25E5B"/>
    <w:rsid w:val="00D26719"/>
    <w:rsid w:val="00D303CE"/>
    <w:rsid w:val="00D32F3C"/>
    <w:rsid w:val="00D33DBF"/>
    <w:rsid w:val="00D36155"/>
    <w:rsid w:val="00D37CF5"/>
    <w:rsid w:val="00D43566"/>
    <w:rsid w:val="00D45F6E"/>
    <w:rsid w:val="00D469A1"/>
    <w:rsid w:val="00D74D11"/>
    <w:rsid w:val="00D7674B"/>
    <w:rsid w:val="00D77B9D"/>
    <w:rsid w:val="00D77BD1"/>
    <w:rsid w:val="00D842AF"/>
    <w:rsid w:val="00D866BC"/>
    <w:rsid w:val="00D9089F"/>
    <w:rsid w:val="00D956A3"/>
    <w:rsid w:val="00D96AE7"/>
    <w:rsid w:val="00D97234"/>
    <w:rsid w:val="00DA042D"/>
    <w:rsid w:val="00DA094D"/>
    <w:rsid w:val="00DA119F"/>
    <w:rsid w:val="00DA184B"/>
    <w:rsid w:val="00DA1910"/>
    <w:rsid w:val="00DA1AA2"/>
    <w:rsid w:val="00DB21E1"/>
    <w:rsid w:val="00DB4F3D"/>
    <w:rsid w:val="00DB6A47"/>
    <w:rsid w:val="00DC0A74"/>
    <w:rsid w:val="00DC7139"/>
    <w:rsid w:val="00DE4199"/>
    <w:rsid w:val="00DF0B43"/>
    <w:rsid w:val="00E026ED"/>
    <w:rsid w:val="00E050A1"/>
    <w:rsid w:val="00E05D70"/>
    <w:rsid w:val="00E10F96"/>
    <w:rsid w:val="00E11D2A"/>
    <w:rsid w:val="00E31EB1"/>
    <w:rsid w:val="00E32184"/>
    <w:rsid w:val="00E34A4A"/>
    <w:rsid w:val="00E3740C"/>
    <w:rsid w:val="00E401BE"/>
    <w:rsid w:val="00E56633"/>
    <w:rsid w:val="00E56A26"/>
    <w:rsid w:val="00E56B75"/>
    <w:rsid w:val="00E6326C"/>
    <w:rsid w:val="00E6732C"/>
    <w:rsid w:val="00E67557"/>
    <w:rsid w:val="00E7024D"/>
    <w:rsid w:val="00E7212B"/>
    <w:rsid w:val="00E77BAC"/>
    <w:rsid w:val="00E80CFF"/>
    <w:rsid w:val="00E80DE7"/>
    <w:rsid w:val="00E837CC"/>
    <w:rsid w:val="00E87D06"/>
    <w:rsid w:val="00E9221C"/>
    <w:rsid w:val="00E94902"/>
    <w:rsid w:val="00E95ABD"/>
    <w:rsid w:val="00E974FE"/>
    <w:rsid w:val="00EA325E"/>
    <w:rsid w:val="00EA3A9F"/>
    <w:rsid w:val="00EA40E0"/>
    <w:rsid w:val="00EA47E8"/>
    <w:rsid w:val="00EB105F"/>
    <w:rsid w:val="00EB348B"/>
    <w:rsid w:val="00EC5ABF"/>
    <w:rsid w:val="00EC6D75"/>
    <w:rsid w:val="00ED04CE"/>
    <w:rsid w:val="00ED2B30"/>
    <w:rsid w:val="00ED4664"/>
    <w:rsid w:val="00ED50B2"/>
    <w:rsid w:val="00EE06E6"/>
    <w:rsid w:val="00EE1C61"/>
    <w:rsid w:val="00EE7838"/>
    <w:rsid w:val="00EF288C"/>
    <w:rsid w:val="00EF543B"/>
    <w:rsid w:val="00EF5A71"/>
    <w:rsid w:val="00F00EC3"/>
    <w:rsid w:val="00F013AA"/>
    <w:rsid w:val="00F0741C"/>
    <w:rsid w:val="00F10D08"/>
    <w:rsid w:val="00F172E9"/>
    <w:rsid w:val="00F17EC4"/>
    <w:rsid w:val="00F255CA"/>
    <w:rsid w:val="00F27138"/>
    <w:rsid w:val="00F2783D"/>
    <w:rsid w:val="00F3790F"/>
    <w:rsid w:val="00F42116"/>
    <w:rsid w:val="00F5106B"/>
    <w:rsid w:val="00F52518"/>
    <w:rsid w:val="00F5349C"/>
    <w:rsid w:val="00F574FB"/>
    <w:rsid w:val="00F66466"/>
    <w:rsid w:val="00F66A94"/>
    <w:rsid w:val="00F66E25"/>
    <w:rsid w:val="00F82218"/>
    <w:rsid w:val="00F84C20"/>
    <w:rsid w:val="00F84FCA"/>
    <w:rsid w:val="00F90AB8"/>
    <w:rsid w:val="00F925B8"/>
    <w:rsid w:val="00F97733"/>
    <w:rsid w:val="00FA2343"/>
    <w:rsid w:val="00FA399F"/>
    <w:rsid w:val="00FB1A4F"/>
    <w:rsid w:val="00FB325F"/>
    <w:rsid w:val="00FB47C8"/>
    <w:rsid w:val="00FC2FEB"/>
    <w:rsid w:val="00FC5991"/>
    <w:rsid w:val="00FC77BA"/>
    <w:rsid w:val="00FC7FB7"/>
    <w:rsid w:val="00FD3E7D"/>
    <w:rsid w:val="00FD43EC"/>
    <w:rsid w:val="00FD4A41"/>
    <w:rsid w:val="00FE609C"/>
    <w:rsid w:val="00FE7AB1"/>
    <w:rsid w:val="00FF0993"/>
    <w:rsid w:val="00FF1C87"/>
    <w:rsid w:val="00FF1CB7"/>
    <w:rsid w:val="00FF3472"/>
    <w:rsid w:val="00FF46A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903762"/>
  <w15:docId w15:val="{6B3B1C35-3304-43AF-BFF8-F30E51D88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67230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7A7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A47E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ListParagraph">
    <w:name w:val="List Paragraph"/>
    <w:qFormat/>
    <w:pPr>
      <w:spacing w:after="160" w:line="259" w:lineRule="auto"/>
      <w:ind w:left="720"/>
    </w:pPr>
    <w:rPr>
      <w:rFonts w:ascii="Calibri" w:hAnsi="Calibri" w:cs="Arial Unicode MS"/>
      <w:color w:val="000000"/>
      <w:sz w:val="22"/>
      <w:szCs w:val="22"/>
      <w:u w:color="000000"/>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numbering" w:customStyle="1" w:styleId="ImportedStyle7">
    <w:name w:val="Imported Style 7"/>
    <w:pPr>
      <w:numPr>
        <w:numId w:val="13"/>
      </w:numPr>
    </w:pPr>
  </w:style>
  <w:style w:type="numbering" w:customStyle="1" w:styleId="ImportedStyle8">
    <w:name w:val="Imported Style 8"/>
    <w:pPr>
      <w:numPr>
        <w:numId w:val="15"/>
      </w:numPr>
    </w:pPr>
  </w:style>
  <w:style w:type="numbering" w:customStyle="1" w:styleId="ImportedStyle9">
    <w:name w:val="Imported Style 9"/>
    <w:pPr>
      <w:numPr>
        <w:numId w:val="17"/>
      </w:numPr>
    </w:pPr>
  </w:style>
  <w:style w:type="character" w:customStyle="1" w:styleId="Link">
    <w:name w:val="Link"/>
    <w:rPr>
      <w:outline w:val="0"/>
      <w:color w:val="0563C1"/>
      <w:u w:val="single" w:color="0563C1"/>
      <w:lang w:val="en-US"/>
    </w:rPr>
  </w:style>
  <w:style w:type="character" w:customStyle="1" w:styleId="Hyperlink0">
    <w:name w:val="Hyperlink.0"/>
    <w:basedOn w:val="Link"/>
    <w:rPr>
      <w:outline w:val="0"/>
      <w:color w:val="0563C1"/>
      <w:sz w:val="28"/>
      <w:szCs w:val="28"/>
      <w:u w:val="single" w:color="0563C1"/>
      <w:lang w:val="en-US"/>
    </w:rPr>
  </w:style>
  <w:style w:type="numbering" w:customStyle="1" w:styleId="ImportedStyle10">
    <w:name w:val="Imported Style 10"/>
    <w:pPr>
      <w:numPr>
        <w:numId w:val="21"/>
      </w:numPr>
    </w:pPr>
  </w:style>
  <w:style w:type="character" w:customStyle="1" w:styleId="Hyperlink1">
    <w:name w:val="Hyperlink.1"/>
    <w:basedOn w:val="Link"/>
    <w:rPr>
      <w:rFonts w:ascii="Calibri" w:eastAsia="Calibri" w:hAnsi="Calibri" w:cs="Calibri"/>
      <w:outline w:val="0"/>
      <w:color w:val="0563C1"/>
      <w:u w:val="single" w:color="0563C1"/>
      <w:lang w:val="en-US"/>
    </w:rPr>
  </w:style>
  <w:style w:type="character" w:customStyle="1" w:styleId="Hyperlink2">
    <w:name w:val="Hyperlink.2"/>
    <w:basedOn w:val="Link"/>
    <w:rPr>
      <w:rFonts w:ascii="Calibri" w:eastAsia="Calibri" w:hAnsi="Calibri" w:cs="Calibri"/>
      <w:outline w:val="0"/>
      <w:color w:val="0563C1"/>
      <w:u w:val="single" w:color="0563C1"/>
      <w:lang w:val="en-US"/>
    </w:rPr>
  </w:style>
  <w:style w:type="character" w:customStyle="1" w:styleId="Hyperlink3">
    <w:name w:val="Hyperlink.3"/>
    <w:basedOn w:val="Link"/>
    <w:rPr>
      <w:rFonts w:ascii="Calibri" w:eastAsia="Calibri" w:hAnsi="Calibri" w:cs="Calibri"/>
      <w:outline w:val="0"/>
      <w:color w:val="0563C1"/>
      <w:u w:val="none" w:color="0563C1"/>
      <w:lang w:val="en-US"/>
    </w:rPr>
  </w:style>
  <w:style w:type="character" w:customStyle="1" w:styleId="Hyperlink4">
    <w:name w:val="Hyperlink.4"/>
    <w:basedOn w:val="Link"/>
    <w:rPr>
      <w:outline w:val="0"/>
      <w:color w:val="0563C1"/>
      <w:u w:val="single" w:color="0563C1"/>
      <w:lang w:val="en-US"/>
    </w:rPr>
  </w:style>
  <w:style w:type="character" w:customStyle="1" w:styleId="Hyperlink5">
    <w:name w:val="Hyperlink.5"/>
    <w:basedOn w:val="Link"/>
    <w:rPr>
      <w:rFonts w:ascii="Calibri" w:eastAsia="Calibri" w:hAnsi="Calibri" w:cs="Calibri"/>
      <w:outline w:val="0"/>
      <w:color w:val="0563C1"/>
      <w:u w:val="single" w:color="0563C1"/>
      <w:lang w:val="en-US"/>
    </w:rPr>
  </w:style>
  <w:style w:type="character" w:styleId="UnresolvedMention">
    <w:name w:val="Unresolved Mention"/>
    <w:basedOn w:val="DefaultParagraphFont"/>
    <w:uiPriority w:val="99"/>
    <w:semiHidden/>
    <w:unhideWhenUsed/>
    <w:rsid w:val="00E3740C"/>
    <w:rPr>
      <w:color w:val="605E5C"/>
      <w:shd w:val="clear" w:color="auto" w:fill="E1DFDD"/>
    </w:rPr>
  </w:style>
  <w:style w:type="character" w:customStyle="1" w:styleId="Heading1Char">
    <w:name w:val="Heading 1 Char"/>
    <w:basedOn w:val="DefaultParagraphFont"/>
    <w:link w:val="Heading1"/>
    <w:uiPriority w:val="9"/>
    <w:rsid w:val="0067230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E10F96"/>
    <w:rPr>
      <w:color w:val="FF00FF" w:themeColor="followedHyperlink"/>
      <w:u w:val="single"/>
    </w:rPr>
  </w:style>
  <w:style w:type="paragraph" w:styleId="Header">
    <w:name w:val="header"/>
    <w:basedOn w:val="Normal"/>
    <w:link w:val="HeaderChar"/>
    <w:uiPriority w:val="99"/>
    <w:unhideWhenUsed/>
    <w:rsid w:val="00BC516D"/>
    <w:pPr>
      <w:tabs>
        <w:tab w:val="center" w:pos="4680"/>
        <w:tab w:val="right" w:pos="9360"/>
      </w:tabs>
    </w:pPr>
  </w:style>
  <w:style w:type="character" w:customStyle="1" w:styleId="HeaderChar">
    <w:name w:val="Header Char"/>
    <w:basedOn w:val="DefaultParagraphFont"/>
    <w:link w:val="Header"/>
    <w:uiPriority w:val="99"/>
    <w:rsid w:val="00BC516D"/>
    <w:rPr>
      <w:sz w:val="24"/>
      <w:szCs w:val="24"/>
    </w:rPr>
  </w:style>
  <w:style w:type="paragraph" w:styleId="Footer">
    <w:name w:val="footer"/>
    <w:basedOn w:val="Normal"/>
    <w:link w:val="FooterChar"/>
    <w:uiPriority w:val="99"/>
    <w:unhideWhenUsed/>
    <w:rsid w:val="00BC516D"/>
    <w:pPr>
      <w:tabs>
        <w:tab w:val="center" w:pos="4680"/>
        <w:tab w:val="right" w:pos="9360"/>
      </w:tabs>
    </w:pPr>
  </w:style>
  <w:style w:type="character" w:customStyle="1" w:styleId="FooterChar">
    <w:name w:val="Footer Char"/>
    <w:basedOn w:val="DefaultParagraphFont"/>
    <w:link w:val="Footer"/>
    <w:uiPriority w:val="99"/>
    <w:rsid w:val="00BC516D"/>
    <w:rPr>
      <w:sz w:val="24"/>
      <w:szCs w:val="24"/>
    </w:rPr>
  </w:style>
  <w:style w:type="paragraph" w:styleId="NormalWeb">
    <w:name w:val="Normal (Web)"/>
    <w:basedOn w:val="Normal"/>
    <w:uiPriority w:val="99"/>
    <w:unhideWhenUsed/>
    <w:rsid w:val="00597298"/>
  </w:style>
  <w:style w:type="character" w:customStyle="1" w:styleId="Heading2Char">
    <w:name w:val="Heading 2 Char"/>
    <w:basedOn w:val="DefaultParagraphFont"/>
    <w:link w:val="Heading2"/>
    <w:uiPriority w:val="9"/>
    <w:rsid w:val="002C7A7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A47E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643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8501">
      <w:bodyDiv w:val="1"/>
      <w:marLeft w:val="0"/>
      <w:marRight w:val="0"/>
      <w:marTop w:val="0"/>
      <w:marBottom w:val="0"/>
      <w:divBdr>
        <w:top w:val="none" w:sz="0" w:space="0" w:color="auto"/>
        <w:left w:val="none" w:sz="0" w:space="0" w:color="auto"/>
        <w:bottom w:val="none" w:sz="0" w:space="0" w:color="auto"/>
        <w:right w:val="none" w:sz="0" w:space="0" w:color="auto"/>
      </w:divBdr>
    </w:div>
    <w:div w:id="5788317">
      <w:bodyDiv w:val="1"/>
      <w:marLeft w:val="0"/>
      <w:marRight w:val="0"/>
      <w:marTop w:val="0"/>
      <w:marBottom w:val="0"/>
      <w:divBdr>
        <w:top w:val="none" w:sz="0" w:space="0" w:color="auto"/>
        <w:left w:val="none" w:sz="0" w:space="0" w:color="auto"/>
        <w:bottom w:val="none" w:sz="0" w:space="0" w:color="auto"/>
        <w:right w:val="none" w:sz="0" w:space="0" w:color="auto"/>
      </w:divBdr>
    </w:div>
    <w:div w:id="6291651">
      <w:bodyDiv w:val="1"/>
      <w:marLeft w:val="0"/>
      <w:marRight w:val="0"/>
      <w:marTop w:val="0"/>
      <w:marBottom w:val="0"/>
      <w:divBdr>
        <w:top w:val="none" w:sz="0" w:space="0" w:color="auto"/>
        <w:left w:val="none" w:sz="0" w:space="0" w:color="auto"/>
        <w:bottom w:val="none" w:sz="0" w:space="0" w:color="auto"/>
        <w:right w:val="none" w:sz="0" w:space="0" w:color="auto"/>
      </w:divBdr>
    </w:div>
    <w:div w:id="7027427">
      <w:bodyDiv w:val="1"/>
      <w:marLeft w:val="0"/>
      <w:marRight w:val="0"/>
      <w:marTop w:val="0"/>
      <w:marBottom w:val="0"/>
      <w:divBdr>
        <w:top w:val="none" w:sz="0" w:space="0" w:color="auto"/>
        <w:left w:val="none" w:sz="0" w:space="0" w:color="auto"/>
        <w:bottom w:val="none" w:sz="0" w:space="0" w:color="auto"/>
        <w:right w:val="none" w:sz="0" w:space="0" w:color="auto"/>
      </w:divBdr>
    </w:div>
    <w:div w:id="13120858">
      <w:bodyDiv w:val="1"/>
      <w:marLeft w:val="0"/>
      <w:marRight w:val="0"/>
      <w:marTop w:val="0"/>
      <w:marBottom w:val="0"/>
      <w:divBdr>
        <w:top w:val="none" w:sz="0" w:space="0" w:color="auto"/>
        <w:left w:val="none" w:sz="0" w:space="0" w:color="auto"/>
        <w:bottom w:val="none" w:sz="0" w:space="0" w:color="auto"/>
        <w:right w:val="none" w:sz="0" w:space="0" w:color="auto"/>
      </w:divBdr>
    </w:div>
    <w:div w:id="20516901">
      <w:bodyDiv w:val="1"/>
      <w:marLeft w:val="0"/>
      <w:marRight w:val="0"/>
      <w:marTop w:val="0"/>
      <w:marBottom w:val="0"/>
      <w:divBdr>
        <w:top w:val="none" w:sz="0" w:space="0" w:color="auto"/>
        <w:left w:val="none" w:sz="0" w:space="0" w:color="auto"/>
        <w:bottom w:val="none" w:sz="0" w:space="0" w:color="auto"/>
        <w:right w:val="none" w:sz="0" w:space="0" w:color="auto"/>
      </w:divBdr>
    </w:div>
    <w:div w:id="28923456">
      <w:bodyDiv w:val="1"/>
      <w:marLeft w:val="0"/>
      <w:marRight w:val="0"/>
      <w:marTop w:val="0"/>
      <w:marBottom w:val="0"/>
      <w:divBdr>
        <w:top w:val="none" w:sz="0" w:space="0" w:color="auto"/>
        <w:left w:val="none" w:sz="0" w:space="0" w:color="auto"/>
        <w:bottom w:val="none" w:sz="0" w:space="0" w:color="auto"/>
        <w:right w:val="none" w:sz="0" w:space="0" w:color="auto"/>
      </w:divBdr>
    </w:div>
    <w:div w:id="43063564">
      <w:bodyDiv w:val="1"/>
      <w:marLeft w:val="0"/>
      <w:marRight w:val="0"/>
      <w:marTop w:val="0"/>
      <w:marBottom w:val="0"/>
      <w:divBdr>
        <w:top w:val="none" w:sz="0" w:space="0" w:color="auto"/>
        <w:left w:val="none" w:sz="0" w:space="0" w:color="auto"/>
        <w:bottom w:val="none" w:sz="0" w:space="0" w:color="auto"/>
        <w:right w:val="none" w:sz="0" w:space="0" w:color="auto"/>
      </w:divBdr>
    </w:div>
    <w:div w:id="43262035">
      <w:bodyDiv w:val="1"/>
      <w:marLeft w:val="0"/>
      <w:marRight w:val="0"/>
      <w:marTop w:val="0"/>
      <w:marBottom w:val="0"/>
      <w:divBdr>
        <w:top w:val="none" w:sz="0" w:space="0" w:color="auto"/>
        <w:left w:val="none" w:sz="0" w:space="0" w:color="auto"/>
        <w:bottom w:val="none" w:sz="0" w:space="0" w:color="auto"/>
        <w:right w:val="none" w:sz="0" w:space="0" w:color="auto"/>
      </w:divBdr>
    </w:div>
    <w:div w:id="47190344">
      <w:bodyDiv w:val="1"/>
      <w:marLeft w:val="0"/>
      <w:marRight w:val="0"/>
      <w:marTop w:val="0"/>
      <w:marBottom w:val="0"/>
      <w:divBdr>
        <w:top w:val="none" w:sz="0" w:space="0" w:color="auto"/>
        <w:left w:val="none" w:sz="0" w:space="0" w:color="auto"/>
        <w:bottom w:val="none" w:sz="0" w:space="0" w:color="auto"/>
        <w:right w:val="none" w:sz="0" w:space="0" w:color="auto"/>
      </w:divBdr>
    </w:div>
    <w:div w:id="52704674">
      <w:bodyDiv w:val="1"/>
      <w:marLeft w:val="0"/>
      <w:marRight w:val="0"/>
      <w:marTop w:val="0"/>
      <w:marBottom w:val="0"/>
      <w:divBdr>
        <w:top w:val="none" w:sz="0" w:space="0" w:color="auto"/>
        <w:left w:val="none" w:sz="0" w:space="0" w:color="auto"/>
        <w:bottom w:val="none" w:sz="0" w:space="0" w:color="auto"/>
        <w:right w:val="none" w:sz="0" w:space="0" w:color="auto"/>
      </w:divBdr>
    </w:div>
    <w:div w:id="53089470">
      <w:bodyDiv w:val="1"/>
      <w:marLeft w:val="0"/>
      <w:marRight w:val="0"/>
      <w:marTop w:val="0"/>
      <w:marBottom w:val="0"/>
      <w:divBdr>
        <w:top w:val="none" w:sz="0" w:space="0" w:color="auto"/>
        <w:left w:val="none" w:sz="0" w:space="0" w:color="auto"/>
        <w:bottom w:val="none" w:sz="0" w:space="0" w:color="auto"/>
        <w:right w:val="none" w:sz="0" w:space="0" w:color="auto"/>
      </w:divBdr>
    </w:div>
    <w:div w:id="63601529">
      <w:bodyDiv w:val="1"/>
      <w:marLeft w:val="0"/>
      <w:marRight w:val="0"/>
      <w:marTop w:val="0"/>
      <w:marBottom w:val="0"/>
      <w:divBdr>
        <w:top w:val="none" w:sz="0" w:space="0" w:color="auto"/>
        <w:left w:val="none" w:sz="0" w:space="0" w:color="auto"/>
        <w:bottom w:val="none" w:sz="0" w:space="0" w:color="auto"/>
        <w:right w:val="none" w:sz="0" w:space="0" w:color="auto"/>
      </w:divBdr>
    </w:div>
    <w:div w:id="81724842">
      <w:bodyDiv w:val="1"/>
      <w:marLeft w:val="0"/>
      <w:marRight w:val="0"/>
      <w:marTop w:val="0"/>
      <w:marBottom w:val="0"/>
      <w:divBdr>
        <w:top w:val="none" w:sz="0" w:space="0" w:color="auto"/>
        <w:left w:val="none" w:sz="0" w:space="0" w:color="auto"/>
        <w:bottom w:val="none" w:sz="0" w:space="0" w:color="auto"/>
        <w:right w:val="none" w:sz="0" w:space="0" w:color="auto"/>
      </w:divBdr>
    </w:div>
    <w:div w:id="84032988">
      <w:bodyDiv w:val="1"/>
      <w:marLeft w:val="0"/>
      <w:marRight w:val="0"/>
      <w:marTop w:val="0"/>
      <w:marBottom w:val="0"/>
      <w:divBdr>
        <w:top w:val="none" w:sz="0" w:space="0" w:color="auto"/>
        <w:left w:val="none" w:sz="0" w:space="0" w:color="auto"/>
        <w:bottom w:val="none" w:sz="0" w:space="0" w:color="auto"/>
        <w:right w:val="none" w:sz="0" w:space="0" w:color="auto"/>
      </w:divBdr>
    </w:div>
    <w:div w:id="86970257">
      <w:bodyDiv w:val="1"/>
      <w:marLeft w:val="0"/>
      <w:marRight w:val="0"/>
      <w:marTop w:val="0"/>
      <w:marBottom w:val="0"/>
      <w:divBdr>
        <w:top w:val="none" w:sz="0" w:space="0" w:color="auto"/>
        <w:left w:val="none" w:sz="0" w:space="0" w:color="auto"/>
        <w:bottom w:val="none" w:sz="0" w:space="0" w:color="auto"/>
        <w:right w:val="none" w:sz="0" w:space="0" w:color="auto"/>
      </w:divBdr>
    </w:div>
    <w:div w:id="89861343">
      <w:bodyDiv w:val="1"/>
      <w:marLeft w:val="0"/>
      <w:marRight w:val="0"/>
      <w:marTop w:val="0"/>
      <w:marBottom w:val="0"/>
      <w:divBdr>
        <w:top w:val="none" w:sz="0" w:space="0" w:color="auto"/>
        <w:left w:val="none" w:sz="0" w:space="0" w:color="auto"/>
        <w:bottom w:val="none" w:sz="0" w:space="0" w:color="auto"/>
        <w:right w:val="none" w:sz="0" w:space="0" w:color="auto"/>
      </w:divBdr>
    </w:div>
    <w:div w:id="90663476">
      <w:bodyDiv w:val="1"/>
      <w:marLeft w:val="0"/>
      <w:marRight w:val="0"/>
      <w:marTop w:val="0"/>
      <w:marBottom w:val="0"/>
      <w:divBdr>
        <w:top w:val="none" w:sz="0" w:space="0" w:color="auto"/>
        <w:left w:val="none" w:sz="0" w:space="0" w:color="auto"/>
        <w:bottom w:val="none" w:sz="0" w:space="0" w:color="auto"/>
        <w:right w:val="none" w:sz="0" w:space="0" w:color="auto"/>
      </w:divBdr>
    </w:div>
    <w:div w:id="103614994">
      <w:bodyDiv w:val="1"/>
      <w:marLeft w:val="0"/>
      <w:marRight w:val="0"/>
      <w:marTop w:val="0"/>
      <w:marBottom w:val="0"/>
      <w:divBdr>
        <w:top w:val="none" w:sz="0" w:space="0" w:color="auto"/>
        <w:left w:val="none" w:sz="0" w:space="0" w:color="auto"/>
        <w:bottom w:val="none" w:sz="0" w:space="0" w:color="auto"/>
        <w:right w:val="none" w:sz="0" w:space="0" w:color="auto"/>
      </w:divBdr>
    </w:div>
    <w:div w:id="110055035">
      <w:bodyDiv w:val="1"/>
      <w:marLeft w:val="0"/>
      <w:marRight w:val="0"/>
      <w:marTop w:val="0"/>
      <w:marBottom w:val="0"/>
      <w:divBdr>
        <w:top w:val="none" w:sz="0" w:space="0" w:color="auto"/>
        <w:left w:val="none" w:sz="0" w:space="0" w:color="auto"/>
        <w:bottom w:val="none" w:sz="0" w:space="0" w:color="auto"/>
        <w:right w:val="none" w:sz="0" w:space="0" w:color="auto"/>
      </w:divBdr>
    </w:div>
    <w:div w:id="116333762">
      <w:bodyDiv w:val="1"/>
      <w:marLeft w:val="0"/>
      <w:marRight w:val="0"/>
      <w:marTop w:val="0"/>
      <w:marBottom w:val="0"/>
      <w:divBdr>
        <w:top w:val="none" w:sz="0" w:space="0" w:color="auto"/>
        <w:left w:val="none" w:sz="0" w:space="0" w:color="auto"/>
        <w:bottom w:val="none" w:sz="0" w:space="0" w:color="auto"/>
        <w:right w:val="none" w:sz="0" w:space="0" w:color="auto"/>
      </w:divBdr>
    </w:div>
    <w:div w:id="124542371">
      <w:bodyDiv w:val="1"/>
      <w:marLeft w:val="0"/>
      <w:marRight w:val="0"/>
      <w:marTop w:val="0"/>
      <w:marBottom w:val="0"/>
      <w:divBdr>
        <w:top w:val="none" w:sz="0" w:space="0" w:color="auto"/>
        <w:left w:val="none" w:sz="0" w:space="0" w:color="auto"/>
        <w:bottom w:val="none" w:sz="0" w:space="0" w:color="auto"/>
        <w:right w:val="none" w:sz="0" w:space="0" w:color="auto"/>
      </w:divBdr>
    </w:div>
    <w:div w:id="135267156">
      <w:bodyDiv w:val="1"/>
      <w:marLeft w:val="0"/>
      <w:marRight w:val="0"/>
      <w:marTop w:val="0"/>
      <w:marBottom w:val="0"/>
      <w:divBdr>
        <w:top w:val="none" w:sz="0" w:space="0" w:color="auto"/>
        <w:left w:val="none" w:sz="0" w:space="0" w:color="auto"/>
        <w:bottom w:val="none" w:sz="0" w:space="0" w:color="auto"/>
        <w:right w:val="none" w:sz="0" w:space="0" w:color="auto"/>
      </w:divBdr>
    </w:div>
    <w:div w:id="145754864">
      <w:bodyDiv w:val="1"/>
      <w:marLeft w:val="0"/>
      <w:marRight w:val="0"/>
      <w:marTop w:val="0"/>
      <w:marBottom w:val="0"/>
      <w:divBdr>
        <w:top w:val="none" w:sz="0" w:space="0" w:color="auto"/>
        <w:left w:val="none" w:sz="0" w:space="0" w:color="auto"/>
        <w:bottom w:val="none" w:sz="0" w:space="0" w:color="auto"/>
        <w:right w:val="none" w:sz="0" w:space="0" w:color="auto"/>
      </w:divBdr>
    </w:div>
    <w:div w:id="153571723">
      <w:bodyDiv w:val="1"/>
      <w:marLeft w:val="0"/>
      <w:marRight w:val="0"/>
      <w:marTop w:val="0"/>
      <w:marBottom w:val="0"/>
      <w:divBdr>
        <w:top w:val="none" w:sz="0" w:space="0" w:color="auto"/>
        <w:left w:val="none" w:sz="0" w:space="0" w:color="auto"/>
        <w:bottom w:val="none" w:sz="0" w:space="0" w:color="auto"/>
        <w:right w:val="none" w:sz="0" w:space="0" w:color="auto"/>
      </w:divBdr>
    </w:div>
    <w:div w:id="209612865">
      <w:bodyDiv w:val="1"/>
      <w:marLeft w:val="0"/>
      <w:marRight w:val="0"/>
      <w:marTop w:val="0"/>
      <w:marBottom w:val="0"/>
      <w:divBdr>
        <w:top w:val="none" w:sz="0" w:space="0" w:color="auto"/>
        <w:left w:val="none" w:sz="0" w:space="0" w:color="auto"/>
        <w:bottom w:val="none" w:sz="0" w:space="0" w:color="auto"/>
        <w:right w:val="none" w:sz="0" w:space="0" w:color="auto"/>
      </w:divBdr>
    </w:div>
    <w:div w:id="213856683">
      <w:bodyDiv w:val="1"/>
      <w:marLeft w:val="0"/>
      <w:marRight w:val="0"/>
      <w:marTop w:val="0"/>
      <w:marBottom w:val="0"/>
      <w:divBdr>
        <w:top w:val="none" w:sz="0" w:space="0" w:color="auto"/>
        <w:left w:val="none" w:sz="0" w:space="0" w:color="auto"/>
        <w:bottom w:val="none" w:sz="0" w:space="0" w:color="auto"/>
        <w:right w:val="none" w:sz="0" w:space="0" w:color="auto"/>
      </w:divBdr>
    </w:div>
    <w:div w:id="213927170">
      <w:bodyDiv w:val="1"/>
      <w:marLeft w:val="0"/>
      <w:marRight w:val="0"/>
      <w:marTop w:val="0"/>
      <w:marBottom w:val="0"/>
      <w:divBdr>
        <w:top w:val="none" w:sz="0" w:space="0" w:color="auto"/>
        <w:left w:val="none" w:sz="0" w:space="0" w:color="auto"/>
        <w:bottom w:val="none" w:sz="0" w:space="0" w:color="auto"/>
        <w:right w:val="none" w:sz="0" w:space="0" w:color="auto"/>
      </w:divBdr>
    </w:div>
    <w:div w:id="226183295">
      <w:bodyDiv w:val="1"/>
      <w:marLeft w:val="0"/>
      <w:marRight w:val="0"/>
      <w:marTop w:val="0"/>
      <w:marBottom w:val="0"/>
      <w:divBdr>
        <w:top w:val="none" w:sz="0" w:space="0" w:color="auto"/>
        <w:left w:val="none" w:sz="0" w:space="0" w:color="auto"/>
        <w:bottom w:val="none" w:sz="0" w:space="0" w:color="auto"/>
        <w:right w:val="none" w:sz="0" w:space="0" w:color="auto"/>
      </w:divBdr>
    </w:div>
    <w:div w:id="243954096">
      <w:bodyDiv w:val="1"/>
      <w:marLeft w:val="0"/>
      <w:marRight w:val="0"/>
      <w:marTop w:val="0"/>
      <w:marBottom w:val="0"/>
      <w:divBdr>
        <w:top w:val="none" w:sz="0" w:space="0" w:color="auto"/>
        <w:left w:val="none" w:sz="0" w:space="0" w:color="auto"/>
        <w:bottom w:val="none" w:sz="0" w:space="0" w:color="auto"/>
        <w:right w:val="none" w:sz="0" w:space="0" w:color="auto"/>
      </w:divBdr>
    </w:div>
    <w:div w:id="244805090">
      <w:bodyDiv w:val="1"/>
      <w:marLeft w:val="0"/>
      <w:marRight w:val="0"/>
      <w:marTop w:val="0"/>
      <w:marBottom w:val="0"/>
      <w:divBdr>
        <w:top w:val="none" w:sz="0" w:space="0" w:color="auto"/>
        <w:left w:val="none" w:sz="0" w:space="0" w:color="auto"/>
        <w:bottom w:val="none" w:sz="0" w:space="0" w:color="auto"/>
        <w:right w:val="none" w:sz="0" w:space="0" w:color="auto"/>
      </w:divBdr>
    </w:div>
    <w:div w:id="249125573">
      <w:bodyDiv w:val="1"/>
      <w:marLeft w:val="0"/>
      <w:marRight w:val="0"/>
      <w:marTop w:val="0"/>
      <w:marBottom w:val="0"/>
      <w:divBdr>
        <w:top w:val="none" w:sz="0" w:space="0" w:color="auto"/>
        <w:left w:val="none" w:sz="0" w:space="0" w:color="auto"/>
        <w:bottom w:val="none" w:sz="0" w:space="0" w:color="auto"/>
        <w:right w:val="none" w:sz="0" w:space="0" w:color="auto"/>
      </w:divBdr>
    </w:div>
    <w:div w:id="260383011">
      <w:bodyDiv w:val="1"/>
      <w:marLeft w:val="0"/>
      <w:marRight w:val="0"/>
      <w:marTop w:val="0"/>
      <w:marBottom w:val="0"/>
      <w:divBdr>
        <w:top w:val="none" w:sz="0" w:space="0" w:color="auto"/>
        <w:left w:val="none" w:sz="0" w:space="0" w:color="auto"/>
        <w:bottom w:val="none" w:sz="0" w:space="0" w:color="auto"/>
        <w:right w:val="none" w:sz="0" w:space="0" w:color="auto"/>
      </w:divBdr>
    </w:div>
    <w:div w:id="268200594">
      <w:bodyDiv w:val="1"/>
      <w:marLeft w:val="0"/>
      <w:marRight w:val="0"/>
      <w:marTop w:val="0"/>
      <w:marBottom w:val="0"/>
      <w:divBdr>
        <w:top w:val="none" w:sz="0" w:space="0" w:color="auto"/>
        <w:left w:val="none" w:sz="0" w:space="0" w:color="auto"/>
        <w:bottom w:val="none" w:sz="0" w:space="0" w:color="auto"/>
        <w:right w:val="none" w:sz="0" w:space="0" w:color="auto"/>
      </w:divBdr>
    </w:div>
    <w:div w:id="271590755">
      <w:bodyDiv w:val="1"/>
      <w:marLeft w:val="0"/>
      <w:marRight w:val="0"/>
      <w:marTop w:val="0"/>
      <w:marBottom w:val="0"/>
      <w:divBdr>
        <w:top w:val="none" w:sz="0" w:space="0" w:color="auto"/>
        <w:left w:val="none" w:sz="0" w:space="0" w:color="auto"/>
        <w:bottom w:val="none" w:sz="0" w:space="0" w:color="auto"/>
        <w:right w:val="none" w:sz="0" w:space="0" w:color="auto"/>
      </w:divBdr>
    </w:div>
    <w:div w:id="279577708">
      <w:bodyDiv w:val="1"/>
      <w:marLeft w:val="0"/>
      <w:marRight w:val="0"/>
      <w:marTop w:val="0"/>
      <w:marBottom w:val="0"/>
      <w:divBdr>
        <w:top w:val="none" w:sz="0" w:space="0" w:color="auto"/>
        <w:left w:val="none" w:sz="0" w:space="0" w:color="auto"/>
        <w:bottom w:val="none" w:sz="0" w:space="0" w:color="auto"/>
        <w:right w:val="none" w:sz="0" w:space="0" w:color="auto"/>
      </w:divBdr>
    </w:div>
    <w:div w:id="281157523">
      <w:bodyDiv w:val="1"/>
      <w:marLeft w:val="0"/>
      <w:marRight w:val="0"/>
      <w:marTop w:val="0"/>
      <w:marBottom w:val="0"/>
      <w:divBdr>
        <w:top w:val="none" w:sz="0" w:space="0" w:color="auto"/>
        <w:left w:val="none" w:sz="0" w:space="0" w:color="auto"/>
        <w:bottom w:val="none" w:sz="0" w:space="0" w:color="auto"/>
        <w:right w:val="none" w:sz="0" w:space="0" w:color="auto"/>
      </w:divBdr>
    </w:div>
    <w:div w:id="283466097">
      <w:bodyDiv w:val="1"/>
      <w:marLeft w:val="0"/>
      <w:marRight w:val="0"/>
      <w:marTop w:val="0"/>
      <w:marBottom w:val="0"/>
      <w:divBdr>
        <w:top w:val="none" w:sz="0" w:space="0" w:color="auto"/>
        <w:left w:val="none" w:sz="0" w:space="0" w:color="auto"/>
        <w:bottom w:val="none" w:sz="0" w:space="0" w:color="auto"/>
        <w:right w:val="none" w:sz="0" w:space="0" w:color="auto"/>
      </w:divBdr>
    </w:div>
    <w:div w:id="285819194">
      <w:bodyDiv w:val="1"/>
      <w:marLeft w:val="0"/>
      <w:marRight w:val="0"/>
      <w:marTop w:val="0"/>
      <w:marBottom w:val="0"/>
      <w:divBdr>
        <w:top w:val="none" w:sz="0" w:space="0" w:color="auto"/>
        <w:left w:val="none" w:sz="0" w:space="0" w:color="auto"/>
        <w:bottom w:val="none" w:sz="0" w:space="0" w:color="auto"/>
        <w:right w:val="none" w:sz="0" w:space="0" w:color="auto"/>
      </w:divBdr>
      <w:divsChild>
        <w:div w:id="311447101">
          <w:marLeft w:val="0"/>
          <w:marRight w:val="0"/>
          <w:marTop w:val="0"/>
          <w:marBottom w:val="0"/>
          <w:divBdr>
            <w:top w:val="none" w:sz="0" w:space="0" w:color="auto"/>
            <w:left w:val="none" w:sz="0" w:space="0" w:color="auto"/>
            <w:bottom w:val="none" w:sz="0" w:space="0" w:color="auto"/>
            <w:right w:val="none" w:sz="0" w:space="0" w:color="auto"/>
          </w:divBdr>
        </w:div>
      </w:divsChild>
    </w:div>
    <w:div w:id="308558635">
      <w:bodyDiv w:val="1"/>
      <w:marLeft w:val="0"/>
      <w:marRight w:val="0"/>
      <w:marTop w:val="0"/>
      <w:marBottom w:val="0"/>
      <w:divBdr>
        <w:top w:val="none" w:sz="0" w:space="0" w:color="auto"/>
        <w:left w:val="none" w:sz="0" w:space="0" w:color="auto"/>
        <w:bottom w:val="none" w:sz="0" w:space="0" w:color="auto"/>
        <w:right w:val="none" w:sz="0" w:space="0" w:color="auto"/>
      </w:divBdr>
    </w:div>
    <w:div w:id="330984268">
      <w:bodyDiv w:val="1"/>
      <w:marLeft w:val="0"/>
      <w:marRight w:val="0"/>
      <w:marTop w:val="0"/>
      <w:marBottom w:val="0"/>
      <w:divBdr>
        <w:top w:val="none" w:sz="0" w:space="0" w:color="auto"/>
        <w:left w:val="none" w:sz="0" w:space="0" w:color="auto"/>
        <w:bottom w:val="none" w:sz="0" w:space="0" w:color="auto"/>
        <w:right w:val="none" w:sz="0" w:space="0" w:color="auto"/>
      </w:divBdr>
    </w:div>
    <w:div w:id="333996875">
      <w:bodyDiv w:val="1"/>
      <w:marLeft w:val="0"/>
      <w:marRight w:val="0"/>
      <w:marTop w:val="0"/>
      <w:marBottom w:val="0"/>
      <w:divBdr>
        <w:top w:val="none" w:sz="0" w:space="0" w:color="auto"/>
        <w:left w:val="none" w:sz="0" w:space="0" w:color="auto"/>
        <w:bottom w:val="none" w:sz="0" w:space="0" w:color="auto"/>
        <w:right w:val="none" w:sz="0" w:space="0" w:color="auto"/>
      </w:divBdr>
    </w:div>
    <w:div w:id="337922604">
      <w:bodyDiv w:val="1"/>
      <w:marLeft w:val="0"/>
      <w:marRight w:val="0"/>
      <w:marTop w:val="0"/>
      <w:marBottom w:val="0"/>
      <w:divBdr>
        <w:top w:val="none" w:sz="0" w:space="0" w:color="auto"/>
        <w:left w:val="none" w:sz="0" w:space="0" w:color="auto"/>
        <w:bottom w:val="none" w:sz="0" w:space="0" w:color="auto"/>
        <w:right w:val="none" w:sz="0" w:space="0" w:color="auto"/>
      </w:divBdr>
      <w:divsChild>
        <w:div w:id="40635036">
          <w:marLeft w:val="0"/>
          <w:marRight w:val="0"/>
          <w:marTop w:val="0"/>
          <w:marBottom w:val="0"/>
          <w:divBdr>
            <w:top w:val="none" w:sz="0" w:space="0" w:color="auto"/>
            <w:left w:val="none" w:sz="0" w:space="0" w:color="auto"/>
            <w:bottom w:val="none" w:sz="0" w:space="0" w:color="auto"/>
            <w:right w:val="none" w:sz="0" w:space="0" w:color="auto"/>
          </w:divBdr>
        </w:div>
      </w:divsChild>
    </w:div>
    <w:div w:id="340861862">
      <w:bodyDiv w:val="1"/>
      <w:marLeft w:val="0"/>
      <w:marRight w:val="0"/>
      <w:marTop w:val="0"/>
      <w:marBottom w:val="0"/>
      <w:divBdr>
        <w:top w:val="none" w:sz="0" w:space="0" w:color="auto"/>
        <w:left w:val="none" w:sz="0" w:space="0" w:color="auto"/>
        <w:bottom w:val="none" w:sz="0" w:space="0" w:color="auto"/>
        <w:right w:val="none" w:sz="0" w:space="0" w:color="auto"/>
      </w:divBdr>
    </w:div>
    <w:div w:id="353271288">
      <w:bodyDiv w:val="1"/>
      <w:marLeft w:val="0"/>
      <w:marRight w:val="0"/>
      <w:marTop w:val="0"/>
      <w:marBottom w:val="0"/>
      <w:divBdr>
        <w:top w:val="none" w:sz="0" w:space="0" w:color="auto"/>
        <w:left w:val="none" w:sz="0" w:space="0" w:color="auto"/>
        <w:bottom w:val="none" w:sz="0" w:space="0" w:color="auto"/>
        <w:right w:val="none" w:sz="0" w:space="0" w:color="auto"/>
      </w:divBdr>
    </w:div>
    <w:div w:id="355736821">
      <w:bodyDiv w:val="1"/>
      <w:marLeft w:val="0"/>
      <w:marRight w:val="0"/>
      <w:marTop w:val="0"/>
      <w:marBottom w:val="0"/>
      <w:divBdr>
        <w:top w:val="none" w:sz="0" w:space="0" w:color="auto"/>
        <w:left w:val="none" w:sz="0" w:space="0" w:color="auto"/>
        <w:bottom w:val="none" w:sz="0" w:space="0" w:color="auto"/>
        <w:right w:val="none" w:sz="0" w:space="0" w:color="auto"/>
      </w:divBdr>
    </w:div>
    <w:div w:id="358045803">
      <w:bodyDiv w:val="1"/>
      <w:marLeft w:val="0"/>
      <w:marRight w:val="0"/>
      <w:marTop w:val="0"/>
      <w:marBottom w:val="0"/>
      <w:divBdr>
        <w:top w:val="none" w:sz="0" w:space="0" w:color="auto"/>
        <w:left w:val="none" w:sz="0" w:space="0" w:color="auto"/>
        <w:bottom w:val="none" w:sz="0" w:space="0" w:color="auto"/>
        <w:right w:val="none" w:sz="0" w:space="0" w:color="auto"/>
      </w:divBdr>
    </w:div>
    <w:div w:id="359936638">
      <w:bodyDiv w:val="1"/>
      <w:marLeft w:val="0"/>
      <w:marRight w:val="0"/>
      <w:marTop w:val="0"/>
      <w:marBottom w:val="0"/>
      <w:divBdr>
        <w:top w:val="none" w:sz="0" w:space="0" w:color="auto"/>
        <w:left w:val="none" w:sz="0" w:space="0" w:color="auto"/>
        <w:bottom w:val="none" w:sz="0" w:space="0" w:color="auto"/>
        <w:right w:val="none" w:sz="0" w:space="0" w:color="auto"/>
      </w:divBdr>
      <w:divsChild>
        <w:div w:id="689574880">
          <w:marLeft w:val="0"/>
          <w:marRight w:val="0"/>
          <w:marTop w:val="0"/>
          <w:marBottom w:val="0"/>
          <w:divBdr>
            <w:top w:val="none" w:sz="0" w:space="0" w:color="auto"/>
            <w:left w:val="none" w:sz="0" w:space="0" w:color="auto"/>
            <w:bottom w:val="none" w:sz="0" w:space="0" w:color="auto"/>
            <w:right w:val="none" w:sz="0" w:space="0" w:color="auto"/>
          </w:divBdr>
        </w:div>
      </w:divsChild>
    </w:div>
    <w:div w:id="360471818">
      <w:bodyDiv w:val="1"/>
      <w:marLeft w:val="0"/>
      <w:marRight w:val="0"/>
      <w:marTop w:val="0"/>
      <w:marBottom w:val="0"/>
      <w:divBdr>
        <w:top w:val="none" w:sz="0" w:space="0" w:color="auto"/>
        <w:left w:val="none" w:sz="0" w:space="0" w:color="auto"/>
        <w:bottom w:val="none" w:sz="0" w:space="0" w:color="auto"/>
        <w:right w:val="none" w:sz="0" w:space="0" w:color="auto"/>
      </w:divBdr>
    </w:div>
    <w:div w:id="369304079">
      <w:bodyDiv w:val="1"/>
      <w:marLeft w:val="0"/>
      <w:marRight w:val="0"/>
      <w:marTop w:val="0"/>
      <w:marBottom w:val="0"/>
      <w:divBdr>
        <w:top w:val="none" w:sz="0" w:space="0" w:color="auto"/>
        <w:left w:val="none" w:sz="0" w:space="0" w:color="auto"/>
        <w:bottom w:val="none" w:sz="0" w:space="0" w:color="auto"/>
        <w:right w:val="none" w:sz="0" w:space="0" w:color="auto"/>
      </w:divBdr>
    </w:div>
    <w:div w:id="372846197">
      <w:bodyDiv w:val="1"/>
      <w:marLeft w:val="0"/>
      <w:marRight w:val="0"/>
      <w:marTop w:val="0"/>
      <w:marBottom w:val="0"/>
      <w:divBdr>
        <w:top w:val="none" w:sz="0" w:space="0" w:color="auto"/>
        <w:left w:val="none" w:sz="0" w:space="0" w:color="auto"/>
        <w:bottom w:val="none" w:sz="0" w:space="0" w:color="auto"/>
        <w:right w:val="none" w:sz="0" w:space="0" w:color="auto"/>
      </w:divBdr>
      <w:divsChild>
        <w:div w:id="1319534191">
          <w:marLeft w:val="0"/>
          <w:marRight w:val="0"/>
          <w:marTop w:val="0"/>
          <w:marBottom w:val="0"/>
          <w:divBdr>
            <w:top w:val="none" w:sz="0" w:space="0" w:color="auto"/>
            <w:left w:val="none" w:sz="0" w:space="0" w:color="auto"/>
            <w:bottom w:val="none" w:sz="0" w:space="0" w:color="auto"/>
            <w:right w:val="none" w:sz="0" w:space="0" w:color="auto"/>
          </w:divBdr>
        </w:div>
      </w:divsChild>
    </w:div>
    <w:div w:id="381565285">
      <w:bodyDiv w:val="1"/>
      <w:marLeft w:val="0"/>
      <w:marRight w:val="0"/>
      <w:marTop w:val="0"/>
      <w:marBottom w:val="0"/>
      <w:divBdr>
        <w:top w:val="none" w:sz="0" w:space="0" w:color="auto"/>
        <w:left w:val="none" w:sz="0" w:space="0" w:color="auto"/>
        <w:bottom w:val="none" w:sz="0" w:space="0" w:color="auto"/>
        <w:right w:val="none" w:sz="0" w:space="0" w:color="auto"/>
      </w:divBdr>
    </w:div>
    <w:div w:id="383675066">
      <w:bodyDiv w:val="1"/>
      <w:marLeft w:val="0"/>
      <w:marRight w:val="0"/>
      <w:marTop w:val="0"/>
      <w:marBottom w:val="0"/>
      <w:divBdr>
        <w:top w:val="none" w:sz="0" w:space="0" w:color="auto"/>
        <w:left w:val="none" w:sz="0" w:space="0" w:color="auto"/>
        <w:bottom w:val="none" w:sz="0" w:space="0" w:color="auto"/>
        <w:right w:val="none" w:sz="0" w:space="0" w:color="auto"/>
      </w:divBdr>
    </w:div>
    <w:div w:id="413473293">
      <w:bodyDiv w:val="1"/>
      <w:marLeft w:val="0"/>
      <w:marRight w:val="0"/>
      <w:marTop w:val="0"/>
      <w:marBottom w:val="0"/>
      <w:divBdr>
        <w:top w:val="none" w:sz="0" w:space="0" w:color="auto"/>
        <w:left w:val="none" w:sz="0" w:space="0" w:color="auto"/>
        <w:bottom w:val="none" w:sz="0" w:space="0" w:color="auto"/>
        <w:right w:val="none" w:sz="0" w:space="0" w:color="auto"/>
      </w:divBdr>
    </w:div>
    <w:div w:id="420179558">
      <w:bodyDiv w:val="1"/>
      <w:marLeft w:val="0"/>
      <w:marRight w:val="0"/>
      <w:marTop w:val="0"/>
      <w:marBottom w:val="0"/>
      <w:divBdr>
        <w:top w:val="none" w:sz="0" w:space="0" w:color="auto"/>
        <w:left w:val="none" w:sz="0" w:space="0" w:color="auto"/>
        <w:bottom w:val="none" w:sz="0" w:space="0" w:color="auto"/>
        <w:right w:val="none" w:sz="0" w:space="0" w:color="auto"/>
      </w:divBdr>
      <w:divsChild>
        <w:div w:id="1245647504">
          <w:marLeft w:val="0"/>
          <w:marRight w:val="0"/>
          <w:marTop w:val="0"/>
          <w:marBottom w:val="0"/>
          <w:divBdr>
            <w:top w:val="none" w:sz="0" w:space="0" w:color="auto"/>
            <w:left w:val="none" w:sz="0" w:space="0" w:color="auto"/>
            <w:bottom w:val="none" w:sz="0" w:space="0" w:color="auto"/>
            <w:right w:val="none" w:sz="0" w:space="0" w:color="auto"/>
          </w:divBdr>
        </w:div>
      </w:divsChild>
    </w:div>
    <w:div w:id="421338315">
      <w:bodyDiv w:val="1"/>
      <w:marLeft w:val="0"/>
      <w:marRight w:val="0"/>
      <w:marTop w:val="0"/>
      <w:marBottom w:val="0"/>
      <w:divBdr>
        <w:top w:val="none" w:sz="0" w:space="0" w:color="auto"/>
        <w:left w:val="none" w:sz="0" w:space="0" w:color="auto"/>
        <w:bottom w:val="none" w:sz="0" w:space="0" w:color="auto"/>
        <w:right w:val="none" w:sz="0" w:space="0" w:color="auto"/>
      </w:divBdr>
    </w:div>
    <w:div w:id="427624224">
      <w:bodyDiv w:val="1"/>
      <w:marLeft w:val="0"/>
      <w:marRight w:val="0"/>
      <w:marTop w:val="0"/>
      <w:marBottom w:val="0"/>
      <w:divBdr>
        <w:top w:val="none" w:sz="0" w:space="0" w:color="auto"/>
        <w:left w:val="none" w:sz="0" w:space="0" w:color="auto"/>
        <w:bottom w:val="none" w:sz="0" w:space="0" w:color="auto"/>
        <w:right w:val="none" w:sz="0" w:space="0" w:color="auto"/>
      </w:divBdr>
    </w:div>
    <w:div w:id="428702479">
      <w:bodyDiv w:val="1"/>
      <w:marLeft w:val="0"/>
      <w:marRight w:val="0"/>
      <w:marTop w:val="0"/>
      <w:marBottom w:val="0"/>
      <w:divBdr>
        <w:top w:val="none" w:sz="0" w:space="0" w:color="auto"/>
        <w:left w:val="none" w:sz="0" w:space="0" w:color="auto"/>
        <w:bottom w:val="none" w:sz="0" w:space="0" w:color="auto"/>
        <w:right w:val="none" w:sz="0" w:space="0" w:color="auto"/>
      </w:divBdr>
    </w:div>
    <w:div w:id="447238731">
      <w:bodyDiv w:val="1"/>
      <w:marLeft w:val="0"/>
      <w:marRight w:val="0"/>
      <w:marTop w:val="0"/>
      <w:marBottom w:val="0"/>
      <w:divBdr>
        <w:top w:val="none" w:sz="0" w:space="0" w:color="auto"/>
        <w:left w:val="none" w:sz="0" w:space="0" w:color="auto"/>
        <w:bottom w:val="none" w:sz="0" w:space="0" w:color="auto"/>
        <w:right w:val="none" w:sz="0" w:space="0" w:color="auto"/>
      </w:divBdr>
    </w:div>
    <w:div w:id="454177044">
      <w:bodyDiv w:val="1"/>
      <w:marLeft w:val="0"/>
      <w:marRight w:val="0"/>
      <w:marTop w:val="0"/>
      <w:marBottom w:val="0"/>
      <w:divBdr>
        <w:top w:val="none" w:sz="0" w:space="0" w:color="auto"/>
        <w:left w:val="none" w:sz="0" w:space="0" w:color="auto"/>
        <w:bottom w:val="none" w:sz="0" w:space="0" w:color="auto"/>
        <w:right w:val="none" w:sz="0" w:space="0" w:color="auto"/>
      </w:divBdr>
    </w:div>
    <w:div w:id="454640582">
      <w:bodyDiv w:val="1"/>
      <w:marLeft w:val="0"/>
      <w:marRight w:val="0"/>
      <w:marTop w:val="0"/>
      <w:marBottom w:val="0"/>
      <w:divBdr>
        <w:top w:val="none" w:sz="0" w:space="0" w:color="auto"/>
        <w:left w:val="none" w:sz="0" w:space="0" w:color="auto"/>
        <w:bottom w:val="none" w:sz="0" w:space="0" w:color="auto"/>
        <w:right w:val="none" w:sz="0" w:space="0" w:color="auto"/>
      </w:divBdr>
    </w:div>
    <w:div w:id="463885260">
      <w:bodyDiv w:val="1"/>
      <w:marLeft w:val="0"/>
      <w:marRight w:val="0"/>
      <w:marTop w:val="0"/>
      <w:marBottom w:val="0"/>
      <w:divBdr>
        <w:top w:val="none" w:sz="0" w:space="0" w:color="auto"/>
        <w:left w:val="none" w:sz="0" w:space="0" w:color="auto"/>
        <w:bottom w:val="none" w:sz="0" w:space="0" w:color="auto"/>
        <w:right w:val="none" w:sz="0" w:space="0" w:color="auto"/>
      </w:divBdr>
    </w:div>
    <w:div w:id="464010291">
      <w:bodyDiv w:val="1"/>
      <w:marLeft w:val="0"/>
      <w:marRight w:val="0"/>
      <w:marTop w:val="0"/>
      <w:marBottom w:val="0"/>
      <w:divBdr>
        <w:top w:val="none" w:sz="0" w:space="0" w:color="auto"/>
        <w:left w:val="none" w:sz="0" w:space="0" w:color="auto"/>
        <w:bottom w:val="none" w:sz="0" w:space="0" w:color="auto"/>
        <w:right w:val="none" w:sz="0" w:space="0" w:color="auto"/>
      </w:divBdr>
    </w:div>
    <w:div w:id="464322956">
      <w:bodyDiv w:val="1"/>
      <w:marLeft w:val="0"/>
      <w:marRight w:val="0"/>
      <w:marTop w:val="0"/>
      <w:marBottom w:val="0"/>
      <w:divBdr>
        <w:top w:val="none" w:sz="0" w:space="0" w:color="auto"/>
        <w:left w:val="none" w:sz="0" w:space="0" w:color="auto"/>
        <w:bottom w:val="none" w:sz="0" w:space="0" w:color="auto"/>
        <w:right w:val="none" w:sz="0" w:space="0" w:color="auto"/>
      </w:divBdr>
    </w:div>
    <w:div w:id="495612999">
      <w:bodyDiv w:val="1"/>
      <w:marLeft w:val="0"/>
      <w:marRight w:val="0"/>
      <w:marTop w:val="0"/>
      <w:marBottom w:val="0"/>
      <w:divBdr>
        <w:top w:val="none" w:sz="0" w:space="0" w:color="auto"/>
        <w:left w:val="none" w:sz="0" w:space="0" w:color="auto"/>
        <w:bottom w:val="none" w:sz="0" w:space="0" w:color="auto"/>
        <w:right w:val="none" w:sz="0" w:space="0" w:color="auto"/>
      </w:divBdr>
      <w:divsChild>
        <w:div w:id="176577279">
          <w:marLeft w:val="0"/>
          <w:marRight w:val="0"/>
          <w:marTop w:val="0"/>
          <w:marBottom w:val="0"/>
          <w:divBdr>
            <w:top w:val="none" w:sz="0" w:space="0" w:color="auto"/>
            <w:left w:val="none" w:sz="0" w:space="0" w:color="auto"/>
            <w:bottom w:val="none" w:sz="0" w:space="0" w:color="auto"/>
            <w:right w:val="none" w:sz="0" w:space="0" w:color="auto"/>
          </w:divBdr>
        </w:div>
      </w:divsChild>
    </w:div>
    <w:div w:id="496965729">
      <w:bodyDiv w:val="1"/>
      <w:marLeft w:val="0"/>
      <w:marRight w:val="0"/>
      <w:marTop w:val="0"/>
      <w:marBottom w:val="0"/>
      <w:divBdr>
        <w:top w:val="none" w:sz="0" w:space="0" w:color="auto"/>
        <w:left w:val="none" w:sz="0" w:space="0" w:color="auto"/>
        <w:bottom w:val="none" w:sz="0" w:space="0" w:color="auto"/>
        <w:right w:val="none" w:sz="0" w:space="0" w:color="auto"/>
      </w:divBdr>
      <w:divsChild>
        <w:div w:id="1294140904">
          <w:marLeft w:val="0"/>
          <w:marRight w:val="0"/>
          <w:marTop w:val="0"/>
          <w:marBottom w:val="0"/>
          <w:divBdr>
            <w:top w:val="none" w:sz="0" w:space="0" w:color="auto"/>
            <w:left w:val="none" w:sz="0" w:space="0" w:color="auto"/>
            <w:bottom w:val="none" w:sz="0" w:space="0" w:color="auto"/>
            <w:right w:val="none" w:sz="0" w:space="0" w:color="auto"/>
          </w:divBdr>
        </w:div>
      </w:divsChild>
    </w:div>
    <w:div w:id="498154287">
      <w:bodyDiv w:val="1"/>
      <w:marLeft w:val="0"/>
      <w:marRight w:val="0"/>
      <w:marTop w:val="0"/>
      <w:marBottom w:val="0"/>
      <w:divBdr>
        <w:top w:val="none" w:sz="0" w:space="0" w:color="auto"/>
        <w:left w:val="none" w:sz="0" w:space="0" w:color="auto"/>
        <w:bottom w:val="none" w:sz="0" w:space="0" w:color="auto"/>
        <w:right w:val="none" w:sz="0" w:space="0" w:color="auto"/>
      </w:divBdr>
    </w:div>
    <w:div w:id="499539478">
      <w:bodyDiv w:val="1"/>
      <w:marLeft w:val="0"/>
      <w:marRight w:val="0"/>
      <w:marTop w:val="0"/>
      <w:marBottom w:val="0"/>
      <w:divBdr>
        <w:top w:val="none" w:sz="0" w:space="0" w:color="auto"/>
        <w:left w:val="none" w:sz="0" w:space="0" w:color="auto"/>
        <w:bottom w:val="none" w:sz="0" w:space="0" w:color="auto"/>
        <w:right w:val="none" w:sz="0" w:space="0" w:color="auto"/>
      </w:divBdr>
    </w:div>
    <w:div w:id="499929639">
      <w:bodyDiv w:val="1"/>
      <w:marLeft w:val="0"/>
      <w:marRight w:val="0"/>
      <w:marTop w:val="0"/>
      <w:marBottom w:val="0"/>
      <w:divBdr>
        <w:top w:val="none" w:sz="0" w:space="0" w:color="auto"/>
        <w:left w:val="none" w:sz="0" w:space="0" w:color="auto"/>
        <w:bottom w:val="none" w:sz="0" w:space="0" w:color="auto"/>
        <w:right w:val="none" w:sz="0" w:space="0" w:color="auto"/>
      </w:divBdr>
      <w:divsChild>
        <w:div w:id="1002659067">
          <w:marLeft w:val="0"/>
          <w:marRight w:val="0"/>
          <w:marTop w:val="0"/>
          <w:marBottom w:val="0"/>
          <w:divBdr>
            <w:top w:val="none" w:sz="0" w:space="0" w:color="auto"/>
            <w:left w:val="none" w:sz="0" w:space="0" w:color="auto"/>
            <w:bottom w:val="none" w:sz="0" w:space="0" w:color="auto"/>
            <w:right w:val="none" w:sz="0" w:space="0" w:color="auto"/>
          </w:divBdr>
        </w:div>
      </w:divsChild>
    </w:div>
    <w:div w:id="502819072">
      <w:bodyDiv w:val="1"/>
      <w:marLeft w:val="0"/>
      <w:marRight w:val="0"/>
      <w:marTop w:val="0"/>
      <w:marBottom w:val="0"/>
      <w:divBdr>
        <w:top w:val="none" w:sz="0" w:space="0" w:color="auto"/>
        <w:left w:val="none" w:sz="0" w:space="0" w:color="auto"/>
        <w:bottom w:val="none" w:sz="0" w:space="0" w:color="auto"/>
        <w:right w:val="none" w:sz="0" w:space="0" w:color="auto"/>
      </w:divBdr>
    </w:div>
    <w:div w:id="512451472">
      <w:bodyDiv w:val="1"/>
      <w:marLeft w:val="0"/>
      <w:marRight w:val="0"/>
      <w:marTop w:val="0"/>
      <w:marBottom w:val="0"/>
      <w:divBdr>
        <w:top w:val="none" w:sz="0" w:space="0" w:color="auto"/>
        <w:left w:val="none" w:sz="0" w:space="0" w:color="auto"/>
        <w:bottom w:val="none" w:sz="0" w:space="0" w:color="auto"/>
        <w:right w:val="none" w:sz="0" w:space="0" w:color="auto"/>
      </w:divBdr>
    </w:div>
    <w:div w:id="523984530">
      <w:bodyDiv w:val="1"/>
      <w:marLeft w:val="0"/>
      <w:marRight w:val="0"/>
      <w:marTop w:val="0"/>
      <w:marBottom w:val="0"/>
      <w:divBdr>
        <w:top w:val="none" w:sz="0" w:space="0" w:color="auto"/>
        <w:left w:val="none" w:sz="0" w:space="0" w:color="auto"/>
        <w:bottom w:val="none" w:sz="0" w:space="0" w:color="auto"/>
        <w:right w:val="none" w:sz="0" w:space="0" w:color="auto"/>
      </w:divBdr>
    </w:div>
    <w:div w:id="529607272">
      <w:bodyDiv w:val="1"/>
      <w:marLeft w:val="0"/>
      <w:marRight w:val="0"/>
      <w:marTop w:val="0"/>
      <w:marBottom w:val="0"/>
      <w:divBdr>
        <w:top w:val="none" w:sz="0" w:space="0" w:color="auto"/>
        <w:left w:val="none" w:sz="0" w:space="0" w:color="auto"/>
        <w:bottom w:val="none" w:sz="0" w:space="0" w:color="auto"/>
        <w:right w:val="none" w:sz="0" w:space="0" w:color="auto"/>
      </w:divBdr>
    </w:div>
    <w:div w:id="535122707">
      <w:bodyDiv w:val="1"/>
      <w:marLeft w:val="0"/>
      <w:marRight w:val="0"/>
      <w:marTop w:val="0"/>
      <w:marBottom w:val="0"/>
      <w:divBdr>
        <w:top w:val="none" w:sz="0" w:space="0" w:color="auto"/>
        <w:left w:val="none" w:sz="0" w:space="0" w:color="auto"/>
        <w:bottom w:val="none" w:sz="0" w:space="0" w:color="auto"/>
        <w:right w:val="none" w:sz="0" w:space="0" w:color="auto"/>
      </w:divBdr>
    </w:div>
    <w:div w:id="547107004">
      <w:bodyDiv w:val="1"/>
      <w:marLeft w:val="0"/>
      <w:marRight w:val="0"/>
      <w:marTop w:val="0"/>
      <w:marBottom w:val="0"/>
      <w:divBdr>
        <w:top w:val="none" w:sz="0" w:space="0" w:color="auto"/>
        <w:left w:val="none" w:sz="0" w:space="0" w:color="auto"/>
        <w:bottom w:val="none" w:sz="0" w:space="0" w:color="auto"/>
        <w:right w:val="none" w:sz="0" w:space="0" w:color="auto"/>
      </w:divBdr>
    </w:div>
    <w:div w:id="567955971">
      <w:bodyDiv w:val="1"/>
      <w:marLeft w:val="0"/>
      <w:marRight w:val="0"/>
      <w:marTop w:val="0"/>
      <w:marBottom w:val="0"/>
      <w:divBdr>
        <w:top w:val="none" w:sz="0" w:space="0" w:color="auto"/>
        <w:left w:val="none" w:sz="0" w:space="0" w:color="auto"/>
        <w:bottom w:val="none" w:sz="0" w:space="0" w:color="auto"/>
        <w:right w:val="none" w:sz="0" w:space="0" w:color="auto"/>
      </w:divBdr>
    </w:div>
    <w:div w:id="576212257">
      <w:bodyDiv w:val="1"/>
      <w:marLeft w:val="0"/>
      <w:marRight w:val="0"/>
      <w:marTop w:val="0"/>
      <w:marBottom w:val="0"/>
      <w:divBdr>
        <w:top w:val="none" w:sz="0" w:space="0" w:color="auto"/>
        <w:left w:val="none" w:sz="0" w:space="0" w:color="auto"/>
        <w:bottom w:val="none" w:sz="0" w:space="0" w:color="auto"/>
        <w:right w:val="none" w:sz="0" w:space="0" w:color="auto"/>
      </w:divBdr>
    </w:div>
    <w:div w:id="577708681">
      <w:bodyDiv w:val="1"/>
      <w:marLeft w:val="0"/>
      <w:marRight w:val="0"/>
      <w:marTop w:val="0"/>
      <w:marBottom w:val="0"/>
      <w:divBdr>
        <w:top w:val="none" w:sz="0" w:space="0" w:color="auto"/>
        <w:left w:val="none" w:sz="0" w:space="0" w:color="auto"/>
        <w:bottom w:val="none" w:sz="0" w:space="0" w:color="auto"/>
        <w:right w:val="none" w:sz="0" w:space="0" w:color="auto"/>
      </w:divBdr>
    </w:div>
    <w:div w:id="580801015">
      <w:bodyDiv w:val="1"/>
      <w:marLeft w:val="0"/>
      <w:marRight w:val="0"/>
      <w:marTop w:val="0"/>
      <w:marBottom w:val="0"/>
      <w:divBdr>
        <w:top w:val="none" w:sz="0" w:space="0" w:color="auto"/>
        <w:left w:val="none" w:sz="0" w:space="0" w:color="auto"/>
        <w:bottom w:val="none" w:sz="0" w:space="0" w:color="auto"/>
        <w:right w:val="none" w:sz="0" w:space="0" w:color="auto"/>
      </w:divBdr>
    </w:div>
    <w:div w:id="581062032">
      <w:bodyDiv w:val="1"/>
      <w:marLeft w:val="0"/>
      <w:marRight w:val="0"/>
      <w:marTop w:val="0"/>
      <w:marBottom w:val="0"/>
      <w:divBdr>
        <w:top w:val="none" w:sz="0" w:space="0" w:color="auto"/>
        <w:left w:val="none" w:sz="0" w:space="0" w:color="auto"/>
        <w:bottom w:val="none" w:sz="0" w:space="0" w:color="auto"/>
        <w:right w:val="none" w:sz="0" w:space="0" w:color="auto"/>
      </w:divBdr>
    </w:div>
    <w:div w:id="582448357">
      <w:bodyDiv w:val="1"/>
      <w:marLeft w:val="0"/>
      <w:marRight w:val="0"/>
      <w:marTop w:val="0"/>
      <w:marBottom w:val="0"/>
      <w:divBdr>
        <w:top w:val="none" w:sz="0" w:space="0" w:color="auto"/>
        <w:left w:val="none" w:sz="0" w:space="0" w:color="auto"/>
        <w:bottom w:val="none" w:sz="0" w:space="0" w:color="auto"/>
        <w:right w:val="none" w:sz="0" w:space="0" w:color="auto"/>
      </w:divBdr>
    </w:div>
    <w:div w:id="596447724">
      <w:bodyDiv w:val="1"/>
      <w:marLeft w:val="0"/>
      <w:marRight w:val="0"/>
      <w:marTop w:val="0"/>
      <w:marBottom w:val="0"/>
      <w:divBdr>
        <w:top w:val="none" w:sz="0" w:space="0" w:color="auto"/>
        <w:left w:val="none" w:sz="0" w:space="0" w:color="auto"/>
        <w:bottom w:val="none" w:sz="0" w:space="0" w:color="auto"/>
        <w:right w:val="none" w:sz="0" w:space="0" w:color="auto"/>
      </w:divBdr>
    </w:div>
    <w:div w:id="612172835">
      <w:bodyDiv w:val="1"/>
      <w:marLeft w:val="0"/>
      <w:marRight w:val="0"/>
      <w:marTop w:val="0"/>
      <w:marBottom w:val="0"/>
      <w:divBdr>
        <w:top w:val="none" w:sz="0" w:space="0" w:color="auto"/>
        <w:left w:val="none" w:sz="0" w:space="0" w:color="auto"/>
        <w:bottom w:val="none" w:sz="0" w:space="0" w:color="auto"/>
        <w:right w:val="none" w:sz="0" w:space="0" w:color="auto"/>
      </w:divBdr>
    </w:div>
    <w:div w:id="612368633">
      <w:bodyDiv w:val="1"/>
      <w:marLeft w:val="0"/>
      <w:marRight w:val="0"/>
      <w:marTop w:val="0"/>
      <w:marBottom w:val="0"/>
      <w:divBdr>
        <w:top w:val="none" w:sz="0" w:space="0" w:color="auto"/>
        <w:left w:val="none" w:sz="0" w:space="0" w:color="auto"/>
        <w:bottom w:val="none" w:sz="0" w:space="0" w:color="auto"/>
        <w:right w:val="none" w:sz="0" w:space="0" w:color="auto"/>
      </w:divBdr>
    </w:div>
    <w:div w:id="615596284">
      <w:bodyDiv w:val="1"/>
      <w:marLeft w:val="0"/>
      <w:marRight w:val="0"/>
      <w:marTop w:val="0"/>
      <w:marBottom w:val="0"/>
      <w:divBdr>
        <w:top w:val="none" w:sz="0" w:space="0" w:color="auto"/>
        <w:left w:val="none" w:sz="0" w:space="0" w:color="auto"/>
        <w:bottom w:val="none" w:sz="0" w:space="0" w:color="auto"/>
        <w:right w:val="none" w:sz="0" w:space="0" w:color="auto"/>
      </w:divBdr>
    </w:div>
    <w:div w:id="616790047">
      <w:bodyDiv w:val="1"/>
      <w:marLeft w:val="0"/>
      <w:marRight w:val="0"/>
      <w:marTop w:val="0"/>
      <w:marBottom w:val="0"/>
      <w:divBdr>
        <w:top w:val="none" w:sz="0" w:space="0" w:color="auto"/>
        <w:left w:val="none" w:sz="0" w:space="0" w:color="auto"/>
        <w:bottom w:val="none" w:sz="0" w:space="0" w:color="auto"/>
        <w:right w:val="none" w:sz="0" w:space="0" w:color="auto"/>
      </w:divBdr>
    </w:div>
    <w:div w:id="636107904">
      <w:bodyDiv w:val="1"/>
      <w:marLeft w:val="0"/>
      <w:marRight w:val="0"/>
      <w:marTop w:val="0"/>
      <w:marBottom w:val="0"/>
      <w:divBdr>
        <w:top w:val="none" w:sz="0" w:space="0" w:color="auto"/>
        <w:left w:val="none" w:sz="0" w:space="0" w:color="auto"/>
        <w:bottom w:val="none" w:sz="0" w:space="0" w:color="auto"/>
        <w:right w:val="none" w:sz="0" w:space="0" w:color="auto"/>
      </w:divBdr>
    </w:div>
    <w:div w:id="636959006">
      <w:bodyDiv w:val="1"/>
      <w:marLeft w:val="0"/>
      <w:marRight w:val="0"/>
      <w:marTop w:val="0"/>
      <w:marBottom w:val="0"/>
      <w:divBdr>
        <w:top w:val="none" w:sz="0" w:space="0" w:color="auto"/>
        <w:left w:val="none" w:sz="0" w:space="0" w:color="auto"/>
        <w:bottom w:val="none" w:sz="0" w:space="0" w:color="auto"/>
        <w:right w:val="none" w:sz="0" w:space="0" w:color="auto"/>
      </w:divBdr>
    </w:div>
    <w:div w:id="638652446">
      <w:bodyDiv w:val="1"/>
      <w:marLeft w:val="0"/>
      <w:marRight w:val="0"/>
      <w:marTop w:val="0"/>
      <w:marBottom w:val="0"/>
      <w:divBdr>
        <w:top w:val="none" w:sz="0" w:space="0" w:color="auto"/>
        <w:left w:val="none" w:sz="0" w:space="0" w:color="auto"/>
        <w:bottom w:val="none" w:sz="0" w:space="0" w:color="auto"/>
        <w:right w:val="none" w:sz="0" w:space="0" w:color="auto"/>
      </w:divBdr>
    </w:div>
    <w:div w:id="642081344">
      <w:bodyDiv w:val="1"/>
      <w:marLeft w:val="0"/>
      <w:marRight w:val="0"/>
      <w:marTop w:val="0"/>
      <w:marBottom w:val="0"/>
      <w:divBdr>
        <w:top w:val="none" w:sz="0" w:space="0" w:color="auto"/>
        <w:left w:val="none" w:sz="0" w:space="0" w:color="auto"/>
        <w:bottom w:val="none" w:sz="0" w:space="0" w:color="auto"/>
        <w:right w:val="none" w:sz="0" w:space="0" w:color="auto"/>
      </w:divBdr>
    </w:div>
    <w:div w:id="651254564">
      <w:bodyDiv w:val="1"/>
      <w:marLeft w:val="0"/>
      <w:marRight w:val="0"/>
      <w:marTop w:val="0"/>
      <w:marBottom w:val="0"/>
      <w:divBdr>
        <w:top w:val="none" w:sz="0" w:space="0" w:color="auto"/>
        <w:left w:val="none" w:sz="0" w:space="0" w:color="auto"/>
        <w:bottom w:val="none" w:sz="0" w:space="0" w:color="auto"/>
        <w:right w:val="none" w:sz="0" w:space="0" w:color="auto"/>
      </w:divBdr>
    </w:div>
    <w:div w:id="662778589">
      <w:bodyDiv w:val="1"/>
      <w:marLeft w:val="0"/>
      <w:marRight w:val="0"/>
      <w:marTop w:val="0"/>
      <w:marBottom w:val="0"/>
      <w:divBdr>
        <w:top w:val="none" w:sz="0" w:space="0" w:color="auto"/>
        <w:left w:val="none" w:sz="0" w:space="0" w:color="auto"/>
        <w:bottom w:val="none" w:sz="0" w:space="0" w:color="auto"/>
        <w:right w:val="none" w:sz="0" w:space="0" w:color="auto"/>
      </w:divBdr>
    </w:div>
    <w:div w:id="664824417">
      <w:bodyDiv w:val="1"/>
      <w:marLeft w:val="0"/>
      <w:marRight w:val="0"/>
      <w:marTop w:val="0"/>
      <w:marBottom w:val="0"/>
      <w:divBdr>
        <w:top w:val="none" w:sz="0" w:space="0" w:color="auto"/>
        <w:left w:val="none" w:sz="0" w:space="0" w:color="auto"/>
        <w:bottom w:val="none" w:sz="0" w:space="0" w:color="auto"/>
        <w:right w:val="none" w:sz="0" w:space="0" w:color="auto"/>
      </w:divBdr>
    </w:div>
    <w:div w:id="672685166">
      <w:bodyDiv w:val="1"/>
      <w:marLeft w:val="0"/>
      <w:marRight w:val="0"/>
      <w:marTop w:val="0"/>
      <w:marBottom w:val="0"/>
      <w:divBdr>
        <w:top w:val="none" w:sz="0" w:space="0" w:color="auto"/>
        <w:left w:val="none" w:sz="0" w:space="0" w:color="auto"/>
        <w:bottom w:val="none" w:sz="0" w:space="0" w:color="auto"/>
        <w:right w:val="none" w:sz="0" w:space="0" w:color="auto"/>
      </w:divBdr>
    </w:div>
    <w:div w:id="680354879">
      <w:bodyDiv w:val="1"/>
      <w:marLeft w:val="0"/>
      <w:marRight w:val="0"/>
      <w:marTop w:val="0"/>
      <w:marBottom w:val="0"/>
      <w:divBdr>
        <w:top w:val="none" w:sz="0" w:space="0" w:color="auto"/>
        <w:left w:val="none" w:sz="0" w:space="0" w:color="auto"/>
        <w:bottom w:val="none" w:sz="0" w:space="0" w:color="auto"/>
        <w:right w:val="none" w:sz="0" w:space="0" w:color="auto"/>
      </w:divBdr>
    </w:div>
    <w:div w:id="697436946">
      <w:bodyDiv w:val="1"/>
      <w:marLeft w:val="0"/>
      <w:marRight w:val="0"/>
      <w:marTop w:val="0"/>
      <w:marBottom w:val="0"/>
      <w:divBdr>
        <w:top w:val="none" w:sz="0" w:space="0" w:color="auto"/>
        <w:left w:val="none" w:sz="0" w:space="0" w:color="auto"/>
        <w:bottom w:val="none" w:sz="0" w:space="0" w:color="auto"/>
        <w:right w:val="none" w:sz="0" w:space="0" w:color="auto"/>
      </w:divBdr>
    </w:div>
    <w:div w:id="707726355">
      <w:bodyDiv w:val="1"/>
      <w:marLeft w:val="0"/>
      <w:marRight w:val="0"/>
      <w:marTop w:val="0"/>
      <w:marBottom w:val="0"/>
      <w:divBdr>
        <w:top w:val="none" w:sz="0" w:space="0" w:color="auto"/>
        <w:left w:val="none" w:sz="0" w:space="0" w:color="auto"/>
        <w:bottom w:val="none" w:sz="0" w:space="0" w:color="auto"/>
        <w:right w:val="none" w:sz="0" w:space="0" w:color="auto"/>
      </w:divBdr>
    </w:div>
    <w:div w:id="720250685">
      <w:bodyDiv w:val="1"/>
      <w:marLeft w:val="0"/>
      <w:marRight w:val="0"/>
      <w:marTop w:val="0"/>
      <w:marBottom w:val="0"/>
      <w:divBdr>
        <w:top w:val="none" w:sz="0" w:space="0" w:color="auto"/>
        <w:left w:val="none" w:sz="0" w:space="0" w:color="auto"/>
        <w:bottom w:val="none" w:sz="0" w:space="0" w:color="auto"/>
        <w:right w:val="none" w:sz="0" w:space="0" w:color="auto"/>
      </w:divBdr>
    </w:div>
    <w:div w:id="731348590">
      <w:bodyDiv w:val="1"/>
      <w:marLeft w:val="0"/>
      <w:marRight w:val="0"/>
      <w:marTop w:val="0"/>
      <w:marBottom w:val="0"/>
      <w:divBdr>
        <w:top w:val="none" w:sz="0" w:space="0" w:color="auto"/>
        <w:left w:val="none" w:sz="0" w:space="0" w:color="auto"/>
        <w:bottom w:val="none" w:sz="0" w:space="0" w:color="auto"/>
        <w:right w:val="none" w:sz="0" w:space="0" w:color="auto"/>
      </w:divBdr>
    </w:div>
    <w:div w:id="740519289">
      <w:bodyDiv w:val="1"/>
      <w:marLeft w:val="0"/>
      <w:marRight w:val="0"/>
      <w:marTop w:val="0"/>
      <w:marBottom w:val="0"/>
      <w:divBdr>
        <w:top w:val="none" w:sz="0" w:space="0" w:color="auto"/>
        <w:left w:val="none" w:sz="0" w:space="0" w:color="auto"/>
        <w:bottom w:val="none" w:sz="0" w:space="0" w:color="auto"/>
        <w:right w:val="none" w:sz="0" w:space="0" w:color="auto"/>
      </w:divBdr>
    </w:div>
    <w:div w:id="743602746">
      <w:bodyDiv w:val="1"/>
      <w:marLeft w:val="0"/>
      <w:marRight w:val="0"/>
      <w:marTop w:val="0"/>
      <w:marBottom w:val="0"/>
      <w:divBdr>
        <w:top w:val="none" w:sz="0" w:space="0" w:color="auto"/>
        <w:left w:val="none" w:sz="0" w:space="0" w:color="auto"/>
        <w:bottom w:val="none" w:sz="0" w:space="0" w:color="auto"/>
        <w:right w:val="none" w:sz="0" w:space="0" w:color="auto"/>
      </w:divBdr>
    </w:div>
    <w:div w:id="744764305">
      <w:bodyDiv w:val="1"/>
      <w:marLeft w:val="0"/>
      <w:marRight w:val="0"/>
      <w:marTop w:val="0"/>
      <w:marBottom w:val="0"/>
      <w:divBdr>
        <w:top w:val="none" w:sz="0" w:space="0" w:color="auto"/>
        <w:left w:val="none" w:sz="0" w:space="0" w:color="auto"/>
        <w:bottom w:val="none" w:sz="0" w:space="0" w:color="auto"/>
        <w:right w:val="none" w:sz="0" w:space="0" w:color="auto"/>
      </w:divBdr>
      <w:divsChild>
        <w:div w:id="2123957686">
          <w:marLeft w:val="0"/>
          <w:marRight w:val="0"/>
          <w:marTop w:val="0"/>
          <w:marBottom w:val="0"/>
          <w:divBdr>
            <w:top w:val="none" w:sz="0" w:space="0" w:color="auto"/>
            <w:left w:val="none" w:sz="0" w:space="0" w:color="auto"/>
            <w:bottom w:val="none" w:sz="0" w:space="0" w:color="auto"/>
            <w:right w:val="none" w:sz="0" w:space="0" w:color="auto"/>
          </w:divBdr>
        </w:div>
      </w:divsChild>
    </w:div>
    <w:div w:id="745959929">
      <w:bodyDiv w:val="1"/>
      <w:marLeft w:val="0"/>
      <w:marRight w:val="0"/>
      <w:marTop w:val="0"/>
      <w:marBottom w:val="0"/>
      <w:divBdr>
        <w:top w:val="none" w:sz="0" w:space="0" w:color="auto"/>
        <w:left w:val="none" w:sz="0" w:space="0" w:color="auto"/>
        <w:bottom w:val="none" w:sz="0" w:space="0" w:color="auto"/>
        <w:right w:val="none" w:sz="0" w:space="0" w:color="auto"/>
      </w:divBdr>
    </w:div>
    <w:div w:id="747263393">
      <w:bodyDiv w:val="1"/>
      <w:marLeft w:val="0"/>
      <w:marRight w:val="0"/>
      <w:marTop w:val="0"/>
      <w:marBottom w:val="0"/>
      <w:divBdr>
        <w:top w:val="none" w:sz="0" w:space="0" w:color="auto"/>
        <w:left w:val="none" w:sz="0" w:space="0" w:color="auto"/>
        <w:bottom w:val="none" w:sz="0" w:space="0" w:color="auto"/>
        <w:right w:val="none" w:sz="0" w:space="0" w:color="auto"/>
      </w:divBdr>
      <w:divsChild>
        <w:div w:id="735858741">
          <w:marLeft w:val="0"/>
          <w:marRight w:val="0"/>
          <w:marTop w:val="0"/>
          <w:marBottom w:val="0"/>
          <w:divBdr>
            <w:top w:val="none" w:sz="0" w:space="0" w:color="auto"/>
            <w:left w:val="none" w:sz="0" w:space="0" w:color="auto"/>
            <w:bottom w:val="none" w:sz="0" w:space="0" w:color="auto"/>
            <w:right w:val="none" w:sz="0" w:space="0" w:color="auto"/>
          </w:divBdr>
        </w:div>
      </w:divsChild>
    </w:div>
    <w:div w:id="753362649">
      <w:bodyDiv w:val="1"/>
      <w:marLeft w:val="0"/>
      <w:marRight w:val="0"/>
      <w:marTop w:val="0"/>
      <w:marBottom w:val="0"/>
      <w:divBdr>
        <w:top w:val="none" w:sz="0" w:space="0" w:color="auto"/>
        <w:left w:val="none" w:sz="0" w:space="0" w:color="auto"/>
        <w:bottom w:val="none" w:sz="0" w:space="0" w:color="auto"/>
        <w:right w:val="none" w:sz="0" w:space="0" w:color="auto"/>
      </w:divBdr>
    </w:div>
    <w:div w:id="766078081">
      <w:bodyDiv w:val="1"/>
      <w:marLeft w:val="0"/>
      <w:marRight w:val="0"/>
      <w:marTop w:val="0"/>
      <w:marBottom w:val="0"/>
      <w:divBdr>
        <w:top w:val="none" w:sz="0" w:space="0" w:color="auto"/>
        <w:left w:val="none" w:sz="0" w:space="0" w:color="auto"/>
        <w:bottom w:val="none" w:sz="0" w:space="0" w:color="auto"/>
        <w:right w:val="none" w:sz="0" w:space="0" w:color="auto"/>
      </w:divBdr>
    </w:div>
    <w:div w:id="768694100">
      <w:bodyDiv w:val="1"/>
      <w:marLeft w:val="0"/>
      <w:marRight w:val="0"/>
      <w:marTop w:val="0"/>
      <w:marBottom w:val="0"/>
      <w:divBdr>
        <w:top w:val="none" w:sz="0" w:space="0" w:color="auto"/>
        <w:left w:val="none" w:sz="0" w:space="0" w:color="auto"/>
        <w:bottom w:val="none" w:sz="0" w:space="0" w:color="auto"/>
        <w:right w:val="none" w:sz="0" w:space="0" w:color="auto"/>
      </w:divBdr>
    </w:div>
    <w:div w:id="773017967">
      <w:bodyDiv w:val="1"/>
      <w:marLeft w:val="0"/>
      <w:marRight w:val="0"/>
      <w:marTop w:val="0"/>
      <w:marBottom w:val="0"/>
      <w:divBdr>
        <w:top w:val="none" w:sz="0" w:space="0" w:color="auto"/>
        <w:left w:val="none" w:sz="0" w:space="0" w:color="auto"/>
        <w:bottom w:val="none" w:sz="0" w:space="0" w:color="auto"/>
        <w:right w:val="none" w:sz="0" w:space="0" w:color="auto"/>
      </w:divBdr>
    </w:div>
    <w:div w:id="787822693">
      <w:bodyDiv w:val="1"/>
      <w:marLeft w:val="0"/>
      <w:marRight w:val="0"/>
      <w:marTop w:val="0"/>
      <w:marBottom w:val="0"/>
      <w:divBdr>
        <w:top w:val="none" w:sz="0" w:space="0" w:color="auto"/>
        <w:left w:val="none" w:sz="0" w:space="0" w:color="auto"/>
        <w:bottom w:val="none" w:sz="0" w:space="0" w:color="auto"/>
        <w:right w:val="none" w:sz="0" w:space="0" w:color="auto"/>
      </w:divBdr>
    </w:div>
    <w:div w:id="803305402">
      <w:bodyDiv w:val="1"/>
      <w:marLeft w:val="0"/>
      <w:marRight w:val="0"/>
      <w:marTop w:val="0"/>
      <w:marBottom w:val="0"/>
      <w:divBdr>
        <w:top w:val="none" w:sz="0" w:space="0" w:color="auto"/>
        <w:left w:val="none" w:sz="0" w:space="0" w:color="auto"/>
        <w:bottom w:val="none" w:sz="0" w:space="0" w:color="auto"/>
        <w:right w:val="none" w:sz="0" w:space="0" w:color="auto"/>
      </w:divBdr>
      <w:divsChild>
        <w:div w:id="593585724">
          <w:marLeft w:val="0"/>
          <w:marRight w:val="0"/>
          <w:marTop w:val="0"/>
          <w:marBottom w:val="0"/>
          <w:divBdr>
            <w:top w:val="none" w:sz="0" w:space="0" w:color="auto"/>
            <w:left w:val="none" w:sz="0" w:space="0" w:color="auto"/>
            <w:bottom w:val="none" w:sz="0" w:space="0" w:color="auto"/>
            <w:right w:val="none" w:sz="0" w:space="0" w:color="auto"/>
          </w:divBdr>
        </w:div>
      </w:divsChild>
    </w:div>
    <w:div w:id="816999413">
      <w:bodyDiv w:val="1"/>
      <w:marLeft w:val="0"/>
      <w:marRight w:val="0"/>
      <w:marTop w:val="0"/>
      <w:marBottom w:val="0"/>
      <w:divBdr>
        <w:top w:val="none" w:sz="0" w:space="0" w:color="auto"/>
        <w:left w:val="none" w:sz="0" w:space="0" w:color="auto"/>
        <w:bottom w:val="none" w:sz="0" w:space="0" w:color="auto"/>
        <w:right w:val="none" w:sz="0" w:space="0" w:color="auto"/>
      </w:divBdr>
    </w:div>
    <w:div w:id="849216211">
      <w:bodyDiv w:val="1"/>
      <w:marLeft w:val="0"/>
      <w:marRight w:val="0"/>
      <w:marTop w:val="0"/>
      <w:marBottom w:val="0"/>
      <w:divBdr>
        <w:top w:val="none" w:sz="0" w:space="0" w:color="auto"/>
        <w:left w:val="none" w:sz="0" w:space="0" w:color="auto"/>
        <w:bottom w:val="none" w:sz="0" w:space="0" w:color="auto"/>
        <w:right w:val="none" w:sz="0" w:space="0" w:color="auto"/>
      </w:divBdr>
    </w:div>
    <w:div w:id="861817036">
      <w:bodyDiv w:val="1"/>
      <w:marLeft w:val="0"/>
      <w:marRight w:val="0"/>
      <w:marTop w:val="0"/>
      <w:marBottom w:val="0"/>
      <w:divBdr>
        <w:top w:val="none" w:sz="0" w:space="0" w:color="auto"/>
        <w:left w:val="none" w:sz="0" w:space="0" w:color="auto"/>
        <w:bottom w:val="none" w:sz="0" w:space="0" w:color="auto"/>
        <w:right w:val="none" w:sz="0" w:space="0" w:color="auto"/>
      </w:divBdr>
    </w:div>
    <w:div w:id="881483546">
      <w:bodyDiv w:val="1"/>
      <w:marLeft w:val="0"/>
      <w:marRight w:val="0"/>
      <w:marTop w:val="0"/>
      <w:marBottom w:val="0"/>
      <w:divBdr>
        <w:top w:val="none" w:sz="0" w:space="0" w:color="auto"/>
        <w:left w:val="none" w:sz="0" w:space="0" w:color="auto"/>
        <w:bottom w:val="none" w:sz="0" w:space="0" w:color="auto"/>
        <w:right w:val="none" w:sz="0" w:space="0" w:color="auto"/>
      </w:divBdr>
      <w:divsChild>
        <w:div w:id="247426327">
          <w:marLeft w:val="0"/>
          <w:marRight w:val="0"/>
          <w:marTop w:val="0"/>
          <w:marBottom w:val="0"/>
          <w:divBdr>
            <w:top w:val="none" w:sz="0" w:space="0" w:color="auto"/>
            <w:left w:val="none" w:sz="0" w:space="0" w:color="auto"/>
            <w:bottom w:val="none" w:sz="0" w:space="0" w:color="auto"/>
            <w:right w:val="none" w:sz="0" w:space="0" w:color="auto"/>
          </w:divBdr>
        </w:div>
      </w:divsChild>
    </w:div>
    <w:div w:id="885071857">
      <w:bodyDiv w:val="1"/>
      <w:marLeft w:val="0"/>
      <w:marRight w:val="0"/>
      <w:marTop w:val="0"/>
      <w:marBottom w:val="0"/>
      <w:divBdr>
        <w:top w:val="none" w:sz="0" w:space="0" w:color="auto"/>
        <w:left w:val="none" w:sz="0" w:space="0" w:color="auto"/>
        <w:bottom w:val="none" w:sz="0" w:space="0" w:color="auto"/>
        <w:right w:val="none" w:sz="0" w:space="0" w:color="auto"/>
      </w:divBdr>
    </w:div>
    <w:div w:id="890766540">
      <w:bodyDiv w:val="1"/>
      <w:marLeft w:val="0"/>
      <w:marRight w:val="0"/>
      <w:marTop w:val="0"/>
      <w:marBottom w:val="0"/>
      <w:divBdr>
        <w:top w:val="none" w:sz="0" w:space="0" w:color="auto"/>
        <w:left w:val="none" w:sz="0" w:space="0" w:color="auto"/>
        <w:bottom w:val="none" w:sz="0" w:space="0" w:color="auto"/>
        <w:right w:val="none" w:sz="0" w:space="0" w:color="auto"/>
      </w:divBdr>
    </w:div>
    <w:div w:id="891231349">
      <w:bodyDiv w:val="1"/>
      <w:marLeft w:val="0"/>
      <w:marRight w:val="0"/>
      <w:marTop w:val="0"/>
      <w:marBottom w:val="0"/>
      <w:divBdr>
        <w:top w:val="none" w:sz="0" w:space="0" w:color="auto"/>
        <w:left w:val="none" w:sz="0" w:space="0" w:color="auto"/>
        <w:bottom w:val="none" w:sz="0" w:space="0" w:color="auto"/>
        <w:right w:val="none" w:sz="0" w:space="0" w:color="auto"/>
      </w:divBdr>
    </w:div>
    <w:div w:id="896937887">
      <w:bodyDiv w:val="1"/>
      <w:marLeft w:val="0"/>
      <w:marRight w:val="0"/>
      <w:marTop w:val="0"/>
      <w:marBottom w:val="0"/>
      <w:divBdr>
        <w:top w:val="none" w:sz="0" w:space="0" w:color="auto"/>
        <w:left w:val="none" w:sz="0" w:space="0" w:color="auto"/>
        <w:bottom w:val="none" w:sz="0" w:space="0" w:color="auto"/>
        <w:right w:val="none" w:sz="0" w:space="0" w:color="auto"/>
      </w:divBdr>
      <w:divsChild>
        <w:div w:id="742065634">
          <w:marLeft w:val="0"/>
          <w:marRight w:val="0"/>
          <w:marTop w:val="0"/>
          <w:marBottom w:val="0"/>
          <w:divBdr>
            <w:top w:val="none" w:sz="0" w:space="0" w:color="auto"/>
            <w:left w:val="none" w:sz="0" w:space="0" w:color="auto"/>
            <w:bottom w:val="none" w:sz="0" w:space="0" w:color="auto"/>
            <w:right w:val="none" w:sz="0" w:space="0" w:color="auto"/>
          </w:divBdr>
        </w:div>
      </w:divsChild>
    </w:div>
    <w:div w:id="897783530">
      <w:bodyDiv w:val="1"/>
      <w:marLeft w:val="0"/>
      <w:marRight w:val="0"/>
      <w:marTop w:val="0"/>
      <w:marBottom w:val="0"/>
      <w:divBdr>
        <w:top w:val="none" w:sz="0" w:space="0" w:color="auto"/>
        <w:left w:val="none" w:sz="0" w:space="0" w:color="auto"/>
        <w:bottom w:val="none" w:sz="0" w:space="0" w:color="auto"/>
        <w:right w:val="none" w:sz="0" w:space="0" w:color="auto"/>
      </w:divBdr>
    </w:div>
    <w:div w:id="901646588">
      <w:bodyDiv w:val="1"/>
      <w:marLeft w:val="0"/>
      <w:marRight w:val="0"/>
      <w:marTop w:val="0"/>
      <w:marBottom w:val="0"/>
      <w:divBdr>
        <w:top w:val="none" w:sz="0" w:space="0" w:color="auto"/>
        <w:left w:val="none" w:sz="0" w:space="0" w:color="auto"/>
        <w:bottom w:val="none" w:sz="0" w:space="0" w:color="auto"/>
        <w:right w:val="none" w:sz="0" w:space="0" w:color="auto"/>
      </w:divBdr>
    </w:div>
    <w:div w:id="908155128">
      <w:bodyDiv w:val="1"/>
      <w:marLeft w:val="0"/>
      <w:marRight w:val="0"/>
      <w:marTop w:val="0"/>
      <w:marBottom w:val="0"/>
      <w:divBdr>
        <w:top w:val="none" w:sz="0" w:space="0" w:color="auto"/>
        <w:left w:val="none" w:sz="0" w:space="0" w:color="auto"/>
        <w:bottom w:val="none" w:sz="0" w:space="0" w:color="auto"/>
        <w:right w:val="none" w:sz="0" w:space="0" w:color="auto"/>
      </w:divBdr>
    </w:div>
    <w:div w:id="921909879">
      <w:bodyDiv w:val="1"/>
      <w:marLeft w:val="0"/>
      <w:marRight w:val="0"/>
      <w:marTop w:val="0"/>
      <w:marBottom w:val="0"/>
      <w:divBdr>
        <w:top w:val="none" w:sz="0" w:space="0" w:color="auto"/>
        <w:left w:val="none" w:sz="0" w:space="0" w:color="auto"/>
        <w:bottom w:val="none" w:sz="0" w:space="0" w:color="auto"/>
        <w:right w:val="none" w:sz="0" w:space="0" w:color="auto"/>
      </w:divBdr>
    </w:div>
    <w:div w:id="922028370">
      <w:bodyDiv w:val="1"/>
      <w:marLeft w:val="0"/>
      <w:marRight w:val="0"/>
      <w:marTop w:val="0"/>
      <w:marBottom w:val="0"/>
      <w:divBdr>
        <w:top w:val="none" w:sz="0" w:space="0" w:color="auto"/>
        <w:left w:val="none" w:sz="0" w:space="0" w:color="auto"/>
        <w:bottom w:val="none" w:sz="0" w:space="0" w:color="auto"/>
        <w:right w:val="none" w:sz="0" w:space="0" w:color="auto"/>
      </w:divBdr>
    </w:div>
    <w:div w:id="974682646">
      <w:bodyDiv w:val="1"/>
      <w:marLeft w:val="0"/>
      <w:marRight w:val="0"/>
      <w:marTop w:val="0"/>
      <w:marBottom w:val="0"/>
      <w:divBdr>
        <w:top w:val="none" w:sz="0" w:space="0" w:color="auto"/>
        <w:left w:val="none" w:sz="0" w:space="0" w:color="auto"/>
        <w:bottom w:val="none" w:sz="0" w:space="0" w:color="auto"/>
        <w:right w:val="none" w:sz="0" w:space="0" w:color="auto"/>
      </w:divBdr>
    </w:div>
    <w:div w:id="975641335">
      <w:bodyDiv w:val="1"/>
      <w:marLeft w:val="0"/>
      <w:marRight w:val="0"/>
      <w:marTop w:val="0"/>
      <w:marBottom w:val="0"/>
      <w:divBdr>
        <w:top w:val="none" w:sz="0" w:space="0" w:color="auto"/>
        <w:left w:val="none" w:sz="0" w:space="0" w:color="auto"/>
        <w:bottom w:val="none" w:sz="0" w:space="0" w:color="auto"/>
        <w:right w:val="none" w:sz="0" w:space="0" w:color="auto"/>
      </w:divBdr>
    </w:div>
    <w:div w:id="977953499">
      <w:bodyDiv w:val="1"/>
      <w:marLeft w:val="0"/>
      <w:marRight w:val="0"/>
      <w:marTop w:val="0"/>
      <w:marBottom w:val="0"/>
      <w:divBdr>
        <w:top w:val="none" w:sz="0" w:space="0" w:color="auto"/>
        <w:left w:val="none" w:sz="0" w:space="0" w:color="auto"/>
        <w:bottom w:val="none" w:sz="0" w:space="0" w:color="auto"/>
        <w:right w:val="none" w:sz="0" w:space="0" w:color="auto"/>
      </w:divBdr>
    </w:div>
    <w:div w:id="980379748">
      <w:bodyDiv w:val="1"/>
      <w:marLeft w:val="0"/>
      <w:marRight w:val="0"/>
      <w:marTop w:val="0"/>
      <w:marBottom w:val="0"/>
      <w:divBdr>
        <w:top w:val="none" w:sz="0" w:space="0" w:color="auto"/>
        <w:left w:val="none" w:sz="0" w:space="0" w:color="auto"/>
        <w:bottom w:val="none" w:sz="0" w:space="0" w:color="auto"/>
        <w:right w:val="none" w:sz="0" w:space="0" w:color="auto"/>
      </w:divBdr>
    </w:div>
    <w:div w:id="980381707">
      <w:bodyDiv w:val="1"/>
      <w:marLeft w:val="0"/>
      <w:marRight w:val="0"/>
      <w:marTop w:val="0"/>
      <w:marBottom w:val="0"/>
      <w:divBdr>
        <w:top w:val="none" w:sz="0" w:space="0" w:color="auto"/>
        <w:left w:val="none" w:sz="0" w:space="0" w:color="auto"/>
        <w:bottom w:val="none" w:sz="0" w:space="0" w:color="auto"/>
        <w:right w:val="none" w:sz="0" w:space="0" w:color="auto"/>
      </w:divBdr>
    </w:div>
    <w:div w:id="983654798">
      <w:bodyDiv w:val="1"/>
      <w:marLeft w:val="0"/>
      <w:marRight w:val="0"/>
      <w:marTop w:val="0"/>
      <w:marBottom w:val="0"/>
      <w:divBdr>
        <w:top w:val="none" w:sz="0" w:space="0" w:color="auto"/>
        <w:left w:val="none" w:sz="0" w:space="0" w:color="auto"/>
        <w:bottom w:val="none" w:sz="0" w:space="0" w:color="auto"/>
        <w:right w:val="none" w:sz="0" w:space="0" w:color="auto"/>
      </w:divBdr>
    </w:div>
    <w:div w:id="988828641">
      <w:bodyDiv w:val="1"/>
      <w:marLeft w:val="0"/>
      <w:marRight w:val="0"/>
      <w:marTop w:val="0"/>
      <w:marBottom w:val="0"/>
      <w:divBdr>
        <w:top w:val="none" w:sz="0" w:space="0" w:color="auto"/>
        <w:left w:val="none" w:sz="0" w:space="0" w:color="auto"/>
        <w:bottom w:val="none" w:sz="0" w:space="0" w:color="auto"/>
        <w:right w:val="none" w:sz="0" w:space="0" w:color="auto"/>
      </w:divBdr>
    </w:div>
    <w:div w:id="990598099">
      <w:bodyDiv w:val="1"/>
      <w:marLeft w:val="0"/>
      <w:marRight w:val="0"/>
      <w:marTop w:val="0"/>
      <w:marBottom w:val="0"/>
      <w:divBdr>
        <w:top w:val="none" w:sz="0" w:space="0" w:color="auto"/>
        <w:left w:val="none" w:sz="0" w:space="0" w:color="auto"/>
        <w:bottom w:val="none" w:sz="0" w:space="0" w:color="auto"/>
        <w:right w:val="none" w:sz="0" w:space="0" w:color="auto"/>
      </w:divBdr>
    </w:div>
    <w:div w:id="993680249">
      <w:bodyDiv w:val="1"/>
      <w:marLeft w:val="0"/>
      <w:marRight w:val="0"/>
      <w:marTop w:val="0"/>
      <w:marBottom w:val="0"/>
      <w:divBdr>
        <w:top w:val="none" w:sz="0" w:space="0" w:color="auto"/>
        <w:left w:val="none" w:sz="0" w:space="0" w:color="auto"/>
        <w:bottom w:val="none" w:sz="0" w:space="0" w:color="auto"/>
        <w:right w:val="none" w:sz="0" w:space="0" w:color="auto"/>
      </w:divBdr>
    </w:div>
    <w:div w:id="1009218701">
      <w:bodyDiv w:val="1"/>
      <w:marLeft w:val="0"/>
      <w:marRight w:val="0"/>
      <w:marTop w:val="0"/>
      <w:marBottom w:val="0"/>
      <w:divBdr>
        <w:top w:val="none" w:sz="0" w:space="0" w:color="auto"/>
        <w:left w:val="none" w:sz="0" w:space="0" w:color="auto"/>
        <w:bottom w:val="none" w:sz="0" w:space="0" w:color="auto"/>
        <w:right w:val="none" w:sz="0" w:space="0" w:color="auto"/>
      </w:divBdr>
    </w:div>
    <w:div w:id="1022130074">
      <w:bodyDiv w:val="1"/>
      <w:marLeft w:val="0"/>
      <w:marRight w:val="0"/>
      <w:marTop w:val="0"/>
      <w:marBottom w:val="0"/>
      <w:divBdr>
        <w:top w:val="none" w:sz="0" w:space="0" w:color="auto"/>
        <w:left w:val="none" w:sz="0" w:space="0" w:color="auto"/>
        <w:bottom w:val="none" w:sz="0" w:space="0" w:color="auto"/>
        <w:right w:val="none" w:sz="0" w:space="0" w:color="auto"/>
      </w:divBdr>
    </w:div>
    <w:div w:id="1038775062">
      <w:bodyDiv w:val="1"/>
      <w:marLeft w:val="0"/>
      <w:marRight w:val="0"/>
      <w:marTop w:val="0"/>
      <w:marBottom w:val="0"/>
      <w:divBdr>
        <w:top w:val="none" w:sz="0" w:space="0" w:color="auto"/>
        <w:left w:val="none" w:sz="0" w:space="0" w:color="auto"/>
        <w:bottom w:val="none" w:sz="0" w:space="0" w:color="auto"/>
        <w:right w:val="none" w:sz="0" w:space="0" w:color="auto"/>
      </w:divBdr>
    </w:div>
    <w:div w:id="1046216886">
      <w:bodyDiv w:val="1"/>
      <w:marLeft w:val="0"/>
      <w:marRight w:val="0"/>
      <w:marTop w:val="0"/>
      <w:marBottom w:val="0"/>
      <w:divBdr>
        <w:top w:val="none" w:sz="0" w:space="0" w:color="auto"/>
        <w:left w:val="none" w:sz="0" w:space="0" w:color="auto"/>
        <w:bottom w:val="none" w:sz="0" w:space="0" w:color="auto"/>
        <w:right w:val="none" w:sz="0" w:space="0" w:color="auto"/>
      </w:divBdr>
    </w:div>
    <w:div w:id="1047796363">
      <w:bodyDiv w:val="1"/>
      <w:marLeft w:val="0"/>
      <w:marRight w:val="0"/>
      <w:marTop w:val="0"/>
      <w:marBottom w:val="0"/>
      <w:divBdr>
        <w:top w:val="none" w:sz="0" w:space="0" w:color="auto"/>
        <w:left w:val="none" w:sz="0" w:space="0" w:color="auto"/>
        <w:bottom w:val="none" w:sz="0" w:space="0" w:color="auto"/>
        <w:right w:val="none" w:sz="0" w:space="0" w:color="auto"/>
      </w:divBdr>
    </w:div>
    <w:div w:id="1048265331">
      <w:bodyDiv w:val="1"/>
      <w:marLeft w:val="0"/>
      <w:marRight w:val="0"/>
      <w:marTop w:val="0"/>
      <w:marBottom w:val="0"/>
      <w:divBdr>
        <w:top w:val="none" w:sz="0" w:space="0" w:color="auto"/>
        <w:left w:val="none" w:sz="0" w:space="0" w:color="auto"/>
        <w:bottom w:val="none" w:sz="0" w:space="0" w:color="auto"/>
        <w:right w:val="none" w:sz="0" w:space="0" w:color="auto"/>
      </w:divBdr>
    </w:div>
    <w:div w:id="1048843972">
      <w:bodyDiv w:val="1"/>
      <w:marLeft w:val="0"/>
      <w:marRight w:val="0"/>
      <w:marTop w:val="0"/>
      <w:marBottom w:val="0"/>
      <w:divBdr>
        <w:top w:val="none" w:sz="0" w:space="0" w:color="auto"/>
        <w:left w:val="none" w:sz="0" w:space="0" w:color="auto"/>
        <w:bottom w:val="none" w:sz="0" w:space="0" w:color="auto"/>
        <w:right w:val="none" w:sz="0" w:space="0" w:color="auto"/>
      </w:divBdr>
    </w:div>
    <w:div w:id="1051147283">
      <w:bodyDiv w:val="1"/>
      <w:marLeft w:val="0"/>
      <w:marRight w:val="0"/>
      <w:marTop w:val="0"/>
      <w:marBottom w:val="0"/>
      <w:divBdr>
        <w:top w:val="none" w:sz="0" w:space="0" w:color="auto"/>
        <w:left w:val="none" w:sz="0" w:space="0" w:color="auto"/>
        <w:bottom w:val="none" w:sz="0" w:space="0" w:color="auto"/>
        <w:right w:val="none" w:sz="0" w:space="0" w:color="auto"/>
      </w:divBdr>
    </w:div>
    <w:div w:id="1059478967">
      <w:bodyDiv w:val="1"/>
      <w:marLeft w:val="0"/>
      <w:marRight w:val="0"/>
      <w:marTop w:val="0"/>
      <w:marBottom w:val="0"/>
      <w:divBdr>
        <w:top w:val="none" w:sz="0" w:space="0" w:color="auto"/>
        <w:left w:val="none" w:sz="0" w:space="0" w:color="auto"/>
        <w:bottom w:val="none" w:sz="0" w:space="0" w:color="auto"/>
        <w:right w:val="none" w:sz="0" w:space="0" w:color="auto"/>
      </w:divBdr>
      <w:divsChild>
        <w:div w:id="400759067">
          <w:marLeft w:val="0"/>
          <w:marRight w:val="0"/>
          <w:marTop w:val="0"/>
          <w:marBottom w:val="0"/>
          <w:divBdr>
            <w:top w:val="none" w:sz="0" w:space="0" w:color="auto"/>
            <w:left w:val="none" w:sz="0" w:space="0" w:color="auto"/>
            <w:bottom w:val="none" w:sz="0" w:space="0" w:color="auto"/>
            <w:right w:val="none" w:sz="0" w:space="0" w:color="auto"/>
          </w:divBdr>
        </w:div>
      </w:divsChild>
    </w:div>
    <w:div w:id="1064916748">
      <w:bodyDiv w:val="1"/>
      <w:marLeft w:val="0"/>
      <w:marRight w:val="0"/>
      <w:marTop w:val="0"/>
      <w:marBottom w:val="0"/>
      <w:divBdr>
        <w:top w:val="none" w:sz="0" w:space="0" w:color="auto"/>
        <w:left w:val="none" w:sz="0" w:space="0" w:color="auto"/>
        <w:bottom w:val="none" w:sz="0" w:space="0" w:color="auto"/>
        <w:right w:val="none" w:sz="0" w:space="0" w:color="auto"/>
      </w:divBdr>
      <w:divsChild>
        <w:div w:id="1449355720">
          <w:marLeft w:val="0"/>
          <w:marRight w:val="0"/>
          <w:marTop w:val="0"/>
          <w:marBottom w:val="0"/>
          <w:divBdr>
            <w:top w:val="none" w:sz="0" w:space="0" w:color="auto"/>
            <w:left w:val="none" w:sz="0" w:space="0" w:color="auto"/>
            <w:bottom w:val="none" w:sz="0" w:space="0" w:color="auto"/>
            <w:right w:val="none" w:sz="0" w:space="0" w:color="auto"/>
          </w:divBdr>
          <w:divsChild>
            <w:div w:id="157261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664901">
      <w:bodyDiv w:val="1"/>
      <w:marLeft w:val="0"/>
      <w:marRight w:val="0"/>
      <w:marTop w:val="0"/>
      <w:marBottom w:val="0"/>
      <w:divBdr>
        <w:top w:val="none" w:sz="0" w:space="0" w:color="auto"/>
        <w:left w:val="none" w:sz="0" w:space="0" w:color="auto"/>
        <w:bottom w:val="none" w:sz="0" w:space="0" w:color="auto"/>
        <w:right w:val="none" w:sz="0" w:space="0" w:color="auto"/>
      </w:divBdr>
    </w:div>
    <w:div w:id="1092630026">
      <w:bodyDiv w:val="1"/>
      <w:marLeft w:val="0"/>
      <w:marRight w:val="0"/>
      <w:marTop w:val="0"/>
      <w:marBottom w:val="0"/>
      <w:divBdr>
        <w:top w:val="none" w:sz="0" w:space="0" w:color="auto"/>
        <w:left w:val="none" w:sz="0" w:space="0" w:color="auto"/>
        <w:bottom w:val="none" w:sz="0" w:space="0" w:color="auto"/>
        <w:right w:val="none" w:sz="0" w:space="0" w:color="auto"/>
      </w:divBdr>
    </w:div>
    <w:div w:id="1094130113">
      <w:bodyDiv w:val="1"/>
      <w:marLeft w:val="0"/>
      <w:marRight w:val="0"/>
      <w:marTop w:val="0"/>
      <w:marBottom w:val="0"/>
      <w:divBdr>
        <w:top w:val="none" w:sz="0" w:space="0" w:color="auto"/>
        <w:left w:val="none" w:sz="0" w:space="0" w:color="auto"/>
        <w:bottom w:val="none" w:sz="0" w:space="0" w:color="auto"/>
        <w:right w:val="none" w:sz="0" w:space="0" w:color="auto"/>
      </w:divBdr>
      <w:divsChild>
        <w:div w:id="183325693">
          <w:marLeft w:val="0"/>
          <w:marRight w:val="0"/>
          <w:marTop w:val="0"/>
          <w:marBottom w:val="0"/>
          <w:divBdr>
            <w:top w:val="none" w:sz="0" w:space="0" w:color="auto"/>
            <w:left w:val="none" w:sz="0" w:space="0" w:color="auto"/>
            <w:bottom w:val="none" w:sz="0" w:space="0" w:color="auto"/>
            <w:right w:val="none" w:sz="0" w:space="0" w:color="auto"/>
          </w:divBdr>
        </w:div>
      </w:divsChild>
    </w:div>
    <w:div w:id="1095714473">
      <w:bodyDiv w:val="1"/>
      <w:marLeft w:val="0"/>
      <w:marRight w:val="0"/>
      <w:marTop w:val="0"/>
      <w:marBottom w:val="0"/>
      <w:divBdr>
        <w:top w:val="none" w:sz="0" w:space="0" w:color="auto"/>
        <w:left w:val="none" w:sz="0" w:space="0" w:color="auto"/>
        <w:bottom w:val="none" w:sz="0" w:space="0" w:color="auto"/>
        <w:right w:val="none" w:sz="0" w:space="0" w:color="auto"/>
      </w:divBdr>
    </w:div>
    <w:div w:id="1097293890">
      <w:bodyDiv w:val="1"/>
      <w:marLeft w:val="0"/>
      <w:marRight w:val="0"/>
      <w:marTop w:val="0"/>
      <w:marBottom w:val="0"/>
      <w:divBdr>
        <w:top w:val="none" w:sz="0" w:space="0" w:color="auto"/>
        <w:left w:val="none" w:sz="0" w:space="0" w:color="auto"/>
        <w:bottom w:val="none" w:sz="0" w:space="0" w:color="auto"/>
        <w:right w:val="none" w:sz="0" w:space="0" w:color="auto"/>
      </w:divBdr>
    </w:div>
    <w:div w:id="1097556337">
      <w:bodyDiv w:val="1"/>
      <w:marLeft w:val="0"/>
      <w:marRight w:val="0"/>
      <w:marTop w:val="0"/>
      <w:marBottom w:val="0"/>
      <w:divBdr>
        <w:top w:val="none" w:sz="0" w:space="0" w:color="auto"/>
        <w:left w:val="none" w:sz="0" w:space="0" w:color="auto"/>
        <w:bottom w:val="none" w:sz="0" w:space="0" w:color="auto"/>
        <w:right w:val="none" w:sz="0" w:space="0" w:color="auto"/>
      </w:divBdr>
      <w:divsChild>
        <w:div w:id="1852992765">
          <w:marLeft w:val="0"/>
          <w:marRight w:val="0"/>
          <w:marTop w:val="0"/>
          <w:marBottom w:val="0"/>
          <w:divBdr>
            <w:top w:val="none" w:sz="0" w:space="0" w:color="auto"/>
            <w:left w:val="none" w:sz="0" w:space="0" w:color="auto"/>
            <w:bottom w:val="none" w:sz="0" w:space="0" w:color="auto"/>
            <w:right w:val="none" w:sz="0" w:space="0" w:color="auto"/>
          </w:divBdr>
        </w:div>
      </w:divsChild>
    </w:div>
    <w:div w:id="1100105707">
      <w:bodyDiv w:val="1"/>
      <w:marLeft w:val="0"/>
      <w:marRight w:val="0"/>
      <w:marTop w:val="0"/>
      <w:marBottom w:val="0"/>
      <w:divBdr>
        <w:top w:val="none" w:sz="0" w:space="0" w:color="auto"/>
        <w:left w:val="none" w:sz="0" w:space="0" w:color="auto"/>
        <w:bottom w:val="none" w:sz="0" w:space="0" w:color="auto"/>
        <w:right w:val="none" w:sz="0" w:space="0" w:color="auto"/>
      </w:divBdr>
    </w:div>
    <w:div w:id="1103647659">
      <w:bodyDiv w:val="1"/>
      <w:marLeft w:val="0"/>
      <w:marRight w:val="0"/>
      <w:marTop w:val="0"/>
      <w:marBottom w:val="0"/>
      <w:divBdr>
        <w:top w:val="none" w:sz="0" w:space="0" w:color="auto"/>
        <w:left w:val="none" w:sz="0" w:space="0" w:color="auto"/>
        <w:bottom w:val="none" w:sz="0" w:space="0" w:color="auto"/>
        <w:right w:val="none" w:sz="0" w:space="0" w:color="auto"/>
      </w:divBdr>
      <w:divsChild>
        <w:div w:id="1268272055">
          <w:marLeft w:val="0"/>
          <w:marRight w:val="0"/>
          <w:marTop w:val="0"/>
          <w:marBottom w:val="0"/>
          <w:divBdr>
            <w:top w:val="none" w:sz="0" w:space="0" w:color="auto"/>
            <w:left w:val="none" w:sz="0" w:space="0" w:color="auto"/>
            <w:bottom w:val="none" w:sz="0" w:space="0" w:color="auto"/>
            <w:right w:val="none" w:sz="0" w:space="0" w:color="auto"/>
          </w:divBdr>
        </w:div>
      </w:divsChild>
    </w:div>
    <w:div w:id="1110323341">
      <w:bodyDiv w:val="1"/>
      <w:marLeft w:val="0"/>
      <w:marRight w:val="0"/>
      <w:marTop w:val="0"/>
      <w:marBottom w:val="0"/>
      <w:divBdr>
        <w:top w:val="none" w:sz="0" w:space="0" w:color="auto"/>
        <w:left w:val="none" w:sz="0" w:space="0" w:color="auto"/>
        <w:bottom w:val="none" w:sz="0" w:space="0" w:color="auto"/>
        <w:right w:val="none" w:sz="0" w:space="0" w:color="auto"/>
      </w:divBdr>
    </w:div>
    <w:div w:id="1119883404">
      <w:bodyDiv w:val="1"/>
      <w:marLeft w:val="0"/>
      <w:marRight w:val="0"/>
      <w:marTop w:val="0"/>
      <w:marBottom w:val="0"/>
      <w:divBdr>
        <w:top w:val="none" w:sz="0" w:space="0" w:color="auto"/>
        <w:left w:val="none" w:sz="0" w:space="0" w:color="auto"/>
        <w:bottom w:val="none" w:sz="0" w:space="0" w:color="auto"/>
        <w:right w:val="none" w:sz="0" w:space="0" w:color="auto"/>
      </w:divBdr>
    </w:div>
    <w:div w:id="1125469732">
      <w:bodyDiv w:val="1"/>
      <w:marLeft w:val="0"/>
      <w:marRight w:val="0"/>
      <w:marTop w:val="0"/>
      <w:marBottom w:val="0"/>
      <w:divBdr>
        <w:top w:val="none" w:sz="0" w:space="0" w:color="auto"/>
        <w:left w:val="none" w:sz="0" w:space="0" w:color="auto"/>
        <w:bottom w:val="none" w:sz="0" w:space="0" w:color="auto"/>
        <w:right w:val="none" w:sz="0" w:space="0" w:color="auto"/>
      </w:divBdr>
    </w:div>
    <w:div w:id="1140924260">
      <w:bodyDiv w:val="1"/>
      <w:marLeft w:val="0"/>
      <w:marRight w:val="0"/>
      <w:marTop w:val="0"/>
      <w:marBottom w:val="0"/>
      <w:divBdr>
        <w:top w:val="none" w:sz="0" w:space="0" w:color="auto"/>
        <w:left w:val="none" w:sz="0" w:space="0" w:color="auto"/>
        <w:bottom w:val="none" w:sz="0" w:space="0" w:color="auto"/>
        <w:right w:val="none" w:sz="0" w:space="0" w:color="auto"/>
      </w:divBdr>
    </w:div>
    <w:div w:id="1150439268">
      <w:bodyDiv w:val="1"/>
      <w:marLeft w:val="0"/>
      <w:marRight w:val="0"/>
      <w:marTop w:val="0"/>
      <w:marBottom w:val="0"/>
      <w:divBdr>
        <w:top w:val="none" w:sz="0" w:space="0" w:color="auto"/>
        <w:left w:val="none" w:sz="0" w:space="0" w:color="auto"/>
        <w:bottom w:val="none" w:sz="0" w:space="0" w:color="auto"/>
        <w:right w:val="none" w:sz="0" w:space="0" w:color="auto"/>
      </w:divBdr>
      <w:divsChild>
        <w:div w:id="1569463416">
          <w:marLeft w:val="0"/>
          <w:marRight w:val="0"/>
          <w:marTop w:val="0"/>
          <w:marBottom w:val="0"/>
          <w:divBdr>
            <w:top w:val="none" w:sz="0" w:space="0" w:color="auto"/>
            <w:left w:val="none" w:sz="0" w:space="0" w:color="auto"/>
            <w:bottom w:val="none" w:sz="0" w:space="0" w:color="auto"/>
            <w:right w:val="none" w:sz="0" w:space="0" w:color="auto"/>
          </w:divBdr>
          <w:divsChild>
            <w:div w:id="128812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833233">
      <w:bodyDiv w:val="1"/>
      <w:marLeft w:val="0"/>
      <w:marRight w:val="0"/>
      <w:marTop w:val="0"/>
      <w:marBottom w:val="0"/>
      <w:divBdr>
        <w:top w:val="none" w:sz="0" w:space="0" w:color="auto"/>
        <w:left w:val="none" w:sz="0" w:space="0" w:color="auto"/>
        <w:bottom w:val="none" w:sz="0" w:space="0" w:color="auto"/>
        <w:right w:val="none" w:sz="0" w:space="0" w:color="auto"/>
      </w:divBdr>
    </w:div>
    <w:div w:id="1155145561">
      <w:bodyDiv w:val="1"/>
      <w:marLeft w:val="0"/>
      <w:marRight w:val="0"/>
      <w:marTop w:val="0"/>
      <w:marBottom w:val="0"/>
      <w:divBdr>
        <w:top w:val="none" w:sz="0" w:space="0" w:color="auto"/>
        <w:left w:val="none" w:sz="0" w:space="0" w:color="auto"/>
        <w:bottom w:val="none" w:sz="0" w:space="0" w:color="auto"/>
        <w:right w:val="none" w:sz="0" w:space="0" w:color="auto"/>
      </w:divBdr>
    </w:div>
    <w:div w:id="1158377011">
      <w:bodyDiv w:val="1"/>
      <w:marLeft w:val="0"/>
      <w:marRight w:val="0"/>
      <w:marTop w:val="0"/>
      <w:marBottom w:val="0"/>
      <w:divBdr>
        <w:top w:val="none" w:sz="0" w:space="0" w:color="auto"/>
        <w:left w:val="none" w:sz="0" w:space="0" w:color="auto"/>
        <w:bottom w:val="none" w:sz="0" w:space="0" w:color="auto"/>
        <w:right w:val="none" w:sz="0" w:space="0" w:color="auto"/>
      </w:divBdr>
    </w:div>
    <w:div w:id="1171022090">
      <w:bodyDiv w:val="1"/>
      <w:marLeft w:val="0"/>
      <w:marRight w:val="0"/>
      <w:marTop w:val="0"/>
      <w:marBottom w:val="0"/>
      <w:divBdr>
        <w:top w:val="none" w:sz="0" w:space="0" w:color="auto"/>
        <w:left w:val="none" w:sz="0" w:space="0" w:color="auto"/>
        <w:bottom w:val="none" w:sz="0" w:space="0" w:color="auto"/>
        <w:right w:val="none" w:sz="0" w:space="0" w:color="auto"/>
      </w:divBdr>
    </w:div>
    <w:div w:id="1200510219">
      <w:bodyDiv w:val="1"/>
      <w:marLeft w:val="0"/>
      <w:marRight w:val="0"/>
      <w:marTop w:val="0"/>
      <w:marBottom w:val="0"/>
      <w:divBdr>
        <w:top w:val="none" w:sz="0" w:space="0" w:color="auto"/>
        <w:left w:val="none" w:sz="0" w:space="0" w:color="auto"/>
        <w:bottom w:val="none" w:sz="0" w:space="0" w:color="auto"/>
        <w:right w:val="none" w:sz="0" w:space="0" w:color="auto"/>
      </w:divBdr>
    </w:div>
    <w:div w:id="1207451966">
      <w:bodyDiv w:val="1"/>
      <w:marLeft w:val="0"/>
      <w:marRight w:val="0"/>
      <w:marTop w:val="0"/>
      <w:marBottom w:val="0"/>
      <w:divBdr>
        <w:top w:val="none" w:sz="0" w:space="0" w:color="auto"/>
        <w:left w:val="none" w:sz="0" w:space="0" w:color="auto"/>
        <w:bottom w:val="none" w:sz="0" w:space="0" w:color="auto"/>
        <w:right w:val="none" w:sz="0" w:space="0" w:color="auto"/>
      </w:divBdr>
    </w:div>
    <w:div w:id="1209075684">
      <w:bodyDiv w:val="1"/>
      <w:marLeft w:val="0"/>
      <w:marRight w:val="0"/>
      <w:marTop w:val="0"/>
      <w:marBottom w:val="0"/>
      <w:divBdr>
        <w:top w:val="none" w:sz="0" w:space="0" w:color="auto"/>
        <w:left w:val="none" w:sz="0" w:space="0" w:color="auto"/>
        <w:bottom w:val="none" w:sz="0" w:space="0" w:color="auto"/>
        <w:right w:val="none" w:sz="0" w:space="0" w:color="auto"/>
      </w:divBdr>
    </w:div>
    <w:div w:id="1209144176">
      <w:bodyDiv w:val="1"/>
      <w:marLeft w:val="0"/>
      <w:marRight w:val="0"/>
      <w:marTop w:val="0"/>
      <w:marBottom w:val="0"/>
      <w:divBdr>
        <w:top w:val="none" w:sz="0" w:space="0" w:color="auto"/>
        <w:left w:val="none" w:sz="0" w:space="0" w:color="auto"/>
        <w:bottom w:val="none" w:sz="0" w:space="0" w:color="auto"/>
        <w:right w:val="none" w:sz="0" w:space="0" w:color="auto"/>
      </w:divBdr>
    </w:div>
    <w:div w:id="1209952336">
      <w:bodyDiv w:val="1"/>
      <w:marLeft w:val="0"/>
      <w:marRight w:val="0"/>
      <w:marTop w:val="0"/>
      <w:marBottom w:val="0"/>
      <w:divBdr>
        <w:top w:val="none" w:sz="0" w:space="0" w:color="auto"/>
        <w:left w:val="none" w:sz="0" w:space="0" w:color="auto"/>
        <w:bottom w:val="none" w:sz="0" w:space="0" w:color="auto"/>
        <w:right w:val="none" w:sz="0" w:space="0" w:color="auto"/>
      </w:divBdr>
    </w:div>
    <w:div w:id="1216549756">
      <w:bodyDiv w:val="1"/>
      <w:marLeft w:val="0"/>
      <w:marRight w:val="0"/>
      <w:marTop w:val="0"/>
      <w:marBottom w:val="0"/>
      <w:divBdr>
        <w:top w:val="none" w:sz="0" w:space="0" w:color="auto"/>
        <w:left w:val="none" w:sz="0" w:space="0" w:color="auto"/>
        <w:bottom w:val="none" w:sz="0" w:space="0" w:color="auto"/>
        <w:right w:val="none" w:sz="0" w:space="0" w:color="auto"/>
      </w:divBdr>
    </w:div>
    <w:div w:id="1241984506">
      <w:bodyDiv w:val="1"/>
      <w:marLeft w:val="0"/>
      <w:marRight w:val="0"/>
      <w:marTop w:val="0"/>
      <w:marBottom w:val="0"/>
      <w:divBdr>
        <w:top w:val="none" w:sz="0" w:space="0" w:color="auto"/>
        <w:left w:val="none" w:sz="0" w:space="0" w:color="auto"/>
        <w:bottom w:val="none" w:sz="0" w:space="0" w:color="auto"/>
        <w:right w:val="none" w:sz="0" w:space="0" w:color="auto"/>
      </w:divBdr>
    </w:div>
    <w:div w:id="1250576993">
      <w:bodyDiv w:val="1"/>
      <w:marLeft w:val="0"/>
      <w:marRight w:val="0"/>
      <w:marTop w:val="0"/>
      <w:marBottom w:val="0"/>
      <w:divBdr>
        <w:top w:val="none" w:sz="0" w:space="0" w:color="auto"/>
        <w:left w:val="none" w:sz="0" w:space="0" w:color="auto"/>
        <w:bottom w:val="none" w:sz="0" w:space="0" w:color="auto"/>
        <w:right w:val="none" w:sz="0" w:space="0" w:color="auto"/>
      </w:divBdr>
    </w:div>
    <w:div w:id="1250895120">
      <w:bodyDiv w:val="1"/>
      <w:marLeft w:val="0"/>
      <w:marRight w:val="0"/>
      <w:marTop w:val="0"/>
      <w:marBottom w:val="0"/>
      <w:divBdr>
        <w:top w:val="none" w:sz="0" w:space="0" w:color="auto"/>
        <w:left w:val="none" w:sz="0" w:space="0" w:color="auto"/>
        <w:bottom w:val="none" w:sz="0" w:space="0" w:color="auto"/>
        <w:right w:val="none" w:sz="0" w:space="0" w:color="auto"/>
      </w:divBdr>
    </w:div>
    <w:div w:id="1251737635">
      <w:bodyDiv w:val="1"/>
      <w:marLeft w:val="0"/>
      <w:marRight w:val="0"/>
      <w:marTop w:val="0"/>
      <w:marBottom w:val="0"/>
      <w:divBdr>
        <w:top w:val="none" w:sz="0" w:space="0" w:color="auto"/>
        <w:left w:val="none" w:sz="0" w:space="0" w:color="auto"/>
        <w:bottom w:val="none" w:sz="0" w:space="0" w:color="auto"/>
        <w:right w:val="none" w:sz="0" w:space="0" w:color="auto"/>
      </w:divBdr>
    </w:div>
    <w:div w:id="1261793335">
      <w:bodyDiv w:val="1"/>
      <w:marLeft w:val="0"/>
      <w:marRight w:val="0"/>
      <w:marTop w:val="0"/>
      <w:marBottom w:val="0"/>
      <w:divBdr>
        <w:top w:val="none" w:sz="0" w:space="0" w:color="auto"/>
        <w:left w:val="none" w:sz="0" w:space="0" w:color="auto"/>
        <w:bottom w:val="none" w:sz="0" w:space="0" w:color="auto"/>
        <w:right w:val="none" w:sz="0" w:space="0" w:color="auto"/>
      </w:divBdr>
    </w:div>
    <w:div w:id="1272591934">
      <w:bodyDiv w:val="1"/>
      <w:marLeft w:val="0"/>
      <w:marRight w:val="0"/>
      <w:marTop w:val="0"/>
      <w:marBottom w:val="0"/>
      <w:divBdr>
        <w:top w:val="none" w:sz="0" w:space="0" w:color="auto"/>
        <w:left w:val="none" w:sz="0" w:space="0" w:color="auto"/>
        <w:bottom w:val="none" w:sz="0" w:space="0" w:color="auto"/>
        <w:right w:val="none" w:sz="0" w:space="0" w:color="auto"/>
      </w:divBdr>
    </w:div>
    <w:div w:id="1273435775">
      <w:bodyDiv w:val="1"/>
      <w:marLeft w:val="0"/>
      <w:marRight w:val="0"/>
      <w:marTop w:val="0"/>
      <w:marBottom w:val="0"/>
      <w:divBdr>
        <w:top w:val="none" w:sz="0" w:space="0" w:color="auto"/>
        <w:left w:val="none" w:sz="0" w:space="0" w:color="auto"/>
        <w:bottom w:val="none" w:sz="0" w:space="0" w:color="auto"/>
        <w:right w:val="none" w:sz="0" w:space="0" w:color="auto"/>
      </w:divBdr>
    </w:div>
    <w:div w:id="1296059318">
      <w:bodyDiv w:val="1"/>
      <w:marLeft w:val="0"/>
      <w:marRight w:val="0"/>
      <w:marTop w:val="0"/>
      <w:marBottom w:val="0"/>
      <w:divBdr>
        <w:top w:val="none" w:sz="0" w:space="0" w:color="auto"/>
        <w:left w:val="none" w:sz="0" w:space="0" w:color="auto"/>
        <w:bottom w:val="none" w:sz="0" w:space="0" w:color="auto"/>
        <w:right w:val="none" w:sz="0" w:space="0" w:color="auto"/>
      </w:divBdr>
    </w:div>
    <w:div w:id="1311516665">
      <w:bodyDiv w:val="1"/>
      <w:marLeft w:val="0"/>
      <w:marRight w:val="0"/>
      <w:marTop w:val="0"/>
      <w:marBottom w:val="0"/>
      <w:divBdr>
        <w:top w:val="none" w:sz="0" w:space="0" w:color="auto"/>
        <w:left w:val="none" w:sz="0" w:space="0" w:color="auto"/>
        <w:bottom w:val="none" w:sz="0" w:space="0" w:color="auto"/>
        <w:right w:val="none" w:sz="0" w:space="0" w:color="auto"/>
      </w:divBdr>
    </w:div>
    <w:div w:id="1314212785">
      <w:bodyDiv w:val="1"/>
      <w:marLeft w:val="0"/>
      <w:marRight w:val="0"/>
      <w:marTop w:val="0"/>
      <w:marBottom w:val="0"/>
      <w:divBdr>
        <w:top w:val="none" w:sz="0" w:space="0" w:color="auto"/>
        <w:left w:val="none" w:sz="0" w:space="0" w:color="auto"/>
        <w:bottom w:val="none" w:sz="0" w:space="0" w:color="auto"/>
        <w:right w:val="none" w:sz="0" w:space="0" w:color="auto"/>
      </w:divBdr>
      <w:divsChild>
        <w:div w:id="1427964593">
          <w:marLeft w:val="0"/>
          <w:marRight w:val="0"/>
          <w:marTop w:val="0"/>
          <w:marBottom w:val="0"/>
          <w:divBdr>
            <w:top w:val="none" w:sz="0" w:space="0" w:color="auto"/>
            <w:left w:val="none" w:sz="0" w:space="0" w:color="auto"/>
            <w:bottom w:val="none" w:sz="0" w:space="0" w:color="auto"/>
            <w:right w:val="none" w:sz="0" w:space="0" w:color="auto"/>
          </w:divBdr>
        </w:div>
      </w:divsChild>
    </w:div>
    <w:div w:id="1320962615">
      <w:bodyDiv w:val="1"/>
      <w:marLeft w:val="0"/>
      <w:marRight w:val="0"/>
      <w:marTop w:val="0"/>
      <w:marBottom w:val="0"/>
      <w:divBdr>
        <w:top w:val="none" w:sz="0" w:space="0" w:color="auto"/>
        <w:left w:val="none" w:sz="0" w:space="0" w:color="auto"/>
        <w:bottom w:val="none" w:sz="0" w:space="0" w:color="auto"/>
        <w:right w:val="none" w:sz="0" w:space="0" w:color="auto"/>
      </w:divBdr>
    </w:div>
    <w:div w:id="1327854731">
      <w:bodyDiv w:val="1"/>
      <w:marLeft w:val="0"/>
      <w:marRight w:val="0"/>
      <w:marTop w:val="0"/>
      <w:marBottom w:val="0"/>
      <w:divBdr>
        <w:top w:val="none" w:sz="0" w:space="0" w:color="auto"/>
        <w:left w:val="none" w:sz="0" w:space="0" w:color="auto"/>
        <w:bottom w:val="none" w:sz="0" w:space="0" w:color="auto"/>
        <w:right w:val="none" w:sz="0" w:space="0" w:color="auto"/>
      </w:divBdr>
    </w:div>
    <w:div w:id="1358846272">
      <w:bodyDiv w:val="1"/>
      <w:marLeft w:val="0"/>
      <w:marRight w:val="0"/>
      <w:marTop w:val="0"/>
      <w:marBottom w:val="0"/>
      <w:divBdr>
        <w:top w:val="none" w:sz="0" w:space="0" w:color="auto"/>
        <w:left w:val="none" w:sz="0" w:space="0" w:color="auto"/>
        <w:bottom w:val="none" w:sz="0" w:space="0" w:color="auto"/>
        <w:right w:val="none" w:sz="0" w:space="0" w:color="auto"/>
      </w:divBdr>
    </w:div>
    <w:div w:id="1380394939">
      <w:bodyDiv w:val="1"/>
      <w:marLeft w:val="0"/>
      <w:marRight w:val="0"/>
      <w:marTop w:val="0"/>
      <w:marBottom w:val="0"/>
      <w:divBdr>
        <w:top w:val="none" w:sz="0" w:space="0" w:color="auto"/>
        <w:left w:val="none" w:sz="0" w:space="0" w:color="auto"/>
        <w:bottom w:val="none" w:sz="0" w:space="0" w:color="auto"/>
        <w:right w:val="none" w:sz="0" w:space="0" w:color="auto"/>
      </w:divBdr>
    </w:div>
    <w:div w:id="1380668482">
      <w:bodyDiv w:val="1"/>
      <w:marLeft w:val="0"/>
      <w:marRight w:val="0"/>
      <w:marTop w:val="0"/>
      <w:marBottom w:val="0"/>
      <w:divBdr>
        <w:top w:val="none" w:sz="0" w:space="0" w:color="auto"/>
        <w:left w:val="none" w:sz="0" w:space="0" w:color="auto"/>
        <w:bottom w:val="none" w:sz="0" w:space="0" w:color="auto"/>
        <w:right w:val="none" w:sz="0" w:space="0" w:color="auto"/>
      </w:divBdr>
    </w:div>
    <w:div w:id="1400788103">
      <w:bodyDiv w:val="1"/>
      <w:marLeft w:val="0"/>
      <w:marRight w:val="0"/>
      <w:marTop w:val="0"/>
      <w:marBottom w:val="0"/>
      <w:divBdr>
        <w:top w:val="none" w:sz="0" w:space="0" w:color="auto"/>
        <w:left w:val="none" w:sz="0" w:space="0" w:color="auto"/>
        <w:bottom w:val="none" w:sz="0" w:space="0" w:color="auto"/>
        <w:right w:val="none" w:sz="0" w:space="0" w:color="auto"/>
      </w:divBdr>
    </w:div>
    <w:div w:id="1416589256">
      <w:bodyDiv w:val="1"/>
      <w:marLeft w:val="0"/>
      <w:marRight w:val="0"/>
      <w:marTop w:val="0"/>
      <w:marBottom w:val="0"/>
      <w:divBdr>
        <w:top w:val="none" w:sz="0" w:space="0" w:color="auto"/>
        <w:left w:val="none" w:sz="0" w:space="0" w:color="auto"/>
        <w:bottom w:val="none" w:sz="0" w:space="0" w:color="auto"/>
        <w:right w:val="none" w:sz="0" w:space="0" w:color="auto"/>
      </w:divBdr>
    </w:div>
    <w:div w:id="1416781060">
      <w:bodyDiv w:val="1"/>
      <w:marLeft w:val="0"/>
      <w:marRight w:val="0"/>
      <w:marTop w:val="0"/>
      <w:marBottom w:val="0"/>
      <w:divBdr>
        <w:top w:val="none" w:sz="0" w:space="0" w:color="auto"/>
        <w:left w:val="none" w:sz="0" w:space="0" w:color="auto"/>
        <w:bottom w:val="none" w:sz="0" w:space="0" w:color="auto"/>
        <w:right w:val="none" w:sz="0" w:space="0" w:color="auto"/>
      </w:divBdr>
      <w:divsChild>
        <w:div w:id="1753432538">
          <w:marLeft w:val="0"/>
          <w:marRight w:val="0"/>
          <w:marTop w:val="0"/>
          <w:marBottom w:val="0"/>
          <w:divBdr>
            <w:top w:val="none" w:sz="0" w:space="0" w:color="auto"/>
            <w:left w:val="none" w:sz="0" w:space="0" w:color="auto"/>
            <w:bottom w:val="none" w:sz="0" w:space="0" w:color="auto"/>
            <w:right w:val="none" w:sz="0" w:space="0" w:color="auto"/>
          </w:divBdr>
        </w:div>
      </w:divsChild>
    </w:div>
    <w:div w:id="1420055048">
      <w:bodyDiv w:val="1"/>
      <w:marLeft w:val="0"/>
      <w:marRight w:val="0"/>
      <w:marTop w:val="0"/>
      <w:marBottom w:val="0"/>
      <w:divBdr>
        <w:top w:val="none" w:sz="0" w:space="0" w:color="auto"/>
        <w:left w:val="none" w:sz="0" w:space="0" w:color="auto"/>
        <w:bottom w:val="none" w:sz="0" w:space="0" w:color="auto"/>
        <w:right w:val="none" w:sz="0" w:space="0" w:color="auto"/>
      </w:divBdr>
    </w:div>
    <w:div w:id="1423918174">
      <w:bodyDiv w:val="1"/>
      <w:marLeft w:val="0"/>
      <w:marRight w:val="0"/>
      <w:marTop w:val="0"/>
      <w:marBottom w:val="0"/>
      <w:divBdr>
        <w:top w:val="none" w:sz="0" w:space="0" w:color="auto"/>
        <w:left w:val="none" w:sz="0" w:space="0" w:color="auto"/>
        <w:bottom w:val="none" w:sz="0" w:space="0" w:color="auto"/>
        <w:right w:val="none" w:sz="0" w:space="0" w:color="auto"/>
      </w:divBdr>
    </w:div>
    <w:div w:id="1434934477">
      <w:bodyDiv w:val="1"/>
      <w:marLeft w:val="0"/>
      <w:marRight w:val="0"/>
      <w:marTop w:val="0"/>
      <w:marBottom w:val="0"/>
      <w:divBdr>
        <w:top w:val="none" w:sz="0" w:space="0" w:color="auto"/>
        <w:left w:val="none" w:sz="0" w:space="0" w:color="auto"/>
        <w:bottom w:val="none" w:sz="0" w:space="0" w:color="auto"/>
        <w:right w:val="none" w:sz="0" w:space="0" w:color="auto"/>
      </w:divBdr>
    </w:div>
    <w:div w:id="1435518899">
      <w:bodyDiv w:val="1"/>
      <w:marLeft w:val="0"/>
      <w:marRight w:val="0"/>
      <w:marTop w:val="0"/>
      <w:marBottom w:val="0"/>
      <w:divBdr>
        <w:top w:val="none" w:sz="0" w:space="0" w:color="auto"/>
        <w:left w:val="none" w:sz="0" w:space="0" w:color="auto"/>
        <w:bottom w:val="none" w:sz="0" w:space="0" w:color="auto"/>
        <w:right w:val="none" w:sz="0" w:space="0" w:color="auto"/>
      </w:divBdr>
    </w:div>
    <w:div w:id="1440107096">
      <w:bodyDiv w:val="1"/>
      <w:marLeft w:val="0"/>
      <w:marRight w:val="0"/>
      <w:marTop w:val="0"/>
      <w:marBottom w:val="0"/>
      <w:divBdr>
        <w:top w:val="none" w:sz="0" w:space="0" w:color="auto"/>
        <w:left w:val="none" w:sz="0" w:space="0" w:color="auto"/>
        <w:bottom w:val="none" w:sz="0" w:space="0" w:color="auto"/>
        <w:right w:val="none" w:sz="0" w:space="0" w:color="auto"/>
      </w:divBdr>
    </w:div>
    <w:div w:id="1443113857">
      <w:bodyDiv w:val="1"/>
      <w:marLeft w:val="0"/>
      <w:marRight w:val="0"/>
      <w:marTop w:val="0"/>
      <w:marBottom w:val="0"/>
      <w:divBdr>
        <w:top w:val="none" w:sz="0" w:space="0" w:color="auto"/>
        <w:left w:val="none" w:sz="0" w:space="0" w:color="auto"/>
        <w:bottom w:val="none" w:sz="0" w:space="0" w:color="auto"/>
        <w:right w:val="none" w:sz="0" w:space="0" w:color="auto"/>
      </w:divBdr>
    </w:div>
    <w:div w:id="1453479761">
      <w:bodyDiv w:val="1"/>
      <w:marLeft w:val="0"/>
      <w:marRight w:val="0"/>
      <w:marTop w:val="0"/>
      <w:marBottom w:val="0"/>
      <w:divBdr>
        <w:top w:val="none" w:sz="0" w:space="0" w:color="auto"/>
        <w:left w:val="none" w:sz="0" w:space="0" w:color="auto"/>
        <w:bottom w:val="none" w:sz="0" w:space="0" w:color="auto"/>
        <w:right w:val="none" w:sz="0" w:space="0" w:color="auto"/>
      </w:divBdr>
    </w:div>
    <w:div w:id="1455561965">
      <w:bodyDiv w:val="1"/>
      <w:marLeft w:val="0"/>
      <w:marRight w:val="0"/>
      <w:marTop w:val="0"/>
      <w:marBottom w:val="0"/>
      <w:divBdr>
        <w:top w:val="none" w:sz="0" w:space="0" w:color="auto"/>
        <w:left w:val="none" w:sz="0" w:space="0" w:color="auto"/>
        <w:bottom w:val="none" w:sz="0" w:space="0" w:color="auto"/>
        <w:right w:val="none" w:sz="0" w:space="0" w:color="auto"/>
      </w:divBdr>
    </w:div>
    <w:div w:id="1455827239">
      <w:bodyDiv w:val="1"/>
      <w:marLeft w:val="0"/>
      <w:marRight w:val="0"/>
      <w:marTop w:val="0"/>
      <w:marBottom w:val="0"/>
      <w:divBdr>
        <w:top w:val="none" w:sz="0" w:space="0" w:color="auto"/>
        <w:left w:val="none" w:sz="0" w:space="0" w:color="auto"/>
        <w:bottom w:val="none" w:sz="0" w:space="0" w:color="auto"/>
        <w:right w:val="none" w:sz="0" w:space="0" w:color="auto"/>
      </w:divBdr>
    </w:div>
    <w:div w:id="1475178948">
      <w:bodyDiv w:val="1"/>
      <w:marLeft w:val="0"/>
      <w:marRight w:val="0"/>
      <w:marTop w:val="0"/>
      <w:marBottom w:val="0"/>
      <w:divBdr>
        <w:top w:val="none" w:sz="0" w:space="0" w:color="auto"/>
        <w:left w:val="none" w:sz="0" w:space="0" w:color="auto"/>
        <w:bottom w:val="none" w:sz="0" w:space="0" w:color="auto"/>
        <w:right w:val="none" w:sz="0" w:space="0" w:color="auto"/>
      </w:divBdr>
    </w:div>
    <w:div w:id="1478917106">
      <w:bodyDiv w:val="1"/>
      <w:marLeft w:val="0"/>
      <w:marRight w:val="0"/>
      <w:marTop w:val="0"/>
      <w:marBottom w:val="0"/>
      <w:divBdr>
        <w:top w:val="none" w:sz="0" w:space="0" w:color="auto"/>
        <w:left w:val="none" w:sz="0" w:space="0" w:color="auto"/>
        <w:bottom w:val="none" w:sz="0" w:space="0" w:color="auto"/>
        <w:right w:val="none" w:sz="0" w:space="0" w:color="auto"/>
      </w:divBdr>
    </w:div>
    <w:div w:id="1483814140">
      <w:bodyDiv w:val="1"/>
      <w:marLeft w:val="0"/>
      <w:marRight w:val="0"/>
      <w:marTop w:val="0"/>
      <w:marBottom w:val="0"/>
      <w:divBdr>
        <w:top w:val="none" w:sz="0" w:space="0" w:color="auto"/>
        <w:left w:val="none" w:sz="0" w:space="0" w:color="auto"/>
        <w:bottom w:val="none" w:sz="0" w:space="0" w:color="auto"/>
        <w:right w:val="none" w:sz="0" w:space="0" w:color="auto"/>
      </w:divBdr>
    </w:div>
    <w:div w:id="1486972991">
      <w:bodyDiv w:val="1"/>
      <w:marLeft w:val="0"/>
      <w:marRight w:val="0"/>
      <w:marTop w:val="0"/>
      <w:marBottom w:val="0"/>
      <w:divBdr>
        <w:top w:val="none" w:sz="0" w:space="0" w:color="auto"/>
        <w:left w:val="none" w:sz="0" w:space="0" w:color="auto"/>
        <w:bottom w:val="none" w:sz="0" w:space="0" w:color="auto"/>
        <w:right w:val="none" w:sz="0" w:space="0" w:color="auto"/>
      </w:divBdr>
      <w:divsChild>
        <w:div w:id="717364505">
          <w:marLeft w:val="0"/>
          <w:marRight w:val="0"/>
          <w:marTop w:val="0"/>
          <w:marBottom w:val="0"/>
          <w:divBdr>
            <w:top w:val="none" w:sz="0" w:space="0" w:color="auto"/>
            <w:left w:val="none" w:sz="0" w:space="0" w:color="auto"/>
            <w:bottom w:val="none" w:sz="0" w:space="0" w:color="auto"/>
            <w:right w:val="none" w:sz="0" w:space="0" w:color="auto"/>
          </w:divBdr>
        </w:div>
      </w:divsChild>
    </w:div>
    <w:div w:id="1497261774">
      <w:bodyDiv w:val="1"/>
      <w:marLeft w:val="0"/>
      <w:marRight w:val="0"/>
      <w:marTop w:val="0"/>
      <w:marBottom w:val="0"/>
      <w:divBdr>
        <w:top w:val="none" w:sz="0" w:space="0" w:color="auto"/>
        <w:left w:val="none" w:sz="0" w:space="0" w:color="auto"/>
        <w:bottom w:val="none" w:sz="0" w:space="0" w:color="auto"/>
        <w:right w:val="none" w:sz="0" w:space="0" w:color="auto"/>
      </w:divBdr>
    </w:div>
    <w:div w:id="1508212474">
      <w:bodyDiv w:val="1"/>
      <w:marLeft w:val="0"/>
      <w:marRight w:val="0"/>
      <w:marTop w:val="0"/>
      <w:marBottom w:val="0"/>
      <w:divBdr>
        <w:top w:val="none" w:sz="0" w:space="0" w:color="auto"/>
        <w:left w:val="none" w:sz="0" w:space="0" w:color="auto"/>
        <w:bottom w:val="none" w:sz="0" w:space="0" w:color="auto"/>
        <w:right w:val="none" w:sz="0" w:space="0" w:color="auto"/>
      </w:divBdr>
    </w:div>
    <w:div w:id="1513492490">
      <w:bodyDiv w:val="1"/>
      <w:marLeft w:val="0"/>
      <w:marRight w:val="0"/>
      <w:marTop w:val="0"/>
      <w:marBottom w:val="0"/>
      <w:divBdr>
        <w:top w:val="none" w:sz="0" w:space="0" w:color="auto"/>
        <w:left w:val="none" w:sz="0" w:space="0" w:color="auto"/>
        <w:bottom w:val="none" w:sz="0" w:space="0" w:color="auto"/>
        <w:right w:val="none" w:sz="0" w:space="0" w:color="auto"/>
      </w:divBdr>
    </w:div>
    <w:div w:id="1527601486">
      <w:bodyDiv w:val="1"/>
      <w:marLeft w:val="0"/>
      <w:marRight w:val="0"/>
      <w:marTop w:val="0"/>
      <w:marBottom w:val="0"/>
      <w:divBdr>
        <w:top w:val="none" w:sz="0" w:space="0" w:color="auto"/>
        <w:left w:val="none" w:sz="0" w:space="0" w:color="auto"/>
        <w:bottom w:val="none" w:sz="0" w:space="0" w:color="auto"/>
        <w:right w:val="none" w:sz="0" w:space="0" w:color="auto"/>
      </w:divBdr>
    </w:div>
    <w:div w:id="1530756973">
      <w:bodyDiv w:val="1"/>
      <w:marLeft w:val="0"/>
      <w:marRight w:val="0"/>
      <w:marTop w:val="0"/>
      <w:marBottom w:val="0"/>
      <w:divBdr>
        <w:top w:val="none" w:sz="0" w:space="0" w:color="auto"/>
        <w:left w:val="none" w:sz="0" w:space="0" w:color="auto"/>
        <w:bottom w:val="none" w:sz="0" w:space="0" w:color="auto"/>
        <w:right w:val="none" w:sz="0" w:space="0" w:color="auto"/>
      </w:divBdr>
    </w:div>
    <w:div w:id="1533349180">
      <w:bodyDiv w:val="1"/>
      <w:marLeft w:val="0"/>
      <w:marRight w:val="0"/>
      <w:marTop w:val="0"/>
      <w:marBottom w:val="0"/>
      <w:divBdr>
        <w:top w:val="none" w:sz="0" w:space="0" w:color="auto"/>
        <w:left w:val="none" w:sz="0" w:space="0" w:color="auto"/>
        <w:bottom w:val="none" w:sz="0" w:space="0" w:color="auto"/>
        <w:right w:val="none" w:sz="0" w:space="0" w:color="auto"/>
      </w:divBdr>
    </w:div>
    <w:div w:id="1539850906">
      <w:bodyDiv w:val="1"/>
      <w:marLeft w:val="0"/>
      <w:marRight w:val="0"/>
      <w:marTop w:val="0"/>
      <w:marBottom w:val="0"/>
      <w:divBdr>
        <w:top w:val="none" w:sz="0" w:space="0" w:color="auto"/>
        <w:left w:val="none" w:sz="0" w:space="0" w:color="auto"/>
        <w:bottom w:val="none" w:sz="0" w:space="0" w:color="auto"/>
        <w:right w:val="none" w:sz="0" w:space="0" w:color="auto"/>
      </w:divBdr>
    </w:div>
    <w:div w:id="1547764938">
      <w:bodyDiv w:val="1"/>
      <w:marLeft w:val="0"/>
      <w:marRight w:val="0"/>
      <w:marTop w:val="0"/>
      <w:marBottom w:val="0"/>
      <w:divBdr>
        <w:top w:val="none" w:sz="0" w:space="0" w:color="auto"/>
        <w:left w:val="none" w:sz="0" w:space="0" w:color="auto"/>
        <w:bottom w:val="none" w:sz="0" w:space="0" w:color="auto"/>
        <w:right w:val="none" w:sz="0" w:space="0" w:color="auto"/>
      </w:divBdr>
    </w:div>
    <w:div w:id="1548449211">
      <w:bodyDiv w:val="1"/>
      <w:marLeft w:val="0"/>
      <w:marRight w:val="0"/>
      <w:marTop w:val="0"/>
      <w:marBottom w:val="0"/>
      <w:divBdr>
        <w:top w:val="none" w:sz="0" w:space="0" w:color="auto"/>
        <w:left w:val="none" w:sz="0" w:space="0" w:color="auto"/>
        <w:bottom w:val="none" w:sz="0" w:space="0" w:color="auto"/>
        <w:right w:val="none" w:sz="0" w:space="0" w:color="auto"/>
      </w:divBdr>
    </w:div>
    <w:div w:id="1550189312">
      <w:bodyDiv w:val="1"/>
      <w:marLeft w:val="0"/>
      <w:marRight w:val="0"/>
      <w:marTop w:val="0"/>
      <w:marBottom w:val="0"/>
      <w:divBdr>
        <w:top w:val="none" w:sz="0" w:space="0" w:color="auto"/>
        <w:left w:val="none" w:sz="0" w:space="0" w:color="auto"/>
        <w:bottom w:val="none" w:sz="0" w:space="0" w:color="auto"/>
        <w:right w:val="none" w:sz="0" w:space="0" w:color="auto"/>
      </w:divBdr>
    </w:div>
    <w:div w:id="1567498102">
      <w:bodyDiv w:val="1"/>
      <w:marLeft w:val="0"/>
      <w:marRight w:val="0"/>
      <w:marTop w:val="0"/>
      <w:marBottom w:val="0"/>
      <w:divBdr>
        <w:top w:val="none" w:sz="0" w:space="0" w:color="auto"/>
        <w:left w:val="none" w:sz="0" w:space="0" w:color="auto"/>
        <w:bottom w:val="none" w:sz="0" w:space="0" w:color="auto"/>
        <w:right w:val="none" w:sz="0" w:space="0" w:color="auto"/>
      </w:divBdr>
    </w:div>
    <w:div w:id="1572304878">
      <w:bodyDiv w:val="1"/>
      <w:marLeft w:val="0"/>
      <w:marRight w:val="0"/>
      <w:marTop w:val="0"/>
      <w:marBottom w:val="0"/>
      <w:divBdr>
        <w:top w:val="none" w:sz="0" w:space="0" w:color="auto"/>
        <w:left w:val="none" w:sz="0" w:space="0" w:color="auto"/>
        <w:bottom w:val="none" w:sz="0" w:space="0" w:color="auto"/>
        <w:right w:val="none" w:sz="0" w:space="0" w:color="auto"/>
      </w:divBdr>
    </w:div>
    <w:div w:id="1573158688">
      <w:bodyDiv w:val="1"/>
      <w:marLeft w:val="0"/>
      <w:marRight w:val="0"/>
      <w:marTop w:val="0"/>
      <w:marBottom w:val="0"/>
      <w:divBdr>
        <w:top w:val="none" w:sz="0" w:space="0" w:color="auto"/>
        <w:left w:val="none" w:sz="0" w:space="0" w:color="auto"/>
        <w:bottom w:val="none" w:sz="0" w:space="0" w:color="auto"/>
        <w:right w:val="none" w:sz="0" w:space="0" w:color="auto"/>
      </w:divBdr>
    </w:div>
    <w:div w:id="1594046835">
      <w:bodyDiv w:val="1"/>
      <w:marLeft w:val="0"/>
      <w:marRight w:val="0"/>
      <w:marTop w:val="0"/>
      <w:marBottom w:val="0"/>
      <w:divBdr>
        <w:top w:val="none" w:sz="0" w:space="0" w:color="auto"/>
        <w:left w:val="none" w:sz="0" w:space="0" w:color="auto"/>
        <w:bottom w:val="none" w:sz="0" w:space="0" w:color="auto"/>
        <w:right w:val="none" w:sz="0" w:space="0" w:color="auto"/>
      </w:divBdr>
    </w:div>
    <w:div w:id="1597248389">
      <w:bodyDiv w:val="1"/>
      <w:marLeft w:val="0"/>
      <w:marRight w:val="0"/>
      <w:marTop w:val="0"/>
      <w:marBottom w:val="0"/>
      <w:divBdr>
        <w:top w:val="none" w:sz="0" w:space="0" w:color="auto"/>
        <w:left w:val="none" w:sz="0" w:space="0" w:color="auto"/>
        <w:bottom w:val="none" w:sz="0" w:space="0" w:color="auto"/>
        <w:right w:val="none" w:sz="0" w:space="0" w:color="auto"/>
      </w:divBdr>
    </w:div>
    <w:div w:id="1607035525">
      <w:bodyDiv w:val="1"/>
      <w:marLeft w:val="0"/>
      <w:marRight w:val="0"/>
      <w:marTop w:val="0"/>
      <w:marBottom w:val="0"/>
      <w:divBdr>
        <w:top w:val="none" w:sz="0" w:space="0" w:color="auto"/>
        <w:left w:val="none" w:sz="0" w:space="0" w:color="auto"/>
        <w:bottom w:val="none" w:sz="0" w:space="0" w:color="auto"/>
        <w:right w:val="none" w:sz="0" w:space="0" w:color="auto"/>
      </w:divBdr>
    </w:div>
    <w:div w:id="1616328398">
      <w:bodyDiv w:val="1"/>
      <w:marLeft w:val="0"/>
      <w:marRight w:val="0"/>
      <w:marTop w:val="0"/>
      <w:marBottom w:val="0"/>
      <w:divBdr>
        <w:top w:val="none" w:sz="0" w:space="0" w:color="auto"/>
        <w:left w:val="none" w:sz="0" w:space="0" w:color="auto"/>
        <w:bottom w:val="none" w:sz="0" w:space="0" w:color="auto"/>
        <w:right w:val="none" w:sz="0" w:space="0" w:color="auto"/>
      </w:divBdr>
    </w:div>
    <w:div w:id="1622371264">
      <w:bodyDiv w:val="1"/>
      <w:marLeft w:val="0"/>
      <w:marRight w:val="0"/>
      <w:marTop w:val="0"/>
      <w:marBottom w:val="0"/>
      <w:divBdr>
        <w:top w:val="none" w:sz="0" w:space="0" w:color="auto"/>
        <w:left w:val="none" w:sz="0" w:space="0" w:color="auto"/>
        <w:bottom w:val="none" w:sz="0" w:space="0" w:color="auto"/>
        <w:right w:val="none" w:sz="0" w:space="0" w:color="auto"/>
      </w:divBdr>
    </w:div>
    <w:div w:id="1623414679">
      <w:bodyDiv w:val="1"/>
      <w:marLeft w:val="0"/>
      <w:marRight w:val="0"/>
      <w:marTop w:val="0"/>
      <w:marBottom w:val="0"/>
      <w:divBdr>
        <w:top w:val="none" w:sz="0" w:space="0" w:color="auto"/>
        <w:left w:val="none" w:sz="0" w:space="0" w:color="auto"/>
        <w:bottom w:val="none" w:sz="0" w:space="0" w:color="auto"/>
        <w:right w:val="none" w:sz="0" w:space="0" w:color="auto"/>
      </w:divBdr>
    </w:div>
    <w:div w:id="1636136943">
      <w:bodyDiv w:val="1"/>
      <w:marLeft w:val="0"/>
      <w:marRight w:val="0"/>
      <w:marTop w:val="0"/>
      <w:marBottom w:val="0"/>
      <w:divBdr>
        <w:top w:val="none" w:sz="0" w:space="0" w:color="auto"/>
        <w:left w:val="none" w:sz="0" w:space="0" w:color="auto"/>
        <w:bottom w:val="none" w:sz="0" w:space="0" w:color="auto"/>
        <w:right w:val="none" w:sz="0" w:space="0" w:color="auto"/>
      </w:divBdr>
    </w:div>
    <w:div w:id="1637561764">
      <w:bodyDiv w:val="1"/>
      <w:marLeft w:val="0"/>
      <w:marRight w:val="0"/>
      <w:marTop w:val="0"/>
      <w:marBottom w:val="0"/>
      <w:divBdr>
        <w:top w:val="none" w:sz="0" w:space="0" w:color="auto"/>
        <w:left w:val="none" w:sz="0" w:space="0" w:color="auto"/>
        <w:bottom w:val="none" w:sz="0" w:space="0" w:color="auto"/>
        <w:right w:val="none" w:sz="0" w:space="0" w:color="auto"/>
      </w:divBdr>
    </w:div>
    <w:div w:id="1655453322">
      <w:bodyDiv w:val="1"/>
      <w:marLeft w:val="0"/>
      <w:marRight w:val="0"/>
      <w:marTop w:val="0"/>
      <w:marBottom w:val="0"/>
      <w:divBdr>
        <w:top w:val="none" w:sz="0" w:space="0" w:color="auto"/>
        <w:left w:val="none" w:sz="0" w:space="0" w:color="auto"/>
        <w:bottom w:val="none" w:sz="0" w:space="0" w:color="auto"/>
        <w:right w:val="none" w:sz="0" w:space="0" w:color="auto"/>
      </w:divBdr>
    </w:div>
    <w:div w:id="1656756444">
      <w:bodyDiv w:val="1"/>
      <w:marLeft w:val="0"/>
      <w:marRight w:val="0"/>
      <w:marTop w:val="0"/>
      <w:marBottom w:val="0"/>
      <w:divBdr>
        <w:top w:val="none" w:sz="0" w:space="0" w:color="auto"/>
        <w:left w:val="none" w:sz="0" w:space="0" w:color="auto"/>
        <w:bottom w:val="none" w:sz="0" w:space="0" w:color="auto"/>
        <w:right w:val="none" w:sz="0" w:space="0" w:color="auto"/>
      </w:divBdr>
    </w:div>
    <w:div w:id="1660959135">
      <w:bodyDiv w:val="1"/>
      <w:marLeft w:val="0"/>
      <w:marRight w:val="0"/>
      <w:marTop w:val="0"/>
      <w:marBottom w:val="0"/>
      <w:divBdr>
        <w:top w:val="none" w:sz="0" w:space="0" w:color="auto"/>
        <w:left w:val="none" w:sz="0" w:space="0" w:color="auto"/>
        <w:bottom w:val="none" w:sz="0" w:space="0" w:color="auto"/>
        <w:right w:val="none" w:sz="0" w:space="0" w:color="auto"/>
      </w:divBdr>
    </w:div>
    <w:div w:id="1665742882">
      <w:bodyDiv w:val="1"/>
      <w:marLeft w:val="0"/>
      <w:marRight w:val="0"/>
      <w:marTop w:val="0"/>
      <w:marBottom w:val="0"/>
      <w:divBdr>
        <w:top w:val="none" w:sz="0" w:space="0" w:color="auto"/>
        <w:left w:val="none" w:sz="0" w:space="0" w:color="auto"/>
        <w:bottom w:val="none" w:sz="0" w:space="0" w:color="auto"/>
        <w:right w:val="none" w:sz="0" w:space="0" w:color="auto"/>
      </w:divBdr>
    </w:div>
    <w:div w:id="1666593214">
      <w:bodyDiv w:val="1"/>
      <w:marLeft w:val="0"/>
      <w:marRight w:val="0"/>
      <w:marTop w:val="0"/>
      <w:marBottom w:val="0"/>
      <w:divBdr>
        <w:top w:val="none" w:sz="0" w:space="0" w:color="auto"/>
        <w:left w:val="none" w:sz="0" w:space="0" w:color="auto"/>
        <w:bottom w:val="none" w:sz="0" w:space="0" w:color="auto"/>
        <w:right w:val="none" w:sz="0" w:space="0" w:color="auto"/>
      </w:divBdr>
    </w:div>
    <w:div w:id="1667632139">
      <w:bodyDiv w:val="1"/>
      <w:marLeft w:val="0"/>
      <w:marRight w:val="0"/>
      <w:marTop w:val="0"/>
      <w:marBottom w:val="0"/>
      <w:divBdr>
        <w:top w:val="none" w:sz="0" w:space="0" w:color="auto"/>
        <w:left w:val="none" w:sz="0" w:space="0" w:color="auto"/>
        <w:bottom w:val="none" w:sz="0" w:space="0" w:color="auto"/>
        <w:right w:val="none" w:sz="0" w:space="0" w:color="auto"/>
      </w:divBdr>
    </w:div>
    <w:div w:id="1674143799">
      <w:bodyDiv w:val="1"/>
      <w:marLeft w:val="0"/>
      <w:marRight w:val="0"/>
      <w:marTop w:val="0"/>
      <w:marBottom w:val="0"/>
      <w:divBdr>
        <w:top w:val="none" w:sz="0" w:space="0" w:color="auto"/>
        <w:left w:val="none" w:sz="0" w:space="0" w:color="auto"/>
        <w:bottom w:val="none" w:sz="0" w:space="0" w:color="auto"/>
        <w:right w:val="none" w:sz="0" w:space="0" w:color="auto"/>
      </w:divBdr>
    </w:div>
    <w:div w:id="1675915300">
      <w:bodyDiv w:val="1"/>
      <w:marLeft w:val="0"/>
      <w:marRight w:val="0"/>
      <w:marTop w:val="0"/>
      <w:marBottom w:val="0"/>
      <w:divBdr>
        <w:top w:val="none" w:sz="0" w:space="0" w:color="auto"/>
        <w:left w:val="none" w:sz="0" w:space="0" w:color="auto"/>
        <w:bottom w:val="none" w:sz="0" w:space="0" w:color="auto"/>
        <w:right w:val="none" w:sz="0" w:space="0" w:color="auto"/>
      </w:divBdr>
    </w:div>
    <w:div w:id="1679969046">
      <w:bodyDiv w:val="1"/>
      <w:marLeft w:val="0"/>
      <w:marRight w:val="0"/>
      <w:marTop w:val="0"/>
      <w:marBottom w:val="0"/>
      <w:divBdr>
        <w:top w:val="none" w:sz="0" w:space="0" w:color="auto"/>
        <w:left w:val="none" w:sz="0" w:space="0" w:color="auto"/>
        <w:bottom w:val="none" w:sz="0" w:space="0" w:color="auto"/>
        <w:right w:val="none" w:sz="0" w:space="0" w:color="auto"/>
      </w:divBdr>
    </w:div>
    <w:div w:id="1684430581">
      <w:bodyDiv w:val="1"/>
      <w:marLeft w:val="0"/>
      <w:marRight w:val="0"/>
      <w:marTop w:val="0"/>
      <w:marBottom w:val="0"/>
      <w:divBdr>
        <w:top w:val="none" w:sz="0" w:space="0" w:color="auto"/>
        <w:left w:val="none" w:sz="0" w:space="0" w:color="auto"/>
        <w:bottom w:val="none" w:sz="0" w:space="0" w:color="auto"/>
        <w:right w:val="none" w:sz="0" w:space="0" w:color="auto"/>
      </w:divBdr>
    </w:div>
    <w:div w:id="1706756689">
      <w:bodyDiv w:val="1"/>
      <w:marLeft w:val="0"/>
      <w:marRight w:val="0"/>
      <w:marTop w:val="0"/>
      <w:marBottom w:val="0"/>
      <w:divBdr>
        <w:top w:val="none" w:sz="0" w:space="0" w:color="auto"/>
        <w:left w:val="none" w:sz="0" w:space="0" w:color="auto"/>
        <w:bottom w:val="none" w:sz="0" w:space="0" w:color="auto"/>
        <w:right w:val="none" w:sz="0" w:space="0" w:color="auto"/>
      </w:divBdr>
    </w:div>
    <w:div w:id="1709452017">
      <w:bodyDiv w:val="1"/>
      <w:marLeft w:val="0"/>
      <w:marRight w:val="0"/>
      <w:marTop w:val="0"/>
      <w:marBottom w:val="0"/>
      <w:divBdr>
        <w:top w:val="none" w:sz="0" w:space="0" w:color="auto"/>
        <w:left w:val="none" w:sz="0" w:space="0" w:color="auto"/>
        <w:bottom w:val="none" w:sz="0" w:space="0" w:color="auto"/>
        <w:right w:val="none" w:sz="0" w:space="0" w:color="auto"/>
      </w:divBdr>
    </w:div>
    <w:div w:id="1713379674">
      <w:bodyDiv w:val="1"/>
      <w:marLeft w:val="0"/>
      <w:marRight w:val="0"/>
      <w:marTop w:val="0"/>
      <w:marBottom w:val="0"/>
      <w:divBdr>
        <w:top w:val="none" w:sz="0" w:space="0" w:color="auto"/>
        <w:left w:val="none" w:sz="0" w:space="0" w:color="auto"/>
        <w:bottom w:val="none" w:sz="0" w:space="0" w:color="auto"/>
        <w:right w:val="none" w:sz="0" w:space="0" w:color="auto"/>
      </w:divBdr>
    </w:div>
    <w:div w:id="1731734106">
      <w:bodyDiv w:val="1"/>
      <w:marLeft w:val="0"/>
      <w:marRight w:val="0"/>
      <w:marTop w:val="0"/>
      <w:marBottom w:val="0"/>
      <w:divBdr>
        <w:top w:val="none" w:sz="0" w:space="0" w:color="auto"/>
        <w:left w:val="none" w:sz="0" w:space="0" w:color="auto"/>
        <w:bottom w:val="none" w:sz="0" w:space="0" w:color="auto"/>
        <w:right w:val="none" w:sz="0" w:space="0" w:color="auto"/>
      </w:divBdr>
      <w:divsChild>
        <w:div w:id="1620140879">
          <w:marLeft w:val="0"/>
          <w:marRight w:val="0"/>
          <w:marTop w:val="0"/>
          <w:marBottom w:val="0"/>
          <w:divBdr>
            <w:top w:val="none" w:sz="0" w:space="0" w:color="auto"/>
            <w:left w:val="none" w:sz="0" w:space="0" w:color="auto"/>
            <w:bottom w:val="none" w:sz="0" w:space="0" w:color="auto"/>
            <w:right w:val="none" w:sz="0" w:space="0" w:color="auto"/>
          </w:divBdr>
        </w:div>
      </w:divsChild>
    </w:div>
    <w:div w:id="1735811178">
      <w:bodyDiv w:val="1"/>
      <w:marLeft w:val="0"/>
      <w:marRight w:val="0"/>
      <w:marTop w:val="0"/>
      <w:marBottom w:val="0"/>
      <w:divBdr>
        <w:top w:val="none" w:sz="0" w:space="0" w:color="auto"/>
        <w:left w:val="none" w:sz="0" w:space="0" w:color="auto"/>
        <w:bottom w:val="none" w:sz="0" w:space="0" w:color="auto"/>
        <w:right w:val="none" w:sz="0" w:space="0" w:color="auto"/>
      </w:divBdr>
    </w:div>
    <w:div w:id="1748453760">
      <w:bodyDiv w:val="1"/>
      <w:marLeft w:val="0"/>
      <w:marRight w:val="0"/>
      <w:marTop w:val="0"/>
      <w:marBottom w:val="0"/>
      <w:divBdr>
        <w:top w:val="none" w:sz="0" w:space="0" w:color="auto"/>
        <w:left w:val="none" w:sz="0" w:space="0" w:color="auto"/>
        <w:bottom w:val="none" w:sz="0" w:space="0" w:color="auto"/>
        <w:right w:val="none" w:sz="0" w:space="0" w:color="auto"/>
      </w:divBdr>
    </w:div>
    <w:div w:id="1752891474">
      <w:bodyDiv w:val="1"/>
      <w:marLeft w:val="0"/>
      <w:marRight w:val="0"/>
      <w:marTop w:val="0"/>
      <w:marBottom w:val="0"/>
      <w:divBdr>
        <w:top w:val="none" w:sz="0" w:space="0" w:color="auto"/>
        <w:left w:val="none" w:sz="0" w:space="0" w:color="auto"/>
        <w:bottom w:val="none" w:sz="0" w:space="0" w:color="auto"/>
        <w:right w:val="none" w:sz="0" w:space="0" w:color="auto"/>
      </w:divBdr>
    </w:div>
    <w:div w:id="1758867072">
      <w:bodyDiv w:val="1"/>
      <w:marLeft w:val="0"/>
      <w:marRight w:val="0"/>
      <w:marTop w:val="0"/>
      <w:marBottom w:val="0"/>
      <w:divBdr>
        <w:top w:val="none" w:sz="0" w:space="0" w:color="auto"/>
        <w:left w:val="none" w:sz="0" w:space="0" w:color="auto"/>
        <w:bottom w:val="none" w:sz="0" w:space="0" w:color="auto"/>
        <w:right w:val="none" w:sz="0" w:space="0" w:color="auto"/>
      </w:divBdr>
    </w:div>
    <w:div w:id="1759014569">
      <w:bodyDiv w:val="1"/>
      <w:marLeft w:val="0"/>
      <w:marRight w:val="0"/>
      <w:marTop w:val="0"/>
      <w:marBottom w:val="0"/>
      <w:divBdr>
        <w:top w:val="none" w:sz="0" w:space="0" w:color="auto"/>
        <w:left w:val="none" w:sz="0" w:space="0" w:color="auto"/>
        <w:bottom w:val="none" w:sz="0" w:space="0" w:color="auto"/>
        <w:right w:val="none" w:sz="0" w:space="0" w:color="auto"/>
      </w:divBdr>
    </w:div>
    <w:div w:id="1778210351">
      <w:bodyDiv w:val="1"/>
      <w:marLeft w:val="0"/>
      <w:marRight w:val="0"/>
      <w:marTop w:val="0"/>
      <w:marBottom w:val="0"/>
      <w:divBdr>
        <w:top w:val="none" w:sz="0" w:space="0" w:color="auto"/>
        <w:left w:val="none" w:sz="0" w:space="0" w:color="auto"/>
        <w:bottom w:val="none" w:sz="0" w:space="0" w:color="auto"/>
        <w:right w:val="none" w:sz="0" w:space="0" w:color="auto"/>
      </w:divBdr>
    </w:div>
    <w:div w:id="1789080506">
      <w:bodyDiv w:val="1"/>
      <w:marLeft w:val="0"/>
      <w:marRight w:val="0"/>
      <w:marTop w:val="0"/>
      <w:marBottom w:val="0"/>
      <w:divBdr>
        <w:top w:val="none" w:sz="0" w:space="0" w:color="auto"/>
        <w:left w:val="none" w:sz="0" w:space="0" w:color="auto"/>
        <w:bottom w:val="none" w:sz="0" w:space="0" w:color="auto"/>
        <w:right w:val="none" w:sz="0" w:space="0" w:color="auto"/>
      </w:divBdr>
    </w:div>
    <w:div w:id="1798914168">
      <w:bodyDiv w:val="1"/>
      <w:marLeft w:val="0"/>
      <w:marRight w:val="0"/>
      <w:marTop w:val="0"/>
      <w:marBottom w:val="0"/>
      <w:divBdr>
        <w:top w:val="none" w:sz="0" w:space="0" w:color="auto"/>
        <w:left w:val="none" w:sz="0" w:space="0" w:color="auto"/>
        <w:bottom w:val="none" w:sz="0" w:space="0" w:color="auto"/>
        <w:right w:val="none" w:sz="0" w:space="0" w:color="auto"/>
      </w:divBdr>
    </w:div>
    <w:div w:id="1815171757">
      <w:bodyDiv w:val="1"/>
      <w:marLeft w:val="0"/>
      <w:marRight w:val="0"/>
      <w:marTop w:val="0"/>
      <w:marBottom w:val="0"/>
      <w:divBdr>
        <w:top w:val="none" w:sz="0" w:space="0" w:color="auto"/>
        <w:left w:val="none" w:sz="0" w:space="0" w:color="auto"/>
        <w:bottom w:val="none" w:sz="0" w:space="0" w:color="auto"/>
        <w:right w:val="none" w:sz="0" w:space="0" w:color="auto"/>
      </w:divBdr>
      <w:divsChild>
        <w:div w:id="1155490115">
          <w:marLeft w:val="0"/>
          <w:marRight w:val="0"/>
          <w:marTop w:val="0"/>
          <w:marBottom w:val="0"/>
          <w:divBdr>
            <w:top w:val="none" w:sz="0" w:space="0" w:color="auto"/>
            <w:left w:val="none" w:sz="0" w:space="0" w:color="auto"/>
            <w:bottom w:val="none" w:sz="0" w:space="0" w:color="auto"/>
            <w:right w:val="none" w:sz="0" w:space="0" w:color="auto"/>
          </w:divBdr>
        </w:div>
      </w:divsChild>
    </w:div>
    <w:div w:id="1820227753">
      <w:bodyDiv w:val="1"/>
      <w:marLeft w:val="0"/>
      <w:marRight w:val="0"/>
      <w:marTop w:val="0"/>
      <w:marBottom w:val="0"/>
      <w:divBdr>
        <w:top w:val="none" w:sz="0" w:space="0" w:color="auto"/>
        <w:left w:val="none" w:sz="0" w:space="0" w:color="auto"/>
        <w:bottom w:val="none" w:sz="0" w:space="0" w:color="auto"/>
        <w:right w:val="none" w:sz="0" w:space="0" w:color="auto"/>
      </w:divBdr>
    </w:div>
    <w:div w:id="1828552172">
      <w:bodyDiv w:val="1"/>
      <w:marLeft w:val="0"/>
      <w:marRight w:val="0"/>
      <w:marTop w:val="0"/>
      <w:marBottom w:val="0"/>
      <w:divBdr>
        <w:top w:val="none" w:sz="0" w:space="0" w:color="auto"/>
        <w:left w:val="none" w:sz="0" w:space="0" w:color="auto"/>
        <w:bottom w:val="none" w:sz="0" w:space="0" w:color="auto"/>
        <w:right w:val="none" w:sz="0" w:space="0" w:color="auto"/>
      </w:divBdr>
    </w:div>
    <w:div w:id="1840850354">
      <w:bodyDiv w:val="1"/>
      <w:marLeft w:val="0"/>
      <w:marRight w:val="0"/>
      <w:marTop w:val="0"/>
      <w:marBottom w:val="0"/>
      <w:divBdr>
        <w:top w:val="none" w:sz="0" w:space="0" w:color="auto"/>
        <w:left w:val="none" w:sz="0" w:space="0" w:color="auto"/>
        <w:bottom w:val="none" w:sz="0" w:space="0" w:color="auto"/>
        <w:right w:val="none" w:sz="0" w:space="0" w:color="auto"/>
      </w:divBdr>
    </w:div>
    <w:div w:id="1848980649">
      <w:bodyDiv w:val="1"/>
      <w:marLeft w:val="0"/>
      <w:marRight w:val="0"/>
      <w:marTop w:val="0"/>
      <w:marBottom w:val="0"/>
      <w:divBdr>
        <w:top w:val="none" w:sz="0" w:space="0" w:color="auto"/>
        <w:left w:val="none" w:sz="0" w:space="0" w:color="auto"/>
        <w:bottom w:val="none" w:sz="0" w:space="0" w:color="auto"/>
        <w:right w:val="none" w:sz="0" w:space="0" w:color="auto"/>
      </w:divBdr>
    </w:div>
    <w:div w:id="1859154659">
      <w:bodyDiv w:val="1"/>
      <w:marLeft w:val="0"/>
      <w:marRight w:val="0"/>
      <w:marTop w:val="0"/>
      <w:marBottom w:val="0"/>
      <w:divBdr>
        <w:top w:val="none" w:sz="0" w:space="0" w:color="auto"/>
        <w:left w:val="none" w:sz="0" w:space="0" w:color="auto"/>
        <w:bottom w:val="none" w:sz="0" w:space="0" w:color="auto"/>
        <w:right w:val="none" w:sz="0" w:space="0" w:color="auto"/>
      </w:divBdr>
    </w:div>
    <w:div w:id="1863398033">
      <w:bodyDiv w:val="1"/>
      <w:marLeft w:val="0"/>
      <w:marRight w:val="0"/>
      <w:marTop w:val="0"/>
      <w:marBottom w:val="0"/>
      <w:divBdr>
        <w:top w:val="none" w:sz="0" w:space="0" w:color="auto"/>
        <w:left w:val="none" w:sz="0" w:space="0" w:color="auto"/>
        <w:bottom w:val="none" w:sz="0" w:space="0" w:color="auto"/>
        <w:right w:val="none" w:sz="0" w:space="0" w:color="auto"/>
      </w:divBdr>
    </w:div>
    <w:div w:id="1874002703">
      <w:bodyDiv w:val="1"/>
      <w:marLeft w:val="0"/>
      <w:marRight w:val="0"/>
      <w:marTop w:val="0"/>
      <w:marBottom w:val="0"/>
      <w:divBdr>
        <w:top w:val="none" w:sz="0" w:space="0" w:color="auto"/>
        <w:left w:val="none" w:sz="0" w:space="0" w:color="auto"/>
        <w:bottom w:val="none" w:sz="0" w:space="0" w:color="auto"/>
        <w:right w:val="none" w:sz="0" w:space="0" w:color="auto"/>
      </w:divBdr>
    </w:div>
    <w:div w:id="1877087214">
      <w:bodyDiv w:val="1"/>
      <w:marLeft w:val="0"/>
      <w:marRight w:val="0"/>
      <w:marTop w:val="0"/>
      <w:marBottom w:val="0"/>
      <w:divBdr>
        <w:top w:val="none" w:sz="0" w:space="0" w:color="auto"/>
        <w:left w:val="none" w:sz="0" w:space="0" w:color="auto"/>
        <w:bottom w:val="none" w:sz="0" w:space="0" w:color="auto"/>
        <w:right w:val="none" w:sz="0" w:space="0" w:color="auto"/>
      </w:divBdr>
    </w:div>
    <w:div w:id="1878152276">
      <w:bodyDiv w:val="1"/>
      <w:marLeft w:val="0"/>
      <w:marRight w:val="0"/>
      <w:marTop w:val="0"/>
      <w:marBottom w:val="0"/>
      <w:divBdr>
        <w:top w:val="none" w:sz="0" w:space="0" w:color="auto"/>
        <w:left w:val="none" w:sz="0" w:space="0" w:color="auto"/>
        <w:bottom w:val="none" w:sz="0" w:space="0" w:color="auto"/>
        <w:right w:val="none" w:sz="0" w:space="0" w:color="auto"/>
      </w:divBdr>
    </w:div>
    <w:div w:id="1886798267">
      <w:bodyDiv w:val="1"/>
      <w:marLeft w:val="0"/>
      <w:marRight w:val="0"/>
      <w:marTop w:val="0"/>
      <w:marBottom w:val="0"/>
      <w:divBdr>
        <w:top w:val="none" w:sz="0" w:space="0" w:color="auto"/>
        <w:left w:val="none" w:sz="0" w:space="0" w:color="auto"/>
        <w:bottom w:val="none" w:sz="0" w:space="0" w:color="auto"/>
        <w:right w:val="none" w:sz="0" w:space="0" w:color="auto"/>
      </w:divBdr>
    </w:div>
    <w:div w:id="1895697627">
      <w:bodyDiv w:val="1"/>
      <w:marLeft w:val="0"/>
      <w:marRight w:val="0"/>
      <w:marTop w:val="0"/>
      <w:marBottom w:val="0"/>
      <w:divBdr>
        <w:top w:val="none" w:sz="0" w:space="0" w:color="auto"/>
        <w:left w:val="none" w:sz="0" w:space="0" w:color="auto"/>
        <w:bottom w:val="none" w:sz="0" w:space="0" w:color="auto"/>
        <w:right w:val="none" w:sz="0" w:space="0" w:color="auto"/>
      </w:divBdr>
    </w:div>
    <w:div w:id="1898205676">
      <w:bodyDiv w:val="1"/>
      <w:marLeft w:val="0"/>
      <w:marRight w:val="0"/>
      <w:marTop w:val="0"/>
      <w:marBottom w:val="0"/>
      <w:divBdr>
        <w:top w:val="none" w:sz="0" w:space="0" w:color="auto"/>
        <w:left w:val="none" w:sz="0" w:space="0" w:color="auto"/>
        <w:bottom w:val="none" w:sz="0" w:space="0" w:color="auto"/>
        <w:right w:val="none" w:sz="0" w:space="0" w:color="auto"/>
      </w:divBdr>
      <w:divsChild>
        <w:div w:id="1845126160">
          <w:marLeft w:val="0"/>
          <w:marRight w:val="0"/>
          <w:marTop w:val="0"/>
          <w:marBottom w:val="0"/>
          <w:divBdr>
            <w:top w:val="none" w:sz="0" w:space="0" w:color="auto"/>
            <w:left w:val="none" w:sz="0" w:space="0" w:color="auto"/>
            <w:bottom w:val="none" w:sz="0" w:space="0" w:color="auto"/>
            <w:right w:val="none" w:sz="0" w:space="0" w:color="auto"/>
          </w:divBdr>
        </w:div>
      </w:divsChild>
    </w:div>
    <w:div w:id="1901861535">
      <w:bodyDiv w:val="1"/>
      <w:marLeft w:val="0"/>
      <w:marRight w:val="0"/>
      <w:marTop w:val="0"/>
      <w:marBottom w:val="0"/>
      <w:divBdr>
        <w:top w:val="none" w:sz="0" w:space="0" w:color="auto"/>
        <w:left w:val="none" w:sz="0" w:space="0" w:color="auto"/>
        <w:bottom w:val="none" w:sz="0" w:space="0" w:color="auto"/>
        <w:right w:val="none" w:sz="0" w:space="0" w:color="auto"/>
      </w:divBdr>
    </w:div>
    <w:div w:id="1924341737">
      <w:bodyDiv w:val="1"/>
      <w:marLeft w:val="0"/>
      <w:marRight w:val="0"/>
      <w:marTop w:val="0"/>
      <w:marBottom w:val="0"/>
      <w:divBdr>
        <w:top w:val="none" w:sz="0" w:space="0" w:color="auto"/>
        <w:left w:val="none" w:sz="0" w:space="0" w:color="auto"/>
        <w:bottom w:val="none" w:sz="0" w:space="0" w:color="auto"/>
        <w:right w:val="none" w:sz="0" w:space="0" w:color="auto"/>
      </w:divBdr>
    </w:div>
    <w:div w:id="1928683660">
      <w:bodyDiv w:val="1"/>
      <w:marLeft w:val="0"/>
      <w:marRight w:val="0"/>
      <w:marTop w:val="0"/>
      <w:marBottom w:val="0"/>
      <w:divBdr>
        <w:top w:val="none" w:sz="0" w:space="0" w:color="auto"/>
        <w:left w:val="none" w:sz="0" w:space="0" w:color="auto"/>
        <w:bottom w:val="none" w:sz="0" w:space="0" w:color="auto"/>
        <w:right w:val="none" w:sz="0" w:space="0" w:color="auto"/>
      </w:divBdr>
    </w:div>
    <w:div w:id="1930580836">
      <w:bodyDiv w:val="1"/>
      <w:marLeft w:val="0"/>
      <w:marRight w:val="0"/>
      <w:marTop w:val="0"/>
      <w:marBottom w:val="0"/>
      <w:divBdr>
        <w:top w:val="none" w:sz="0" w:space="0" w:color="auto"/>
        <w:left w:val="none" w:sz="0" w:space="0" w:color="auto"/>
        <w:bottom w:val="none" w:sz="0" w:space="0" w:color="auto"/>
        <w:right w:val="none" w:sz="0" w:space="0" w:color="auto"/>
      </w:divBdr>
    </w:div>
    <w:div w:id="1950772141">
      <w:bodyDiv w:val="1"/>
      <w:marLeft w:val="0"/>
      <w:marRight w:val="0"/>
      <w:marTop w:val="0"/>
      <w:marBottom w:val="0"/>
      <w:divBdr>
        <w:top w:val="none" w:sz="0" w:space="0" w:color="auto"/>
        <w:left w:val="none" w:sz="0" w:space="0" w:color="auto"/>
        <w:bottom w:val="none" w:sz="0" w:space="0" w:color="auto"/>
        <w:right w:val="none" w:sz="0" w:space="0" w:color="auto"/>
      </w:divBdr>
    </w:div>
    <w:div w:id="1971355264">
      <w:bodyDiv w:val="1"/>
      <w:marLeft w:val="0"/>
      <w:marRight w:val="0"/>
      <w:marTop w:val="0"/>
      <w:marBottom w:val="0"/>
      <w:divBdr>
        <w:top w:val="none" w:sz="0" w:space="0" w:color="auto"/>
        <w:left w:val="none" w:sz="0" w:space="0" w:color="auto"/>
        <w:bottom w:val="none" w:sz="0" w:space="0" w:color="auto"/>
        <w:right w:val="none" w:sz="0" w:space="0" w:color="auto"/>
      </w:divBdr>
    </w:div>
    <w:div w:id="2008290629">
      <w:bodyDiv w:val="1"/>
      <w:marLeft w:val="0"/>
      <w:marRight w:val="0"/>
      <w:marTop w:val="0"/>
      <w:marBottom w:val="0"/>
      <w:divBdr>
        <w:top w:val="none" w:sz="0" w:space="0" w:color="auto"/>
        <w:left w:val="none" w:sz="0" w:space="0" w:color="auto"/>
        <w:bottom w:val="none" w:sz="0" w:space="0" w:color="auto"/>
        <w:right w:val="none" w:sz="0" w:space="0" w:color="auto"/>
      </w:divBdr>
    </w:div>
    <w:div w:id="2008705917">
      <w:bodyDiv w:val="1"/>
      <w:marLeft w:val="0"/>
      <w:marRight w:val="0"/>
      <w:marTop w:val="0"/>
      <w:marBottom w:val="0"/>
      <w:divBdr>
        <w:top w:val="none" w:sz="0" w:space="0" w:color="auto"/>
        <w:left w:val="none" w:sz="0" w:space="0" w:color="auto"/>
        <w:bottom w:val="none" w:sz="0" w:space="0" w:color="auto"/>
        <w:right w:val="none" w:sz="0" w:space="0" w:color="auto"/>
      </w:divBdr>
    </w:div>
    <w:div w:id="2009669935">
      <w:bodyDiv w:val="1"/>
      <w:marLeft w:val="0"/>
      <w:marRight w:val="0"/>
      <w:marTop w:val="0"/>
      <w:marBottom w:val="0"/>
      <w:divBdr>
        <w:top w:val="none" w:sz="0" w:space="0" w:color="auto"/>
        <w:left w:val="none" w:sz="0" w:space="0" w:color="auto"/>
        <w:bottom w:val="none" w:sz="0" w:space="0" w:color="auto"/>
        <w:right w:val="none" w:sz="0" w:space="0" w:color="auto"/>
      </w:divBdr>
    </w:div>
    <w:div w:id="2022198862">
      <w:bodyDiv w:val="1"/>
      <w:marLeft w:val="0"/>
      <w:marRight w:val="0"/>
      <w:marTop w:val="0"/>
      <w:marBottom w:val="0"/>
      <w:divBdr>
        <w:top w:val="none" w:sz="0" w:space="0" w:color="auto"/>
        <w:left w:val="none" w:sz="0" w:space="0" w:color="auto"/>
        <w:bottom w:val="none" w:sz="0" w:space="0" w:color="auto"/>
        <w:right w:val="none" w:sz="0" w:space="0" w:color="auto"/>
      </w:divBdr>
    </w:div>
    <w:div w:id="2029484993">
      <w:bodyDiv w:val="1"/>
      <w:marLeft w:val="0"/>
      <w:marRight w:val="0"/>
      <w:marTop w:val="0"/>
      <w:marBottom w:val="0"/>
      <w:divBdr>
        <w:top w:val="none" w:sz="0" w:space="0" w:color="auto"/>
        <w:left w:val="none" w:sz="0" w:space="0" w:color="auto"/>
        <w:bottom w:val="none" w:sz="0" w:space="0" w:color="auto"/>
        <w:right w:val="none" w:sz="0" w:space="0" w:color="auto"/>
      </w:divBdr>
    </w:div>
    <w:div w:id="2034917420">
      <w:bodyDiv w:val="1"/>
      <w:marLeft w:val="0"/>
      <w:marRight w:val="0"/>
      <w:marTop w:val="0"/>
      <w:marBottom w:val="0"/>
      <w:divBdr>
        <w:top w:val="none" w:sz="0" w:space="0" w:color="auto"/>
        <w:left w:val="none" w:sz="0" w:space="0" w:color="auto"/>
        <w:bottom w:val="none" w:sz="0" w:space="0" w:color="auto"/>
        <w:right w:val="none" w:sz="0" w:space="0" w:color="auto"/>
      </w:divBdr>
    </w:div>
    <w:div w:id="2036495774">
      <w:bodyDiv w:val="1"/>
      <w:marLeft w:val="0"/>
      <w:marRight w:val="0"/>
      <w:marTop w:val="0"/>
      <w:marBottom w:val="0"/>
      <w:divBdr>
        <w:top w:val="none" w:sz="0" w:space="0" w:color="auto"/>
        <w:left w:val="none" w:sz="0" w:space="0" w:color="auto"/>
        <w:bottom w:val="none" w:sz="0" w:space="0" w:color="auto"/>
        <w:right w:val="none" w:sz="0" w:space="0" w:color="auto"/>
      </w:divBdr>
      <w:divsChild>
        <w:div w:id="729962869">
          <w:marLeft w:val="0"/>
          <w:marRight w:val="0"/>
          <w:marTop w:val="0"/>
          <w:marBottom w:val="0"/>
          <w:divBdr>
            <w:top w:val="none" w:sz="0" w:space="0" w:color="auto"/>
            <w:left w:val="none" w:sz="0" w:space="0" w:color="auto"/>
            <w:bottom w:val="none" w:sz="0" w:space="0" w:color="auto"/>
            <w:right w:val="none" w:sz="0" w:space="0" w:color="auto"/>
          </w:divBdr>
        </w:div>
      </w:divsChild>
    </w:div>
    <w:div w:id="2038311677">
      <w:bodyDiv w:val="1"/>
      <w:marLeft w:val="0"/>
      <w:marRight w:val="0"/>
      <w:marTop w:val="0"/>
      <w:marBottom w:val="0"/>
      <w:divBdr>
        <w:top w:val="none" w:sz="0" w:space="0" w:color="auto"/>
        <w:left w:val="none" w:sz="0" w:space="0" w:color="auto"/>
        <w:bottom w:val="none" w:sz="0" w:space="0" w:color="auto"/>
        <w:right w:val="none" w:sz="0" w:space="0" w:color="auto"/>
      </w:divBdr>
    </w:div>
    <w:div w:id="2053916234">
      <w:bodyDiv w:val="1"/>
      <w:marLeft w:val="0"/>
      <w:marRight w:val="0"/>
      <w:marTop w:val="0"/>
      <w:marBottom w:val="0"/>
      <w:divBdr>
        <w:top w:val="none" w:sz="0" w:space="0" w:color="auto"/>
        <w:left w:val="none" w:sz="0" w:space="0" w:color="auto"/>
        <w:bottom w:val="none" w:sz="0" w:space="0" w:color="auto"/>
        <w:right w:val="none" w:sz="0" w:space="0" w:color="auto"/>
      </w:divBdr>
      <w:divsChild>
        <w:div w:id="147743978">
          <w:marLeft w:val="0"/>
          <w:marRight w:val="0"/>
          <w:marTop w:val="0"/>
          <w:marBottom w:val="0"/>
          <w:divBdr>
            <w:top w:val="none" w:sz="0" w:space="0" w:color="auto"/>
            <w:left w:val="none" w:sz="0" w:space="0" w:color="auto"/>
            <w:bottom w:val="none" w:sz="0" w:space="0" w:color="auto"/>
            <w:right w:val="none" w:sz="0" w:space="0" w:color="auto"/>
          </w:divBdr>
        </w:div>
      </w:divsChild>
    </w:div>
    <w:div w:id="2060742855">
      <w:bodyDiv w:val="1"/>
      <w:marLeft w:val="0"/>
      <w:marRight w:val="0"/>
      <w:marTop w:val="0"/>
      <w:marBottom w:val="0"/>
      <w:divBdr>
        <w:top w:val="none" w:sz="0" w:space="0" w:color="auto"/>
        <w:left w:val="none" w:sz="0" w:space="0" w:color="auto"/>
        <w:bottom w:val="none" w:sz="0" w:space="0" w:color="auto"/>
        <w:right w:val="none" w:sz="0" w:space="0" w:color="auto"/>
      </w:divBdr>
    </w:div>
    <w:div w:id="2060934875">
      <w:bodyDiv w:val="1"/>
      <w:marLeft w:val="0"/>
      <w:marRight w:val="0"/>
      <w:marTop w:val="0"/>
      <w:marBottom w:val="0"/>
      <w:divBdr>
        <w:top w:val="none" w:sz="0" w:space="0" w:color="auto"/>
        <w:left w:val="none" w:sz="0" w:space="0" w:color="auto"/>
        <w:bottom w:val="none" w:sz="0" w:space="0" w:color="auto"/>
        <w:right w:val="none" w:sz="0" w:space="0" w:color="auto"/>
      </w:divBdr>
    </w:div>
    <w:div w:id="2067871257">
      <w:bodyDiv w:val="1"/>
      <w:marLeft w:val="0"/>
      <w:marRight w:val="0"/>
      <w:marTop w:val="0"/>
      <w:marBottom w:val="0"/>
      <w:divBdr>
        <w:top w:val="none" w:sz="0" w:space="0" w:color="auto"/>
        <w:left w:val="none" w:sz="0" w:space="0" w:color="auto"/>
        <w:bottom w:val="none" w:sz="0" w:space="0" w:color="auto"/>
        <w:right w:val="none" w:sz="0" w:space="0" w:color="auto"/>
      </w:divBdr>
    </w:div>
    <w:div w:id="2074355378">
      <w:bodyDiv w:val="1"/>
      <w:marLeft w:val="0"/>
      <w:marRight w:val="0"/>
      <w:marTop w:val="0"/>
      <w:marBottom w:val="0"/>
      <w:divBdr>
        <w:top w:val="none" w:sz="0" w:space="0" w:color="auto"/>
        <w:left w:val="none" w:sz="0" w:space="0" w:color="auto"/>
        <w:bottom w:val="none" w:sz="0" w:space="0" w:color="auto"/>
        <w:right w:val="none" w:sz="0" w:space="0" w:color="auto"/>
      </w:divBdr>
      <w:divsChild>
        <w:div w:id="391658820">
          <w:marLeft w:val="0"/>
          <w:marRight w:val="0"/>
          <w:marTop w:val="0"/>
          <w:marBottom w:val="0"/>
          <w:divBdr>
            <w:top w:val="none" w:sz="0" w:space="0" w:color="auto"/>
            <w:left w:val="none" w:sz="0" w:space="0" w:color="auto"/>
            <w:bottom w:val="none" w:sz="0" w:space="0" w:color="auto"/>
            <w:right w:val="none" w:sz="0" w:space="0" w:color="auto"/>
          </w:divBdr>
        </w:div>
      </w:divsChild>
    </w:div>
    <w:div w:id="2075927002">
      <w:bodyDiv w:val="1"/>
      <w:marLeft w:val="0"/>
      <w:marRight w:val="0"/>
      <w:marTop w:val="0"/>
      <w:marBottom w:val="0"/>
      <w:divBdr>
        <w:top w:val="none" w:sz="0" w:space="0" w:color="auto"/>
        <w:left w:val="none" w:sz="0" w:space="0" w:color="auto"/>
        <w:bottom w:val="none" w:sz="0" w:space="0" w:color="auto"/>
        <w:right w:val="none" w:sz="0" w:space="0" w:color="auto"/>
      </w:divBdr>
    </w:div>
    <w:div w:id="2077050377">
      <w:bodyDiv w:val="1"/>
      <w:marLeft w:val="0"/>
      <w:marRight w:val="0"/>
      <w:marTop w:val="0"/>
      <w:marBottom w:val="0"/>
      <w:divBdr>
        <w:top w:val="none" w:sz="0" w:space="0" w:color="auto"/>
        <w:left w:val="none" w:sz="0" w:space="0" w:color="auto"/>
        <w:bottom w:val="none" w:sz="0" w:space="0" w:color="auto"/>
        <w:right w:val="none" w:sz="0" w:space="0" w:color="auto"/>
      </w:divBdr>
    </w:div>
    <w:div w:id="2090467684">
      <w:bodyDiv w:val="1"/>
      <w:marLeft w:val="0"/>
      <w:marRight w:val="0"/>
      <w:marTop w:val="0"/>
      <w:marBottom w:val="0"/>
      <w:divBdr>
        <w:top w:val="none" w:sz="0" w:space="0" w:color="auto"/>
        <w:left w:val="none" w:sz="0" w:space="0" w:color="auto"/>
        <w:bottom w:val="none" w:sz="0" w:space="0" w:color="auto"/>
        <w:right w:val="none" w:sz="0" w:space="0" w:color="auto"/>
      </w:divBdr>
    </w:div>
    <w:div w:id="2093888854">
      <w:bodyDiv w:val="1"/>
      <w:marLeft w:val="0"/>
      <w:marRight w:val="0"/>
      <w:marTop w:val="0"/>
      <w:marBottom w:val="0"/>
      <w:divBdr>
        <w:top w:val="none" w:sz="0" w:space="0" w:color="auto"/>
        <w:left w:val="none" w:sz="0" w:space="0" w:color="auto"/>
        <w:bottom w:val="none" w:sz="0" w:space="0" w:color="auto"/>
        <w:right w:val="none" w:sz="0" w:space="0" w:color="auto"/>
      </w:divBdr>
    </w:div>
    <w:div w:id="2109691036">
      <w:bodyDiv w:val="1"/>
      <w:marLeft w:val="0"/>
      <w:marRight w:val="0"/>
      <w:marTop w:val="0"/>
      <w:marBottom w:val="0"/>
      <w:divBdr>
        <w:top w:val="none" w:sz="0" w:space="0" w:color="auto"/>
        <w:left w:val="none" w:sz="0" w:space="0" w:color="auto"/>
        <w:bottom w:val="none" w:sz="0" w:space="0" w:color="auto"/>
        <w:right w:val="none" w:sz="0" w:space="0" w:color="auto"/>
      </w:divBdr>
    </w:div>
    <w:div w:id="2110005044">
      <w:bodyDiv w:val="1"/>
      <w:marLeft w:val="0"/>
      <w:marRight w:val="0"/>
      <w:marTop w:val="0"/>
      <w:marBottom w:val="0"/>
      <w:divBdr>
        <w:top w:val="none" w:sz="0" w:space="0" w:color="auto"/>
        <w:left w:val="none" w:sz="0" w:space="0" w:color="auto"/>
        <w:bottom w:val="none" w:sz="0" w:space="0" w:color="auto"/>
        <w:right w:val="none" w:sz="0" w:space="0" w:color="auto"/>
      </w:divBdr>
    </w:div>
    <w:div w:id="2114353819">
      <w:bodyDiv w:val="1"/>
      <w:marLeft w:val="0"/>
      <w:marRight w:val="0"/>
      <w:marTop w:val="0"/>
      <w:marBottom w:val="0"/>
      <w:divBdr>
        <w:top w:val="none" w:sz="0" w:space="0" w:color="auto"/>
        <w:left w:val="none" w:sz="0" w:space="0" w:color="auto"/>
        <w:bottom w:val="none" w:sz="0" w:space="0" w:color="auto"/>
        <w:right w:val="none" w:sz="0" w:space="0" w:color="auto"/>
      </w:divBdr>
    </w:div>
    <w:div w:id="2116172780">
      <w:bodyDiv w:val="1"/>
      <w:marLeft w:val="0"/>
      <w:marRight w:val="0"/>
      <w:marTop w:val="0"/>
      <w:marBottom w:val="0"/>
      <w:divBdr>
        <w:top w:val="none" w:sz="0" w:space="0" w:color="auto"/>
        <w:left w:val="none" w:sz="0" w:space="0" w:color="auto"/>
        <w:bottom w:val="none" w:sz="0" w:space="0" w:color="auto"/>
        <w:right w:val="none" w:sz="0" w:space="0" w:color="auto"/>
      </w:divBdr>
    </w:div>
    <w:div w:id="2131313428">
      <w:bodyDiv w:val="1"/>
      <w:marLeft w:val="0"/>
      <w:marRight w:val="0"/>
      <w:marTop w:val="0"/>
      <w:marBottom w:val="0"/>
      <w:divBdr>
        <w:top w:val="none" w:sz="0" w:space="0" w:color="auto"/>
        <w:left w:val="none" w:sz="0" w:space="0" w:color="auto"/>
        <w:bottom w:val="none" w:sz="0" w:space="0" w:color="auto"/>
        <w:right w:val="none" w:sz="0" w:space="0" w:color="auto"/>
      </w:divBdr>
      <w:divsChild>
        <w:div w:id="1825703025">
          <w:marLeft w:val="0"/>
          <w:marRight w:val="0"/>
          <w:marTop w:val="0"/>
          <w:marBottom w:val="0"/>
          <w:divBdr>
            <w:top w:val="none" w:sz="0" w:space="0" w:color="auto"/>
            <w:left w:val="none" w:sz="0" w:space="0" w:color="auto"/>
            <w:bottom w:val="none" w:sz="0" w:space="0" w:color="auto"/>
            <w:right w:val="none" w:sz="0" w:space="0" w:color="auto"/>
          </w:divBdr>
        </w:div>
      </w:divsChild>
    </w:div>
    <w:div w:id="2144032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dispute-resolution" TargetMode="External"/><Relationship Id="rId13" Type="http://schemas.openxmlformats.org/officeDocument/2006/relationships/hyperlink" Target="https://www.cipd.org/uk/knowledge/guides/disciplinary-and-grievance-procedures-guidance-for-managers/" TargetMode="External"/><Relationship Id="rId18" Type="http://schemas.openxmlformats.org/officeDocument/2006/relationships/hyperlink" Target="https://www.resolutionfoundation.org"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acas.org.uk/acas-code-of-practice-on-disciplinary-and-grievance-procedures/html" TargetMode="External"/><Relationship Id="rId12" Type="http://schemas.openxmlformats.org/officeDocument/2006/relationships/hyperlink" Target="https://hrreview.co.uk/hr-news/strategy-news/cipd-report-exposes-changing-nature-of-employee-relations/39896" TargetMode="External"/><Relationship Id="rId17" Type="http://schemas.openxmlformats.org/officeDocument/2006/relationships/hyperlink" Target="https://www.lra.org.uk/sites/default/files/2019-03/Advisory%20Guide%20-%20Advice%20on%20Non-Union%20Representation%20In%20the%20Workplace.pdf" TargetMode="External"/><Relationship Id="rId2" Type="http://schemas.openxmlformats.org/officeDocument/2006/relationships/styles" Target="styles.xml"/><Relationship Id="rId16" Type="http://schemas.openxmlformats.org/officeDocument/2006/relationships/hyperlink" Target="https://www.ipa-involve.com/employee-voice" TargetMode="External"/><Relationship Id="rId20" Type="http://schemas.openxmlformats.org/officeDocument/2006/relationships/hyperlink" Target="https://www.unison.org.uk/about/what-we-do/about-trade-un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reports/managing-conflict-in-the-workplace-2_tcm18-70655.pdf" TargetMode="External"/><Relationship Id="rId5" Type="http://schemas.openxmlformats.org/officeDocument/2006/relationships/footnotes" Target="footnotes.xml"/><Relationship Id="rId15" Type="http://schemas.openxmlformats.org/officeDocument/2006/relationships/hyperlink" Target="https://www.legislation.gov.uk/ukpga/2010/15/contents" TargetMode="External"/><Relationship Id="rId23" Type="http://schemas.openxmlformats.org/officeDocument/2006/relationships/theme" Target="theme/theme1.xml"/><Relationship Id="rId10" Type="http://schemas.openxmlformats.org/officeDocument/2006/relationships/hyperlink" Target="https://www.acas.org.uk/mediation" TargetMode="External"/><Relationship Id="rId19" Type="http://schemas.openxmlformats.org/officeDocument/2006/relationships/hyperlink" Target="https://www.statista.com/statistics/287232/uk-trade-union-density/" TargetMode="External"/><Relationship Id="rId4" Type="http://schemas.openxmlformats.org/officeDocument/2006/relationships/webSettings" Target="webSettings.xml"/><Relationship Id="rId9" Type="http://schemas.openxmlformats.org/officeDocument/2006/relationships/hyperlink" Target="https://www.acas.org.uk/arbitration" TargetMode="External"/><Relationship Id="rId14" Type="http://schemas.openxmlformats.org/officeDocument/2006/relationships/hyperlink" Target="https://www.cipd.org/uk/knowledge/factsheets/dismissal-factshe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32071</TotalTime>
  <Pages>15</Pages>
  <Words>5674</Words>
  <Characters>32345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 PC</dc:creator>
  <cp:lastModifiedBy>Admin - PC</cp:lastModifiedBy>
  <cp:revision>379</cp:revision>
  <dcterms:created xsi:type="dcterms:W3CDTF">2025-04-12T19:02:00Z</dcterms:created>
  <dcterms:modified xsi:type="dcterms:W3CDTF">2025-05-12T21:52:00Z</dcterms:modified>
</cp:coreProperties>
</file>