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C945BAC" wp14:paraId="1B974396" wp14:textId="39C8EDCB">
      <w:pPr>
        <w:spacing w:after="160" w:line="259" w:lineRule="auto"/>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C945BAC" w:rsidR="3CE6F7E7">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 xml:space="preserve">Module: BMLW 4001 </w:t>
      </w:r>
    </w:p>
    <w:p xmlns:wp14="http://schemas.microsoft.com/office/word/2010/wordml" w:rsidP="1C945BAC" wp14:paraId="023A4701" wp14:textId="5D68F82E">
      <w:pPr>
        <w:spacing w:after="160" w:line="259" w:lineRule="auto"/>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C945BAC" w:rsidR="3CE6F7E7">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Student ID: 2229444</w:t>
      </w:r>
    </w:p>
    <w:p xmlns:wp14="http://schemas.microsoft.com/office/word/2010/wordml" w:rsidP="1C945BAC" wp14:paraId="299F9C42" wp14:textId="34CB1A00">
      <w:pPr>
        <w:pStyle w:val="Normal"/>
        <w:jc w:val="both"/>
        <w:rPr>
          <w:rFonts w:ascii="Calibri" w:hAnsi="Calibri" w:eastAsia="Calibri" w:cs="Calibri" w:asciiTheme="minorAscii" w:hAnsiTheme="minorAscii" w:eastAsiaTheme="minorAscii" w:cstheme="minorAscii"/>
          <w:b w:val="1"/>
          <w:bCs w:val="1"/>
          <w:noProof w:val="0"/>
          <w:sz w:val="24"/>
          <w:szCs w:val="24"/>
          <w:lang w:val="en-GB"/>
        </w:rPr>
      </w:pPr>
    </w:p>
    <w:p xmlns:wp14="http://schemas.microsoft.com/office/word/2010/wordml" w:rsidP="1C945BAC" wp14:paraId="50903661" wp14:textId="02DCE449">
      <w:pPr>
        <w:jc w:val="both"/>
        <w:rPr>
          <w:rFonts w:ascii="Calibri" w:hAnsi="Calibri" w:eastAsia="Calibri" w:cs="Calibri" w:asciiTheme="minorAscii" w:hAnsiTheme="minorAscii" w:eastAsiaTheme="minorAscii" w:cstheme="minorAscii"/>
          <w:b w:val="1"/>
          <w:bCs w:val="1"/>
          <w:noProof w:val="0"/>
          <w:sz w:val="24"/>
          <w:szCs w:val="24"/>
          <w:lang w:val="en-GB"/>
        </w:rPr>
      </w:pPr>
      <w:r w:rsidRPr="1C945BAC" w:rsidR="18F10DEA">
        <w:rPr>
          <w:rFonts w:ascii="Calibri" w:hAnsi="Calibri" w:eastAsia="Calibri" w:cs="Calibri" w:asciiTheme="minorAscii" w:hAnsiTheme="minorAscii" w:eastAsiaTheme="minorAscii" w:cstheme="minorAscii"/>
          <w:b w:val="1"/>
          <w:bCs w:val="1"/>
          <w:noProof w:val="0"/>
          <w:sz w:val="24"/>
          <w:szCs w:val="24"/>
          <w:lang w:val="en-GB"/>
        </w:rPr>
        <w:t>Introduction</w:t>
      </w:r>
    </w:p>
    <w:p xmlns:wp14="http://schemas.microsoft.com/office/word/2010/wordml" w:rsidP="1C945BAC" wp14:paraId="6C58A033" wp14:textId="6BC9DBEC">
      <w:pPr>
        <w:jc w:val="both"/>
        <w:rPr>
          <w:rFonts w:ascii="Calibri" w:hAnsi="Calibri" w:eastAsia="Calibri" w:cs="Calibri" w:asciiTheme="minorAscii" w:hAnsiTheme="minorAscii" w:eastAsiaTheme="minorAscii" w:cstheme="minorAscii"/>
          <w:noProof w:val="0"/>
          <w:sz w:val="24"/>
          <w:szCs w:val="24"/>
          <w:lang w:val="en-GB"/>
        </w:rPr>
      </w:pPr>
      <w:r w:rsidRPr="1C945BAC" w:rsidR="18F10DEA">
        <w:rPr>
          <w:rFonts w:ascii="Calibri" w:hAnsi="Calibri" w:eastAsia="Calibri" w:cs="Calibri" w:asciiTheme="minorAscii" w:hAnsiTheme="minorAscii" w:eastAsiaTheme="minorAscii" w:cstheme="minorAscii"/>
          <w:noProof w:val="0"/>
          <w:sz w:val="24"/>
          <w:szCs w:val="24"/>
          <w:lang w:val="en-GB"/>
        </w:rPr>
        <w:t xml:space="preserve">The legal profession serves as the bedrock of justice and fairness in society, entrusted with upholding the rule of law and ensuring equal treatment for all individuals. While a legal definition of equal opportunity exists, the practical application of this principle goes beyond mere legality. In general practice, equal opportunity is widely understood as the ethical commitment to treating individuals and groups fairly, free from any form of </w:t>
      </w:r>
      <w:r w:rsidRPr="1C945BAC" w:rsidR="408C1884">
        <w:rPr>
          <w:rFonts w:ascii="Calibri" w:hAnsi="Calibri" w:eastAsia="Calibri" w:cs="Calibri" w:asciiTheme="minorAscii" w:hAnsiTheme="minorAscii" w:eastAsiaTheme="minorAscii" w:cstheme="minorAscii"/>
          <w:noProof w:val="0"/>
          <w:sz w:val="24"/>
          <w:szCs w:val="24"/>
          <w:lang w:val="en-GB"/>
        </w:rPr>
        <w:t>discrimination (</w:t>
      </w:r>
      <w:r w:rsidRPr="1C945BAC" w:rsidR="18F10DEA">
        <w:rPr>
          <w:rFonts w:ascii="Calibri" w:hAnsi="Calibri" w:eastAsia="Calibri" w:cs="Calibri" w:asciiTheme="minorAscii" w:hAnsiTheme="minorAscii" w:eastAsiaTheme="minorAscii" w:cstheme="minorAscii"/>
          <w:noProof w:val="0"/>
          <w:sz w:val="24"/>
          <w:szCs w:val="24"/>
          <w:lang w:val="en-GB"/>
        </w:rPr>
        <w:t>Edwards and McKie, 1993).</w:t>
      </w:r>
    </w:p>
    <w:p xmlns:wp14="http://schemas.microsoft.com/office/word/2010/wordml" w:rsidP="1C945BAC" wp14:paraId="201BD764" wp14:textId="455608A6">
      <w:pPr>
        <w:jc w:val="both"/>
        <w:rPr>
          <w:rFonts w:ascii="Calibri" w:hAnsi="Calibri" w:eastAsia="Calibri" w:cs="Calibri" w:asciiTheme="minorAscii" w:hAnsiTheme="minorAscii" w:eastAsiaTheme="minorAscii" w:cstheme="minorAscii"/>
          <w:noProof w:val="0"/>
          <w:sz w:val="24"/>
          <w:szCs w:val="24"/>
          <w:lang w:val="en-GB"/>
        </w:rPr>
      </w:pPr>
      <w:r w:rsidRPr="1C945BAC" w:rsidR="18F10DEA">
        <w:rPr>
          <w:rFonts w:ascii="Calibri" w:hAnsi="Calibri" w:eastAsia="Calibri" w:cs="Calibri" w:asciiTheme="minorAscii" w:hAnsiTheme="minorAscii" w:eastAsiaTheme="minorAscii" w:cstheme="minorAscii"/>
          <w:noProof w:val="0"/>
          <w:sz w:val="24"/>
          <w:szCs w:val="24"/>
          <w:lang w:val="en-GB"/>
        </w:rPr>
        <w:t xml:space="preserve">At its core, the principle of equality ensures that no one is subjected to unfair advantage or disadvantage based on their inherent characteristics or circumstances. Equality, in conjunction with diversity, fosters an inclusive environment where legal practitioners can </w:t>
      </w:r>
      <w:r w:rsidRPr="1C945BAC" w:rsidR="18F10DEA">
        <w:rPr>
          <w:rFonts w:ascii="Calibri" w:hAnsi="Calibri" w:eastAsia="Calibri" w:cs="Calibri" w:asciiTheme="minorAscii" w:hAnsiTheme="minorAscii" w:eastAsiaTheme="minorAscii" w:cstheme="minorAscii"/>
          <w:noProof w:val="0"/>
          <w:sz w:val="24"/>
          <w:szCs w:val="24"/>
          <w:lang w:val="en-GB"/>
        </w:rPr>
        <w:t>provide</w:t>
      </w:r>
      <w:r w:rsidRPr="1C945BAC" w:rsidR="18F10DEA">
        <w:rPr>
          <w:rFonts w:ascii="Calibri" w:hAnsi="Calibri" w:eastAsia="Calibri" w:cs="Calibri" w:asciiTheme="minorAscii" w:hAnsiTheme="minorAscii" w:eastAsiaTheme="minorAscii" w:cstheme="minorAscii"/>
          <w:noProof w:val="0"/>
          <w:sz w:val="24"/>
          <w:szCs w:val="24"/>
          <w:lang w:val="en-GB"/>
        </w:rPr>
        <w:t xml:space="preserve"> </w:t>
      </w:r>
      <w:r w:rsidRPr="1C945BAC" w:rsidR="18F10DEA">
        <w:rPr>
          <w:rFonts w:ascii="Calibri" w:hAnsi="Calibri" w:eastAsia="Calibri" w:cs="Calibri" w:asciiTheme="minorAscii" w:hAnsiTheme="minorAscii" w:eastAsiaTheme="minorAscii" w:cstheme="minorAscii"/>
          <w:noProof w:val="0"/>
          <w:sz w:val="24"/>
          <w:szCs w:val="24"/>
          <w:lang w:val="en-GB"/>
        </w:rPr>
        <w:t>equitable</w:t>
      </w:r>
      <w:r w:rsidRPr="1C945BAC" w:rsidR="18F10DEA">
        <w:rPr>
          <w:rFonts w:ascii="Calibri" w:hAnsi="Calibri" w:eastAsia="Calibri" w:cs="Calibri" w:asciiTheme="minorAscii" w:hAnsiTheme="minorAscii" w:eastAsiaTheme="minorAscii" w:cstheme="minorAscii"/>
          <w:noProof w:val="0"/>
          <w:sz w:val="24"/>
          <w:szCs w:val="24"/>
          <w:lang w:val="en-GB"/>
        </w:rPr>
        <w:t xml:space="preserve"> representation and access to justice for all members of </w:t>
      </w:r>
      <w:r w:rsidRPr="1C945BAC" w:rsidR="0E2FAD22">
        <w:rPr>
          <w:rFonts w:ascii="Calibri" w:hAnsi="Calibri" w:eastAsia="Calibri" w:cs="Calibri" w:asciiTheme="minorAscii" w:hAnsiTheme="minorAscii" w:eastAsiaTheme="minorAscii" w:cstheme="minorAscii"/>
          <w:noProof w:val="0"/>
          <w:sz w:val="24"/>
          <w:szCs w:val="24"/>
          <w:lang w:val="en-GB"/>
        </w:rPr>
        <w:t>society (</w:t>
      </w:r>
      <w:r w:rsidRPr="1C945BAC" w:rsidR="18F10DEA">
        <w:rPr>
          <w:rFonts w:ascii="Calibri" w:hAnsi="Calibri" w:eastAsia="Calibri" w:cs="Calibri" w:asciiTheme="minorAscii" w:hAnsiTheme="minorAscii" w:eastAsiaTheme="minorAscii" w:cstheme="minorAscii"/>
          <w:noProof w:val="0"/>
          <w:sz w:val="24"/>
          <w:szCs w:val="24"/>
          <w:lang w:val="en-GB"/>
        </w:rPr>
        <w:t xml:space="preserve">Pleasence and Balmer, 2018). The Equality Act 2010, a landmark piece of legislation in the United Kingdom, solidifies the legal obligations of professionals within the legal sector to uphold equal treatment and protect individuals from discrimination </w:t>
      </w:r>
      <w:bookmarkStart w:name="_Int_OQwEtAd3" w:id="856298279"/>
      <w:r w:rsidRPr="1C945BAC" w:rsidR="18F10DEA">
        <w:rPr>
          <w:rFonts w:ascii="Calibri" w:hAnsi="Calibri" w:eastAsia="Calibri" w:cs="Calibri" w:asciiTheme="minorAscii" w:hAnsiTheme="minorAscii" w:eastAsiaTheme="minorAscii" w:cstheme="minorAscii"/>
          <w:noProof w:val="0"/>
          <w:sz w:val="24"/>
          <w:szCs w:val="24"/>
          <w:lang w:val="en-GB"/>
        </w:rPr>
        <w:t>on the basis of</w:t>
      </w:r>
      <w:bookmarkEnd w:id="856298279"/>
      <w:r w:rsidRPr="1C945BAC" w:rsidR="18F10DEA">
        <w:rPr>
          <w:rFonts w:ascii="Calibri" w:hAnsi="Calibri" w:eastAsia="Calibri" w:cs="Calibri" w:asciiTheme="minorAscii" w:hAnsiTheme="minorAscii" w:eastAsiaTheme="minorAscii" w:cstheme="minorAscii"/>
          <w:noProof w:val="0"/>
          <w:sz w:val="24"/>
          <w:szCs w:val="24"/>
          <w:lang w:val="en-GB"/>
        </w:rPr>
        <w:t xml:space="preserve"> protected characteristics, such as race, gender, age, religion, disability, and others (Equality Act, s4).</w:t>
      </w:r>
    </w:p>
    <w:p xmlns:wp14="http://schemas.microsoft.com/office/word/2010/wordml" w:rsidP="1C945BAC" wp14:paraId="51CF2880" wp14:textId="7A8A8C91">
      <w:pPr>
        <w:jc w:val="both"/>
        <w:rPr>
          <w:rFonts w:ascii="Calibri" w:hAnsi="Calibri" w:eastAsia="Calibri" w:cs="Calibri" w:asciiTheme="minorAscii" w:hAnsiTheme="minorAscii" w:eastAsiaTheme="minorAscii" w:cstheme="minorAscii"/>
          <w:noProof w:val="0"/>
          <w:sz w:val="24"/>
          <w:szCs w:val="24"/>
          <w:lang w:val="en-GB"/>
        </w:rPr>
      </w:pPr>
      <w:r w:rsidRPr="1C945BAC" w:rsidR="18F10DEA">
        <w:rPr>
          <w:rFonts w:ascii="Calibri" w:hAnsi="Calibri" w:eastAsia="Calibri" w:cs="Calibri" w:asciiTheme="minorAscii" w:hAnsiTheme="minorAscii" w:eastAsiaTheme="minorAscii" w:cstheme="minorAscii"/>
          <w:noProof w:val="0"/>
          <w:sz w:val="24"/>
          <w:szCs w:val="24"/>
          <w:lang w:val="en-GB"/>
        </w:rPr>
        <w:t xml:space="preserve">The </w:t>
      </w:r>
      <w:bookmarkStart w:name="_Int_C0y60AR2" w:id="832682382"/>
      <w:r w:rsidRPr="1C945BAC" w:rsidR="18F10DEA">
        <w:rPr>
          <w:rFonts w:ascii="Calibri" w:hAnsi="Calibri" w:eastAsia="Calibri" w:cs="Calibri" w:asciiTheme="minorAscii" w:hAnsiTheme="minorAscii" w:eastAsiaTheme="minorAscii" w:cstheme="minorAscii"/>
          <w:noProof w:val="0"/>
          <w:sz w:val="24"/>
          <w:szCs w:val="24"/>
          <w:lang w:val="en-GB"/>
        </w:rPr>
        <w:t>SRA</w:t>
      </w:r>
      <w:bookmarkEnd w:id="832682382"/>
      <w:r w:rsidRPr="1C945BAC" w:rsidR="18F10DEA">
        <w:rPr>
          <w:rFonts w:ascii="Calibri" w:hAnsi="Calibri" w:eastAsia="Calibri" w:cs="Calibri" w:asciiTheme="minorAscii" w:hAnsiTheme="minorAscii" w:eastAsiaTheme="minorAscii" w:cstheme="minorAscii"/>
          <w:noProof w:val="0"/>
          <w:sz w:val="24"/>
          <w:szCs w:val="24"/>
          <w:lang w:val="en-GB"/>
        </w:rPr>
        <w:t xml:space="preserve"> Code of Conduct complements the statutory framework by setting out explicit rules and principles that legal professionals must adhere to, emphasising the paramount importance of equality and diversity in their day-to-day practices (SRA Code of Conduct, 2019). These guidelines govern various aspects of legal practice, from client interactions to recruitment practices within law firms, mandating the provision of equal opportunities to all, regardless of their background or personal </w:t>
      </w:r>
      <w:bookmarkStart w:name="_Int_t98hYotl" w:id="1919463833"/>
      <w:r w:rsidRPr="1C945BAC" w:rsidR="18F10DEA">
        <w:rPr>
          <w:rFonts w:ascii="Calibri" w:hAnsi="Calibri" w:eastAsia="Calibri" w:cs="Calibri" w:asciiTheme="minorAscii" w:hAnsiTheme="minorAscii" w:eastAsiaTheme="minorAscii" w:cstheme="minorAscii"/>
          <w:noProof w:val="0"/>
          <w:sz w:val="24"/>
          <w:szCs w:val="24"/>
          <w:lang w:val="en-GB"/>
        </w:rPr>
        <w:t>characteristics(</w:t>
      </w:r>
      <w:bookmarkEnd w:id="1919463833"/>
      <w:r w:rsidRPr="1C945BAC" w:rsidR="18F10DEA">
        <w:rPr>
          <w:rFonts w:ascii="Calibri" w:hAnsi="Calibri" w:eastAsia="Calibri" w:cs="Calibri" w:asciiTheme="minorAscii" w:hAnsiTheme="minorAscii" w:eastAsiaTheme="minorAscii" w:cstheme="minorAscii"/>
          <w:noProof w:val="0"/>
          <w:sz w:val="24"/>
          <w:szCs w:val="24"/>
          <w:lang w:val="en-GB"/>
        </w:rPr>
        <w:t>Herring, 2017).</w:t>
      </w:r>
    </w:p>
    <w:p xmlns:wp14="http://schemas.microsoft.com/office/word/2010/wordml" w:rsidP="1C945BAC" wp14:paraId="2122BCD6" wp14:textId="21357E3A">
      <w:pPr>
        <w:jc w:val="both"/>
        <w:rPr>
          <w:rFonts w:ascii="Calibri" w:hAnsi="Calibri" w:eastAsia="Calibri" w:cs="Calibri" w:asciiTheme="minorAscii" w:hAnsiTheme="minorAscii" w:eastAsiaTheme="minorAscii" w:cstheme="minorAscii"/>
          <w:noProof w:val="0"/>
          <w:sz w:val="24"/>
          <w:szCs w:val="24"/>
          <w:lang w:val="en-GB"/>
        </w:rPr>
      </w:pPr>
      <w:r w:rsidRPr="1C945BAC" w:rsidR="18F10DEA">
        <w:rPr>
          <w:rFonts w:ascii="Calibri" w:hAnsi="Calibri" w:eastAsia="Calibri" w:cs="Calibri" w:asciiTheme="minorAscii" w:hAnsiTheme="minorAscii" w:eastAsiaTheme="minorAscii" w:cstheme="minorAscii"/>
          <w:noProof w:val="0"/>
          <w:sz w:val="24"/>
          <w:szCs w:val="24"/>
          <w:lang w:val="en-GB"/>
        </w:rPr>
        <w:t xml:space="preserve">The </w:t>
      </w:r>
      <w:bookmarkStart w:name="_Int_X5GxLnXy" w:id="1679446832"/>
      <w:r w:rsidRPr="1C945BAC" w:rsidR="18F10DEA">
        <w:rPr>
          <w:rFonts w:ascii="Calibri" w:hAnsi="Calibri" w:eastAsia="Calibri" w:cs="Calibri" w:asciiTheme="minorAscii" w:hAnsiTheme="minorAscii" w:eastAsiaTheme="minorAscii" w:cstheme="minorAscii"/>
          <w:noProof w:val="0"/>
          <w:sz w:val="24"/>
          <w:szCs w:val="24"/>
          <w:lang w:val="en-GB"/>
        </w:rPr>
        <w:t>UK</w:t>
      </w:r>
      <w:bookmarkEnd w:id="1679446832"/>
      <w:r w:rsidRPr="1C945BAC" w:rsidR="18F10DEA">
        <w:rPr>
          <w:rFonts w:ascii="Calibri" w:hAnsi="Calibri" w:eastAsia="Calibri" w:cs="Calibri" w:asciiTheme="minorAscii" w:hAnsiTheme="minorAscii" w:eastAsiaTheme="minorAscii" w:cstheme="minorAscii"/>
          <w:noProof w:val="0"/>
          <w:sz w:val="24"/>
          <w:szCs w:val="24"/>
          <w:lang w:val="en-GB"/>
        </w:rPr>
        <w:t xml:space="preserve"> Legal Services Act 2007, on the other hand, emphasises the importance of promoting equal opportunity, </w:t>
      </w:r>
      <w:r w:rsidRPr="1C945BAC" w:rsidR="18F10DEA">
        <w:rPr>
          <w:rFonts w:ascii="Calibri" w:hAnsi="Calibri" w:eastAsia="Calibri" w:cs="Calibri" w:asciiTheme="minorAscii" w:hAnsiTheme="minorAscii" w:eastAsiaTheme="minorAscii" w:cstheme="minorAscii"/>
          <w:noProof w:val="0"/>
          <w:sz w:val="24"/>
          <w:szCs w:val="24"/>
          <w:lang w:val="en-GB"/>
        </w:rPr>
        <w:t>eliminating</w:t>
      </w:r>
      <w:r w:rsidRPr="1C945BAC" w:rsidR="18F10DEA">
        <w:rPr>
          <w:rFonts w:ascii="Calibri" w:hAnsi="Calibri" w:eastAsia="Calibri" w:cs="Calibri" w:asciiTheme="minorAscii" w:hAnsiTheme="minorAscii" w:eastAsiaTheme="minorAscii" w:cstheme="minorAscii"/>
          <w:noProof w:val="0"/>
          <w:sz w:val="24"/>
          <w:szCs w:val="24"/>
          <w:lang w:val="en-GB"/>
        </w:rPr>
        <w:t xml:space="preserve"> discrimination, and encouraging diversity to enhance access to justice, foster public trust, and </w:t>
      </w:r>
      <w:r w:rsidRPr="1C945BAC" w:rsidR="18F10DEA">
        <w:rPr>
          <w:rFonts w:ascii="Calibri" w:hAnsi="Calibri" w:eastAsia="Calibri" w:cs="Calibri" w:asciiTheme="minorAscii" w:hAnsiTheme="minorAscii" w:eastAsiaTheme="minorAscii" w:cstheme="minorAscii"/>
          <w:noProof w:val="0"/>
          <w:sz w:val="24"/>
          <w:szCs w:val="24"/>
          <w:lang w:val="en-GB"/>
        </w:rPr>
        <w:t>maintain</w:t>
      </w:r>
      <w:r w:rsidRPr="1C945BAC" w:rsidR="18F10DEA">
        <w:rPr>
          <w:rFonts w:ascii="Calibri" w:hAnsi="Calibri" w:eastAsia="Calibri" w:cs="Calibri" w:asciiTheme="minorAscii" w:hAnsiTheme="minorAscii" w:eastAsiaTheme="minorAscii" w:cstheme="minorAscii"/>
          <w:noProof w:val="0"/>
          <w:sz w:val="24"/>
          <w:szCs w:val="24"/>
          <w:lang w:val="en-GB"/>
        </w:rPr>
        <w:t xml:space="preserve"> a just and inclusive legal </w:t>
      </w:r>
      <w:r w:rsidRPr="1C945BAC" w:rsidR="051361F8">
        <w:rPr>
          <w:rFonts w:ascii="Calibri" w:hAnsi="Calibri" w:eastAsia="Calibri" w:cs="Calibri" w:asciiTheme="minorAscii" w:hAnsiTheme="minorAscii" w:eastAsiaTheme="minorAscii" w:cstheme="minorAscii"/>
          <w:noProof w:val="0"/>
          <w:sz w:val="24"/>
          <w:szCs w:val="24"/>
          <w:lang w:val="en-GB"/>
        </w:rPr>
        <w:t>system (</w:t>
      </w:r>
      <w:r w:rsidRPr="1C945BAC" w:rsidR="18F10DEA">
        <w:rPr>
          <w:rFonts w:ascii="Calibri" w:hAnsi="Calibri" w:eastAsia="Calibri" w:cs="Calibri" w:asciiTheme="minorAscii" w:hAnsiTheme="minorAscii" w:eastAsiaTheme="minorAscii" w:cstheme="minorAscii"/>
          <w:noProof w:val="0"/>
          <w:sz w:val="24"/>
          <w:szCs w:val="24"/>
          <w:lang w:val="en-GB"/>
        </w:rPr>
        <w:t>Boon, 2010).</w:t>
      </w:r>
    </w:p>
    <w:p xmlns:wp14="http://schemas.microsoft.com/office/word/2010/wordml" w:rsidP="1C945BAC" wp14:paraId="4A220C70" wp14:textId="21701802">
      <w:pPr>
        <w:jc w:val="both"/>
        <w:rPr>
          <w:rFonts w:ascii="Calibri" w:hAnsi="Calibri" w:eastAsia="Calibri" w:cs="Calibri" w:asciiTheme="minorAscii" w:hAnsiTheme="minorAscii" w:eastAsiaTheme="minorAscii" w:cstheme="minorAscii"/>
          <w:noProof w:val="0"/>
          <w:sz w:val="24"/>
          <w:szCs w:val="24"/>
          <w:lang w:val="en-GB"/>
        </w:rPr>
      </w:pPr>
      <w:r w:rsidRPr="1C945BAC" w:rsidR="18F10DEA">
        <w:rPr>
          <w:rFonts w:ascii="Calibri" w:hAnsi="Calibri" w:eastAsia="Calibri" w:cs="Calibri" w:asciiTheme="minorAscii" w:hAnsiTheme="minorAscii" w:eastAsiaTheme="minorAscii" w:cstheme="minorAscii"/>
          <w:noProof w:val="0"/>
          <w:sz w:val="24"/>
          <w:szCs w:val="24"/>
          <w:lang w:val="en-GB"/>
        </w:rPr>
        <w:t>It is fair to conclude that all three legislations play a pivotal role in ensuring that the principles of equality and diversity are extended into the legal profession.</w:t>
      </w:r>
      <w:r w:rsidRPr="1C945BAC" w:rsidR="18F10DEA">
        <w:rPr>
          <w:rFonts w:ascii="Calibri" w:hAnsi="Calibri" w:eastAsia="Calibri" w:cs="Calibri" w:asciiTheme="minorAscii" w:hAnsiTheme="minorAscii" w:eastAsiaTheme="minorAscii" w:cstheme="minorAscii"/>
          <w:noProof w:val="0"/>
          <w:sz w:val="24"/>
          <w:szCs w:val="24"/>
          <w:lang w:val="en-GB"/>
        </w:rPr>
        <w:t xml:space="preserve"> This in turn ensures that the profession plays in advancing social justice and fostering a more inclusive society among other important </w:t>
      </w:r>
      <w:r w:rsidRPr="1C945BAC" w:rsidR="6413E787">
        <w:rPr>
          <w:rFonts w:ascii="Calibri" w:hAnsi="Calibri" w:eastAsia="Calibri" w:cs="Calibri" w:asciiTheme="minorAscii" w:hAnsiTheme="minorAscii" w:eastAsiaTheme="minorAscii" w:cstheme="minorAscii"/>
          <w:noProof w:val="0"/>
          <w:sz w:val="24"/>
          <w:szCs w:val="24"/>
          <w:lang w:val="en-GB"/>
        </w:rPr>
        <w:t>benefits (</w:t>
      </w:r>
      <w:r w:rsidRPr="1C945BAC" w:rsidR="18F10DEA">
        <w:rPr>
          <w:rFonts w:ascii="Calibri" w:hAnsi="Calibri" w:eastAsia="Calibri" w:cs="Calibri" w:asciiTheme="minorAscii" w:hAnsiTheme="minorAscii" w:eastAsiaTheme="minorAscii" w:cstheme="minorAscii"/>
          <w:noProof w:val="0"/>
          <w:sz w:val="24"/>
          <w:szCs w:val="24"/>
          <w:lang w:val="en-GB"/>
        </w:rPr>
        <w:t>Aulack</w:t>
      </w:r>
      <w:r w:rsidRPr="1C945BAC" w:rsidR="18F10DEA">
        <w:rPr>
          <w:rFonts w:ascii="Calibri" w:hAnsi="Calibri" w:eastAsia="Calibri" w:cs="Calibri" w:asciiTheme="minorAscii" w:hAnsiTheme="minorAscii" w:eastAsiaTheme="minorAscii" w:cstheme="minorAscii"/>
          <w:noProof w:val="0"/>
          <w:sz w:val="24"/>
          <w:szCs w:val="24"/>
          <w:lang w:val="en-GB"/>
        </w:rPr>
        <w:t xml:space="preserve"> </w:t>
      </w:r>
      <w:r w:rsidRPr="1C945BAC" w:rsidR="18F10DEA">
        <w:rPr>
          <w:rFonts w:ascii="Calibri" w:hAnsi="Calibri" w:eastAsia="Calibri" w:cs="Calibri" w:asciiTheme="minorAscii" w:hAnsiTheme="minorAscii" w:eastAsiaTheme="minorAscii" w:cstheme="minorAscii"/>
          <w:i w:val="1"/>
          <w:iCs w:val="1"/>
          <w:noProof w:val="0"/>
          <w:sz w:val="24"/>
          <w:szCs w:val="24"/>
          <w:lang w:val="en-GB"/>
        </w:rPr>
        <w:t>et al.</w:t>
      </w:r>
      <w:r w:rsidRPr="1C945BAC" w:rsidR="18F10DEA">
        <w:rPr>
          <w:rFonts w:ascii="Calibri" w:hAnsi="Calibri" w:eastAsia="Calibri" w:cs="Calibri" w:asciiTheme="minorAscii" w:hAnsiTheme="minorAscii" w:eastAsiaTheme="minorAscii" w:cstheme="minorAscii"/>
          <w:noProof w:val="0"/>
          <w:sz w:val="24"/>
          <w:szCs w:val="24"/>
          <w:lang w:val="en-GB"/>
        </w:rPr>
        <w:t>, 2018).</w:t>
      </w:r>
    </w:p>
    <w:p xmlns:wp14="http://schemas.microsoft.com/office/word/2010/wordml" w:rsidP="1C945BAC" wp14:paraId="183FA409" wp14:textId="1633AB6A">
      <w:pPr>
        <w:jc w:val="both"/>
        <w:rPr>
          <w:rFonts w:ascii="Calibri" w:hAnsi="Calibri" w:eastAsia="Calibri" w:cs="Calibri" w:asciiTheme="minorAscii" w:hAnsiTheme="minorAscii" w:eastAsiaTheme="minorAscii" w:cstheme="minorAscii"/>
          <w:b w:val="1"/>
          <w:bCs w:val="1"/>
          <w:noProof w:val="0"/>
          <w:sz w:val="24"/>
          <w:szCs w:val="24"/>
          <w:lang w:val="en-GB"/>
        </w:rPr>
      </w:pPr>
      <w:r w:rsidRPr="1C945BAC" w:rsidR="18F10DEA">
        <w:rPr>
          <w:rFonts w:ascii="Calibri" w:hAnsi="Calibri" w:eastAsia="Calibri" w:cs="Calibri" w:asciiTheme="minorAscii" w:hAnsiTheme="minorAscii" w:eastAsiaTheme="minorAscii" w:cstheme="minorAscii"/>
          <w:b w:val="1"/>
          <w:bCs w:val="1"/>
          <w:noProof w:val="0"/>
          <w:sz w:val="24"/>
          <w:szCs w:val="24"/>
          <w:lang w:val="en-GB"/>
        </w:rPr>
        <w:t xml:space="preserve">Fostering Trust and Confidence </w:t>
      </w:r>
    </w:p>
    <w:p xmlns:wp14="http://schemas.microsoft.com/office/word/2010/wordml" w:rsidP="1C945BAC" wp14:paraId="6F6ECC22" wp14:textId="6CFB942D">
      <w:pPr>
        <w:jc w:val="both"/>
        <w:rPr>
          <w:rFonts w:ascii="Calibri" w:hAnsi="Calibri" w:eastAsia="Calibri" w:cs="Calibri" w:asciiTheme="minorAscii" w:hAnsiTheme="minorAscii" w:eastAsiaTheme="minorAscii" w:cstheme="minorAscii"/>
          <w:noProof w:val="0"/>
          <w:sz w:val="24"/>
          <w:szCs w:val="24"/>
          <w:lang w:val="en-GB"/>
        </w:rPr>
      </w:pPr>
      <w:r w:rsidRPr="1C945BAC" w:rsidR="18F10DEA">
        <w:rPr>
          <w:rFonts w:ascii="Calibri" w:hAnsi="Calibri" w:eastAsia="Calibri" w:cs="Calibri" w:asciiTheme="minorAscii" w:hAnsiTheme="minorAscii" w:eastAsiaTheme="minorAscii" w:cstheme="minorAscii"/>
          <w:noProof w:val="0"/>
          <w:sz w:val="24"/>
          <w:szCs w:val="24"/>
          <w:lang w:val="en-GB"/>
        </w:rPr>
        <w:t xml:space="preserve">A diverse and inclusive legal profession plays a pivotal role in building and </w:t>
      </w:r>
      <w:r w:rsidRPr="1C945BAC" w:rsidR="18F10DEA">
        <w:rPr>
          <w:rFonts w:ascii="Calibri" w:hAnsi="Calibri" w:eastAsia="Calibri" w:cs="Calibri" w:asciiTheme="minorAscii" w:hAnsiTheme="minorAscii" w:eastAsiaTheme="minorAscii" w:cstheme="minorAscii"/>
          <w:noProof w:val="0"/>
          <w:sz w:val="24"/>
          <w:szCs w:val="24"/>
          <w:lang w:val="en-GB"/>
        </w:rPr>
        <w:t>maintaining</w:t>
      </w:r>
      <w:r w:rsidRPr="1C945BAC" w:rsidR="18F10DEA">
        <w:rPr>
          <w:rFonts w:ascii="Calibri" w:hAnsi="Calibri" w:eastAsia="Calibri" w:cs="Calibri" w:asciiTheme="minorAscii" w:hAnsiTheme="minorAscii" w:eastAsiaTheme="minorAscii" w:cstheme="minorAscii"/>
          <w:noProof w:val="0"/>
          <w:sz w:val="24"/>
          <w:szCs w:val="24"/>
          <w:lang w:val="en-GB"/>
        </w:rPr>
        <w:t xml:space="preserve"> trust and confidence among the public in the legal </w:t>
      </w:r>
      <w:r w:rsidRPr="1C945BAC" w:rsidR="3DCF29CB">
        <w:rPr>
          <w:rFonts w:ascii="Calibri" w:hAnsi="Calibri" w:eastAsia="Calibri" w:cs="Calibri" w:asciiTheme="minorAscii" w:hAnsiTheme="minorAscii" w:eastAsiaTheme="minorAscii" w:cstheme="minorAscii"/>
          <w:noProof w:val="0"/>
          <w:sz w:val="24"/>
          <w:szCs w:val="24"/>
          <w:lang w:val="en-GB"/>
        </w:rPr>
        <w:t>system (</w:t>
      </w:r>
      <w:r w:rsidRPr="1C945BAC" w:rsidR="18F10DEA">
        <w:rPr>
          <w:rFonts w:ascii="Calibri" w:hAnsi="Calibri" w:eastAsia="Calibri" w:cs="Calibri" w:asciiTheme="minorAscii" w:hAnsiTheme="minorAscii" w:eastAsiaTheme="minorAscii" w:cstheme="minorAscii"/>
          <w:noProof w:val="0"/>
          <w:sz w:val="24"/>
          <w:szCs w:val="24"/>
          <w:lang w:val="en-GB"/>
        </w:rPr>
        <w:t>Sommerlad</w:t>
      </w:r>
      <w:r w:rsidRPr="1C945BAC" w:rsidR="18F10DEA">
        <w:rPr>
          <w:rFonts w:ascii="Calibri" w:hAnsi="Calibri" w:eastAsia="Calibri" w:cs="Calibri" w:asciiTheme="minorAscii" w:hAnsiTheme="minorAscii" w:eastAsiaTheme="minorAscii" w:cstheme="minorAscii"/>
          <w:noProof w:val="0"/>
          <w:sz w:val="24"/>
          <w:szCs w:val="24"/>
          <w:lang w:val="en-GB"/>
        </w:rPr>
        <w:t xml:space="preserve"> </w:t>
      </w:r>
      <w:r w:rsidRPr="1C945BAC" w:rsidR="18F10DEA">
        <w:rPr>
          <w:rFonts w:ascii="Calibri" w:hAnsi="Calibri" w:eastAsia="Calibri" w:cs="Calibri" w:asciiTheme="minorAscii" w:hAnsiTheme="minorAscii" w:eastAsiaTheme="minorAscii" w:cstheme="minorAscii"/>
          <w:i w:val="1"/>
          <w:iCs w:val="1"/>
          <w:noProof w:val="0"/>
          <w:sz w:val="24"/>
          <w:szCs w:val="24"/>
          <w:lang w:val="en-GB"/>
        </w:rPr>
        <w:t>et al.</w:t>
      </w:r>
      <w:r w:rsidRPr="1C945BAC" w:rsidR="18F10DEA">
        <w:rPr>
          <w:rFonts w:ascii="Calibri" w:hAnsi="Calibri" w:eastAsia="Calibri" w:cs="Calibri" w:asciiTheme="minorAscii" w:hAnsiTheme="minorAscii" w:eastAsiaTheme="minorAscii" w:cstheme="minorAscii"/>
          <w:noProof w:val="0"/>
          <w:sz w:val="24"/>
          <w:szCs w:val="24"/>
          <w:lang w:val="en-GB"/>
        </w:rPr>
        <w:t xml:space="preserve">, 2010). When individuals from all </w:t>
      </w:r>
      <w:bookmarkStart w:name="_Int_l4ciHN4v" w:id="1080320256"/>
      <w:r w:rsidRPr="1C945BAC" w:rsidR="18F10DEA">
        <w:rPr>
          <w:rFonts w:ascii="Calibri" w:hAnsi="Calibri" w:eastAsia="Calibri" w:cs="Calibri" w:asciiTheme="minorAscii" w:hAnsiTheme="minorAscii" w:eastAsiaTheme="minorAscii" w:cstheme="minorAscii"/>
          <w:noProof w:val="0"/>
          <w:sz w:val="24"/>
          <w:szCs w:val="24"/>
          <w:lang w:val="en-GB"/>
        </w:rPr>
        <w:t>walks of life</w:t>
      </w:r>
      <w:bookmarkEnd w:id="1080320256"/>
      <w:r w:rsidRPr="1C945BAC" w:rsidR="18F10DEA">
        <w:rPr>
          <w:rFonts w:ascii="Calibri" w:hAnsi="Calibri" w:eastAsia="Calibri" w:cs="Calibri" w:asciiTheme="minorAscii" w:hAnsiTheme="minorAscii" w:eastAsiaTheme="minorAscii" w:cstheme="minorAscii"/>
          <w:noProof w:val="0"/>
          <w:sz w:val="24"/>
          <w:szCs w:val="24"/>
          <w:lang w:val="en-GB"/>
        </w:rPr>
        <w:t xml:space="preserve"> see that the legal system is genuinely dedicated to treating everyone fairly and impartially, it </w:t>
      </w:r>
      <w:r w:rsidRPr="1C945BAC" w:rsidR="18F10DEA">
        <w:rPr>
          <w:rFonts w:ascii="Calibri" w:hAnsi="Calibri" w:eastAsia="Calibri" w:cs="Calibri" w:asciiTheme="minorAscii" w:hAnsiTheme="minorAscii" w:eastAsiaTheme="minorAscii" w:cstheme="minorAscii"/>
          <w:noProof w:val="0"/>
          <w:sz w:val="24"/>
          <w:szCs w:val="24"/>
          <w:lang w:val="en-GB"/>
        </w:rPr>
        <w:t>instils</w:t>
      </w:r>
      <w:r w:rsidRPr="1C945BAC" w:rsidR="18F10DEA">
        <w:rPr>
          <w:rFonts w:ascii="Calibri" w:hAnsi="Calibri" w:eastAsia="Calibri" w:cs="Calibri" w:asciiTheme="minorAscii" w:hAnsiTheme="minorAscii" w:eastAsiaTheme="minorAscii" w:cstheme="minorAscii"/>
          <w:noProof w:val="0"/>
          <w:sz w:val="24"/>
          <w:szCs w:val="24"/>
          <w:lang w:val="en-GB"/>
        </w:rPr>
        <w:t xml:space="preserve"> a sense of faith in the overall legal process and its outcomes. </w:t>
      </w:r>
      <w:r w:rsidRPr="1C945BAC" w:rsidR="18F10DEA">
        <w:rPr>
          <w:rFonts w:ascii="Calibri" w:hAnsi="Calibri" w:eastAsia="Calibri" w:cs="Calibri" w:asciiTheme="minorAscii" w:hAnsiTheme="minorAscii" w:eastAsiaTheme="minorAscii" w:cstheme="minorAscii"/>
          <w:noProof w:val="0"/>
          <w:sz w:val="24"/>
          <w:szCs w:val="24"/>
          <w:lang w:val="en-GB"/>
        </w:rPr>
        <w:t>This trust is not only crucial for the functioning of a well-ordered society but also for upholding the legitimacy and integrity of the entire legal system.</w:t>
      </w:r>
    </w:p>
    <w:p xmlns:wp14="http://schemas.microsoft.com/office/word/2010/wordml" w:rsidP="1C945BAC" wp14:paraId="0DFBB350" wp14:textId="0E4004AF">
      <w:pPr>
        <w:jc w:val="both"/>
        <w:rPr>
          <w:rFonts w:ascii="Calibri" w:hAnsi="Calibri" w:eastAsia="Calibri" w:cs="Calibri" w:asciiTheme="minorAscii" w:hAnsiTheme="minorAscii" w:eastAsiaTheme="minorAscii" w:cstheme="minorAscii"/>
          <w:noProof w:val="0"/>
          <w:sz w:val="24"/>
          <w:szCs w:val="24"/>
          <w:lang w:val="en-GB"/>
        </w:rPr>
      </w:pPr>
      <w:r w:rsidRPr="1C945BAC" w:rsidR="18F10DEA">
        <w:rPr>
          <w:rFonts w:ascii="Calibri" w:hAnsi="Calibri" w:eastAsia="Calibri" w:cs="Calibri" w:asciiTheme="minorAscii" w:hAnsiTheme="minorAscii" w:eastAsiaTheme="minorAscii" w:cstheme="minorAscii"/>
          <w:noProof w:val="0"/>
          <w:sz w:val="24"/>
          <w:szCs w:val="24"/>
          <w:lang w:val="en-GB"/>
        </w:rPr>
        <w:t xml:space="preserve">At the heart of this trust-building process lies the recognition that a diverse legal profession reflects the diversity of the society it serves. People from </w:t>
      </w:r>
      <w:bookmarkStart w:name="_Int_gCEt9xYg" w:id="1276497739"/>
      <w:r w:rsidRPr="1C945BAC" w:rsidR="18F10DEA">
        <w:rPr>
          <w:rFonts w:ascii="Calibri" w:hAnsi="Calibri" w:eastAsia="Calibri" w:cs="Calibri" w:asciiTheme="minorAscii" w:hAnsiTheme="minorAscii" w:eastAsiaTheme="minorAscii" w:cstheme="minorAscii"/>
          <w:noProof w:val="0"/>
          <w:sz w:val="24"/>
          <w:szCs w:val="24"/>
          <w:lang w:val="en-GB"/>
        </w:rPr>
        <w:t>different backgrounds</w:t>
      </w:r>
      <w:bookmarkEnd w:id="1276497739"/>
      <w:r w:rsidRPr="1C945BAC" w:rsidR="18F10DEA">
        <w:rPr>
          <w:rFonts w:ascii="Calibri" w:hAnsi="Calibri" w:eastAsia="Calibri" w:cs="Calibri" w:asciiTheme="minorAscii" w:hAnsiTheme="minorAscii" w:eastAsiaTheme="minorAscii" w:cstheme="minorAscii"/>
          <w:noProof w:val="0"/>
          <w:sz w:val="24"/>
          <w:szCs w:val="24"/>
          <w:lang w:val="en-GB"/>
        </w:rPr>
        <w:t>, cultures, races, genders, sexual orientations, and abilities can have their perspectives and experiences better understood and represented in the legal sphere when the profession embraces diversity. This inclusivity is vital for ensuring that legal decisions are made with greater empathy and sensitivity to the varying needs and challenges faced by different individuals and communities.</w:t>
      </w:r>
    </w:p>
    <w:p xmlns:wp14="http://schemas.microsoft.com/office/word/2010/wordml" w:rsidP="1C945BAC" wp14:paraId="57AE3C24" wp14:textId="17EE7575">
      <w:pPr>
        <w:jc w:val="both"/>
        <w:rPr>
          <w:rFonts w:ascii="Calibri" w:hAnsi="Calibri" w:eastAsia="Calibri" w:cs="Calibri" w:asciiTheme="minorAscii" w:hAnsiTheme="minorAscii" w:eastAsiaTheme="minorAscii" w:cstheme="minorAscii"/>
          <w:noProof w:val="0"/>
          <w:sz w:val="24"/>
          <w:szCs w:val="24"/>
          <w:lang w:val="en-GB"/>
        </w:rPr>
      </w:pPr>
      <w:r w:rsidRPr="1C945BAC" w:rsidR="18F10DEA">
        <w:rPr>
          <w:rFonts w:ascii="Calibri" w:hAnsi="Calibri" w:eastAsia="Calibri" w:cs="Calibri" w:asciiTheme="minorAscii" w:hAnsiTheme="minorAscii" w:eastAsiaTheme="minorAscii" w:cstheme="minorAscii"/>
          <w:noProof w:val="0"/>
          <w:sz w:val="24"/>
          <w:szCs w:val="24"/>
          <w:lang w:val="en-GB"/>
        </w:rPr>
        <w:t>The legal profession's commitment to fostering trust and confidence is explicitly outlined in the SRA Code of Conduct, which serves as a guiding document for legal professionals in their practice (SRA Code of Conduct, r1). The code emphasises the obligation of lawyers and legal practitioners to conduct themselves in a manner that upholds public trust and confidence in the legal system. This means not only abiding by the letter of the law but also adhering to the spirit of fairness, equity, and respect for all individuals.</w:t>
      </w:r>
    </w:p>
    <w:p xmlns:wp14="http://schemas.microsoft.com/office/word/2010/wordml" w:rsidP="1C945BAC" wp14:paraId="196C132A" wp14:textId="40CBA9FF">
      <w:pPr>
        <w:jc w:val="both"/>
        <w:rPr>
          <w:rFonts w:ascii="Calibri" w:hAnsi="Calibri" w:eastAsia="Calibri" w:cs="Calibri" w:asciiTheme="minorAscii" w:hAnsiTheme="minorAscii" w:eastAsiaTheme="minorAscii" w:cstheme="minorAscii"/>
          <w:noProof w:val="0"/>
          <w:sz w:val="24"/>
          <w:szCs w:val="24"/>
          <w:lang w:val="en-GB"/>
        </w:rPr>
      </w:pPr>
      <w:r w:rsidRPr="1C945BAC" w:rsidR="18F10DEA">
        <w:rPr>
          <w:rFonts w:ascii="Calibri" w:hAnsi="Calibri" w:eastAsia="Calibri" w:cs="Calibri" w:asciiTheme="minorAscii" w:hAnsiTheme="minorAscii" w:eastAsiaTheme="minorAscii" w:cstheme="minorAscii"/>
          <w:noProof w:val="0"/>
          <w:sz w:val="24"/>
          <w:szCs w:val="24"/>
          <w:lang w:val="en-GB"/>
        </w:rPr>
        <w:t xml:space="preserve">By actively embracing equality and diversity, legal professionals </w:t>
      </w:r>
      <w:r w:rsidRPr="1C945BAC" w:rsidR="18F10DEA">
        <w:rPr>
          <w:rFonts w:ascii="Calibri" w:hAnsi="Calibri" w:eastAsia="Calibri" w:cs="Calibri" w:asciiTheme="minorAscii" w:hAnsiTheme="minorAscii" w:eastAsiaTheme="minorAscii" w:cstheme="minorAscii"/>
          <w:noProof w:val="0"/>
          <w:sz w:val="24"/>
          <w:szCs w:val="24"/>
          <w:lang w:val="en-GB"/>
        </w:rPr>
        <w:t>demonstrate</w:t>
      </w:r>
      <w:r w:rsidRPr="1C945BAC" w:rsidR="18F10DEA">
        <w:rPr>
          <w:rFonts w:ascii="Calibri" w:hAnsi="Calibri" w:eastAsia="Calibri" w:cs="Calibri" w:asciiTheme="minorAscii" w:hAnsiTheme="minorAscii" w:eastAsiaTheme="minorAscii" w:cstheme="minorAscii"/>
          <w:noProof w:val="0"/>
          <w:sz w:val="24"/>
          <w:szCs w:val="24"/>
          <w:lang w:val="en-GB"/>
        </w:rPr>
        <w:t xml:space="preserve"> their dedication to the principle of fostering trust and confidence. They are encouraged to actively promote equal opportunities and </w:t>
      </w:r>
      <w:r w:rsidRPr="1C945BAC" w:rsidR="18F10DEA">
        <w:rPr>
          <w:rFonts w:ascii="Calibri" w:hAnsi="Calibri" w:eastAsia="Calibri" w:cs="Calibri" w:asciiTheme="minorAscii" w:hAnsiTheme="minorAscii" w:eastAsiaTheme="minorAscii" w:cstheme="minorAscii"/>
          <w:noProof w:val="0"/>
          <w:sz w:val="24"/>
          <w:szCs w:val="24"/>
          <w:lang w:val="en-GB"/>
        </w:rPr>
        <w:t>eliminate</w:t>
      </w:r>
      <w:r w:rsidRPr="1C945BAC" w:rsidR="18F10DEA">
        <w:rPr>
          <w:rFonts w:ascii="Calibri" w:hAnsi="Calibri" w:eastAsia="Calibri" w:cs="Calibri" w:asciiTheme="minorAscii" w:hAnsiTheme="minorAscii" w:eastAsiaTheme="minorAscii" w:cstheme="minorAscii"/>
          <w:noProof w:val="0"/>
          <w:sz w:val="24"/>
          <w:szCs w:val="24"/>
          <w:lang w:val="en-GB"/>
        </w:rPr>
        <w:t xml:space="preserve"> any discriminatory practices within their own workplaces and the legal </w:t>
      </w:r>
      <w:bookmarkStart w:name="_Int_XGaI3Fxb" w:id="225457998"/>
      <w:r w:rsidRPr="1C945BAC" w:rsidR="18F10DEA">
        <w:rPr>
          <w:rFonts w:ascii="Calibri" w:hAnsi="Calibri" w:eastAsia="Calibri" w:cs="Calibri" w:asciiTheme="minorAscii" w:hAnsiTheme="minorAscii" w:eastAsiaTheme="minorAscii" w:cstheme="minorAscii"/>
          <w:noProof w:val="0"/>
          <w:sz w:val="24"/>
          <w:szCs w:val="24"/>
          <w:lang w:val="en-GB"/>
        </w:rPr>
        <w:t>profession</w:t>
      </w:r>
      <w:r w:rsidRPr="1C945BAC" w:rsidR="16C1BF1C">
        <w:rPr>
          <w:rFonts w:ascii="Calibri" w:hAnsi="Calibri" w:eastAsia="Calibri" w:cs="Calibri" w:asciiTheme="minorAscii" w:hAnsiTheme="minorAscii" w:eastAsiaTheme="minorAscii" w:cstheme="minorAscii"/>
          <w:noProof w:val="0"/>
          <w:sz w:val="24"/>
          <w:szCs w:val="24"/>
          <w:lang w:val="en-GB"/>
        </w:rPr>
        <w:t xml:space="preserve"> </w:t>
      </w:r>
      <w:r w:rsidRPr="1C945BAC" w:rsidR="18F10DEA">
        <w:rPr>
          <w:rFonts w:ascii="Calibri" w:hAnsi="Calibri" w:eastAsia="Calibri" w:cs="Calibri" w:asciiTheme="minorAscii" w:hAnsiTheme="minorAscii" w:eastAsiaTheme="minorAscii" w:cstheme="minorAscii"/>
          <w:noProof w:val="0"/>
          <w:sz w:val="24"/>
          <w:szCs w:val="24"/>
          <w:lang w:val="en-GB"/>
        </w:rPr>
        <w:t>as a whole</w:t>
      </w:r>
      <w:bookmarkEnd w:id="225457998"/>
      <w:r w:rsidRPr="1C945BAC" w:rsidR="18F10DEA">
        <w:rPr>
          <w:rFonts w:ascii="Calibri" w:hAnsi="Calibri" w:eastAsia="Calibri" w:cs="Calibri" w:asciiTheme="minorAscii" w:hAnsiTheme="minorAscii" w:eastAsiaTheme="minorAscii" w:cstheme="minorAscii"/>
          <w:noProof w:val="0"/>
          <w:sz w:val="24"/>
          <w:szCs w:val="24"/>
          <w:lang w:val="en-GB"/>
        </w:rPr>
        <w:t xml:space="preserve">. This can include implementing policies that encourage diversity in hiring and promotions, providing cultural competency training to ensure better communication and understanding with clients from diverse backgrounds, and working to </w:t>
      </w:r>
      <w:r w:rsidRPr="1C945BAC" w:rsidR="18F10DEA">
        <w:rPr>
          <w:rFonts w:ascii="Calibri" w:hAnsi="Calibri" w:eastAsia="Calibri" w:cs="Calibri" w:asciiTheme="minorAscii" w:hAnsiTheme="minorAscii" w:eastAsiaTheme="minorAscii" w:cstheme="minorAscii"/>
          <w:noProof w:val="0"/>
          <w:sz w:val="24"/>
          <w:szCs w:val="24"/>
          <w:lang w:val="en-GB"/>
        </w:rPr>
        <w:t>eliminate</w:t>
      </w:r>
      <w:r w:rsidRPr="1C945BAC" w:rsidR="18F10DEA">
        <w:rPr>
          <w:rFonts w:ascii="Calibri" w:hAnsi="Calibri" w:eastAsia="Calibri" w:cs="Calibri" w:asciiTheme="minorAscii" w:hAnsiTheme="minorAscii" w:eastAsiaTheme="minorAscii" w:cstheme="minorAscii"/>
          <w:noProof w:val="0"/>
          <w:sz w:val="24"/>
          <w:szCs w:val="24"/>
          <w:lang w:val="en-GB"/>
        </w:rPr>
        <w:t xml:space="preserve"> systemic biases that may exist within the legal </w:t>
      </w:r>
      <w:r w:rsidRPr="1C945BAC" w:rsidR="43F47C28">
        <w:rPr>
          <w:rFonts w:ascii="Calibri" w:hAnsi="Calibri" w:eastAsia="Calibri" w:cs="Calibri" w:asciiTheme="minorAscii" w:hAnsiTheme="minorAscii" w:eastAsiaTheme="minorAscii" w:cstheme="minorAscii"/>
          <w:noProof w:val="0"/>
          <w:sz w:val="24"/>
          <w:szCs w:val="24"/>
          <w:lang w:val="en-GB"/>
        </w:rPr>
        <w:t>system (</w:t>
      </w:r>
      <w:r w:rsidRPr="1C945BAC" w:rsidR="18F10DEA">
        <w:rPr>
          <w:rFonts w:ascii="Calibri" w:hAnsi="Calibri" w:eastAsia="Calibri" w:cs="Calibri" w:asciiTheme="minorAscii" w:hAnsiTheme="minorAscii" w:eastAsiaTheme="minorAscii" w:cstheme="minorAscii"/>
          <w:noProof w:val="0"/>
          <w:sz w:val="24"/>
          <w:szCs w:val="24"/>
          <w:lang w:val="en-GB"/>
        </w:rPr>
        <w:t>Kumra, 2015).</w:t>
      </w:r>
    </w:p>
    <w:p xmlns:wp14="http://schemas.microsoft.com/office/word/2010/wordml" w:rsidP="1C945BAC" wp14:paraId="2DEB7196" wp14:textId="6EAFD700">
      <w:pPr>
        <w:jc w:val="both"/>
        <w:rPr>
          <w:rFonts w:ascii="Calibri" w:hAnsi="Calibri" w:eastAsia="Calibri" w:cs="Calibri" w:asciiTheme="minorAscii" w:hAnsiTheme="minorAscii" w:eastAsiaTheme="minorAscii" w:cstheme="minorAscii"/>
          <w:noProof w:val="0"/>
          <w:sz w:val="24"/>
          <w:szCs w:val="24"/>
          <w:lang w:val="en-GB"/>
        </w:rPr>
      </w:pPr>
      <w:r w:rsidRPr="1C945BAC" w:rsidR="18F10DEA">
        <w:rPr>
          <w:rFonts w:ascii="Calibri" w:hAnsi="Calibri" w:eastAsia="Calibri" w:cs="Calibri" w:asciiTheme="minorAscii" w:hAnsiTheme="minorAscii" w:eastAsiaTheme="minorAscii" w:cstheme="minorAscii"/>
          <w:noProof w:val="0"/>
          <w:sz w:val="24"/>
          <w:szCs w:val="24"/>
          <w:lang w:val="en-GB"/>
        </w:rPr>
        <w:t>Consequently, by building a diverse legal workforce, law firms and legal institutions are better equipped to cater to the diverse needs of their clients. When clients see themselves represented and understood by their legal counsel, they are more likely to have confidence in the legal process and feel assured that their case will be handled fairly and justly.</w:t>
      </w:r>
    </w:p>
    <w:p xmlns:wp14="http://schemas.microsoft.com/office/word/2010/wordml" w:rsidP="1C945BAC" wp14:paraId="5A1097A1" wp14:textId="7CB6AC64">
      <w:pPr>
        <w:jc w:val="both"/>
        <w:rPr>
          <w:rFonts w:ascii="Calibri" w:hAnsi="Calibri" w:eastAsia="Calibri" w:cs="Calibri" w:asciiTheme="minorAscii" w:hAnsiTheme="minorAscii" w:eastAsiaTheme="minorAscii" w:cstheme="minorAscii"/>
          <w:noProof w:val="0"/>
          <w:sz w:val="24"/>
          <w:szCs w:val="24"/>
          <w:lang w:val="en-GB"/>
        </w:rPr>
      </w:pPr>
      <w:r w:rsidRPr="1C945BAC" w:rsidR="18F10DEA">
        <w:rPr>
          <w:rFonts w:ascii="Calibri" w:hAnsi="Calibri" w:eastAsia="Calibri" w:cs="Calibri" w:asciiTheme="minorAscii" w:hAnsiTheme="minorAscii" w:eastAsiaTheme="minorAscii" w:cstheme="minorAscii"/>
          <w:noProof w:val="0"/>
          <w:sz w:val="24"/>
          <w:szCs w:val="24"/>
          <w:lang w:val="en-GB"/>
        </w:rPr>
        <w:t xml:space="preserve">The impact of a diverse and inclusive legal profession extends beyond individual cases. It also helps to shape legal precedents, legislation, and </w:t>
      </w:r>
      <w:r w:rsidRPr="1C945BAC" w:rsidR="0B01B2D0">
        <w:rPr>
          <w:rFonts w:ascii="Calibri" w:hAnsi="Calibri" w:eastAsia="Calibri" w:cs="Calibri" w:asciiTheme="minorAscii" w:hAnsiTheme="minorAscii" w:eastAsiaTheme="minorAscii" w:cstheme="minorAscii"/>
          <w:noProof w:val="0"/>
          <w:sz w:val="24"/>
          <w:szCs w:val="24"/>
          <w:lang w:val="en-GB"/>
        </w:rPr>
        <w:t>policymaking</w:t>
      </w:r>
      <w:r w:rsidRPr="1C945BAC" w:rsidR="18F10DEA">
        <w:rPr>
          <w:rFonts w:ascii="Calibri" w:hAnsi="Calibri" w:eastAsia="Calibri" w:cs="Calibri" w:asciiTheme="minorAscii" w:hAnsiTheme="minorAscii" w:eastAsiaTheme="minorAscii" w:cstheme="minorAscii"/>
          <w:noProof w:val="0"/>
          <w:sz w:val="24"/>
          <w:szCs w:val="24"/>
          <w:lang w:val="en-GB"/>
        </w:rPr>
        <w:t xml:space="preserve">. A diverse legal team brings forth a broader range of perspectives and insights, leading to more well-rounded and </w:t>
      </w:r>
      <w:r w:rsidRPr="1C945BAC" w:rsidR="18F10DEA">
        <w:rPr>
          <w:rFonts w:ascii="Calibri" w:hAnsi="Calibri" w:eastAsia="Calibri" w:cs="Calibri" w:asciiTheme="minorAscii" w:hAnsiTheme="minorAscii" w:eastAsiaTheme="minorAscii" w:cstheme="minorAscii"/>
          <w:noProof w:val="0"/>
          <w:sz w:val="24"/>
          <w:szCs w:val="24"/>
          <w:lang w:val="en-GB"/>
        </w:rPr>
        <w:t>equitable</w:t>
      </w:r>
      <w:r w:rsidRPr="1C945BAC" w:rsidR="18F10DEA">
        <w:rPr>
          <w:rFonts w:ascii="Calibri" w:hAnsi="Calibri" w:eastAsia="Calibri" w:cs="Calibri" w:asciiTheme="minorAscii" w:hAnsiTheme="minorAscii" w:eastAsiaTheme="minorAscii" w:cstheme="minorAscii"/>
          <w:noProof w:val="0"/>
          <w:sz w:val="24"/>
          <w:szCs w:val="24"/>
          <w:lang w:val="en-GB"/>
        </w:rPr>
        <w:t xml:space="preserve"> legal decisions and outcomes. This, in turn, strengthens the trust of the public in the overall legal system, knowing that it is reflective of their society's rich tapestry.</w:t>
      </w:r>
    </w:p>
    <w:p xmlns:wp14="http://schemas.microsoft.com/office/word/2010/wordml" w:rsidP="1C945BAC" wp14:paraId="2CEA403F" wp14:textId="6EBF15E0">
      <w:pPr>
        <w:jc w:val="both"/>
        <w:rPr>
          <w:rFonts w:ascii="Calibri" w:hAnsi="Calibri" w:eastAsia="Calibri" w:cs="Calibri" w:asciiTheme="minorAscii" w:hAnsiTheme="minorAscii" w:eastAsiaTheme="minorAscii" w:cstheme="minorAscii"/>
          <w:b w:val="1"/>
          <w:bCs w:val="1"/>
          <w:noProof w:val="0"/>
          <w:sz w:val="24"/>
          <w:szCs w:val="24"/>
          <w:lang w:val="en-GB"/>
        </w:rPr>
      </w:pPr>
      <w:r w:rsidRPr="1C945BAC" w:rsidR="18F10DEA">
        <w:rPr>
          <w:rFonts w:ascii="Calibri" w:hAnsi="Calibri" w:eastAsia="Calibri" w:cs="Calibri" w:asciiTheme="minorAscii" w:hAnsiTheme="minorAscii" w:eastAsiaTheme="minorAscii" w:cstheme="minorAscii"/>
          <w:b w:val="1"/>
          <w:bCs w:val="1"/>
          <w:noProof w:val="0"/>
          <w:sz w:val="24"/>
          <w:szCs w:val="24"/>
          <w:lang w:val="en-GB"/>
        </w:rPr>
        <w:t>Elimination of Discrimination</w:t>
      </w:r>
    </w:p>
    <w:p xmlns:wp14="http://schemas.microsoft.com/office/word/2010/wordml" w:rsidP="1C945BAC" wp14:paraId="23390B75" wp14:textId="00DB3E86">
      <w:pPr>
        <w:jc w:val="both"/>
        <w:rPr>
          <w:rFonts w:ascii="Calibri" w:hAnsi="Calibri" w:eastAsia="Calibri" w:cs="Calibri" w:asciiTheme="minorAscii" w:hAnsiTheme="minorAscii" w:eastAsiaTheme="minorAscii" w:cstheme="minorAscii"/>
          <w:noProof w:val="0"/>
          <w:sz w:val="24"/>
          <w:szCs w:val="24"/>
          <w:lang w:val="en-GB"/>
        </w:rPr>
      </w:pPr>
      <w:r w:rsidRPr="1C945BAC" w:rsidR="18F10DEA">
        <w:rPr>
          <w:rFonts w:ascii="Calibri" w:hAnsi="Calibri" w:eastAsia="Calibri" w:cs="Calibri" w:asciiTheme="minorAscii" w:hAnsiTheme="minorAscii" w:eastAsiaTheme="minorAscii" w:cstheme="minorAscii"/>
          <w:noProof w:val="0"/>
          <w:sz w:val="24"/>
          <w:szCs w:val="24"/>
          <w:lang w:val="en-GB"/>
        </w:rPr>
        <w:t xml:space="preserve">The legal profession is not only entrusted with upholding the law but also with setting a standard of fairness and impartiality that should be a cornerstone of any just society. Embracing equality and diversity within the legal field is crucial to ensuring that no individual or group faces discrimination based on their protected characteristics, which include race, gender, age, disability, religion, or sexual </w:t>
      </w:r>
      <w:r w:rsidRPr="1C945BAC" w:rsidR="5806CD64">
        <w:rPr>
          <w:rFonts w:ascii="Calibri" w:hAnsi="Calibri" w:eastAsia="Calibri" w:cs="Calibri" w:asciiTheme="minorAscii" w:hAnsiTheme="minorAscii" w:eastAsiaTheme="minorAscii" w:cstheme="minorAscii"/>
          <w:noProof w:val="0"/>
          <w:sz w:val="24"/>
          <w:szCs w:val="24"/>
          <w:lang w:val="en-GB"/>
        </w:rPr>
        <w:t>orientation (</w:t>
      </w:r>
      <w:r w:rsidRPr="1C945BAC" w:rsidR="18F10DEA">
        <w:rPr>
          <w:rFonts w:ascii="Calibri" w:hAnsi="Calibri" w:eastAsia="Calibri" w:cs="Calibri" w:asciiTheme="minorAscii" w:hAnsiTheme="minorAscii" w:eastAsiaTheme="minorAscii" w:cstheme="minorAscii"/>
          <w:noProof w:val="0"/>
          <w:sz w:val="24"/>
          <w:szCs w:val="24"/>
          <w:lang w:val="en-GB"/>
        </w:rPr>
        <w:t xml:space="preserve">Webley, 2015). This commitment to eradicating discrimination goes beyond mere compliance with legal requirements; it is a moral imperative that has far-reaching consequences for both the legal profession and </w:t>
      </w:r>
      <w:bookmarkStart w:name="_Int_64QLsRmG" w:id="1735991010"/>
      <w:r w:rsidRPr="1C945BAC" w:rsidR="18F10DEA">
        <w:rPr>
          <w:rFonts w:ascii="Calibri" w:hAnsi="Calibri" w:eastAsia="Calibri" w:cs="Calibri" w:asciiTheme="minorAscii" w:hAnsiTheme="minorAscii" w:eastAsiaTheme="minorAscii" w:cstheme="minorAscii"/>
          <w:noProof w:val="0"/>
          <w:sz w:val="24"/>
          <w:szCs w:val="24"/>
          <w:lang w:val="en-GB"/>
        </w:rPr>
        <w:t>society as a whole</w:t>
      </w:r>
      <w:bookmarkEnd w:id="1735991010"/>
      <w:r w:rsidRPr="1C945BAC" w:rsidR="18F10DEA">
        <w:rPr>
          <w:rFonts w:ascii="Calibri" w:hAnsi="Calibri" w:eastAsia="Calibri" w:cs="Calibri" w:asciiTheme="minorAscii" w:hAnsiTheme="minorAscii" w:eastAsiaTheme="minorAscii" w:cstheme="minorAscii"/>
          <w:noProof w:val="0"/>
          <w:sz w:val="24"/>
          <w:szCs w:val="24"/>
          <w:lang w:val="en-GB"/>
        </w:rPr>
        <w:t>.</w:t>
      </w:r>
    </w:p>
    <w:p xmlns:wp14="http://schemas.microsoft.com/office/word/2010/wordml" w:rsidP="1C945BAC" wp14:paraId="6EB6A45A" wp14:textId="3CC71807">
      <w:pPr>
        <w:jc w:val="both"/>
        <w:rPr>
          <w:rFonts w:ascii="Calibri" w:hAnsi="Calibri" w:eastAsia="Calibri" w:cs="Calibri" w:asciiTheme="minorAscii" w:hAnsiTheme="minorAscii" w:eastAsiaTheme="minorAscii" w:cstheme="minorAscii"/>
          <w:noProof w:val="0"/>
          <w:sz w:val="24"/>
          <w:szCs w:val="24"/>
          <w:lang w:val="en-GB"/>
        </w:rPr>
      </w:pPr>
      <w:r w:rsidRPr="1C945BAC" w:rsidR="18F10DEA">
        <w:rPr>
          <w:rFonts w:ascii="Calibri" w:hAnsi="Calibri" w:eastAsia="Calibri" w:cs="Calibri" w:asciiTheme="minorAscii" w:hAnsiTheme="minorAscii" w:eastAsiaTheme="minorAscii" w:cstheme="minorAscii"/>
          <w:noProof w:val="0"/>
          <w:sz w:val="24"/>
          <w:szCs w:val="24"/>
          <w:lang w:val="en-GB"/>
        </w:rPr>
        <w:t xml:space="preserve">The legal profession's commitment to </w:t>
      </w:r>
      <w:r w:rsidRPr="1C945BAC" w:rsidR="18F10DEA">
        <w:rPr>
          <w:rFonts w:ascii="Calibri" w:hAnsi="Calibri" w:eastAsia="Calibri" w:cs="Calibri" w:asciiTheme="minorAscii" w:hAnsiTheme="minorAscii" w:eastAsiaTheme="minorAscii" w:cstheme="minorAscii"/>
          <w:noProof w:val="0"/>
          <w:sz w:val="24"/>
          <w:szCs w:val="24"/>
          <w:lang w:val="en-GB"/>
        </w:rPr>
        <w:t>eliminating</w:t>
      </w:r>
      <w:r w:rsidRPr="1C945BAC" w:rsidR="18F10DEA">
        <w:rPr>
          <w:rFonts w:ascii="Calibri" w:hAnsi="Calibri" w:eastAsia="Calibri" w:cs="Calibri" w:asciiTheme="minorAscii" w:hAnsiTheme="minorAscii" w:eastAsiaTheme="minorAscii" w:cstheme="minorAscii"/>
          <w:noProof w:val="0"/>
          <w:sz w:val="24"/>
          <w:szCs w:val="24"/>
          <w:lang w:val="en-GB"/>
        </w:rPr>
        <w:t xml:space="preserve"> discrimination is reinforced by the Equality Act 2010. This comprehensive legislation covers a wide range of areas, including employment, education, housing, and the provision of goods and services, including legal services. For legal professionals, the act serves as a vital guide, ensuring that they </w:t>
      </w:r>
      <w:r w:rsidRPr="1C945BAC" w:rsidR="18F10DEA">
        <w:rPr>
          <w:rFonts w:ascii="Calibri" w:hAnsi="Calibri" w:eastAsia="Calibri" w:cs="Calibri" w:asciiTheme="minorAscii" w:hAnsiTheme="minorAscii" w:eastAsiaTheme="minorAscii" w:cstheme="minorAscii"/>
          <w:noProof w:val="0"/>
          <w:sz w:val="24"/>
          <w:szCs w:val="24"/>
          <w:lang w:val="en-GB"/>
        </w:rPr>
        <w:t>provide</w:t>
      </w:r>
      <w:r w:rsidRPr="1C945BAC" w:rsidR="18F10DEA">
        <w:rPr>
          <w:rFonts w:ascii="Calibri" w:hAnsi="Calibri" w:eastAsia="Calibri" w:cs="Calibri" w:asciiTheme="minorAscii" w:hAnsiTheme="minorAscii" w:eastAsiaTheme="minorAscii" w:cstheme="minorAscii"/>
          <w:noProof w:val="0"/>
          <w:sz w:val="24"/>
          <w:szCs w:val="24"/>
          <w:lang w:val="en-GB"/>
        </w:rPr>
        <w:t xml:space="preserve"> equal treatment to all clients and colleagues, regardless of their protected characteristics.</w:t>
      </w:r>
    </w:p>
    <w:p xmlns:wp14="http://schemas.microsoft.com/office/word/2010/wordml" w:rsidP="1C945BAC" wp14:paraId="475A88AD" wp14:textId="6478698B">
      <w:pPr>
        <w:jc w:val="both"/>
        <w:rPr>
          <w:rFonts w:ascii="Calibri" w:hAnsi="Calibri" w:eastAsia="Calibri" w:cs="Calibri" w:asciiTheme="minorAscii" w:hAnsiTheme="minorAscii" w:eastAsiaTheme="minorAscii" w:cstheme="minorAscii"/>
          <w:noProof w:val="0"/>
          <w:sz w:val="24"/>
          <w:szCs w:val="24"/>
          <w:lang w:val="en-GB"/>
        </w:rPr>
      </w:pPr>
      <w:r w:rsidRPr="1C945BAC" w:rsidR="18F10DEA">
        <w:rPr>
          <w:rFonts w:ascii="Calibri" w:hAnsi="Calibri" w:eastAsia="Calibri" w:cs="Calibri" w:asciiTheme="minorAscii" w:hAnsiTheme="minorAscii" w:eastAsiaTheme="minorAscii" w:cstheme="minorAscii"/>
          <w:noProof w:val="0"/>
          <w:sz w:val="24"/>
          <w:szCs w:val="24"/>
          <w:lang w:val="en-GB"/>
        </w:rPr>
        <w:t xml:space="preserve">By adhering to the principles outlined in the Equality Act 2010, legal practitioners are tasked with promoting a level playing field, where no one is subjected to unfair treatment or barriers in accessing legal services. This is especially important in the legal profession, as people often seek legal </w:t>
      </w:r>
      <w:r w:rsidRPr="1C945BAC" w:rsidR="18F10DEA">
        <w:rPr>
          <w:rFonts w:ascii="Calibri" w:hAnsi="Calibri" w:eastAsia="Calibri" w:cs="Calibri" w:asciiTheme="minorAscii" w:hAnsiTheme="minorAscii" w:eastAsiaTheme="minorAscii" w:cstheme="minorAscii"/>
          <w:noProof w:val="0"/>
          <w:sz w:val="24"/>
          <w:szCs w:val="24"/>
          <w:lang w:val="en-GB"/>
        </w:rPr>
        <w:t>assistance</w:t>
      </w:r>
      <w:r w:rsidRPr="1C945BAC" w:rsidR="18F10DEA">
        <w:rPr>
          <w:rFonts w:ascii="Calibri" w:hAnsi="Calibri" w:eastAsia="Calibri" w:cs="Calibri" w:asciiTheme="minorAscii" w:hAnsiTheme="minorAscii" w:eastAsiaTheme="minorAscii" w:cstheme="minorAscii"/>
          <w:noProof w:val="0"/>
          <w:sz w:val="24"/>
          <w:szCs w:val="24"/>
          <w:lang w:val="en-GB"/>
        </w:rPr>
        <w:t xml:space="preserve"> during times of vulnerability or crisis, such as in family matters, employment disputes, or issues related to discrimination itself. By </w:t>
      </w:r>
      <w:r w:rsidRPr="1C945BAC" w:rsidR="18F10DEA">
        <w:rPr>
          <w:rFonts w:ascii="Calibri" w:hAnsi="Calibri" w:eastAsia="Calibri" w:cs="Calibri" w:asciiTheme="minorAscii" w:hAnsiTheme="minorAscii" w:eastAsiaTheme="minorAscii" w:cstheme="minorAscii"/>
          <w:noProof w:val="0"/>
          <w:sz w:val="24"/>
          <w:szCs w:val="24"/>
          <w:lang w:val="en-GB"/>
        </w:rPr>
        <w:t>providing</w:t>
      </w:r>
      <w:r w:rsidRPr="1C945BAC" w:rsidR="18F10DEA">
        <w:rPr>
          <w:rFonts w:ascii="Calibri" w:hAnsi="Calibri" w:eastAsia="Calibri" w:cs="Calibri" w:asciiTheme="minorAscii" w:hAnsiTheme="minorAscii" w:eastAsiaTheme="minorAscii" w:cstheme="minorAscii"/>
          <w:noProof w:val="0"/>
          <w:sz w:val="24"/>
          <w:szCs w:val="24"/>
          <w:lang w:val="en-GB"/>
        </w:rPr>
        <w:t xml:space="preserve"> equal and unbiased support, legal professionals can empower their clients to assert their rights and seek justice without fear of prejudice.</w:t>
      </w:r>
    </w:p>
    <w:p xmlns:wp14="http://schemas.microsoft.com/office/word/2010/wordml" w:rsidP="1C945BAC" wp14:paraId="1808D368" wp14:textId="15A4254A">
      <w:pPr>
        <w:jc w:val="both"/>
        <w:rPr>
          <w:rFonts w:ascii="Calibri" w:hAnsi="Calibri" w:eastAsia="Calibri" w:cs="Calibri" w:asciiTheme="minorAscii" w:hAnsiTheme="minorAscii" w:eastAsiaTheme="minorAscii" w:cstheme="minorAscii"/>
          <w:noProof w:val="0"/>
          <w:sz w:val="24"/>
          <w:szCs w:val="24"/>
          <w:lang w:val="en-GB"/>
        </w:rPr>
      </w:pPr>
      <w:r w:rsidRPr="1C945BAC" w:rsidR="18F10DEA">
        <w:rPr>
          <w:rFonts w:ascii="Calibri" w:hAnsi="Calibri" w:eastAsia="Calibri" w:cs="Calibri" w:asciiTheme="minorAscii" w:hAnsiTheme="minorAscii" w:eastAsiaTheme="minorAscii" w:cstheme="minorAscii"/>
          <w:noProof w:val="0"/>
          <w:sz w:val="24"/>
          <w:szCs w:val="24"/>
          <w:lang w:val="en-GB"/>
        </w:rPr>
        <w:t>Other than that, The Legal Services Act of 2007 encourages practitioners and organi</w:t>
      </w:r>
      <w:r w:rsidRPr="1C945BAC" w:rsidR="28B21C8A">
        <w:rPr>
          <w:rFonts w:ascii="Calibri" w:hAnsi="Calibri" w:eastAsia="Calibri" w:cs="Calibri" w:asciiTheme="minorAscii" w:hAnsiTheme="minorAscii" w:eastAsiaTheme="minorAscii" w:cstheme="minorAscii"/>
          <w:noProof w:val="0"/>
          <w:sz w:val="24"/>
          <w:szCs w:val="24"/>
          <w:lang w:val="en-GB"/>
        </w:rPr>
        <w:t>s</w:t>
      </w:r>
      <w:r w:rsidRPr="1C945BAC" w:rsidR="18F10DEA">
        <w:rPr>
          <w:rFonts w:ascii="Calibri" w:hAnsi="Calibri" w:eastAsia="Calibri" w:cs="Calibri" w:asciiTheme="minorAscii" w:hAnsiTheme="minorAscii" w:eastAsiaTheme="minorAscii" w:cstheme="minorAscii"/>
          <w:noProof w:val="0"/>
          <w:sz w:val="24"/>
          <w:szCs w:val="24"/>
          <w:lang w:val="en-GB"/>
        </w:rPr>
        <w:t xml:space="preserve">ations to create an environment that is free from discrimination and bias, fostering a workplace that values diversity and nurtures talent from all </w:t>
      </w:r>
      <w:bookmarkStart w:name="_Int_NUbLfyMO" w:id="110514815"/>
      <w:r w:rsidRPr="1C945BAC" w:rsidR="18F10DEA">
        <w:rPr>
          <w:rFonts w:ascii="Calibri" w:hAnsi="Calibri" w:eastAsia="Calibri" w:cs="Calibri" w:asciiTheme="minorAscii" w:hAnsiTheme="minorAscii" w:eastAsiaTheme="minorAscii" w:cstheme="minorAscii"/>
          <w:noProof w:val="0"/>
          <w:sz w:val="24"/>
          <w:szCs w:val="24"/>
          <w:lang w:val="en-GB"/>
        </w:rPr>
        <w:t>walks of life</w:t>
      </w:r>
      <w:bookmarkEnd w:id="110514815"/>
      <w:r w:rsidRPr="1C945BAC" w:rsidR="18F10DEA">
        <w:rPr>
          <w:rFonts w:ascii="Calibri" w:hAnsi="Calibri" w:eastAsia="Calibri" w:cs="Calibri" w:asciiTheme="minorAscii" w:hAnsiTheme="minorAscii" w:eastAsiaTheme="minorAscii" w:cstheme="minorAscii"/>
          <w:noProof w:val="0"/>
          <w:sz w:val="24"/>
          <w:szCs w:val="24"/>
          <w:lang w:val="en-GB"/>
        </w:rPr>
        <w:t>.</w:t>
      </w:r>
    </w:p>
    <w:p xmlns:wp14="http://schemas.microsoft.com/office/word/2010/wordml" w:rsidP="1C945BAC" wp14:paraId="62166D88" wp14:textId="5110C478">
      <w:pPr>
        <w:jc w:val="both"/>
        <w:rPr>
          <w:rFonts w:ascii="Calibri" w:hAnsi="Calibri" w:eastAsia="Calibri" w:cs="Calibri" w:asciiTheme="minorAscii" w:hAnsiTheme="minorAscii" w:eastAsiaTheme="minorAscii" w:cstheme="minorAscii"/>
          <w:noProof w:val="0"/>
          <w:sz w:val="24"/>
          <w:szCs w:val="24"/>
          <w:lang w:val="en-GB"/>
        </w:rPr>
      </w:pPr>
      <w:bookmarkStart w:name="_Int_vJQJe41h" w:id="1574844956"/>
      <w:r w:rsidRPr="1C945BAC" w:rsidR="18F10DEA">
        <w:rPr>
          <w:rFonts w:ascii="Calibri" w:hAnsi="Calibri" w:eastAsia="Calibri" w:cs="Calibri" w:asciiTheme="minorAscii" w:hAnsiTheme="minorAscii" w:eastAsiaTheme="minorAscii" w:cstheme="minorAscii"/>
          <w:noProof w:val="0"/>
          <w:sz w:val="24"/>
          <w:szCs w:val="24"/>
          <w:lang w:val="en-GB"/>
        </w:rPr>
        <w:t>Ultimately,</w:t>
      </w:r>
      <w:r w:rsidRPr="1C945BAC" w:rsidR="326452A8">
        <w:rPr>
          <w:rFonts w:ascii="Calibri" w:hAnsi="Calibri" w:eastAsia="Calibri" w:cs="Calibri" w:asciiTheme="minorAscii" w:hAnsiTheme="minorAscii" w:eastAsiaTheme="minorAscii" w:cstheme="minorAscii"/>
          <w:noProof w:val="0"/>
          <w:sz w:val="24"/>
          <w:szCs w:val="24"/>
          <w:lang w:val="en-GB"/>
        </w:rPr>
        <w:t xml:space="preserve"> </w:t>
      </w:r>
      <w:r w:rsidRPr="1C945BAC" w:rsidR="18F10DEA">
        <w:rPr>
          <w:rFonts w:ascii="Calibri" w:hAnsi="Calibri" w:eastAsia="Calibri" w:cs="Calibri" w:asciiTheme="minorAscii" w:hAnsiTheme="minorAscii" w:eastAsiaTheme="minorAscii" w:cstheme="minorAscii"/>
          <w:noProof w:val="0"/>
          <w:sz w:val="24"/>
          <w:szCs w:val="24"/>
          <w:lang w:val="en-GB"/>
        </w:rPr>
        <w:t>the</w:t>
      </w:r>
      <w:bookmarkEnd w:id="1574844956"/>
      <w:r w:rsidRPr="1C945BAC" w:rsidR="18F10DEA">
        <w:rPr>
          <w:rFonts w:ascii="Calibri" w:hAnsi="Calibri" w:eastAsia="Calibri" w:cs="Calibri" w:asciiTheme="minorAscii" w:hAnsiTheme="minorAscii" w:eastAsiaTheme="minorAscii" w:cstheme="minorAscii"/>
          <w:noProof w:val="0"/>
          <w:sz w:val="24"/>
          <w:szCs w:val="24"/>
          <w:lang w:val="en-GB"/>
        </w:rPr>
        <w:t xml:space="preserve"> commitment to </w:t>
      </w:r>
      <w:r w:rsidRPr="1C945BAC" w:rsidR="18F10DEA">
        <w:rPr>
          <w:rFonts w:ascii="Calibri" w:hAnsi="Calibri" w:eastAsia="Calibri" w:cs="Calibri" w:asciiTheme="minorAscii" w:hAnsiTheme="minorAscii" w:eastAsiaTheme="minorAscii" w:cstheme="minorAscii"/>
          <w:noProof w:val="0"/>
          <w:sz w:val="24"/>
          <w:szCs w:val="24"/>
          <w:lang w:val="en-GB"/>
        </w:rPr>
        <w:t>eliminating</w:t>
      </w:r>
      <w:r w:rsidRPr="1C945BAC" w:rsidR="18F10DEA">
        <w:rPr>
          <w:rFonts w:ascii="Calibri" w:hAnsi="Calibri" w:eastAsia="Calibri" w:cs="Calibri" w:asciiTheme="minorAscii" w:hAnsiTheme="minorAscii" w:eastAsiaTheme="minorAscii" w:cstheme="minorAscii"/>
          <w:noProof w:val="0"/>
          <w:sz w:val="24"/>
          <w:szCs w:val="24"/>
          <w:lang w:val="en-GB"/>
        </w:rPr>
        <w:t xml:space="preserve"> discrimination within the legal profession extends to the pursuit of a diverse and inclusive workforce. Law firms and legal institutions are encouraged to adopt policies that promote diversity in hiring, retention, and promotion practices. By actively seeking out and nurturing talent from diverse backgrounds, the legal profession can create a more representative and empathetic workforce, which better understands the unique needs and challenges faced by clients from all </w:t>
      </w:r>
      <w:bookmarkStart w:name="_Int_nVW1I0Vr" w:id="1377349419"/>
      <w:r w:rsidRPr="1C945BAC" w:rsidR="18F10DEA">
        <w:rPr>
          <w:rFonts w:ascii="Calibri" w:hAnsi="Calibri" w:eastAsia="Calibri" w:cs="Calibri" w:asciiTheme="minorAscii" w:hAnsiTheme="minorAscii" w:eastAsiaTheme="minorAscii" w:cstheme="minorAscii"/>
          <w:noProof w:val="0"/>
          <w:sz w:val="24"/>
          <w:szCs w:val="24"/>
          <w:lang w:val="en-GB"/>
        </w:rPr>
        <w:t>walks of life</w:t>
      </w:r>
      <w:bookmarkEnd w:id="1377349419"/>
      <w:r w:rsidRPr="1C945BAC" w:rsidR="18F10DEA">
        <w:rPr>
          <w:rFonts w:ascii="Calibri" w:hAnsi="Calibri" w:eastAsia="Calibri" w:cs="Calibri" w:asciiTheme="minorAscii" w:hAnsiTheme="minorAscii" w:eastAsiaTheme="minorAscii" w:cstheme="minorAscii"/>
          <w:noProof w:val="0"/>
          <w:sz w:val="24"/>
          <w:szCs w:val="24"/>
          <w:lang w:val="en-GB"/>
        </w:rPr>
        <w:t>.</w:t>
      </w:r>
    </w:p>
    <w:p xmlns:wp14="http://schemas.microsoft.com/office/word/2010/wordml" w:rsidP="1C945BAC" wp14:paraId="0274DF42" wp14:textId="73428C87">
      <w:pPr>
        <w:jc w:val="both"/>
        <w:rPr>
          <w:rFonts w:ascii="Calibri" w:hAnsi="Calibri" w:eastAsia="Calibri" w:cs="Calibri" w:asciiTheme="minorAscii" w:hAnsiTheme="minorAscii" w:eastAsiaTheme="minorAscii" w:cstheme="minorAscii"/>
          <w:b w:val="1"/>
          <w:bCs w:val="1"/>
          <w:noProof w:val="0"/>
          <w:sz w:val="24"/>
          <w:szCs w:val="24"/>
          <w:lang w:val="en-GB"/>
        </w:rPr>
      </w:pPr>
      <w:r w:rsidRPr="1C945BAC" w:rsidR="18F10DEA">
        <w:rPr>
          <w:rFonts w:ascii="Calibri" w:hAnsi="Calibri" w:eastAsia="Calibri" w:cs="Calibri" w:asciiTheme="minorAscii" w:hAnsiTheme="minorAscii" w:eastAsiaTheme="minorAscii" w:cstheme="minorAscii"/>
          <w:b w:val="1"/>
          <w:bCs w:val="1"/>
          <w:noProof w:val="0"/>
          <w:sz w:val="24"/>
          <w:szCs w:val="24"/>
          <w:lang w:val="en-GB"/>
        </w:rPr>
        <w:t>Enhancing Decision-Making through a Diverse Legal Profession</w:t>
      </w:r>
    </w:p>
    <w:p xmlns:wp14="http://schemas.microsoft.com/office/word/2010/wordml" w:rsidP="1C945BAC" wp14:paraId="30AD6EE5" wp14:textId="338FD158">
      <w:pPr>
        <w:jc w:val="both"/>
        <w:rPr>
          <w:rFonts w:ascii="Calibri" w:hAnsi="Calibri" w:eastAsia="Calibri" w:cs="Calibri" w:asciiTheme="minorAscii" w:hAnsiTheme="minorAscii" w:eastAsiaTheme="minorAscii" w:cstheme="minorAscii"/>
          <w:noProof w:val="0"/>
          <w:sz w:val="24"/>
          <w:szCs w:val="24"/>
          <w:lang w:val="en-GB"/>
        </w:rPr>
      </w:pPr>
      <w:r w:rsidRPr="1C945BAC" w:rsidR="18F10DEA">
        <w:rPr>
          <w:rFonts w:ascii="Calibri" w:hAnsi="Calibri" w:eastAsia="Calibri" w:cs="Calibri" w:asciiTheme="minorAscii" w:hAnsiTheme="minorAscii" w:eastAsiaTheme="minorAscii" w:cstheme="minorAscii"/>
          <w:noProof w:val="0"/>
          <w:sz w:val="24"/>
          <w:szCs w:val="24"/>
          <w:lang w:val="en-GB"/>
        </w:rPr>
        <w:t xml:space="preserve">A diverse legal profession stands as a testament to the power of inclusion and representation, bringing together individuals from different </w:t>
      </w:r>
      <w:bookmarkStart w:name="_Int_F5Z1u9Os" w:id="568999999"/>
      <w:r w:rsidRPr="1C945BAC" w:rsidR="18F10DEA">
        <w:rPr>
          <w:rFonts w:ascii="Calibri" w:hAnsi="Calibri" w:eastAsia="Calibri" w:cs="Calibri" w:asciiTheme="minorAscii" w:hAnsiTheme="minorAscii" w:eastAsiaTheme="minorAscii" w:cstheme="minorAscii"/>
          <w:noProof w:val="0"/>
          <w:sz w:val="24"/>
          <w:szCs w:val="24"/>
          <w:lang w:val="en-GB"/>
        </w:rPr>
        <w:t>walks of life</w:t>
      </w:r>
      <w:bookmarkEnd w:id="568999999"/>
      <w:r w:rsidRPr="1C945BAC" w:rsidR="18F10DEA">
        <w:rPr>
          <w:rFonts w:ascii="Calibri" w:hAnsi="Calibri" w:eastAsia="Calibri" w:cs="Calibri" w:asciiTheme="minorAscii" w:hAnsiTheme="minorAscii" w:eastAsiaTheme="minorAscii" w:cstheme="minorAscii"/>
          <w:noProof w:val="0"/>
          <w:sz w:val="24"/>
          <w:szCs w:val="24"/>
          <w:lang w:val="en-GB"/>
        </w:rPr>
        <w:t xml:space="preserve">, with varied perspectives, experiences, and backgrounds. This diversity is not just a matter of fulfilling quotas or meeting legal requirements; rather, it has a profound impact on the decision-making process within the legal field. By encompassing a wide range of viewpoints, a diverse legal workforce enriches the quality of decisions made, leading to more comprehensive and innovative solutions to complex legal </w:t>
      </w:r>
      <w:r w:rsidRPr="1C945BAC" w:rsidR="4FA60FF2">
        <w:rPr>
          <w:rFonts w:ascii="Calibri" w:hAnsi="Calibri" w:eastAsia="Calibri" w:cs="Calibri" w:asciiTheme="minorAscii" w:hAnsiTheme="minorAscii" w:eastAsiaTheme="minorAscii" w:cstheme="minorAscii"/>
          <w:noProof w:val="0"/>
          <w:sz w:val="24"/>
          <w:szCs w:val="24"/>
          <w:lang w:val="en-GB"/>
        </w:rPr>
        <w:t>matters (</w:t>
      </w:r>
      <w:r w:rsidRPr="1C945BAC" w:rsidR="18F10DEA">
        <w:rPr>
          <w:rFonts w:ascii="Calibri" w:hAnsi="Calibri" w:eastAsia="Calibri" w:cs="Calibri" w:asciiTheme="minorAscii" w:hAnsiTheme="minorAscii" w:eastAsiaTheme="minorAscii" w:cstheme="minorAscii"/>
          <w:noProof w:val="0"/>
          <w:sz w:val="24"/>
          <w:szCs w:val="24"/>
          <w:lang w:val="en-GB"/>
        </w:rPr>
        <w:t>Huang, 2014).</w:t>
      </w:r>
    </w:p>
    <w:p xmlns:wp14="http://schemas.microsoft.com/office/word/2010/wordml" w:rsidP="1C945BAC" wp14:paraId="7D049F77" wp14:textId="44B2FC8E">
      <w:pPr>
        <w:jc w:val="both"/>
        <w:rPr>
          <w:rFonts w:ascii="Calibri" w:hAnsi="Calibri" w:eastAsia="Calibri" w:cs="Calibri" w:asciiTheme="minorAscii" w:hAnsiTheme="minorAscii" w:eastAsiaTheme="minorAscii" w:cstheme="minorAscii"/>
          <w:noProof w:val="0"/>
          <w:sz w:val="24"/>
          <w:szCs w:val="24"/>
          <w:lang w:val="en-GB"/>
        </w:rPr>
      </w:pPr>
      <w:r w:rsidRPr="1C945BAC" w:rsidR="18F10DEA">
        <w:rPr>
          <w:rFonts w:ascii="Calibri" w:hAnsi="Calibri" w:eastAsia="Calibri" w:cs="Calibri" w:asciiTheme="minorAscii" w:hAnsiTheme="minorAscii" w:eastAsiaTheme="minorAscii" w:cstheme="minorAscii"/>
          <w:noProof w:val="0"/>
          <w:sz w:val="24"/>
          <w:szCs w:val="24"/>
          <w:lang w:val="en-GB"/>
        </w:rPr>
        <w:t>The strength of a diverse legal profession lies in the fact that it reflects the diverse society it serves. In today's interconnected world, legal issues are rarely confined to a single community or demographic. Matters can involve individuals from various cultural backgrounds, ethnicities, religions, genders, ages, and socio-economic statuses. When legal teams are composed of individuals from these diverse backgrounds, they can draw upon their unique experiences and insights to offer a more nuanced and well-rounded understanding of the challenges at hand.</w:t>
      </w:r>
    </w:p>
    <w:p xmlns:wp14="http://schemas.microsoft.com/office/word/2010/wordml" w:rsidP="1C945BAC" wp14:paraId="752EAE75" wp14:textId="1F47B04F">
      <w:pPr>
        <w:jc w:val="both"/>
        <w:rPr>
          <w:rFonts w:ascii="Calibri" w:hAnsi="Calibri" w:eastAsia="Calibri" w:cs="Calibri" w:asciiTheme="minorAscii" w:hAnsiTheme="minorAscii" w:eastAsiaTheme="minorAscii" w:cstheme="minorAscii"/>
          <w:noProof w:val="0"/>
          <w:sz w:val="24"/>
          <w:szCs w:val="24"/>
          <w:lang w:val="en-GB"/>
        </w:rPr>
      </w:pPr>
      <w:r w:rsidRPr="1C945BAC" w:rsidR="18F10DEA">
        <w:rPr>
          <w:rFonts w:ascii="Calibri" w:hAnsi="Calibri" w:eastAsia="Calibri" w:cs="Calibri" w:asciiTheme="minorAscii" w:hAnsiTheme="minorAscii" w:eastAsiaTheme="minorAscii" w:cstheme="minorAscii"/>
          <w:noProof w:val="0"/>
          <w:sz w:val="24"/>
          <w:szCs w:val="24"/>
          <w:lang w:val="en-GB"/>
        </w:rPr>
        <w:t>The Equality Act 2010 underscores the significance of diversity within organi</w:t>
      </w:r>
      <w:r w:rsidRPr="1C945BAC" w:rsidR="42FA22FA">
        <w:rPr>
          <w:rFonts w:ascii="Calibri" w:hAnsi="Calibri" w:eastAsia="Calibri" w:cs="Calibri" w:asciiTheme="minorAscii" w:hAnsiTheme="minorAscii" w:eastAsiaTheme="minorAscii" w:cstheme="minorAscii"/>
          <w:noProof w:val="0"/>
          <w:sz w:val="24"/>
          <w:szCs w:val="24"/>
          <w:lang w:val="en-GB"/>
        </w:rPr>
        <w:t>s</w:t>
      </w:r>
      <w:r w:rsidRPr="1C945BAC" w:rsidR="18F10DEA">
        <w:rPr>
          <w:rFonts w:ascii="Calibri" w:hAnsi="Calibri" w:eastAsia="Calibri" w:cs="Calibri" w:asciiTheme="minorAscii" w:hAnsiTheme="minorAscii" w:eastAsiaTheme="minorAscii" w:cstheme="minorAscii"/>
          <w:noProof w:val="0"/>
          <w:sz w:val="24"/>
          <w:szCs w:val="24"/>
          <w:lang w:val="en-GB"/>
        </w:rPr>
        <w:t>ations, including law firms and legal bodies. It encourages these entities to actively embrace diversity measures to create a workforce that represents the wide spectrum of society. By doing so, organi</w:t>
      </w:r>
      <w:r w:rsidRPr="1C945BAC" w:rsidR="6ABC56E4">
        <w:rPr>
          <w:rFonts w:ascii="Calibri" w:hAnsi="Calibri" w:eastAsia="Calibri" w:cs="Calibri" w:asciiTheme="minorAscii" w:hAnsiTheme="minorAscii" w:eastAsiaTheme="minorAscii" w:cstheme="minorAscii"/>
          <w:noProof w:val="0"/>
          <w:sz w:val="24"/>
          <w:szCs w:val="24"/>
          <w:lang w:val="en-GB"/>
        </w:rPr>
        <w:t>s</w:t>
      </w:r>
      <w:r w:rsidRPr="1C945BAC" w:rsidR="18F10DEA">
        <w:rPr>
          <w:rFonts w:ascii="Calibri" w:hAnsi="Calibri" w:eastAsia="Calibri" w:cs="Calibri" w:asciiTheme="minorAscii" w:hAnsiTheme="minorAscii" w:eastAsiaTheme="minorAscii" w:cstheme="minorAscii"/>
          <w:noProof w:val="0"/>
          <w:sz w:val="24"/>
          <w:szCs w:val="24"/>
          <w:lang w:val="en-GB"/>
        </w:rPr>
        <w:t>ations can foster an inclusive culture where individuals from diverse backgrounds are not only welcomed but also empowered to contribute meaningfully to the decision-making process.</w:t>
      </w:r>
    </w:p>
    <w:p xmlns:wp14="http://schemas.microsoft.com/office/word/2010/wordml" w:rsidP="1C945BAC" wp14:paraId="02403864" wp14:textId="057209EE">
      <w:pPr>
        <w:jc w:val="both"/>
        <w:rPr>
          <w:rFonts w:ascii="Calibri" w:hAnsi="Calibri" w:eastAsia="Calibri" w:cs="Calibri" w:asciiTheme="minorAscii" w:hAnsiTheme="minorAscii" w:eastAsiaTheme="minorAscii" w:cstheme="minorAscii"/>
          <w:noProof w:val="0"/>
          <w:sz w:val="24"/>
          <w:szCs w:val="24"/>
          <w:lang w:val="en-GB"/>
        </w:rPr>
      </w:pPr>
      <w:r w:rsidRPr="1C945BAC" w:rsidR="18F10DEA">
        <w:rPr>
          <w:rFonts w:ascii="Calibri" w:hAnsi="Calibri" w:eastAsia="Calibri" w:cs="Calibri" w:asciiTheme="minorAscii" w:hAnsiTheme="minorAscii" w:eastAsiaTheme="minorAscii" w:cstheme="minorAscii"/>
          <w:noProof w:val="0"/>
          <w:sz w:val="24"/>
          <w:szCs w:val="24"/>
          <w:lang w:val="en-GB"/>
        </w:rPr>
        <w:t xml:space="preserve">Beyond </w:t>
      </w:r>
      <w:r w:rsidRPr="1C945BAC" w:rsidR="18F10DEA">
        <w:rPr>
          <w:rFonts w:ascii="Calibri" w:hAnsi="Calibri" w:eastAsia="Calibri" w:cs="Calibri" w:asciiTheme="minorAscii" w:hAnsiTheme="minorAscii" w:eastAsiaTheme="minorAscii" w:cstheme="minorAscii"/>
          <w:noProof w:val="0"/>
          <w:sz w:val="24"/>
          <w:szCs w:val="24"/>
          <w:lang w:val="en-GB"/>
        </w:rPr>
        <w:t>complying with</w:t>
      </w:r>
      <w:r w:rsidRPr="1C945BAC" w:rsidR="18F10DEA">
        <w:rPr>
          <w:rFonts w:ascii="Calibri" w:hAnsi="Calibri" w:eastAsia="Calibri" w:cs="Calibri" w:asciiTheme="minorAscii" w:hAnsiTheme="minorAscii" w:eastAsiaTheme="minorAscii" w:cstheme="minorAscii"/>
          <w:noProof w:val="0"/>
          <w:sz w:val="24"/>
          <w:szCs w:val="24"/>
          <w:lang w:val="en-GB"/>
        </w:rPr>
        <w:t xml:space="preserve"> legal obligations, embracing diversity within the legal profession reflects a commitment to the pursuit of excellence. A diverse legal team can attract top talent from </w:t>
      </w:r>
      <w:bookmarkStart w:name="_Int_hPbNrxOh" w:id="931820331"/>
      <w:r w:rsidRPr="1C945BAC" w:rsidR="18F10DEA">
        <w:rPr>
          <w:rFonts w:ascii="Calibri" w:hAnsi="Calibri" w:eastAsia="Calibri" w:cs="Calibri" w:asciiTheme="minorAscii" w:hAnsiTheme="minorAscii" w:eastAsiaTheme="minorAscii" w:cstheme="minorAscii"/>
          <w:noProof w:val="0"/>
          <w:sz w:val="24"/>
          <w:szCs w:val="24"/>
          <w:lang w:val="en-GB"/>
        </w:rPr>
        <w:t>different backgrounds</w:t>
      </w:r>
      <w:bookmarkEnd w:id="931820331"/>
      <w:r w:rsidRPr="1C945BAC" w:rsidR="18F10DEA">
        <w:rPr>
          <w:rFonts w:ascii="Calibri" w:hAnsi="Calibri" w:eastAsia="Calibri" w:cs="Calibri" w:asciiTheme="minorAscii" w:hAnsiTheme="minorAscii" w:eastAsiaTheme="minorAscii" w:cstheme="minorAscii"/>
          <w:noProof w:val="0"/>
          <w:sz w:val="24"/>
          <w:szCs w:val="24"/>
          <w:lang w:val="en-GB"/>
        </w:rPr>
        <w:t xml:space="preserve">, fostering an environment of intellectual stimulation and continuous learning. This diversity of thought can lead to </w:t>
      </w:r>
      <w:bookmarkStart w:name="_Int_Y1cyciDj" w:id="1234693183"/>
      <w:r w:rsidRPr="1C945BAC" w:rsidR="18F10DEA">
        <w:rPr>
          <w:rFonts w:ascii="Calibri" w:hAnsi="Calibri" w:eastAsia="Calibri" w:cs="Calibri" w:asciiTheme="minorAscii" w:hAnsiTheme="minorAscii" w:eastAsiaTheme="minorAscii" w:cstheme="minorAscii"/>
          <w:noProof w:val="0"/>
          <w:sz w:val="24"/>
          <w:szCs w:val="24"/>
          <w:lang w:val="en-GB"/>
        </w:rPr>
        <w:t>new approaches</w:t>
      </w:r>
      <w:bookmarkEnd w:id="1234693183"/>
      <w:r w:rsidRPr="1C945BAC" w:rsidR="18F10DEA">
        <w:rPr>
          <w:rFonts w:ascii="Calibri" w:hAnsi="Calibri" w:eastAsia="Calibri" w:cs="Calibri" w:asciiTheme="minorAscii" w:hAnsiTheme="minorAscii" w:eastAsiaTheme="minorAscii" w:cstheme="minorAscii"/>
          <w:noProof w:val="0"/>
          <w:sz w:val="24"/>
          <w:szCs w:val="24"/>
          <w:lang w:val="en-GB"/>
        </w:rPr>
        <w:t xml:space="preserve"> and strategies that may not have been considered otherwise, </w:t>
      </w:r>
      <w:bookmarkStart w:name="_Int_JfxRpvOA" w:id="1700273416"/>
      <w:r w:rsidRPr="1C945BAC" w:rsidR="18F10DEA">
        <w:rPr>
          <w:rFonts w:ascii="Calibri" w:hAnsi="Calibri" w:eastAsia="Calibri" w:cs="Calibri" w:asciiTheme="minorAscii" w:hAnsiTheme="minorAscii" w:eastAsiaTheme="minorAscii" w:cstheme="minorAscii"/>
          <w:noProof w:val="0"/>
          <w:sz w:val="24"/>
          <w:szCs w:val="24"/>
          <w:lang w:val="en-GB"/>
        </w:rPr>
        <w:t xml:space="preserve">ultimately </w:t>
      </w:r>
      <w:r w:rsidRPr="1C945BAC" w:rsidR="18F10DEA">
        <w:rPr>
          <w:rFonts w:ascii="Calibri" w:hAnsi="Calibri" w:eastAsia="Calibri" w:cs="Calibri" w:asciiTheme="minorAscii" w:hAnsiTheme="minorAscii" w:eastAsiaTheme="minorAscii" w:cstheme="minorAscii"/>
          <w:noProof w:val="0"/>
          <w:sz w:val="24"/>
          <w:szCs w:val="24"/>
          <w:lang w:val="en-GB"/>
        </w:rPr>
        <w:t>benefiting</w:t>
      </w:r>
      <w:bookmarkEnd w:id="1700273416"/>
      <w:r w:rsidRPr="1C945BAC" w:rsidR="18F10DEA">
        <w:rPr>
          <w:rFonts w:ascii="Calibri" w:hAnsi="Calibri" w:eastAsia="Calibri" w:cs="Calibri" w:asciiTheme="minorAscii" w:hAnsiTheme="minorAscii" w:eastAsiaTheme="minorAscii" w:cstheme="minorAscii"/>
          <w:noProof w:val="0"/>
          <w:sz w:val="24"/>
          <w:szCs w:val="24"/>
          <w:lang w:val="en-GB"/>
        </w:rPr>
        <w:t xml:space="preserve"> the clients and the legal </w:t>
      </w:r>
      <w:bookmarkStart w:name="_Int_tAWezd07" w:id="122557560"/>
      <w:r w:rsidRPr="1C945BAC" w:rsidR="18F10DEA">
        <w:rPr>
          <w:rFonts w:ascii="Calibri" w:hAnsi="Calibri" w:eastAsia="Calibri" w:cs="Calibri" w:asciiTheme="minorAscii" w:hAnsiTheme="minorAscii" w:eastAsiaTheme="minorAscii" w:cstheme="minorAscii"/>
          <w:noProof w:val="0"/>
          <w:sz w:val="24"/>
          <w:szCs w:val="24"/>
          <w:lang w:val="en-GB"/>
        </w:rPr>
        <w:t>profession as a whole</w:t>
      </w:r>
      <w:bookmarkEnd w:id="122557560"/>
      <w:r w:rsidRPr="1C945BAC" w:rsidR="18F10DEA">
        <w:rPr>
          <w:rFonts w:ascii="Calibri" w:hAnsi="Calibri" w:eastAsia="Calibri" w:cs="Calibri" w:asciiTheme="minorAscii" w:hAnsiTheme="minorAscii" w:eastAsiaTheme="minorAscii" w:cstheme="minorAscii"/>
          <w:noProof w:val="0"/>
          <w:sz w:val="24"/>
          <w:szCs w:val="24"/>
          <w:lang w:val="en-GB"/>
        </w:rPr>
        <w:t>.</w:t>
      </w:r>
    </w:p>
    <w:p xmlns:wp14="http://schemas.microsoft.com/office/word/2010/wordml" w:rsidP="1C945BAC" wp14:paraId="24BE4CA0" wp14:textId="07BC15AD">
      <w:pPr>
        <w:jc w:val="both"/>
        <w:rPr>
          <w:rFonts w:ascii="Calibri" w:hAnsi="Calibri" w:eastAsia="Calibri" w:cs="Calibri" w:asciiTheme="minorAscii" w:hAnsiTheme="minorAscii" w:eastAsiaTheme="minorAscii" w:cstheme="minorAscii"/>
          <w:b w:val="1"/>
          <w:bCs w:val="1"/>
          <w:noProof w:val="0"/>
          <w:sz w:val="24"/>
          <w:szCs w:val="24"/>
          <w:lang w:val="en-GB"/>
        </w:rPr>
      </w:pPr>
      <w:r w:rsidRPr="1C945BAC" w:rsidR="18F10DEA">
        <w:rPr>
          <w:rFonts w:ascii="Calibri" w:hAnsi="Calibri" w:eastAsia="Calibri" w:cs="Calibri" w:asciiTheme="minorAscii" w:hAnsiTheme="minorAscii" w:eastAsiaTheme="minorAscii" w:cstheme="minorAscii"/>
          <w:b w:val="1"/>
          <w:bCs w:val="1"/>
          <w:noProof w:val="0"/>
          <w:sz w:val="24"/>
          <w:szCs w:val="24"/>
          <w:lang w:val="en-GB"/>
        </w:rPr>
        <w:t>Conclusion</w:t>
      </w:r>
    </w:p>
    <w:p xmlns:wp14="http://schemas.microsoft.com/office/word/2010/wordml" w:rsidP="1C945BAC" wp14:paraId="4EC9311D" wp14:textId="02AE2F19">
      <w:pPr>
        <w:jc w:val="both"/>
        <w:rPr>
          <w:rFonts w:ascii="Calibri" w:hAnsi="Calibri" w:eastAsia="Calibri" w:cs="Calibri" w:asciiTheme="minorAscii" w:hAnsiTheme="minorAscii" w:eastAsiaTheme="minorAscii" w:cstheme="minorAscii"/>
          <w:noProof w:val="0"/>
          <w:sz w:val="24"/>
          <w:szCs w:val="24"/>
          <w:lang w:val="en-GB"/>
        </w:rPr>
      </w:pPr>
      <w:r w:rsidRPr="1C945BAC" w:rsidR="18F10DEA">
        <w:rPr>
          <w:rFonts w:ascii="Calibri" w:hAnsi="Calibri" w:eastAsia="Calibri" w:cs="Calibri" w:asciiTheme="minorAscii" w:hAnsiTheme="minorAscii" w:eastAsiaTheme="minorAscii" w:cstheme="minorAscii"/>
          <w:noProof w:val="0"/>
          <w:sz w:val="24"/>
          <w:szCs w:val="24"/>
          <w:lang w:val="en-GB"/>
        </w:rPr>
        <w:t>The legal profession must adhere to the essential principles of equality and diversity, treating individuals and groups fairly and without discrimination. Embracing these values fosters public trust and confidence in the legal system. To guide legal practitioners and organi</w:t>
      </w:r>
      <w:r w:rsidRPr="1C945BAC" w:rsidR="4B15BB15">
        <w:rPr>
          <w:rFonts w:ascii="Calibri" w:hAnsi="Calibri" w:eastAsia="Calibri" w:cs="Calibri" w:asciiTheme="minorAscii" w:hAnsiTheme="minorAscii" w:eastAsiaTheme="minorAscii" w:cstheme="minorAscii"/>
          <w:noProof w:val="0"/>
          <w:sz w:val="24"/>
          <w:szCs w:val="24"/>
          <w:lang w:val="en-GB"/>
        </w:rPr>
        <w:t>s</w:t>
      </w:r>
      <w:r w:rsidRPr="1C945BAC" w:rsidR="18F10DEA">
        <w:rPr>
          <w:rFonts w:ascii="Calibri" w:hAnsi="Calibri" w:eastAsia="Calibri" w:cs="Calibri" w:asciiTheme="minorAscii" w:hAnsiTheme="minorAscii" w:eastAsiaTheme="minorAscii" w:cstheme="minorAscii"/>
          <w:noProof w:val="0"/>
          <w:sz w:val="24"/>
          <w:szCs w:val="24"/>
          <w:lang w:val="en-GB"/>
        </w:rPr>
        <w:t xml:space="preserve">ations in promoting these principles, the Equality Act 2010, the Legal Services Act 2007, and the SRA Code of Conduct 2019 </w:t>
      </w:r>
      <w:r w:rsidRPr="1C945BAC" w:rsidR="18F10DEA">
        <w:rPr>
          <w:rFonts w:ascii="Calibri" w:hAnsi="Calibri" w:eastAsia="Calibri" w:cs="Calibri" w:asciiTheme="minorAscii" w:hAnsiTheme="minorAscii" w:eastAsiaTheme="minorAscii" w:cstheme="minorAscii"/>
          <w:noProof w:val="0"/>
          <w:sz w:val="24"/>
          <w:szCs w:val="24"/>
          <w:lang w:val="en-GB"/>
        </w:rPr>
        <w:t>provide</w:t>
      </w:r>
      <w:r w:rsidRPr="1C945BAC" w:rsidR="18F10DEA">
        <w:rPr>
          <w:rFonts w:ascii="Calibri" w:hAnsi="Calibri" w:eastAsia="Calibri" w:cs="Calibri" w:asciiTheme="minorAscii" w:hAnsiTheme="minorAscii" w:eastAsiaTheme="minorAscii" w:cstheme="minorAscii"/>
          <w:noProof w:val="0"/>
          <w:sz w:val="24"/>
          <w:szCs w:val="24"/>
          <w:lang w:val="en-GB"/>
        </w:rPr>
        <w:t xml:space="preserve"> a framework. By doing so, the legal profession can better serve society, improve decision-making, and attract diverse talent, </w:t>
      </w:r>
      <w:bookmarkStart w:name="_Int_m2q9U4yl" w:id="98229476"/>
      <w:r w:rsidRPr="1C945BAC" w:rsidR="18F10DEA">
        <w:rPr>
          <w:rFonts w:ascii="Calibri" w:hAnsi="Calibri" w:eastAsia="Calibri" w:cs="Calibri" w:asciiTheme="minorAscii" w:hAnsiTheme="minorAscii" w:eastAsiaTheme="minorAscii" w:cstheme="minorAscii"/>
          <w:noProof w:val="0"/>
          <w:sz w:val="24"/>
          <w:szCs w:val="24"/>
          <w:lang w:val="en-GB"/>
        </w:rPr>
        <w:t>ultimately contributing</w:t>
      </w:r>
      <w:bookmarkEnd w:id="98229476"/>
      <w:r w:rsidRPr="1C945BAC" w:rsidR="18F10DEA">
        <w:rPr>
          <w:rFonts w:ascii="Calibri" w:hAnsi="Calibri" w:eastAsia="Calibri" w:cs="Calibri" w:asciiTheme="minorAscii" w:hAnsiTheme="minorAscii" w:eastAsiaTheme="minorAscii" w:cstheme="minorAscii"/>
          <w:noProof w:val="0"/>
          <w:sz w:val="24"/>
          <w:szCs w:val="24"/>
          <w:lang w:val="en-GB"/>
        </w:rPr>
        <w:t xml:space="preserve"> to a more just and inclusive society.</w:t>
      </w:r>
    </w:p>
    <w:p xmlns:wp14="http://schemas.microsoft.com/office/word/2010/wordml" w:rsidP="1C945BAC" wp14:paraId="442CFF94" wp14:textId="382265B9">
      <w:pPr>
        <w:rPr>
          <w:rFonts w:ascii="Calibri" w:hAnsi="Calibri" w:eastAsia="Calibri" w:cs="Calibri" w:asciiTheme="minorAscii" w:hAnsiTheme="minorAscii" w:eastAsiaTheme="minorAscii" w:cstheme="minorAscii"/>
          <w:sz w:val="24"/>
          <w:szCs w:val="24"/>
        </w:rPr>
      </w:pPr>
    </w:p>
    <w:p xmlns:wp14="http://schemas.microsoft.com/office/word/2010/wordml" w:rsidP="1C945BAC" wp14:paraId="64008A0F" wp14:textId="7BA79377">
      <w:pPr>
        <w:jc w:val="both"/>
        <w:rPr>
          <w:rFonts w:ascii="Calibri" w:hAnsi="Calibri" w:eastAsia="Calibri" w:cs="Calibri" w:asciiTheme="minorAscii" w:hAnsiTheme="minorAscii" w:eastAsiaTheme="minorAscii" w:cstheme="minorAscii"/>
          <w:b w:val="1"/>
          <w:bCs w:val="1"/>
          <w:noProof w:val="0"/>
          <w:sz w:val="24"/>
          <w:szCs w:val="24"/>
          <w:lang w:val="en-GB"/>
        </w:rPr>
      </w:pPr>
      <w:r w:rsidRPr="1C945BAC" w:rsidR="366C63D5">
        <w:rPr>
          <w:rFonts w:ascii="Calibri" w:hAnsi="Calibri" w:eastAsia="Calibri" w:cs="Calibri" w:asciiTheme="minorAscii" w:hAnsiTheme="minorAscii" w:eastAsiaTheme="minorAscii" w:cstheme="minorAscii"/>
          <w:b w:val="1"/>
          <w:bCs w:val="1"/>
          <w:noProof w:val="0"/>
          <w:sz w:val="24"/>
          <w:szCs w:val="24"/>
          <w:lang w:val="en-GB"/>
        </w:rPr>
        <w:t>References</w:t>
      </w:r>
    </w:p>
    <w:p xmlns:wp14="http://schemas.microsoft.com/office/word/2010/wordml" w:rsidP="1C945BAC" wp14:paraId="2E3ACEF6" wp14:textId="3FB12C4F">
      <w:pPr>
        <w:jc w:val="both"/>
        <w:rPr>
          <w:rFonts w:ascii="Calibri" w:hAnsi="Calibri" w:eastAsia="Calibri" w:cs="Calibri" w:asciiTheme="minorAscii" w:hAnsiTheme="minorAscii" w:eastAsiaTheme="minorAscii" w:cstheme="minorAscii"/>
          <w:b w:val="1"/>
          <w:bCs w:val="1"/>
          <w:noProof w:val="0"/>
          <w:sz w:val="24"/>
          <w:szCs w:val="24"/>
          <w:lang w:val="en-GB"/>
        </w:rPr>
      </w:pPr>
      <w:r w:rsidRPr="1C945BAC" w:rsidR="366C63D5">
        <w:rPr>
          <w:rFonts w:ascii="Calibri" w:hAnsi="Calibri" w:eastAsia="Calibri" w:cs="Calibri" w:asciiTheme="minorAscii" w:hAnsiTheme="minorAscii" w:eastAsiaTheme="minorAscii" w:cstheme="minorAscii"/>
          <w:b w:val="1"/>
          <w:bCs w:val="1"/>
          <w:noProof w:val="0"/>
          <w:sz w:val="24"/>
          <w:szCs w:val="24"/>
          <w:lang w:val="en-GB"/>
        </w:rPr>
        <w:t>Legislations</w:t>
      </w:r>
    </w:p>
    <w:p xmlns:wp14="http://schemas.microsoft.com/office/word/2010/wordml" w:rsidP="1C945BAC" wp14:paraId="116153FB" wp14:textId="4830F198">
      <w:pPr>
        <w:jc w:val="both"/>
        <w:rPr>
          <w:rFonts w:ascii="Calibri" w:hAnsi="Calibri" w:eastAsia="Calibri" w:cs="Calibri" w:asciiTheme="minorAscii" w:hAnsiTheme="minorAscii" w:eastAsiaTheme="minorAscii" w:cstheme="minorAscii"/>
          <w:noProof w:val="0"/>
          <w:sz w:val="24"/>
          <w:szCs w:val="24"/>
          <w:lang w:val="en-GB"/>
        </w:rPr>
      </w:pPr>
      <w:r w:rsidRPr="1C945BAC" w:rsidR="366C63D5">
        <w:rPr>
          <w:rFonts w:ascii="Calibri" w:hAnsi="Calibri" w:eastAsia="Calibri" w:cs="Calibri" w:asciiTheme="minorAscii" w:hAnsiTheme="minorAscii" w:eastAsiaTheme="minorAscii" w:cstheme="minorAscii"/>
          <w:noProof w:val="0"/>
          <w:sz w:val="24"/>
          <w:szCs w:val="24"/>
          <w:lang w:val="en-GB"/>
        </w:rPr>
        <w:t>Equality Act 2010</w:t>
      </w:r>
    </w:p>
    <w:p xmlns:wp14="http://schemas.microsoft.com/office/word/2010/wordml" w:rsidP="1C945BAC" wp14:paraId="19942535" wp14:textId="2E1D61A3">
      <w:pPr>
        <w:jc w:val="both"/>
        <w:rPr>
          <w:rFonts w:ascii="Calibri" w:hAnsi="Calibri" w:eastAsia="Calibri" w:cs="Calibri" w:asciiTheme="minorAscii" w:hAnsiTheme="minorAscii" w:eastAsiaTheme="minorAscii" w:cstheme="minorAscii"/>
          <w:noProof w:val="0"/>
          <w:sz w:val="24"/>
          <w:szCs w:val="24"/>
          <w:lang w:val="en-GB"/>
        </w:rPr>
      </w:pPr>
      <w:r w:rsidRPr="1C945BAC" w:rsidR="366C63D5">
        <w:rPr>
          <w:rFonts w:ascii="Calibri" w:hAnsi="Calibri" w:eastAsia="Calibri" w:cs="Calibri" w:asciiTheme="minorAscii" w:hAnsiTheme="minorAscii" w:eastAsiaTheme="minorAscii" w:cstheme="minorAscii"/>
          <w:noProof w:val="0"/>
          <w:sz w:val="24"/>
          <w:szCs w:val="24"/>
          <w:lang w:val="en-GB"/>
        </w:rPr>
        <w:t>Legal Service Act 2007</w:t>
      </w:r>
    </w:p>
    <w:p xmlns:wp14="http://schemas.microsoft.com/office/word/2010/wordml" w:rsidP="1C945BAC" wp14:paraId="245ECD6C" wp14:textId="110A52CE">
      <w:pPr>
        <w:jc w:val="both"/>
        <w:rPr>
          <w:rFonts w:ascii="Calibri" w:hAnsi="Calibri" w:eastAsia="Calibri" w:cs="Calibri" w:asciiTheme="minorAscii" w:hAnsiTheme="minorAscii" w:eastAsiaTheme="minorAscii" w:cstheme="minorAscii"/>
          <w:noProof w:val="0"/>
          <w:sz w:val="24"/>
          <w:szCs w:val="24"/>
          <w:lang w:val="en-GB"/>
        </w:rPr>
      </w:pPr>
      <w:r w:rsidRPr="1C945BAC" w:rsidR="366C63D5">
        <w:rPr>
          <w:rFonts w:ascii="Calibri" w:hAnsi="Calibri" w:eastAsia="Calibri" w:cs="Calibri" w:asciiTheme="minorAscii" w:hAnsiTheme="minorAscii" w:eastAsiaTheme="minorAscii" w:cstheme="minorAscii"/>
          <w:noProof w:val="0"/>
          <w:sz w:val="24"/>
          <w:szCs w:val="24"/>
          <w:lang w:val="en-GB"/>
        </w:rPr>
        <w:t>SRA Code of Conduct 2019</w:t>
      </w:r>
    </w:p>
    <w:p xmlns:wp14="http://schemas.microsoft.com/office/word/2010/wordml" w:rsidP="1C945BAC" wp14:paraId="196C7B85" wp14:textId="2CFC89D5">
      <w:pPr>
        <w:jc w:val="both"/>
        <w:rPr>
          <w:rFonts w:ascii="Calibri" w:hAnsi="Calibri" w:eastAsia="Calibri" w:cs="Calibri" w:asciiTheme="minorAscii" w:hAnsiTheme="minorAscii" w:eastAsiaTheme="minorAscii" w:cstheme="minorAscii"/>
          <w:b w:val="1"/>
          <w:bCs w:val="1"/>
          <w:noProof w:val="0"/>
          <w:sz w:val="24"/>
          <w:szCs w:val="24"/>
          <w:lang w:val="en-GB"/>
        </w:rPr>
      </w:pPr>
      <w:r w:rsidRPr="1C945BAC" w:rsidR="366C63D5">
        <w:rPr>
          <w:rFonts w:ascii="Calibri" w:hAnsi="Calibri" w:eastAsia="Calibri" w:cs="Calibri" w:asciiTheme="minorAscii" w:hAnsiTheme="minorAscii" w:eastAsiaTheme="minorAscii" w:cstheme="minorAscii"/>
          <w:b w:val="1"/>
          <w:bCs w:val="1"/>
          <w:noProof w:val="0"/>
          <w:sz w:val="24"/>
          <w:szCs w:val="24"/>
          <w:lang w:val="en-GB"/>
        </w:rPr>
        <w:t>Journal Articles</w:t>
      </w:r>
    </w:p>
    <w:p xmlns:wp14="http://schemas.microsoft.com/office/word/2010/wordml" w:rsidP="1C945BAC" wp14:paraId="197E934E" wp14:textId="657B8E9F">
      <w:pPr>
        <w:rPr>
          <w:rFonts w:ascii="Calibri" w:hAnsi="Calibri" w:eastAsia="Calibri" w:cs="Calibri" w:asciiTheme="minorAscii" w:hAnsiTheme="minorAscii" w:eastAsiaTheme="minorAscii" w:cstheme="minorAscii"/>
          <w:noProof w:val="0"/>
          <w:sz w:val="24"/>
          <w:szCs w:val="24"/>
          <w:lang w:val="en-GB"/>
        </w:rPr>
      </w:pPr>
      <w:r w:rsidRPr="1C945BAC" w:rsidR="366C63D5">
        <w:rPr>
          <w:rFonts w:ascii="Calibri" w:hAnsi="Calibri" w:eastAsia="Calibri" w:cs="Calibri" w:asciiTheme="minorAscii" w:hAnsiTheme="minorAscii" w:eastAsiaTheme="minorAscii" w:cstheme="minorAscii"/>
          <w:noProof w:val="0"/>
          <w:sz w:val="24"/>
          <w:szCs w:val="24"/>
          <w:lang w:val="en-GB"/>
        </w:rPr>
        <w:t>Aulack</w:t>
      </w:r>
      <w:r w:rsidRPr="1C945BAC" w:rsidR="366C63D5">
        <w:rPr>
          <w:rFonts w:ascii="Calibri" w:hAnsi="Calibri" w:eastAsia="Calibri" w:cs="Calibri" w:asciiTheme="minorAscii" w:hAnsiTheme="minorAscii" w:eastAsiaTheme="minorAscii" w:cstheme="minorAscii"/>
          <w:noProof w:val="0"/>
          <w:sz w:val="24"/>
          <w:szCs w:val="24"/>
          <w:lang w:val="en-GB"/>
        </w:rPr>
        <w:t xml:space="preserve">, S. </w:t>
      </w:r>
      <w:r w:rsidRPr="1C945BAC" w:rsidR="366C63D5">
        <w:rPr>
          <w:rFonts w:ascii="Calibri" w:hAnsi="Calibri" w:eastAsia="Calibri" w:cs="Calibri" w:asciiTheme="minorAscii" w:hAnsiTheme="minorAscii" w:eastAsiaTheme="minorAscii" w:cstheme="minorAscii"/>
          <w:i w:val="1"/>
          <w:iCs w:val="1"/>
          <w:noProof w:val="0"/>
          <w:sz w:val="24"/>
          <w:szCs w:val="24"/>
          <w:lang w:val="en-GB"/>
        </w:rPr>
        <w:t>et al.</w:t>
      </w:r>
      <w:r w:rsidRPr="1C945BAC" w:rsidR="366C63D5">
        <w:rPr>
          <w:rFonts w:ascii="Calibri" w:hAnsi="Calibri" w:eastAsia="Calibri" w:cs="Calibri" w:asciiTheme="minorAscii" w:hAnsiTheme="minorAscii" w:eastAsiaTheme="minorAscii" w:cstheme="minorAscii"/>
          <w:noProof w:val="0"/>
          <w:sz w:val="24"/>
          <w:szCs w:val="24"/>
          <w:lang w:val="en-GB"/>
        </w:rPr>
        <w:t xml:space="preserve"> (2018) ‘</w:t>
      </w:r>
      <w:r w:rsidRPr="1C945BAC" w:rsidR="366C63D5">
        <w:rPr>
          <w:rFonts w:ascii="Calibri" w:hAnsi="Calibri" w:eastAsia="Calibri" w:cs="Calibri" w:asciiTheme="minorAscii" w:hAnsiTheme="minorAscii" w:eastAsiaTheme="minorAscii" w:cstheme="minorAscii"/>
          <w:noProof w:val="0"/>
          <w:sz w:val="24"/>
          <w:szCs w:val="24"/>
          <w:lang w:val="en-GB"/>
        </w:rPr>
        <w:t>Aulack</w:t>
      </w:r>
      <w:r w:rsidRPr="1C945BAC" w:rsidR="366C63D5">
        <w:rPr>
          <w:rFonts w:ascii="Calibri" w:hAnsi="Calibri" w:eastAsia="Calibri" w:cs="Calibri" w:asciiTheme="minorAscii" w:hAnsiTheme="minorAscii" w:eastAsiaTheme="minorAscii" w:cstheme="minorAscii"/>
          <w:noProof w:val="0"/>
          <w:sz w:val="24"/>
          <w:szCs w:val="24"/>
          <w:lang w:val="en-GB"/>
        </w:rPr>
        <w:t xml:space="preserve"> </w:t>
      </w:r>
      <w:r w:rsidRPr="1C945BAC" w:rsidR="52972F8D">
        <w:rPr>
          <w:rFonts w:ascii="Calibri" w:hAnsi="Calibri" w:eastAsia="Calibri" w:cs="Calibri" w:asciiTheme="minorAscii" w:hAnsiTheme="minorAscii" w:eastAsiaTheme="minorAscii" w:cstheme="minorAscii"/>
          <w:noProof w:val="0"/>
          <w:sz w:val="24"/>
          <w:szCs w:val="24"/>
          <w:lang w:val="en-GB"/>
        </w:rPr>
        <w:t>S,</w:t>
      </w:r>
      <w:r w:rsidRPr="1C945BAC" w:rsidR="366C63D5">
        <w:rPr>
          <w:rFonts w:ascii="Calibri" w:hAnsi="Calibri" w:eastAsia="Calibri" w:cs="Calibri" w:asciiTheme="minorAscii" w:hAnsiTheme="minorAscii" w:eastAsiaTheme="minorAscii" w:cstheme="minorAscii"/>
          <w:noProof w:val="0"/>
          <w:sz w:val="24"/>
          <w:szCs w:val="24"/>
          <w:lang w:val="en-GB"/>
        </w:rPr>
        <w:t xml:space="preserve"> Charlwood </w:t>
      </w:r>
      <w:r w:rsidRPr="1C945BAC" w:rsidR="36236BC3">
        <w:rPr>
          <w:rFonts w:ascii="Calibri" w:hAnsi="Calibri" w:eastAsia="Calibri" w:cs="Calibri" w:asciiTheme="minorAscii" w:hAnsiTheme="minorAscii" w:eastAsiaTheme="minorAscii" w:cstheme="minorAscii"/>
          <w:noProof w:val="0"/>
          <w:sz w:val="24"/>
          <w:szCs w:val="24"/>
          <w:lang w:val="en-GB"/>
        </w:rPr>
        <w:t>A,</w:t>
      </w:r>
      <w:r w:rsidRPr="1C945BAC" w:rsidR="366C63D5">
        <w:rPr>
          <w:rFonts w:ascii="Calibri" w:hAnsi="Calibri" w:eastAsia="Calibri" w:cs="Calibri" w:asciiTheme="minorAscii" w:hAnsiTheme="minorAscii" w:eastAsiaTheme="minorAscii" w:cstheme="minorAscii"/>
          <w:noProof w:val="0"/>
          <w:sz w:val="24"/>
          <w:szCs w:val="24"/>
          <w:lang w:val="en-GB"/>
        </w:rPr>
        <w:t xml:space="preserve"> Muzio </w:t>
      </w:r>
      <w:r w:rsidRPr="1C945BAC" w:rsidR="32D4CF5E">
        <w:rPr>
          <w:rFonts w:ascii="Calibri" w:hAnsi="Calibri" w:eastAsia="Calibri" w:cs="Calibri" w:asciiTheme="minorAscii" w:hAnsiTheme="minorAscii" w:eastAsiaTheme="minorAscii" w:cstheme="minorAscii"/>
          <w:noProof w:val="0"/>
          <w:sz w:val="24"/>
          <w:szCs w:val="24"/>
          <w:lang w:val="en-GB"/>
        </w:rPr>
        <w:t>D,</w:t>
      </w:r>
      <w:r w:rsidRPr="1C945BAC" w:rsidR="366C63D5">
        <w:rPr>
          <w:rFonts w:ascii="Calibri" w:hAnsi="Calibri" w:eastAsia="Calibri" w:cs="Calibri" w:asciiTheme="minorAscii" w:hAnsiTheme="minorAscii" w:eastAsiaTheme="minorAscii" w:cstheme="minorAscii"/>
          <w:noProof w:val="0"/>
          <w:sz w:val="24"/>
          <w:szCs w:val="24"/>
          <w:lang w:val="en-GB"/>
        </w:rPr>
        <w:t xml:space="preserve"> Tomlinson </w:t>
      </w:r>
      <w:r w:rsidRPr="1C945BAC" w:rsidR="4DF24920">
        <w:rPr>
          <w:rFonts w:ascii="Calibri" w:hAnsi="Calibri" w:eastAsia="Calibri" w:cs="Calibri" w:asciiTheme="minorAscii" w:hAnsiTheme="minorAscii" w:eastAsiaTheme="minorAscii" w:cstheme="minorAscii"/>
          <w:noProof w:val="0"/>
          <w:sz w:val="24"/>
          <w:szCs w:val="24"/>
          <w:lang w:val="en-GB"/>
        </w:rPr>
        <w:t>J,</w:t>
      </w:r>
      <w:r w:rsidRPr="1C945BAC" w:rsidR="366C63D5">
        <w:rPr>
          <w:rFonts w:ascii="Calibri" w:hAnsi="Calibri" w:eastAsia="Calibri" w:cs="Calibri" w:asciiTheme="minorAscii" w:hAnsiTheme="minorAscii" w:eastAsiaTheme="minorAscii" w:cstheme="minorAscii"/>
          <w:noProof w:val="0"/>
          <w:sz w:val="24"/>
          <w:szCs w:val="24"/>
          <w:lang w:val="en-GB"/>
        </w:rPr>
        <w:t xml:space="preserve"> </w:t>
      </w:r>
      <w:r w:rsidRPr="1C945BAC" w:rsidR="366C63D5">
        <w:rPr>
          <w:rFonts w:ascii="Calibri" w:hAnsi="Calibri" w:eastAsia="Calibri" w:cs="Calibri" w:asciiTheme="minorAscii" w:hAnsiTheme="minorAscii" w:eastAsiaTheme="minorAscii" w:cstheme="minorAscii"/>
          <w:noProof w:val="0"/>
          <w:sz w:val="24"/>
          <w:szCs w:val="24"/>
          <w:lang w:val="en-GB"/>
        </w:rPr>
        <w:t>Valizade</w:t>
      </w:r>
      <w:r w:rsidRPr="1C945BAC" w:rsidR="366C63D5">
        <w:rPr>
          <w:rFonts w:ascii="Calibri" w:hAnsi="Calibri" w:eastAsia="Calibri" w:cs="Calibri" w:asciiTheme="minorAscii" w:hAnsiTheme="minorAscii" w:eastAsiaTheme="minorAscii" w:cstheme="minorAscii"/>
          <w:noProof w:val="0"/>
          <w:sz w:val="24"/>
          <w:szCs w:val="24"/>
          <w:lang w:val="en-GB"/>
        </w:rPr>
        <w:t xml:space="preserve"> </w:t>
      </w:r>
      <w:r w:rsidRPr="1C945BAC" w:rsidR="34BD123E">
        <w:rPr>
          <w:rFonts w:ascii="Calibri" w:hAnsi="Calibri" w:eastAsia="Calibri" w:cs="Calibri" w:asciiTheme="minorAscii" w:hAnsiTheme="minorAscii" w:eastAsiaTheme="minorAscii" w:cstheme="minorAscii"/>
          <w:noProof w:val="0"/>
          <w:sz w:val="24"/>
          <w:szCs w:val="24"/>
          <w:lang w:val="en-GB"/>
        </w:rPr>
        <w:t>D.</w:t>
      </w:r>
      <w:r w:rsidRPr="1C945BAC" w:rsidR="366C63D5">
        <w:rPr>
          <w:rFonts w:ascii="Calibri" w:hAnsi="Calibri" w:eastAsia="Calibri" w:cs="Calibri" w:asciiTheme="minorAscii" w:hAnsiTheme="minorAscii" w:eastAsiaTheme="minorAscii" w:cstheme="minorAscii"/>
          <w:noProof w:val="0"/>
          <w:sz w:val="24"/>
          <w:szCs w:val="24"/>
          <w:lang w:val="en-GB"/>
        </w:rPr>
        <w:t xml:space="preserve"> Mapping advantages and </w:t>
      </w:r>
      <w:r w:rsidRPr="1C945BAC" w:rsidR="581CD9EA">
        <w:rPr>
          <w:rFonts w:ascii="Calibri" w:hAnsi="Calibri" w:eastAsia="Calibri" w:cs="Calibri" w:asciiTheme="minorAscii" w:hAnsiTheme="minorAscii" w:eastAsiaTheme="minorAscii" w:cstheme="minorAscii"/>
          <w:noProof w:val="0"/>
          <w:sz w:val="24"/>
          <w:szCs w:val="24"/>
          <w:lang w:val="en-GB"/>
        </w:rPr>
        <w:t>disadvantages:</w:t>
      </w:r>
      <w:r w:rsidRPr="1C945BAC" w:rsidR="366C63D5">
        <w:rPr>
          <w:rFonts w:ascii="Calibri" w:hAnsi="Calibri" w:eastAsia="Calibri" w:cs="Calibri" w:asciiTheme="minorAscii" w:hAnsiTheme="minorAscii" w:eastAsiaTheme="minorAscii" w:cstheme="minorAscii"/>
          <w:noProof w:val="0"/>
          <w:sz w:val="24"/>
          <w:szCs w:val="24"/>
          <w:lang w:val="en-GB"/>
        </w:rPr>
        <w:t xml:space="preserve"> Diversity in the legal profession in England and </w:t>
      </w:r>
      <w:r w:rsidRPr="1C945BAC" w:rsidR="2ABC730C">
        <w:rPr>
          <w:rFonts w:ascii="Calibri" w:hAnsi="Calibri" w:eastAsia="Calibri" w:cs="Calibri" w:asciiTheme="minorAscii" w:hAnsiTheme="minorAscii" w:eastAsiaTheme="minorAscii" w:cstheme="minorAscii"/>
          <w:noProof w:val="0"/>
          <w:sz w:val="24"/>
          <w:szCs w:val="24"/>
          <w:lang w:val="en-GB"/>
        </w:rPr>
        <w:t>Wales.</w:t>
      </w:r>
      <w:r w:rsidRPr="1C945BAC" w:rsidR="366C63D5">
        <w:rPr>
          <w:rFonts w:ascii="Calibri" w:hAnsi="Calibri" w:eastAsia="Calibri" w:cs="Calibri" w:asciiTheme="minorAscii" w:hAnsiTheme="minorAscii" w:eastAsiaTheme="minorAscii" w:cstheme="minorAscii"/>
          <w:noProof w:val="0"/>
          <w:sz w:val="24"/>
          <w:szCs w:val="24"/>
          <w:lang w:val="en-GB"/>
        </w:rPr>
        <w:t xml:space="preserve"> </w:t>
      </w:r>
      <w:r w:rsidRPr="1C945BAC" w:rsidR="50D16CEE">
        <w:rPr>
          <w:rFonts w:ascii="Calibri" w:hAnsi="Calibri" w:eastAsia="Calibri" w:cs="Calibri" w:asciiTheme="minorAscii" w:hAnsiTheme="minorAscii" w:eastAsiaTheme="minorAscii" w:cstheme="minorAscii"/>
          <w:noProof w:val="0"/>
          <w:sz w:val="24"/>
          <w:szCs w:val="24"/>
          <w:lang w:val="en-GB"/>
        </w:rPr>
        <w:t>Birmingham:</w:t>
      </w:r>
      <w:r w:rsidRPr="1C945BAC" w:rsidR="366C63D5">
        <w:rPr>
          <w:rFonts w:ascii="Calibri" w:hAnsi="Calibri" w:eastAsia="Calibri" w:cs="Calibri" w:asciiTheme="minorAscii" w:hAnsiTheme="minorAscii" w:eastAsiaTheme="minorAscii" w:cstheme="minorAscii"/>
          <w:noProof w:val="0"/>
          <w:sz w:val="24"/>
          <w:szCs w:val="24"/>
          <w:lang w:val="en-GB"/>
        </w:rPr>
        <w:t xml:space="preserve"> Solicitors Regulation </w:t>
      </w:r>
      <w:r w:rsidRPr="1C945BAC" w:rsidR="427FB290">
        <w:rPr>
          <w:rFonts w:ascii="Calibri" w:hAnsi="Calibri" w:eastAsia="Calibri" w:cs="Calibri" w:asciiTheme="minorAscii" w:hAnsiTheme="minorAscii" w:eastAsiaTheme="minorAscii" w:cstheme="minorAscii"/>
          <w:noProof w:val="0"/>
          <w:sz w:val="24"/>
          <w:szCs w:val="24"/>
          <w:lang w:val="en-GB"/>
        </w:rPr>
        <w:t>Authority,</w:t>
      </w:r>
      <w:r w:rsidRPr="1C945BAC" w:rsidR="366C63D5">
        <w:rPr>
          <w:rFonts w:ascii="Calibri" w:hAnsi="Calibri" w:eastAsia="Calibri" w:cs="Calibri" w:asciiTheme="minorAscii" w:hAnsiTheme="minorAscii" w:eastAsiaTheme="minorAscii" w:cstheme="minorAscii"/>
          <w:noProof w:val="0"/>
          <w:sz w:val="24"/>
          <w:szCs w:val="24"/>
          <w:lang w:val="en-GB"/>
        </w:rPr>
        <w:t xml:space="preserve"> </w:t>
      </w:r>
      <w:r w:rsidRPr="1C945BAC" w:rsidR="412B9816">
        <w:rPr>
          <w:rFonts w:ascii="Calibri" w:hAnsi="Calibri" w:eastAsia="Calibri" w:cs="Calibri" w:asciiTheme="minorAscii" w:hAnsiTheme="minorAscii" w:eastAsiaTheme="minorAscii" w:cstheme="minorAscii"/>
          <w:noProof w:val="0"/>
          <w:sz w:val="24"/>
          <w:szCs w:val="24"/>
          <w:lang w:val="en-GB"/>
        </w:rPr>
        <w:t>2017.</w:t>
      </w:r>
      <w:r w:rsidRPr="1C945BAC" w:rsidR="366C63D5">
        <w:rPr>
          <w:rFonts w:ascii="Calibri" w:hAnsi="Calibri" w:eastAsia="Calibri" w:cs="Calibri" w:asciiTheme="minorAscii" w:hAnsiTheme="minorAscii" w:eastAsiaTheme="minorAscii" w:cstheme="minorAscii"/>
          <w:noProof w:val="0"/>
          <w:sz w:val="24"/>
          <w:szCs w:val="24"/>
          <w:lang w:val="en-GB"/>
        </w:rPr>
        <w:t xml:space="preserve"> Date </w:t>
      </w:r>
      <w:r w:rsidRPr="1C945BAC" w:rsidR="000D25C6">
        <w:rPr>
          <w:rFonts w:ascii="Calibri" w:hAnsi="Calibri" w:eastAsia="Calibri" w:cs="Calibri" w:asciiTheme="minorAscii" w:hAnsiTheme="minorAscii" w:eastAsiaTheme="minorAscii" w:cstheme="minorAscii"/>
          <w:noProof w:val="0"/>
          <w:sz w:val="24"/>
          <w:szCs w:val="24"/>
          <w:lang w:val="en-GB"/>
        </w:rPr>
        <w:t>deposited’</w:t>
      </w:r>
      <w:r w:rsidRPr="1C945BAC" w:rsidR="366C63D5">
        <w:rPr>
          <w:rFonts w:ascii="Calibri" w:hAnsi="Calibri" w:eastAsia="Calibri" w:cs="Calibri" w:asciiTheme="minorAscii" w:hAnsiTheme="minorAscii" w:eastAsiaTheme="minorAscii" w:cstheme="minorAscii"/>
          <w:noProof w:val="0"/>
          <w:sz w:val="24"/>
          <w:szCs w:val="24"/>
          <w:lang w:val="en-GB"/>
        </w:rPr>
        <w:t>:</w:t>
      </w:r>
    </w:p>
    <w:p xmlns:wp14="http://schemas.microsoft.com/office/word/2010/wordml" w:rsidP="1C945BAC" wp14:paraId="26A83D0E" wp14:textId="12D5C279">
      <w:pPr>
        <w:rPr>
          <w:rFonts w:ascii="Calibri" w:hAnsi="Calibri" w:eastAsia="Calibri" w:cs="Calibri" w:asciiTheme="minorAscii" w:hAnsiTheme="minorAscii" w:eastAsiaTheme="minorAscii" w:cstheme="minorAscii"/>
          <w:noProof w:val="0"/>
          <w:sz w:val="24"/>
          <w:szCs w:val="24"/>
          <w:lang w:val="en-GB"/>
        </w:rPr>
      </w:pPr>
      <w:r w:rsidRPr="1C945BAC" w:rsidR="366C63D5">
        <w:rPr>
          <w:rFonts w:ascii="Calibri" w:hAnsi="Calibri" w:eastAsia="Calibri" w:cs="Calibri" w:asciiTheme="minorAscii" w:hAnsiTheme="minorAscii" w:eastAsiaTheme="minorAscii" w:cstheme="minorAscii"/>
          <w:noProof w:val="0"/>
          <w:sz w:val="24"/>
          <w:szCs w:val="24"/>
          <w:lang w:val="en-GB"/>
        </w:rPr>
        <w:t xml:space="preserve">Boon, A. (2010) ‘Professionalism under the Legal Services Act 2007’, </w:t>
      </w:r>
      <w:r w:rsidRPr="1C945BAC" w:rsidR="366C63D5">
        <w:rPr>
          <w:rFonts w:ascii="Calibri" w:hAnsi="Calibri" w:eastAsia="Calibri" w:cs="Calibri" w:asciiTheme="minorAscii" w:hAnsiTheme="minorAscii" w:eastAsiaTheme="minorAscii" w:cstheme="minorAscii"/>
          <w:i w:val="1"/>
          <w:iCs w:val="1"/>
          <w:noProof w:val="0"/>
          <w:sz w:val="24"/>
          <w:szCs w:val="24"/>
          <w:lang w:val="en-GB"/>
        </w:rPr>
        <w:t>International Journal of the Legal Profession</w:t>
      </w:r>
      <w:r w:rsidRPr="1C945BAC" w:rsidR="366C63D5">
        <w:rPr>
          <w:rFonts w:ascii="Calibri" w:hAnsi="Calibri" w:eastAsia="Calibri" w:cs="Calibri" w:asciiTheme="minorAscii" w:hAnsiTheme="minorAscii" w:eastAsiaTheme="minorAscii" w:cstheme="minorAscii"/>
          <w:noProof w:val="0"/>
          <w:sz w:val="24"/>
          <w:szCs w:val="24"/>
          <w:lang w:val="en-GB"/>
        </w:rPr>
        <w:t xml:space="preserve">, 17(3), pp. 195–232. Available at: </w:t>
      </w:r>
      <w:hyperlink r:id="R7be41c7ecf6d4d35">
        <w:r w:rsidRPr="1C945BAC" w:rsidR="366C63D5">
          <w:rPr>
            <w:rStyle w:val="Hyperlink"/>
            <w:rFonts w:ascii="Calibri" w:hAnsi="Calibri" w:eastAsia="Calibri" w:cs="Calibri" w:asciiTheme="minorAscii" w:hAnsiTheme="minorAscii" w:eastAsiaTheme="minorAscii" w:cstheme="minorAscii"/>
            <w:noProof w:val="0"/>
            <w:sz w:val="24"/>
            <w:szCs w:val="24"/>
            <w:lang w:val="en-GB"/>
          </w:rPr>
          <w:t>https://doi.org/10.1080/09695958.2011.580561</w:t>
        </w:r>
      </w:hyperlink>
      <w:r w:rsidRPr="1C945BAC" w:rsidR="366C63D5">
        <w:rPr>
          <w:rFonts w:ascii="Calibri" w:hAnsi="Calibri" w:eastAsia="Calibri" w:cs="Calibri" w:asciiTheme="minorAscii" w:hAnsiTheme="minorAscii" w:eastAsiaTheme="minorAscii" w:cstheme="minorAscii"/>
          <w:noProof w:val="0"/>
          <w:sz w:val="24"/>
          <w:szCs w:val="24"/>
          <w:lang w:val="en-GB"/>
        </w:rPr>
        <w:t>.</w:t>
      </w:r>
    </w:p>
    <w:p xmlns:wp14="http://schemas.microsoft.com/office/word/2010/wordml" w:rsidP="1C945BAC" wp14:paraId="20D018EE" wp14:textId="069B14A7">
      <w:pPr>
        <w:rPr>
          <w:rFonts w:ascii="Calibri" w:hAnsi="Calibri" w:eastAsia="Calibri" w:cs="Calibri" w:asciiTheme="minorAscii" w:hAnsiTheme="minorAscii" w:eastAsiaTheme="minorAscii" w:cstheme="minorAscii"/>
          <w:noProof w:val="0"/>
          <w:sz w:val="24"/>
          <w:szCs w:val="24"/>
          <w:lang w:val="en-GB"/>
        </w:rPr>
      </w:pPr>
      <w:r w:rsidRPr="1C945BAC" w:rsidR="366C63D5">
        <w:rPr>
          <w:rFonts w:ascii="Calibri" w:hAnsi="Calibri" w:eastAsia="Calibri" w:cs="Calibri" w:asciiTheme="minorAscii" w:hAnsiTheme="minorAscii" w:eastAsiaTheme="minorAscii" w:cstheme="minorAscii"/>
          <w:noProof w:val="0"/>
          <w:sz w:val="24"/>
          <w:szCs w:val="24"/>
          <w:lang w:val="en-GB"/>
        </w:rPr>
        <w:t xml:space="preserve">Edwards, J. and McKie, L. (1993) ‘Equal Opportunities and Public Policy: An Agenda for Change’, </w:t>
      </w:r>
      <w:r w:rsidRPr="1C945BAC" w:rsidR="366C63D5">
        <w:rPr>
          <w:rFonts w:ascii="Calibri" w:hAnsi="Calibri" w:eastAsia="Calibri" w:cs="Calibri" w:asciiTheme="minorAscii" w:hAnsiTheme="minorAscii" w:eastAsiaTheme="minorAscii" w:cstheme="minorAscii"/>
          <w:i w:val="1"/>
          <w:iCs w:val="1"/>
          <w:noProof w:val="0"/>
          <w:sz w:val="24"/>
          <w:szCs w:val="24"/>
          <w:lang w:val="en-GB"/>
        </w:rPr>
        <w:t>Public Policy and Administration</w:t>
      </w:r>
      <w:r w:rsidRPr="1C945BAC" w:rsidR="366C63D5">
        <w:rPr>
          <w:rFonts w:ascii="Calibri" w:hAnsi="Calibri" w:eastAsia="Calibri" w:cs="Calibri" w:asciiTheme="minorAscii" w:hAnsiTheme="minorAscii" w:eastAsiaTheme="minorAscii" w:cstheme="minorAscii"/>
          <w:noProof w:val="0"/>
          <w:sz w:val="24"/>
          <w:szCs w:val="24"/>
          <w:lang w:val="en-GB"/>
        </w:rPr>
        <w:t xml:space="preserve">, 8(2), pp. 54–67. Available at: </w:t>
      </w:r>
      <w:hyperlink r:id="Rfb726effff864cc6">
        <w:r w:rsidRPr="1C945BAC" w:rsidR="366C63D5">
          <w:rPr>
            <w:rStyle w:val="Hyperlink"/>
            <w:rFonts w:ascii="Calibri" w:hAnsi="Calibri" w:eastAsia="Calibri" w:cs="Calibri" w:asciiTheme="minorAscii" w:hAnsiTheme="minorAscii" w:eastAsiaTheme="minorAscii" w:cstheme="minorAscii"/>
            <w:noProof w:val="0"/>
            <w:sz w:val="24"/>
            <w:szCs w:val="24"/>
            <w:lang w:val="en-GB"/>
          </w:rPr>
          <w:t>https://doi.org/10.1177/095207679300800205</w:t>
        </w:r>
      </w:hyperlink>
      <w:r w:rsidRPr="1C945BAC" w:rsidR="366C63D5">
        <w:rPr>
          <w:rFonts w:ascii="Calibri" w:hAnsi="Calibri" w:eastAsia="Calibri" w:cs="Calibri" w:asciiTheme="minorAscii" w:hAnsiTheme="minorAscii" w:eastAsiaTheme="minorAscii" w:cstheme="minorAscii"/>
          <w:noProof w:val="0"/>
          <w:sz w:val="24"/>
          <w:szCs w:val="24"/>
          <w:lang w:val="en-GB"/>
        </w:rPr>
        <w:t>.</w:t>
      </w:r>
    </w:p>
    <w:p xmlns:wp14="http://schemas.microsoft.com/office/word/2010/wordml" w:rsidP="1C945BAC" wp14:paraId="4E8CFD23" wp14:textId="658129E2">
      <w:pPr>
        <w:rPr>
          <w:rFonts w:ascii="Calibri" w:hAnsi="Calibri" w:eastAsia="Calibri" w:cs="Calibri" w:asciiTheme="minorAscii" w:hAnsiTheme="minorAscii" w:eastAsiaTheme="minorAscii" w:cstheme="minorAscii"/>
          <w:noProof w:val="0"/>
          <w:sz w:val="24"/>
          <w:szCs w:val="24"/>
          <w:lang w:val="en-GB"/>
        </w:rPr>
      </w:pPr>
      <w:r w:rsidRPr="1C945BAC" w:rsidR="366C63D5">
        <w:rPr>
          <w:rFonts w:ascii="Calibri" w:hAnsi="Calibri" w:eastAsia="Calibri" w:cs="Calibri" w:asciiTheme="minorAscii" w:hAnsiTheme="minorAscii" w:eastAsiaTheme="minorAscii" w:cstheme="minorAscii"/>
          <w:noProof w:val="0"/>
          <w:sz w:val="24"/>
          <w:szCs w:val="24"/>
          <w:lang w:val="en-GB"/>
        </w:rPr>
        <w:t>Herring, J. (2017) ‘3. The regulation of the legal profession</w:t>
      </w:r>
      <w:r w:rsidRPr="1C945BAC" w:rsidR="2FC234FB">
        <w:rPr>
          <w:rFonts w:ascii="Calibri" w:hAnsi="Calibri" w:eastAsia="Calibri" w:cs="Calibri" w:asciiTheme="minorAscii" w:hAnsiTheme="minorAscii" w:eastAsiaTheme="minorAscii" w:cstheme="minorAscii"/>
          <w:noProof w:val="0"/>
          <w:sz w:val="24"/>
          <w:szCs w:val="24"/>
          <w:lang w:val="en-GB"/>
        </w:rPr>
        <w:t>,’</w:t>
      </w:r>
      <w:r w:rsidRPr="1C945BAC" w:rsidR="366C63D5">
        <w:rPr>
          <w:rFonts w:ascii="Calibri" w:hAnsi="Calibri" w:eastAsia="Calibri" w:cs="Calibri" w:asciiTheme="minorAscii" w:hAnsiTheme="minorAscii" w:eastAsiaTheme="minorAscii" w:cstheme="minorAscii"/>
          <w:noProof w:val="0"/>
          <w:sz w:val="24"/>
          <w:szCs w:val="24"/>
          <w:lang w:val="en-GB"/>
        </w:rPr>
        <w:t xml:space="preserve"> in </w:t>
      </w:r>
      <w:r w:rsidRPr="1C945BAC" w:rsidR="366C63D5">
        <w:rPr>
          <w:rFonts w:ascii="Calibri" w:hAnsi="Calibri" w:eastAsia="Calibri" w:cs="Calibri" w:asciiTheme="minorAscii" w:hAnsiTheme="minorAscii" w:eastAsiaTheme="minorAscii" w:cstheme="minorAscii"/>
          <w:i w:val="1"/>
          <w:iCs w:val="1"/>
          <w:noProof w:val="0"/>
          <w:sz w:val="24"/>
          <w:szCs w:val="24"/>
          <w:lang w:val="en-GB"/>
        </w:rPr>
        <w:t>Legal Ethics</w:t>
      </w:r>
      <w:r w:rsidRPr="1C945BAC" w:rsidR="366C63D5">
        <w:rPr>
          <w:rFonts w:ascii="Calibri" w:hAnsi="Calibri" w:eastAsia="Calibri" w:cs="Calibri" w:asciiTheme="minorAscii" w:hAnsiTheme="minorAscii" w:eastAsiaTheme="minorAscii" w:cstheme="minorAscii"/>
          <w:noProof w:val="0"/>
          <w:sz w:val="24"/>
          <w:szCs w:val="24"/>
          <w:lang w:val="en-GB"/>
        </w:rPr>
        <w:t xml:space="preserve">. Available at: </w:t>
      </w:r>
      <w:hyperlink r:id="R3cb4d9fdccfe430e">
        <w:r w:rsidRPr="1C945BAC" w:rsidR="366C63D5">
          <w:rPr>
            <w:rStyle w:val="Hyperlink"/>
            <w:rFonts w:ascii="Calibri" w:hAnsi="Calibri" w:eastAsia="Calibri" w:cs="Calibri" w:asciiTheme="minorAscii" w:hAnsiTheme="minorAscii" w:eastAsiaTheme="minorAscii" w:cstheme="minorAscii"/>
            <w:noProof w:val="0"/>
            <w:sz w:val="24"/>
            <w:szCs w:val="24"/>
            <w:lang w:val="en-GB"/>
          </w:rPr>
          <w:t>https://doi.org/10.1093/he/9780198788928.003.0003</w:t>
        </w:r>
      </w:hyperlink>
      <w:r w:rsidRPr="1C945BAC" w:rsidR="366C63D5">
        <w:rPr>
          <w:rFonts w:ascii="Calibri" w:hAnsi="Calibri" w:eastAsia="Calibri" w:cs="Calibri" w:asciiTheme="minorAscii" w:hAnsiTheme="minorAscii" w:eastAsiaTheme="minorAscii" w:cstheme="minorAscii"/>
          <w:noProof w:val="0"/>
          <w:sz w:val="24"/>
          <w:szCs w:val="24"/>
          <w:lang w:val="en-GB"/>
        </w:rPr>
        <w:t>.</w:t>
      </w:r>
    </w:p>
    <w:p xmlns:wp14="http://schemas.microsoft.com/office/word/2010/wordml" w:rsidP="1C945BAC" wp14:paraId="65B94E45" wp14:textId="2D3C56F2">
      <w:pPr>
        <w:rPr>
          <w:rFonts w:ascii="Calibri" w:hAnsi="Calibri" w:eastAsia="Calibri" w:cs="Calibri" w:asciiTheme="minorAscii" w:hAnsiTheme="minorAscii" w:eastAsiaTheme="minorAscii" w:cstheme="minorAscii"/>
          <w:noProof w:val="0"/>
          <w:sz w:val="24"/>
          <w:szCs w:val="24"/>
          <w:lang w:val="en-GB"/>
        </w:rPr>
      </w:pPr>
      <w:r w:rsidRPr="1C945BAC" w:rsidR="366C63D5">
        <w:rPr>
          <w:rFonts w:ascii="Calibri" w:hAnsi="Calibri" w:eastAsia="Calibri" w:cs="Calibri" w:asciiTheme="minorAscii" w:hAnsiTheme="minorAscii" w:eastAsiaTheme="minorAscii" w:cstheme="minorAscii"/>
          <w:noProof w:val="0"/>
          <w:sz w:val="24"/>
          <w:szCs w:val="24"/>
          <w:lang w:val="en-GB"/>
        </w:rPr>
        <w:t xml:space="preserve">Huang, P.H. (2014) ‘How Wrap and Mindfulness Can Improve Legal Ethics and Professionalism’, </w:t>
      </w:r>
      <w:r w:rsidRPr="1C945BAC" w:rsidR="366C63D5">
        <w:rPr>
          <w:rFonts w:ascii="Calibri" w:hAnsi="Calibri" w:eastAsia="Calibri" w:cs="Calibri" w:asciiTheme="minorAscii" w:hAnsiTheme="minorAscii" w:eastAsiaTheme="minorAscii" w:cstheme="minorAscii"/>
          <w:i w:val="1"/>
          <w:iCs w:val="1"/>
          <w:noProof w:val="0"/>
          <w:sz w:val="24"/>
          <w:szCs w:val="24"/>
          <w:lang w:val="en-GB"/>
        </w:rPr>
        <w:t>SSRN Electronic Journal</w:t>
      </w:r>
      <w:r w:rsidRPr="1C945BAC" w:rsidR="366C63D5">
        <w:rPr>
          <w:rFonts w:ascii="Calibri" w:hAnsi="Calibri" w:eastAsia="Calibri" w:cs="Calibri" w:asciiTheme="minorAscii" w:hAnsiTheme="minorAscii" w:eastAsiaTheme="minorAscii" w:cstheme="minorAscii"/>
          <w:noProof w:val="0"/>
          <w:sz w:val="24"/>
          <w:szCs w:val="24"/>
          <w:lang w:val="en-GB"/>
        </w:rPr>
        <w:t xml:space="preserve"> [Preprint]. Available at: </w:t>
      </w:r>
      <w:hyperlink r:id="Rc3580267e7694769">
        <w:r w:rsidRPr="1C945BAC" w:rsidR="366C63D5">
          <w:rPr>
            <w:rStyle w:val="Hyperlink"/>
            <w:rFonts w:ascii="Calibri" w:hAnsi="Calibri" w:eastAsia="Calibri" w:cs="Calibri" w:asciiTheme="minorAscii" w:hAnsiTheme="minorAscii" w:eastAsiaTheme="minorAscii" w:cstheme="minorAscii"/>
            <w:noProof w:val="0"/>
            <w:sz w:val="24"/>
            <w:szCs w:val="24"/>
            <w:lang w:val="en-GB"/>
          </w:rPr>
          <w:t>https://doi.org/10.2139/ssrn.2474448</w:t>
        </w:r>
      </w:hyperlink>
      <w:r w:rsidRPr="1C945BAC" w:rsidR="366C63D5">
        <w:rPr>
          <w:rFonts w:ascii="Calibri" w:hAnsi="Calibri" w:eastAsia="Calibri" w:cs="Calibri" w:asciiTheme="minorAscii" w:hAnsiTheme="minorAscii" w:eastAsiaTheme="minorAscii" w:cstheme="minorAscii"/>
          <w:noProof w:val="0"/>
          <w:sz w:val="24"/>
          <w:szCs w:val="24"/>
          <w:lang w:val="en-GB"/>
        </w:rPr>
        <w:t>.</w:t>
      </w:r>
    </w:p>
    <w:p xmlns:wp14="http://schemas.microsoft.com/office/word/2010/wordml" w:rsidP="1C945BAC" wp14:paraId="62BDEE12" wp14:textId="63FD8A2D">
      <w:pPr>
        <w:rPr>
          <w:rFonts w:ascii="Calibri" w:hAnsi="Calibri" w:eastAsia="Calibri" w:cs="Calibri" w:asciiTheme="minorAscii" w:hAnsiTheme="minorAscii" w:eastAsiaTheme="minorAscii" w:cstheme="minorAscii"/>
          <w:noProof w:val="0"/>
          <w:sz w:val="24"/>
          <w:szCs w:val="24"/>
          <w:lang w:val="en-GB"/>
        </w:rPr>
      </w:pPr>
      <w:r w:rsidRPr="1C945BAC" w:rsidR="366C63D5">
        <w:rPr>
          <w:rFonts w:ascii="Calibri" w:hAnsi="Calibri" w:eastAsia="Calibri" w:cs="Calibri" w:asciiTheme="minorAscii" w:hAnsiTheme="minorAscii" w:eastAsiaTheme="minorAscii" w:cstheme="minorAscii"/>
          <w:noProof w:val="0"/>
          <w:sz w:val="24"/>
          <w:szCs w:val="24"/>
          <w:lang w:val="en-GB"/>
        </w:rPr>
        <w:t xml:space="preserve">Kumra, S. (2015) ‘Busy doing nothing: An exploration of the disconnect between gender equity issues faced by large law firms in the United Kingdom and the diversity management initiatives devised to address them’, </w:t>
      </w:r>
      <w:r w:rsidRPr="1C945BAC" w:rsidR="366C63D5">
        <w:rPr>
          <w:rFonts w:ascii="Calibri" w:hAnsi="Calibri" w:eastAsia="Calibri" w:cs="Calibri" w:asciiTheme="minorAscii" w:hAnsiTheme="minorAscii" w:eastAsiaTheme="minorAscii" w:cstheme="minorAscii"/>
          <w:i w:val="1"/>
          <w:iCs w:val="1"/>
          <w:noProof w:val="0"/>
          <w:sz w:val="24"/>
          <w:szCs w:val="24"/>
          <w:lang w:val="en-GB"/>
        </w:rPr>
        <w:t>Fordham Law Review</w:t>
      </w:r>
      <w:r w:rsidRPr="1C945BAC" w:rsidR="366C63D5">
        <w:rPr>
          <w:rFonts w:ascii="Calibri" w:hAnsi="Calibri" w:eastAsia="Calibri" w:cs="Calibri" w:asciiTheme="minorAscii" w:hAnsiTheme="minorAscii" w:eastAsiaTheme="minorAscii" w:cstheme="minorAscii"/>
          <w:noProof w:val="0"/>
          <w:sz w:val="24"/>
          <w:szCs w:val="24"/>
          <w:lang w:val="en-GB"/>
        </w:rPr>
        <w:t>, 83(5), pp. 2277–2299.</w:t>
      </w:r>
    </w:p>
    <w:p xmlns:wp14="http://schemas.microsoft.com/office/word/2010/wordml" w:rsidP="1C945BAC" wp14:paraId="0F86D01E" wp14:textId="7F4F5D28">
      <w:pPr>
        <w:rPr>
          <w:rFonts w:ascii="Calibri" w:hAnsi="Calibri" w:eastAsia="Calibri" w:cs="Calibri" w:asciiTheme="minorAscii" w:hAnsiTheme="minorAscii" w:eastAsiaTheme="minorAscii" w:cstheme="minorAscii"/>
          <w:noProof w:val="0"/>
          <w:sz w:val="24"/>
          <w:szCs w:val="24"/>
          <w:lang w:val="en-GB"/>
        </w:rPr>
      </w:pPr>
      <w:r w:rsidRPr="1C945BAC" w:rsidR="366C63D5">
        <w:rPr>
          <w:rFonts w:ascii="Calibri" w:hAnsi="Calibri" w:eastAsia="Calibri" w:cs="Calibri" w:asciiTheme="minorAscii" w:hAnsiTheme="minorAscii" w:eastAsiaTheme="minorAscii" w:cstheme="minorAscii"/>
          <w:noProof w:val="0"/>
          <w:sz w:val="24"/>
          <w:szCs w:val="24"/>
          <w:lang w:val="en-GB"/>
        </w:rPr>
        <w:t xml:space="preserve">Pleasence, P. and Balmer, N. (2018) ‘Measuring the Accessibility and Equality of Civil Justice’, </w:t>
      </w:r>
      <w:r w:rsidRPr="1C945BAC" w:rsidR="366C63D5">
        <w:rPr>
          <w:rFonts w:ascii="Calibri" w:hAnsi="Calibri" w:eastAsia="Calibri" w:cs="Calibri" w:asciiTheme="minorAscii" w:hAnsiTheme="minorAscii" w:eastAsiaTheme="minorAscii" w:cstheme="minorAscii"/>
          <w:i w:val="1"/>
          <w:iCs w:val="1"/>
          <w:noProof w:val="0"/>
          <w:sz w:val="24"/>
          <w:szCs w:val="24"/>
          <w:lang w:val="en-GB"/>
        </w:rPr>
        <w:t>Hague Journal on the Rule of Law</w:t>
      </w:r>
      <w:r w:rsidRPr="1C945BAC" w:rsidR="366C63D5">
        <w:rPr>
          <w:rFonts w:ascii="Calibri" w:hAnsi="Calibri" w:eastAsia="Calibri" w:cs="Calibri" w:asciiTheme="minorAscii" w:hAnsiTheme="minorAscii" w:eastAsiaTheme="minorAscii" w:cstheme="minorAscii"/>
          <w:noProof w:val="0"/>
          <w:sz w:val="24"/>
          <w:szCs w:val="24"/>
          <w:lang w:val="en-GB"/>
        </w:rPr>
        <w:t xml:space="preserve">, 10(2), pp. 255–294. Available at: </w:t>
      </w:r>
      <w:hyperlink r:id="R5dfdcefd4b8848c7">
        <w:r w:rsidRPr="1C945BAC" w:rsidR="366C63D5">
          <w:rPr>
            <w:rStyle w:val="Hyperlink"/>
            <w:rFonts w:ascii="Calibri" w:hAnsi="Calibri" w:eastAsia="Calibri" w:cs="Calibri" w:asciiTheme="minorAscii" w:hAnsiTheme="minorAscii" w:eastAsiaTheme="minorAscii" w:cstheme="minorAscii"/>
            <w:noProof w:val="0"/>
            <w:sz w:val="24"/>
            <w:szCs w:val="24"/>
            <w:lang w:val="en-GB"/>
          </w:rPr>
          <w:t>https://doi.org/10.1007/s40803-018-0079-0</w:t>
        </w:r>
      </w:hyperlink>
      <w:r w:rsidRPr="1C945BAC" w:rsidR="366C63D5">
        <w:rPr>
          <w:rFonts w:ascii="Calibri" w:hAnsi="Calibri" w:eastAsia="Calibri" w:cs="Calibri" w:asciiTheme="minorAscii" w:hAnsiTheme="minorAscii" w:eastAsiaTheme="minorAscii" w:cstheme="minorAscii"/>
          <w:noProof w:val="0"/>
          <w:sz w:val="24"/>
          <w:szCs w:val="24"/>
          <w:lang w:val="en-GB"/>
        </w:rPr>
        <w:t>.</w:t>
      </w:r>
    </w:p>
    <w:p xmlns:wp14="http://schemas.microsoft.com/office/word/2010/wordml" w:rsidP="1C945BAC" wp14:paraId="15CB5F41" wp14:textId="6398AA02">
      <w:pPr>
        <w:rPr>
          <w:rFonts w:ascii="Calibri" w:hAnsi="Calibri" w:eastAsia="Calibri" w:cs="Calibri" w:asciiTheme="minorAscii" w:hAnsiTheme="minorAscii" w:eastAsiaTheme="minorAscii" w:cstheme="minorAscii"/>
          <w:noProof w:val="0"/>
          <w:sz w:val="24"/>
          <w:szCs w:val="24"/>
          <w:lang w:val="en-GB"/>
        </w:rPr>
      </w:pPr>
      <w:r w:rsidRPr="1C945BAC" w:rsidR="366C63D5">
        <w:rPr>
          <w:rFonts w:ascii="Calibri" w:hAnsi="Calibri" w:eastAsia="Calibri" w:cs="Calibri" w:asciiTheme="minorAscii" w:hAnsiTheme="minorAscii" w:eastAsiaTheme="minorAscii" w:cstheme="minorAscii"/>
          <w:noProof w:val="0"/>
          <w:sz w:val="24"/>
          <w:szCs w:val="24"/>
          <w:lang w:val="en-GB"/>
        </w:rPr>
        <w:t>Sommerlad</w:t>
      </w:r>
      <w:r w:rsidRPr="1C945BAC" w:rsidR="366C63D5">
        <w:rPr>
          <w:rFonts w:ascii="Calibri" w:hAnsi="Calibri" w:eastAsia="Calibri" w:cs="Calibri" w:asciiTheme="minorAscii" w:hAnsiTheme="minorAscii" w:eastAsiaTheme="minorAscii" w:cstheme="minorAscii"/>
          <w:noProof w:val="0"/>
          <w:sz w:val="24"/>
          <w:szCs w:val="24"/>
          <w:lang w:val="en-GB"/>
        </w:rPr>
        <w:t xml:space="preserve">, H. </w:t>
      </w:r>
      <w:r w:rsidRPr="1C945BAC" w:rsidR="366C63D5">
        <w:rPr>
          <w:rFonts w:ascii="Calibri" w:hAnsi="Calibri" w:eastAsia="Calibri" w:cs="Calibri" w:asciiTheme="minorAscii" w:hAnsiTheme="minorAscii" w:eastAsiaTheme="minorAscii" w:cstheme="minorAscii"/>
          <w:i w:val="1"/>
          <w:iCs w:val="1"/>
          <w:noProof w:val="0"/>
          <w:sz w:val="24"/>
          <w:szCs w:val="24"/>
          <w:lang w:val="en-GB"/>
        </w:rPr>
        <w:t>et al.</w:t>
      </w:r>
      <w:r w:rsidRPr="1C945BAC" w:rsidR="366C63D5">
        <w:rPr>
          <w:rFonts w:ascii="Calibri" w:hAnsi="Calibri" w:eastAsia="Calibri" w:cs="Calibri" w:asciiTheme="minorAscii" w:hAnsiTheme="minorAscii" w:eastAsiaTheme="minorAscii" w:cstheme="minorAscii"/>
          <w:noProof w:val="0"/>
          <w:sz w:val="24"/>
          <w:szCs w:val="24"/>
          <w:lang w:val="en-GB"/>
        </w:rPr>
        <w:t xml:space="preserve"> (2010) </w:t>
      </w:r>
      <w:r w:rsidRPr="1C945BAC" w:rsidR="366C63D5">
        <w:rPr>
          <w:rFonts w:ascii="Calibri" w:hAnsi="Calibri" w:eastAsia="Calibri" w:cs="Calibri" w:asciiTheme="minorAscii" w:hAnsiTheme="minorAscii" w:eastAsiaTheme="minorAscii" w:cstheme="minorAscii"/>
          <w:i w:val="1"/>
          <w:iCs w:val="1"/>
          <w:noProof w:val="0"/>
          <w:sz w:val="24"/>
          <w:szCs w:val="24"/>
          <w:lang w:val="en-GB"/>
        </w:rPr>
        <w:t>Diversity in the legal profession in England and Wales: a qualitative study of barriers and individual choices</w:t>
      </w:r>
      <w:r w:rsidRPr="1C945BAC" w:rsidR="366C63D5">
        <w:rPr>
          <w:rFonts w:ascii="Calibri" w:hAnsi="Calibri" w:eastAsia="Calibri" w:cs="Calibri" w:asciiTheme="minorAscii" w:hAnsiTheme="minorAscii" w:eastAsiaTheme="minorAscii" w:cstheme="minorAscii"/>
          <w:noProof w:val="0"/>
          <w:sz w:val="24"/>
          <w:szCs w:val="24"/>
          <w:lang w:val="en-GB"/>
        </w:rPr>
        <w:t xml:space="preserve">. Available at: </w:t>
      </w:r>
      <w:hyperlink r:id="Rd0f7dae24ac64259">
        <w:r w:rsidRPr="1C945BAC" w:rsidR="366C63D5">
          <w:rPr>
            <w:rStyle w:val="Hyperlink"/>
            <w:rFonts w:ascii="Calibri" w:hAnsi="Calibri" w:eastAsia="Calibri" w:cs="Calibri" w:asciiTheme="minorAscii" w:hAnsiTheme="minorAscii" w:eastAsiaTheme="minorAscii" w:cstheme="minorAscii"/>
            <w:noProof w:val="0"/>
            <w:sz w:val="24"/>
            <w:szCs w:val="24"/>
            <w:lang w:val="en-GB"/>
          </w:rPr>
          <w:t>https://research.legalservicesboard.org.uk/wp-content/media/2010-Diversity-in-the-legal-profession.pdf</w:t>
        </w:r>
      </w:hyperlink>
      <w:r w:rsidRPr="1C945BAC" w:rsidR="366C63D5">
        <w:rPr>
          <w:rFonts w:ascii="Calibri" w:hAnsi="Calibri" w:eastAsia="Calibri" w:cs="Calibri" w:asciiTheme="minorAscii" w:hAnsiTheme="minorAscii" w:eastAsiaTheme="minorAscii" w:cstheme="minorAscii"/>
          <w:noProof w:val="0"/>
          <w:sz w:val="24"/>
          <w:szCs w:val="24"/>
          <w:lang w:val="en-GB"/>
        </w:rPr>
        <w:t>.</w:t>
      </w:r>
    </w:p>
    <w:p xmlns:wp14="http://schemas.microsoft.com/office/word/2010/wordml" w:rsidP="1C945BAC" wp14:paraId="500950DE" wp14:textId="79B8FC17">
      <w:pPr>
        <w:rPr>
          <w:rFonts w:ascii="Calibri" w:hAnsi="Calibri" w:eastAsia="Calibri" w:cs="Calibri" w:asciiTheme="minorAscii" w:hAnsiTheme="minorAscii" w:eastAsiaTheme="minorAscii" w:cstheme="minorAscii"/>
          <w:noProof w:val="0"/>
          <w:sz w:val="24"/>
          <w:szCs w:val="24"/>
          <w:lang w:val="en-GB"/>
        </w:rPr>
      </w:pPr>
      <w:r w:rsidRPr="1C945BAC" w:rsidR="366C63D5">
        <w:rPr>
          <w:rFonts w:ascii="Calibri" w:hAnsi="Calibri" w:eastAsia="Calibri" w:cs="Calibri" w:asciiTheme="minorAscii" w:hAnsiTheme="minorAscii" w:eastAsiaTheme="minorAscii" w:cstheme="minorAscii"/>
          <w:noProof w:val="0"/>
          <w:sz w:val="24"/>
          <w:szCs w:val="24"/>
          <w:lang w:val="en-GB"/>
        </w:rPr>
        <w:t xml:space="preserve">Webley, L. (2015) ‘Legal Professional de(re)regulation, equality, and inclusion, and the contested space of professionalism within the legal market in England and Wales’, </w:t>
      </w:r>
      <w:r w:rsidRPr="1C945BAC" w:rsidR="366C63D5">
        <w:rPr>
          <w:rFonts w:ascii="Calibri" w:hAnsi="Calibri" w:eastAsia="Calibri" w:cs="Calibri" w:asciiTheme="minorAscii" w:hAnsiTheme="minorAscii" w:eastAsiaTheme="minorAscii" w:cstheme="minorAscii"/>
          <w:i w:val="1"/>
          <w:iCs w:val="1"/>
          <w:noProof w:val="0"/>
          <w:sz w:val="24"/>
          <w:szCs w:val="24"/>
          <w:lang w:val="en-GB"/>
        </w:rPr>
        <w:t>Fordham Law Review</w:t>
      </w:r>
      <w:r w:rsidRPr="1C945BAC" w:rsidR="366C63D5">
        <w:rPr>
          <w:rFonts w:ascii="Calibri" w:hAnsi="Calibri" w:eastAsia="Calibri" w:cs="Calibri" w:asciiTheme="minorAscii" w:hAnsiTheme="minorAscii" w:eastAsiaTheme="minorAscii" w:cstheme="minorAscii"/>
          <w:noProof w:val="0"/>
          <w:sz w:val="24"/>
          <w:szCs w:val="24"/>
          <w:lang w:val="en-GB"/>
        </w:rPr>
        <w:t>, 83(5), pp. 2349–2367.</w:t>
      </w:r>
    </w:p>
    <w:p xmlns:wp14="http://schemas.microsoft.com/office/word/2010/wordml" w:rsidP="1C945BAC" wp14:paraId="26F38240" wp14:textId="73A7AD40">
      <w:pPr>
        <w:rPr>
          <w:rFonts w:ascii="Calibri" w:hAnsi="Calibri" w:eastAsia="Calibri" w:cs="Calibri" w:asciiTheme="minorAscii" w:hAnsiTheme="minorAscii" w:eastAsiaTheme="minorAscii" w:cstheme="minorAscii"/>
          <w:sz w:val="24"/>
          <w:szCs w:val="24"/>
        </w:rPr>
      </w:pPr>
    </w:p>
    <w:p xmlns:wp14="http://schemas.microsoft.com/office/word/2010/wordml" w:rsidP="1C945BAC" wp14:paraId="2CDCE185" wp14:textId="10954748">
      <w:pPr>
        <w:rPr>
          <w:rFonts w:ascii="Calibri" w:hAnsi="Calibri" w:eastAsia="Calibri" w:cs="Calibri" w:asciiTheme="minorAscii" w:hAnsiTheme="minorAscii" w:eastAsiaTheme="minorAscii" w:cstheme="minorAscii"/>
          <w:sz w:val="24"/>
          <w:szCs w:val="24"/>
        </w:rPr>
      </w:pPr>
    </w:p>
    <w:p xmlns:wp14="http://schemas.microsoft.com/office/word/2010/wordml" w:rsidP="1C945BAC" wp14:paraId="2370BA02" wp14:textId="62263AEC">
      <w:pPr>
        <w:pStyle w:val="Normal"/>
        <w:rPr>
          <w:rFonts w:ascii="Calibri" w:hAnsi="Calibri" w:eastAsia="Calibri" w:cs="Calibri" w:asciiTheme="minorAscii" w:hAnsiTheme="minorAscii" w:eastAsiaTheme="minorAscii" w:cstheme="minorAscii"/>
          <w:sz w:val="24"/>
          <w:szCs w:val="24"/>
        </w:rPr>
      </w:pPr>
    </w:p>
    <w:p xmlns:wp14="http://schemas.microsoft.com/office/word/2010/wordml" w:rsidP="1C945BAC" wp14:paraId="5E5787A5" wp14:textId="4C84A365">
      <w:pPr>
        <w:pStyle w:val="Normal"/>
        <w:rPr>
          <w:rFonts w:ascii="Calibri" w:hAnsi="Calibri" w:eastAsia="Calibri" w:cs="Calibri" w:asciiTheme="minorAscii" w:hAnsiTheme="minorAscii" w:eastAsiaTheme="minorAscii" w:cstheme="minorAscii"/>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pw5tV5TlygpKhV" int2:id="idjfcjIw">
      <int2:state int2:type="AugLoop_Text_Critique" int2:value="Rejected"/>
    </int2:textHash>
    <int2:textHash int2:hashCode="9yoFkifx2fUMzI" int2:id="Qb727srk">
      <int2:state int2:type="AugLoop_Text_Critique" int2:value="Rejected"/>
    </int2:textHash>
    <int2:textHash int2:hashCode="dCvGxvuPiCI2t9" int2:id="NXbf0ZvO">
      <int2:state int2:type="AugLoop_Text_Critique" int2:value="Rejected"/>
    </int2:textHash>
    <int2:textHash int2:hashCode="kQL6F+BpG8GjSz" int2:id="B9aHCG2P">
      <int2:state int2:type="AugLoop_Text_Critique" int2:value="Rejected"/>
    </int2:textHash>
    <int2:bookmark int2:bookmarkName="_Int_Y1cyciDj" int2:invalidationBookmarkName="" int2:hashCode="vIAI7sbmPlhgjO" int2:id="p9hXlpqE">
      <int2:state int2:type="AugLoop_Text_Critique" int2:value="Rejected"/>
    </int2:bookmark>
    <int2:bookmark int2:bookmarkName="_Int_hPbNrxOh" int2:invalidationBookmarkName="" int2:hashCode="HstGEeq8yhr86a" int2:id="g6Z9B5RS">
      <int2:state int2:type="AugLoop_Text_Critique" int2:value="Rejected"/>
    </int2:bookmark>
    <int2:bookmark int2:bookmarkName="_Int_F5Z1u9Os" int2:invalidationBookmarkName="" int2:hashCode="WWIwUWq+Ty+xAT" int2:id="sbYeD2LN">
      <int2:state int2:type="AugLoop_Text_Critique" int2:value="Rejected"/>
    </int2:bookmark>
    <int2:bookmark int2:bookmarkName="_Int_nVW1I0Vr" int2:invalidationBookmarkName="" int2:hashCode="WWIwUWq+Ty+xAT" int2:id="oOezPhsV">
      <int2:state int2:type="AugLoop_Text_Critique" int2:value="Rejected"/>
    </int2:bookmark>
    <int2:bookmark int2:bookmarkName="_Int_NUbLfyMO" int2:invalidationBookmarkName="" int2:hashCode="WWIwUWq+Ty+xAT" int2:id="9o6RXPcd">
      <int2:state int2:type="AugLoop_Text_Critique" int2:value="Rejected"/>
    </int2:bookmark>
    <int2:bookmark int2:bookmarkName="_Int_64QLsRmG" int2:invalidationBookmarkName="" int2:hashCode="/gVO6lbL1z4Mat" int2:id="FGuO4R7f">
      <int2:state int2:type="AugLoop_Text_Critique" int2:value="Rejected"/>
    </int2:bookmark>
    <int2:bookmark int2:bookmarkName="_Int_JfxRpvOA" int2:invalidationBookmarkName="" int2:hashCode="M9wxkST7QYMw/g" int2:id="JFTKvIzt">
      <int2:state int2:type="AugLoop_Text_Critique" int2:value="Rejected"/>
    </int2:bookmark>
    <int2:bookmark int2:bookmarkName="_Int_vJQJe41h" int2:invalidationBookmarkName="" int2:hashCode="6HovLIhD3ys/B8" int2:id="GAWhBHar">
      <int2:state int2:type="AugLoop_Text_Critique" int2:value="Rejected"/>
    </int2:bookmark>
    <int2:bookmark int2:bookmarkName="_Int_tAWezd07" int2:invalidationBookmarkName="" int2:hashCode="qjSG7kbAbXMDxA" int2:id="L2s7ovhX">
      <int2:state int2:type="AugLoop_Text_Critique" int2:value="Rejected"/>
    </int2:bookmark>
    <int2:bookmark int2:bookmarkName="_Int_m2q9U4yl" int2:invalidationBookmarkName="" int2:hashCode="Mjr3qFNTbaGIZm" int2:id="dKWU24Wx">
      <int2:state int2:type="AugLoop_Text_Critique" int2:value="Rejected"/>
    </int2:bookmark>
    <int2:bookmark int2:bookmarkName="_Int_XGaI3Fxb" int2:invalidationBookmarkName="" int2:hashCode="qjSG7kbAbXMDxA" int2:id="Z5HRIFGd">
      <int2:state int2:type="AugLoop_Text_Critique" int2:value="Rejected"/>
    </int2:bookmark>
    <int2:bookmark int2:bookmarkName="_Int_C0y60AR2" int2:invalidationBookmarkName="" int2:hashCode="aVuvQkvvEAmw3u" int2:id="6moPKMgR">
      <int2:state int2:type="AugLoop_Acronyms_AcronymsCritique" int2:value="Rejected"/>
    </int2:bookmark>
    <int2:bookmark int2:bookmarkName="_Int_X5GxLnXy" int2:invalidationBookmarkName="" int2:hashCode="d3DQTHv7eR58lZ" int2:id="FEEvbH1G">
      <int2:state int2:type="AugLoop_Acronyms_AcronymsCritique" int2:value="Rejected"/>
    </int2:bookmark>
    <int2:bookmark int2:bookmarkName="_Int_gCEt9xYg" int2:invalidationBookmarkName="" int2:hashCode="HstGEeq8yhr86a" int2:id="dC4YTKDA">
      <int2:state int2:type="AugLoop_Text_Critique" int2:value="Rejected"/>
    </int2:bookmark>
    <int2:bookmark int2:bookmarkName="_Int_l4ciHN4v" int2:invalidationBookmarkName="" int2:hashCode="WWIwUWq+Ty+xAT" int2:id="DykWgF1N">
      <int2:state int2:type="AugLoop_Text_Critique" int2:value="Rejected"/>
    </int2:bookmark>
    <int2:bookmark int2:bookmarkName="_Int_t98hYotl" int2:invalidationBookmarkName="" int2:hashCode="459JW60VH1mzdy" int2:id="1CgE6Ued">
      <int2:state int2:type="AugLoop_Text_Critique" int2:value="Rejected"/>
    </int2:bookmark>
    <int2:bookmark int2:bookmarkName="_Int_OQwEtAd3" int2:invalidationBookmarkName="" int2:hashCode="W5Z4vmu9anL2GF" int2:id="BgTbOO3p">
      <int2:state int2:type="AugLoop_Text_Critique" int2:value="Rejected"/>
    </int2:bookmark>
  </int2:observations>
  <int2:intelligenceSettings/>
  <int2:onDemandWorkflows>
    <int2:onDemandWorkflow int2:type="SimilarityCheck" int2:paragraphVersions="1B974396-39C8EDCB 023A4701-5D68F82E 299F9C42-34CB1A00 50903661-02DCE449 6C58A033-6BC9DBEC 201BD764-455608A6 51CF2880-7A8A8C91 2122BCD6-21357E3A 4A220C70-21701802 183FA409-1633AB6A 6F6ECC22-6CFB942D 0DFBB350-0E4004AF 57AE3C24-17EE7575 196C132A-40CBA9FF 2DEB7196-6EAFD700 5A1097A1-7CB6AC64 2CEA403F-6EBF15E0 23390B75-00DB3E86 6EB6A45A-3CC71807 475A88AD-6478698B 1808D368-75DA92C4 62166D88-0C20EFFB 0274DF42-73428C87 30AD6EE5-338FD158 7D049F77-44B2FC8E 752EAE75-7392D130 02403864-057209EE 24BE4CA0-07BC15AD 4EC9311D-76BCF21B 442CFF94-382265B9 64008A0F-7BA79377 2E3ACEF6-3FB12C4F 116153FB-4830F198 19942535-2E1D61A3 245ECD6C-110A52CE 196C7B85-2CFC89D5 197E934E-657B8E9F 26A83D0E-12D5C279 20D018EE-069B14A7 4E8CFD23-658129E2 65B94E45-2D3C56F2 62BDEE12-63FD8A2D 0F86D01E-7F4F5D28 15CB5F41-6398AA02 500950DE-79B8FC17 26F38240-73A7AD40 2CDCE185-10954748 2370BA02-62263AEC 5E5787A5-4C84A365"/>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49F9AD"/>
    <w:rsid w:val="000D25C6"/>
    <w:rsid w:val="03889ED8"/>
    <w:rsid w:val="051361F8"/>
    <w:rsid w:val="085C0FFB"/>
    <w:rsid w:val="0B01B2D0"/>
    <w:rsid w:val="0B93B0BD"/>
    <w:rsid w:val="0E2FAD22"/>
    <w:rsid w:val="0E66D1E6"/>
    <w:rsid w:val="16C1BF1C"/>
    <w:rsid w:val="170DA0B9"/>
    <w:rsid w:val="18F10DEA"/>
    <w:rsid w:val="1C945BAC"/>
    <w:rsid w:val="1FDD7ED6"/>
    <w:rsid w:val="28B21C8A"/>
    <w:rsid w:val="2ABC730C"/>
    <w:rsid w:val="2FC234FB"/>
    <w:rsid w:val="30E35F5C"/>
    <w:rsid w:val="326452A8"/>
    <w:rsid w:val="32D4CF5E"/>
    <w:rsid w:val="34AD9252"/>
    <w:rsid w:val="34BD123E"/>
    <w:rsid w:val="36236BC3"/>
    <w:rsid w:val="366C63D5"/>
    <w:rsid w:val="37E53314"/>
    <w:rsid w:val="3CE6F7E7"/>
    <w:rsid w:val="3DCF29CB"/>
    <w:rsid w:val="408C1884"/>
    <w:rsid w:val="412B9816"/>
    <w:rsid w:val="427FB290"/>
    <w:rsid w:val="42FA22FA"/>
    <w:rsid w:val="43F47C28"/>
    <w:rsid w:val="4A70A563"/>
    <w:rsid w:val="4B15BB15"/>
    <w:rsid w:val="4C0D9236"/>
    <w:rsid w:val="4DF24920"/>
    <w:rsid w:val="4FA60FF2"/>
    <w:rsid w:val="50D16CEE"/>
    <w:rsid w:val="52972F8D"/>
    <w:rsid w:val="5806CD64"/>
    <w:rsid w:val="581CD9EA"/>
    <w:rsid w:val="6149F9AD"/>
    <w:rsid w:val="6413E787"/>
    <w:rsid w:val="6579F626"/>
    <w:rsid w:val="6ABC56E4"/>
    <w:rsid w:val="6B74DEAE"/>
    <w:rsid w:val="7D4FE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9F9AD"/>
  <w15:chartTrackingRefBased/>
  <w15:docId w15:val="{17F86701-FA8E-4920-8D21-BA567024E37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80/09695958.2011.580561" TargetMode="External" Id="R7be41c7ecf6d4d35" /><Relationship Type="http://schemas.openxmlformats.org/officeDocument/2006/relationships/hyperlink" Target="https://doi.org/10.1177/095207679300800205" TargetMode="External" Id="Rfb726effff864cc6" /><Relationship Type="http://schemas.openxmlformats.org/officeDocument/2006/relationships/hyperlink" Target="https://doi.org/10.1093/he/9780198788928.003.0003" TargetMode="External" Id="R3cb4d9fdccfe430e" /><Relationship Type="http://schemas.openxmlformats.org/officeDocument/2006/relationships/hyperlink" Target="https://doi.org/10.2139/ssrn.2474448" TargetMode="External" Id="Rc3580267e7694769" /><Relationship Type="http://schemas.openxmlformats.org/officeDocument/2006/relationships/hyperlink" Target="https://doi.org/10.1007/s40803-018-0079-0" TargetMode="External" Id="R5dfdcefd4b8848c7" /><Relationship Type="http://schemas.openxmlformats.org/officeDocument/2006/relationships/hyperlink" Target="https://research.legalservicesboard.org.uk/wp-content/media/2010-Diversity-in-the-legal-profession.pdf" TargetMode="External" Id="Rd0f7dae24ac64259" /><Relationship Type="http://schemas.microsoft.com/office/2020/10/relationships/intelligence" Target="/word/intelligence2.xml" Id="R8bc6bcac6cf24a6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Sajid Khan (2229444)</dc:creator>
  <keywords/>
  <dc:description/>
  <lastModifiedBy>Sajid Khan (2229444)</lastModifiedBy>
  <revision>2</revision>
  <dcterms:created xsi:type="dcterms:W3CDTF">2023-08-09T16:21:09.2772719Z</dcterms:created>
  <dcterms:modified xsi:type="dcterms:W3CDTF">2023-08-10T14:32:12.3949779Z</dcterms:modified>
</coreProperties>
</file>