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67DF0" w14:textId="70EA5A18" w:rsidR="00D15E7C" w:rsidRDefault="00D15E7C" w:rsidP="00FC0D57">
      <w:pPr>
        <w:jc w:val="center"/>
        <w:rPr>
          <w:b/>
          <w:bCs/>
          <w:sz w:val="32"/>
          <w:szCs w:val="32"/>
        </w:rPr>
      </w:pPr>
      <w:bookmarkStart w:id="0" w:name="_Toc227662976"/>
      <w:bookmarkStart w:id="1" w:name="_Toc227663065"/>
      <w:bookmarkStart w:id="2" w:name="_Toc227662975"/>
      <w:bookmarkStart w:id="3" w:name="_Toc227663064"/>
      <w:r w:rsidRPr="00960874">
        <w:rPr>
          <w:noProof/>
        </w:rPr>
        <w:drawing>
          <wp:inline distT="0" distB="0" distL="0" distR="0" wp14:anchorId="698F38DC" wp14:editId="368550B9">
            <wp:extent cx="3920836" cy="2175877"/>
            <wp:effectExtent l="0" t="0" r="3810" b="0"/>
            <wp:docPr id="12" name="Picture 12" descr="university-of-wales-trinity-saint-david-logo-vector | ESRC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university-of-wales-trinity-saint-david-logo-vector | ESRC Wales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47353" cy="2190592"/>
                    </a:xfrm>
                    <a:prstGeom prst="rect">
                      <a:avLst/>
                    </a:prstGeom>
                    <a:noFill/>
                    <a:ln>
                      <a:noFill/>
                    </a:ln>
                  </pic:spPr>
                </pic:pic>
              </a:graphicData>
            </a:graphic>
          </wp:inline>
        </w:drawing>
      </w:r>
    </w:p>
    <w:p w14:paraId="6414DCD0" w14:textId="5BD70638" w:rsidR="00D15E7C" w:rsidRPr="00B549B8" w:rsidRDefault="00D15E7C" w:rsidP="009410F9">
      <w:pPr>
        <w:jc w:val="both"/>
        <w:rPr>
          <w:b/>
          <w:bCs/>
          <w:sz w:val="32"/>
          <w:szCs w:val="32"/>
        </w:rPr>
      </w:pPr>
      <w:r w:rsidRPr="00B549B8">
        <w:rPr>
          <w:b/>
          <w:bCs/>
          <w:sz w:val="32"/>
          <w:szCs w:val="32"/>
        </w:rPr>
        <w:t>Programme: MSc Public Health and Social Care in Practice</w:t>
      </w:r>
      <w:bookmarkEnd w:id="0"/>
      <w:bookmarkEnd w:id="1"/>
    </w:p>
    <w:p w14:paraId="0F67F2C1" w14:textId="27444E44" w:rsidR="00D15E7C" w:rsidRPr="00960874" w:rsidRDefault="00D15E7C" w:rsidP="009410F9">
      <w:pPr>
        <w:spacing w:line="480" w:lineRule="auto"/>
        <w:jc w:val="both"/>
        <w:rPr>
          <w:rFonts w:ascii="Times New Roman" w:hAnsi="Times New Roman" w:cs="Times New Roman"/>
          <w:b/>
          <w:sz w:val="36"/>
          <w:szCs w:val="36"/>
        </w:rPr>
      </w:pPr>
      <w:r w:rsidRPr="00960874">
        <w:rPr>
          <w:rFonts w:ascii="Times New Roman" w:hAnsi="Times New Roman" w:cs="Times New Roman"/>
          <w:b/>
          <w:sz w:val="36"/>
          <w:szCs w:val="36"/>
        </w:rPr>
        <w:t xml:space="preserve">Module: </w:t>
      </w:r>
      <w:r w:rsidRPr="00D15E7C">
        <w:rPr>
          <w:rFonts w:ascii="Times New Roman" w:hAnsi="Times New Roman" w:cs="Times New Roman"/>
          <w:b/>
          <w:sz w:val="36"/>
          <w:szCs w:val="36"/>
          <w:lang w:val="en-US"/>
        </w:rPr>
        <w:t>Service Integration and Partnership Working</w:t>
      </w:r>
    </w:p>
    <w:p w14:paraId="21D88BC4" w14:textId="23C74A1E" w:rsidR="00D15E7C" w:rsidRDefault="00D15E7C" w:rsidP="009410F9">
      <w:pPr>
        <w:spacing w:line="480" w:lineRule="auto"/>
        <w:jc w:val="both"/>
        <w:rPr>
          <w:rFonts w:ascii="Times New Roman" w:hAnsi="Times New Roman" w:cs="Times New Roman"/>
          <w:b/>
          <w:sz w:val="36"/>
          <w:szCs w:val="36"/>
        </w:rPr>
      </w:pPr>
      <w:r w:rsidRPr="00960874">
        <w:rPr>
          <w:rFonts w:ascii="Times New Roman" w:hAnsi="Times New Roman" w:cs="Times New Roman"/>
          <w:b/>
          <w:sz w:val="36"/>
          <w:szCs w:val="36"/>
        </w:rPr>
        <w:t>Module code: LCHS700</w:t>
      </w:r>
      <w:r>
        <w:rPr>
          <w:rFonts w:ascii="Times New Roman" w:hAnsi="Times New Roman" w:cs="Times New Roman"/>
          <w:b/>
          <w:sz w:val="36"/>
          <w:szCs w:val="36"/>
        </w:rPr>
        <w:t>5</w:t>
      </w:r>
    </w:p>
    <w:p w14:paraId="0B7693C8" w14:textId="77777777" w:rsidR="00D15E7C" w:rsidRDefault="00D15E7C" w:rsidP="009410F9">
      <w:pPr>
        <w:spacing w:line="240" w:lineRule="auto"/>
        <w:jc w:val="both"/>
        <w:rPr>
          <w:rFonts w:ascii="Times New Roman" w:hAnsi="Times New Roman" w:cs="Times New Roman"/>
          <w:b/>
          <w:sz w:val="36"/>
          <w:szCs w:val="36"/>
        </w:rPr>
      </w:pPr>
      <w:r w:rsidRPr="00960874">
        <w:rPr>
          <w:rFonts w:ascii="Times New Roman" w:hAnsi="Times New Roman" w:cs="Times New Roman"/>
          <w:b/>
          <w:sz w:val="36"/>
          <w:szCs w:val="36"/>
        </w:rPr>
        <w:t>Assignment Title:</w:t>
      </w:r>
    </w:p>
    <w:p w14:paraId="5F100E43" w14:textId="1A872F44" w:rsidR="00D15E7C" w:rsidRDefault="00D15E7C" w:rsidP="009410F9">
      <w:pPr>
        <w:spacing w:line="240" w:lineRule="auto"/>
        <w:jc w:val="both"/>
        <w:rPr>
          <w:rFonts w:ascii="Times New Roman" w:hAnsi="Times New Roman" w:cs="Times New Roman"/>
          <w:b/>
          <w:sz w:val="36"/>
          <w:szCs w:val="36"/>
        </w:rPr>
      </w:pPr>
      <w:r w:rsidRPr="00960874">
        <w:rPr>
          <w:rFonts w:ascii="Times New Roman" w:hAnsi="Times New Roman" w:cs="Times New Roman"/>
          <w:b/>
          <w:sz w:val="36"/>
          <w:szCs w:val="36"/>
        </w:rPr>
        <w:t xml:space="preserve">Component 2 </w:t>
      </w:r>
      <w:r>
        <w:rPr>
          <w:rFonts w:ascii="Times New Roman" w:hAnsi="Times New Roman" w:cs="Times New Roman"/>
          <w:b/>
          <w:sz w:val="36"/>
          <w:szCs w:val="36"/>
        </w:rPr>
        <w:t>Reflective Report</w:t>
      </w:r>
    </w:p>
    <w:p w14:paraId="3E2925B8" w14:textId="0E4524CB" w:rsidR="00FC0D57" w:rsidRPr="00FC0D57" w:rsidRDefault="00FC0D57" w:rsidP="00FC0D57">
      <w:pPr>
        <w:spacing w:before="100" w:beforeAutospacing="1" w:after="100" w:afterAutospacing="1" w:line="240" w:lineRule="auto"/>
        <w:outlineLvl w:val="0"/>
        <w:rPr>
          <w:rFonts w:ascii="Times New Roman" w:eastAsia="Times New Roman" w:hAnsi="Times New Roman" w:cs="Times New Roman"/>
          <w:b/>
          <w:bCs/>
          <w:kern w:val="36"/>
          <w:sz w:val="36"/>
          <w:szCs w:val="36"/>
          <w:lang w:eastAsia="en-GB"/>
        </w:rPr>
      </w:pPr>
      <w:bookmarkStart w:id="4" w:name="_Toc228129662"/>
      <w:r w:rsidRPr="00FC0D57">
        <w:rPr>
          <w:rFonts w:ascii="Times New Roman" w:eastAsia="Times New Roman" w:hAnsi="Times New Roman" w:cs="Times New Roman"/>
          <w:b/>
          <w:bCs/>
          <w:kern w:val="36"/>
          <w:sz w:val="36"/>
          <w:szCs w:val="36"/>
          <w:lang w:eastAsia="en-GB"/>
        </w:rPr>
        <w:t xml:space="preserve">Reflection Report on Learning in Service Integration and Partnership Working in </w:t>
      </w:r>
      <w:proofErr w:type="spellStart"/>
      <w:r w:rsidRPr="00FC0D57">
        <w:rPr>
          <w:rFonts w:ascii="Times New Roman" w:eastAsia="Times New Roman" w:hAnsi="Times New Roman" w:cs="Times New Roman"/>
          <w:b/>
          <w:bCs/>
          <w:kern w:val="36"/>
          <w:sz w:val="36"/>
          <w:szCs w:val="36"/>
          <w:lang w:eastAsia="en-GB"/>
        </w:rPr>
        <w:t>Dia</w:t>
      </w:r>
      <w:proofErr w:type="spellEnd"/>
      <w:r w:rsidR="00ED72B0">
        <w:rPr>
          <w:rFonts w:ascii="Times New Roman" w:eastAsia="Times New Roman" w:hAnsi="Times New Roman" w:cs="Times New Roman"/>
          <w:b/>
          <w:bCs/>
          <w:kern w:val="36"/>
          <w:sz w:val="36"/>
          <w:szCs w:val="36"/>
          <w:lang w:eastAsia="en-GB"/>
        </w:rPr>
        <w:t>-</w:t>
      </w:r>
      <w:r w:rsidRPr="00FC0D57">
        <w:rPr>
          <w:rFonts w:ascii="Times New Roman" w:eastAsia="Times New Roman" w:hAnsi="Times New Roman" w:cs="Times New Roman"/>
          <w:b/>
          <w:bCs/>
          <w:kern w:val="36"/>
          <w:sz w:val="36"/>
          <w:szCs w:val="36"/>
          <w:lang w:eastAsia="en-GB"/>
        </w:rPr>
        <w:t>Well LU4 Integrated Diabetes Care and Prevention Centre</w:t>
      </w:r>
      <w:bookmarkEnd w:id="4"/>
      <w:r w:rsidRPr="00FC0D57">
        <w:rPr>
          <w:rFonts w:ascii="Times New Roman" w:eastAsia="Times New Roman" w:hAnsi="Times New Roman" w:cs="Times New Roman"/>
          <w:b/>
          <w:bCs/>
          <w:kern w:val="36"/>
          <w:sz w:val="36"/>
          <w:szCs w:val="36"/>
          <w:lang w:eastAsia="en-GB"/>
        </w:rPr>
        <w:t xml:space="preserve"> </w:t>
      </w:r>
    </w:p>
    <w:p w14:paraId="4715CE16" w14:textId="77777777" w:rsidR="00D15E7C" w:rsidRDefault="00D15E7C" w:rsidP="009410F9">
      <w:pPr>
        <w:spacing w:after="0" w:line="360" w:lineRule="auto"/>
        <w:jc w:val="both"/>
        <w:rPr>
          <w:rFonts w:ascii="Times New Roman" w:eastAsia="Times New Roman" w:hAnsi="Times New Roman" w:cs="Times New Roman"/>
          <w:b/>
          <w:bCs/>
          <w:color w:val="222222"/>
          <w:sz w:val="32"/>
          <w:szCs w:val="32"/>
          <w:u w:val="single"/>
        </w:rPr>
      </w:pPr>
    </w:p>
    <w:p w14:paraId="2A8FEC79" w14:textId="77777777" w:rsidR="00D15E7C" w:rsidRPr="00960874" w:rsidRDefault="00D15E7C" w:rsidP="009410F9">
      <w:pPr>
        <w:spacing w:line="480" w:lineRule="auto"/>
        <w:jc w:val="both"/>
        <w:rPr>
          <w:rFonts w:ascii="Times New Roman" w:hAnsi="Times New Roman" w:cs="Times New Roman"/>
          <w:b/>
          <w:sz w:val="40"/>
          <w:szCs w:val="40"/>
        </w:rPr>
      </w:pPr>
      <w:r w:rsidRPr="00960874">
        <w:rPr>
          <w:rFonts w:ascii="Times New Roman" w:hAnsi="Times New Roman" w:cs="Times New Roman"/>
          <w:b/>
          <w:sz w:val="40"/>
          <w:szCs w:val="40"/>
        </w:rPr>
        <w:t xml:space="preserve">Lecturer: Dr Diola </w:t>
      </w:r>
      <w:proofErr w:type="spellStart"/>
      <w:r w:rsidRPr="00960874">
        <w:rPr>
          <w:rFonts w:ascii="Times New Roman" w:hAnsi="Times New Roman" w:cs="Times New Roman"/>
          <w:b/>
          <w:sz w:val="40"/>
          <w:szCs w:val="40"/>
        </w:rPr>
        <w:t>Bijlhout</w:t>
      </w:r>
      <w:proofErr w:type="spellEnd"/>
    </w:p>
    <w:p w14:paraId="6E6FA68F" w14:textId="77777777" w:rsidR="00D15E7C" w:rsidRPr="00692902" w:rsidRDefault="00D15E7C" w:rsidP="009410F9">
      <w:pPr>
        <w:jc w:val="both"/>
        <w:rPr>
          <w:b/>
          <w:bCs/>
          <w:sz w:val="40"/>
          <w:szCs w:val="36"/>
        </w:rPr>
      </w:pPr>
      <w:r w:rsidRPr="00692902">
        <w:rPr>
          <w:b/>
          <w:bCs/>
          <w:sz w:val="40"/>
          <w:szCs w:val="36"/>
        </w:rPr>
        <w:t>Name: MIJA CHAKKALAPARAMBIL MICHAEL</w:t>
      </w:r>
    </w:p>
    <w:p w14:paraId="4C55BC87" w14:textId="77777777" w:rsidR="00D15E7C" w:rsidRPr="00692902" w:rsidRDefault="00D15E7C" w:rsidP="009410F9">
      <w:pPr>
        <w:jc w:val="both"/>
        <w:rPr>
          <w:rFonts w:eastAsia="Times New Roman"/>
          <w:b/>
          <w:bCs/>
          <w:kern w:val="36"/>
          <w:sz w:val="144"/>
          <w:szCs w:val="144"/>
          <w:lang w:eastAsia="en-GB"/>
        </w:rPr>
      </w:pPr>
      <w:r w:rsidRPr="00692902">
        <w:rPr>
          <w:b/>
          <w:bCs/>
          <w:sz w:val="40"/>
          <w:szCs w:val="36"/>
        </w:rPr>
        <w:t>Student ID: 2432640</w:t>
      </w:r>
    </w:p>
    <w:p w14:paraId="2F854063" w14:textId="1467AEE3" w:rsidR="00D15E7C" w:rsidRPr="00FC0D57" w:rsidRDefault="00D15E7C" w:rsidP="00FC0D57">
      <w:pPr>
        <w:spacing w:before="100" w:beforeAutospacing="1" w:after="100" w:afterAutospacing="1" w:line="240" w:lineRule="auto"/>
        <w:jc w:val="both"/>
        <w:outlineLvl w:val="0"/>
        <w:rPr>
          <w:rFonts w:ascii="Times New Roman" w:eastAsia="Times New Roman" w:hAnsi="Times New Roman" w:cs="Times New Roman"/>
          <w:b/>
          <w:bCs/>
          <w:sz w:val="36"/>
          <w:szCs w:val="36"/>
          <w:lang w:eastAsia="en-GB"/>
        </w:rPr>
      </w:pPr>
      <w:r w:rsidRPr="00960874">
        <w:rPr>
          <w:rFonts w:ascii="Times New Roman" w:hAnsi="Times New Roman" w:cs="Times New Roman"/>
        </w:rPr>
        <w:br w:type="page"/>
      </w:r>
      <w:bookmarkEnd w:id="2"/>
      <w:bookmarkEnd w:id="3"/>
    </w:p>
    <w:sdt>
      <w:sdtPr>
        <w:id w:val="190240259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68E1FFF" w14:textId="5B2EBE53" w:rsidR="00FC0D57" w:rsidRPr="00FC0D57" w:rsidRDefault="00FC0D57" w:rsidP="00FC0D57">
          <w:pPr>
            <w:pStyle w:val="TOCHeading"/>
            <w:rPr>
              <w:rFonts w:ascii="Times New Roman" w:hAnsi="Times New Roman" w:cs="Times New Roman"/>
              <w:b/>
              <w:bCs/>
              <w:color w:val="auto"/>
            </w:rPr>
          </w:pPr>
          <w:r w:rsidRPr="00FC0D57">
            <w:rPr>
              <w:rFonts w:ascii="Times New Roman" w:hAnsi="Times New Roman" w:cs="Times New Roman"/>
              <w:b/>
              <w:bCs/>
              <w:color w:val="auto"/>
            </w:rPr>
            <w:t>Table of Contents</w:t>
          </w:r>
          <w:r w:rsidRPr="00FC0D57">
            <w:rPr>
              <w:rFonts w:ascii="Times New Roman" w:hAnsi="Times New Roman" w:cs="Times New Roman"/>
              <w:b/>
              <w:bCs/>
              <w:color w:val="auto"/>
              <w:sz w:val="40"/>
              <w:szCs w:val="40"/>
            </w:rPr>
            <w:fldChar w:fldCharType="begin"/>
          </w:r>
          <w:r w:rsidRPr="00FC0D57">
            <w:rPr>
              <w:rFonts w:ascii="Times New Roman" w:hAnsi="Times New Roman" w:cs="Times New Roman"/>
              <w:b/>
              <w:bCs/>
              <w:color w:val="auto"/>
              <w:sz w:val="40"/>
              <w:szCs w:val="40"/>
            </w:rPr>
            <w:instrText xml:space="preserve"> TOC \o "1-3" \h \z \u </w:instrText>
          </w:r>
          <w:r w:rsidRPr="00FC0D57">
            <w:rPr>
              <w:rFonts w:ascii="Times New Roman" w:hAnsi="Times New Roman" w:cs="Times New Roman"/>
              <w:b/>
              <w:bCs/>
              <w:color w:val="auto"/>
              <w:sz w:val="40"/>
              <w:szCs w:val="40"/>
            </w:rPr>
            <w:fldChar w:fldCharType="separate"/>
          </w:r>
        </w:p>
        <w:p w14:paraId="756E59FE" w14:textId="5C457AC8" w:rsidR="00FC0D57" w:rsidRPr="00FC0D57" w:rsidRDefault="00FC0D57">
          <w:pPr>
            <w:pStyle w:val="TOC1"/>
            <w:tabs>
              <w:tab w:val="right" w:leader="dot" w:pos="9016"/>
            </w:tabs>
            <w:rPr>
              <w:rFonts w:eastAsiaTheme="minorEastAsia"/>
              <w:b/>
              <w:bCs/>
              <w:noProof/>
              <w:sz w:val="40"/>
              <w:szCs w:val="40"/>
              <w:lang w:eastAsia="en-GB"/>
            </w:rPr>
          </w:pPr>
          <w:hyperlink w:anchor="_Toc228129663" w:history="1">
            <w:r w:rsidRPr="00FC0D57">
              <w:rPr>
                <w:rStyle w:val="Hyperlink"/>
                <w:b/>
                <w:bCs/>
                <w:noProof/>
                <w:color w:val="auto"/>
                <w:sz w:val="40"/>
                <w:szCs w:val="40"/>
              </w:rPr>
              <w:t>Introduction</w:t>
            </w:r>
            <w:r w:rsidRPr="00FC0D57">
              <w:rPr>
                <w:b/>
                <w:bCs/>
                <w:noProof/>
                <w:webHidden/>
                <w:sz w:val="40"/>
                <w:szCs w:val="40"/>
              </w:rPr>
              <w:tab/>
            </w:r>
            <w:r w:rsidRPr="00FC0D57">
              <w:rPr>
                <w:b/>
                <w:bCs/>
                <w:noProof/>
                <w:webHidden/>
                <w:sz w:val="40"/>
                <w:szCs w:val="40"/>
              </w:rPr>
              <w:fldChar w:fldCharType="begin"/>
            </w:r>
            <w:r w:rsidRPr="00FC0D57">
              <w:rPr>
                <w:b/>
                <w:bCs/>
                <w:noProof/>
                <w:webHidden/>
                <w:sz w:val="40"/>
                <w:szCs w:val="40"/>
              </w:rPr>
              <w:instrText xml:space="preserve"> PAGEREF _Toc228129663 \h </w:instrText>
            </w:r>
            <w:r w:rsidRPr="00FC0D57">
              <w:rPr>
                <w:b/>
                <w:bCs/>
                <w:noProof/>
                <w:webHidden/>
                <w:sz w:val="40"/>
                <w:szCs w:val="40"/>
              </w:rPr>
            </w:r>
            <w:r w:rsidRPr="00FC0D57">
              <w:rPr>
                <w:b/>
                <w:bCs/>
                <w:noProof/>
                <w:webHidden/>
                <w:sz w:val="40"/>
                <w:szCs w:val="40"/>
              </w:rPr>
              <w:fldChar w:fldCharType="separate"/>
            </w:r>
            <w:r w:rsidRPr="00FC0D57">
              <w:rPr>
                <w:b/>
                <w:bCs/>
                <w:noProof/>
                <w:webHidden/>
                <w:sz w:val="40"/>
                <w:szCs w:val="40"/>
              </w:rPr>
              <w:t>2</w:t>
            </w:r>
            <w:r w:rsidRPr="00FC0D57">
              <w:rPr>
                <w:b/>
                <w:bCs/>
                <w:noProof/>
                <w:webHidden/>
                <w:sz w:val="40"/>
                <w:szCs w:val="40"/>
              </w:rPr>
              <w:fldChar w:fldCharType="end"/>
            </w:r>
          </w:hyperlink>
        </w:p>
        <w:p w14:paraId="257F55BE" w14:textId="7DCA2FA3" w:rsidR="00FC0D57" w:rsidRPr="00FC0D57" w:rsidRDefault="00FC0D57">
          <w:pPr>
            <w:pStyle w:val="TOC1"/>
            <w:tabs>
              <w:tab w:val="right" w:leader="dot" w:pos="9016"/>
            </w:tabs>
            <w:rPr>
              <w:rFonts w:eastAsiaTheme="minorEastAsia"/>
              <w:b/>
              <w:bCs/>
              <w:noProof/>
              <w:sz w:val="40"/>
              <w:szCs w:val="40"/>
              <w:lang w:eastAsia="en-GB"/>
            </w:rPr>
          </w:pPr>
          <w:hyperlink w:anchor="_Toc228129664" w:history="1">
            <w:r w:rsidRPr="00FC0D57">
              <w:rPr>
                <w:rStyle w:val="Hyperlink"/>
                <w:b/>
                <w:bCs/>
                <w:noProof/>
                <w:color w:val="auto"/>
                <w:sz w:val="40"/>
                <w:szCs w:val="40"/>
              </w:rPr>
              <w:t>Context</w:t>
            </w:r>
            <w:r w:rsidRPr="00FC0D57">
              <w:rPr>
                <w:b/>
                <w:bCs/>
                <w:noProof/>
                <w:webHidden/>
                <w:sz w:val="40"/>
                <w:szCs w:val="40"/>
              </w:rPr>
              <w:tab/>
            </w:r>
            <w:r w:rsidRPr="00FC0D57">
              <w:rPr>
                <w:b/>
                <w:bCs/>
                <w:noProof/>
                <w:webHidden/>
                <w:sz w:val="40"/>
                <w:szCs w:val="40"/>
              </w:rPr>
              <w:fldChar w:fldCharType="begin"/>
            </w:r>
            <w:r w:rsidRPr="00FC0D57">
              <w:rPr>
                <w:b/>
                <w:bCs/>
                <w:noProof/>
                <w:webHidden/>
                <w:sz w:val="40"/>
                <w:szCs w:val="40"/>
              </w:rPr>
              <w:instrText xml:space="preserve"> PAGEREF _Toc228129664 \h </w:instrText>
            </w:r>
            <w:r w:rsidRPr="00FC0D57">
              <w:rPr>
                <w:b/>
                <w:bCs/>
                <w:noProof/>
                <w:webHidden/>
                <w:sz w:val="40"/>
                <w:szCs w:val="40"/>
              </w:rPr>
            </w:r>
            <w:r w:rsidRPr="00FC0D57">
              <w:rPr>
                <w:b/>
                <w:bCs/>
                <w:noProof/>
                <w:webHidden/>
                <w:sz w:val="40"/>
                <w:szCs w:val="40"/>
              </w:rPr>
              <w:fldChar w:fldCharType="separate"/>
            </w:r>
            <w:r w:rsidRPr="00FC0D57">
              <w:rPr>
                <w:b/>
                <w:bCs/>
                <w:noProof/>
                <w:webHidden/>
                <w:sz w:val="40"/>
                <w:szCs w:val="40"/>
              </w:rPr>
              <w:t>3</w:t>
            </w:r>
            <w:r w:rsidRPr="00FC0D57">
              <w:rPr>
                <w:b/>
                <w:bCs/>
                <w:noProof/>
                <w:webHidden/>
                <w:sz w:val="40"/>
                <w:szCs w:val="40"/>
              </w:rPr>
              <w:fldChar w:fldCharType="end"/>
            </w:r>
          </w:hyperlink>
        </w:p>
        <w:p w14:paraId="2109263A" w14:textId="486C0DBF" w:rsidR="00FC0D57" w:rsidRPr="00FC0D57" w:rsidRDefault="00FC0D57">
          <w:pPr>
            <w:pStyle w:val="TOC1"/>
            <w:tabs>
              <w:tab w:val="right" w:leader="dot" w:pos="9016"/>
            </w:tabs>
            <w:rPr>
              <w:rFonts w:eastAsiaTheme="minorEastAsia"/>
              <w:b/>
              <w:bCs/>
              <w:noProof/>
              <w:sz w:val="40"/>
              <w:szCs w:val="40"/>
              <w:lang w:eastAsia="en-GB"/>
            </w:rPr>
          </w:pPr>
          <w:hyperlink w:anchor="_Toc228129665" w:history="1">
            <w:r w:rsidRPr="00FC0D57">
              <w:rPr>
                <w:rStyle w:val="Hyperlink"/>
                <w:b/>
                <w:bCs/>
                <w:noProof/>
                <w:color w:val="auto"/>
                <w:sz w:val="40"/>
                <w:szCs w:val="40"/>
              </w:rPr>
              <w:t>Input</w:t>
            </w:r>
            <w:r w:rsidRPr="00FC0D57">
              <w:rPr>
                <w:b/>
                <w:bCs/>
                <w:noProof/>
                <w:webHidden/>
                <w:sz w:val="40"/>
                <w:szCs w:val="40"/>
              </w:rPr>
              <w:tab/>
            </w:r>
            <w:r w:rsidRPr="00FC0D57">
              <w:rPr>
                <w:b/>
                <w:bCs/>
                <w:noProof/>
                <w:webHidden/>
                <w:sz w:val="40"/>
                <w:szCs w:val="40"/>
              </w:rPr>
              <w:fldChar w:fldCharType="begin"/>
            </w:r>
            <w:r w:rsidRPr="00FC0D57">
              <w:rPr>
                <w:b/>
                <w:bCs/>
                <w:noProof/>
                <w:webHidden/>
                <w:sz w:val="40"/>
                <w:szCs w:val="40"/>
              </w:rPr>
              <w:instrText xml:space="preserve"> PAGEREF _Toc228129665 \h </w:instrText>
            </w:r>
            <w:r w:rsidRPr="00FC0D57">
              <w:rPr>
                <w:b/>
                <w:bCs/>
                <w:noProof/>
                <w:webHidden/>
                <w:sz w:val="40"/>
                <w:szCs w:val="40"/>
              </w:rPr>
            </w:r>
            <w:r w:rsidRPr="00FC0D57">
              <w:rPr>
                <w:b/>
                <w:bCs/>
                <w:noProof/>
                <w:webHidden/>
                <w:sz w:val="40"/>
                <w:szCs w:val="40"/>
              </w:rPr>
              <w:fldChar w:fldCharType="separate"/>
            </w:r>
            <w:r w:rsidRPr="00FC0D57">
              <w:rPr>
                <w:b/>
                <w:bCs/>
                <w:noProof/>
                <w:webHidden/>
                <w:sz w:val="40"/>
                <w:szCs w:val="40"/>
              </w:rPr>
              <w:t>4</w:t>
            </w:r>
            <w:r w:rsidRPr="00FC0D57">
              <w:rPr>
                <w:b/>
                <w:bCs/>
                <w:noProof/>
                <w:webHidden/>
                <w:sz w:val="40"/>
                <w:szCs w:val="40"/>
              </w:rPr>
              <w:fldChar w:fldCharType="end"/>
            </w:r>
          </w:hyperlink>
        </w:p>
        <w:p w14:paraId="770C4E7E" w14:textId="61B4C72E" w:rsidR="00FC0D57" w:rsidRPr="00FC0D57" w:rsidRDefault="00FC0D57">
          <w:pPr>
            <w:pStyle w:val="TOC1"/>
            <w:tabs>
              <w:tab w:val="right" w:leader="dot" w:pos="9016"/>
            </w:tabs>
            <w:rPr>
              <w:rFonts w:eastAsiaTheme="minorEastAsia"/>
              <w:b/>
              <w:bCs/>
              <w:noProof/>
              <w:sz w:val="40"/>
              <w:szCs w:val="40"/>
              <w:lang w:eastAsia="en-GB"/>
            </w:rPr>
          </w:pPr>
          <w:hyperlink w:anchor="_Toc228129666" w:history="1">
            <w:r w:rsidRPr="00FC0D57">
              <w:rPr>
                <w:rStyle w:val="Hyperlink"/>
                <w:b/>
                <w:bCs/>
                <w:noProof/>
                <w:color w:val="auto"/>
                <w:sz w:val="40"/>
                <w:szCs w:val="40"/>
              </w:rPr>
              <w:t>Process</w:t>
            </w:r>
            <w:r w:rsidRPr="00FC0D57">
              <w:rPr>
                <w:b/>
                <w:bCs/>
                <w:noProof/>
                <w:webHidden/>
                <w:sz w:val="40"/>
                <w:szCs w:val="40"/>
              </w:rPr>
              <w:tab/>
            </w:r>
            <w:r w:rsidRPr="00FC0D57">
              <w:rPr>
                <w:b/>
                <w:bCs/>
                <w:noProof/>
                <w:webHidden/>
                <w:sz w:val="40"/>
                <w:szCs w:val="40"/>
              </w:rPr>
              <w:fldChar w:fldCharType="begin"/>
            </w:r>
            <w:r w:rsidRPr="00FC0D57">
              <w:rPr>
                <w:b/>
                <w:bCs/>
                <w:noProof/>
                <w:webHidden/>
                <w:sz w:val="40"/>
                <w:szCs w:val="40"/>
              </w:rPr>
              <w:instrText xml:space="preserve"> PAGEREF _Toc228129666 \h </w:instrText>
            </w:r>
            <w:r w:rsidRPr="00FC0D57">
              <w:rPr>
                <w:b/>
                <w:bCs/>
                <w:noProof/>
                <w:webHidden/>
                <w:sz w:val="40"/>
                <w:szCs w:val="40"/>
              </w:rPr>
            </w:r>
            <w:r w:rsidRPr="00FC0D57">
              <w:rPr>
                <w:b/>
                <w:bCs/>
                <w:noProof/>
                <w:webHidden/>
                <w:sz w:val="40"/>
                <w:szCs w:val="40"/>
              </w:rPr>
              <w:fldChar w:fldCharType="separate"/>
            </w:r>
            <w:r w:rsidRPr="00FC0D57">
              <w:rPr>
                <w:b/>
                <w:bCs/>
                <w:noProof/>
                <w:webHidden/>
                <w:sz w:val="40"/>
                <w:szCs w:val="40"/>
              </w:rPr>
              <w:t>5</w:t>
            </w:r>
            <w:r w:rsidRPr="00FC0D57">
              <w:rPr>
                <w:b/>
                <w:bCs/>
                <w:noProof/>
                <w:webHidden/>
                <w:sz w:val="40"/>
                <w:szCs w:val="40"/>
              </w:rPr>
              <w:fldChar w:fldCharType="end"/>
            </w:r>
          </w:hyperlink>
        </w:p>
        <w:p w14:paraId="2E2C264B" w14:textId="02FF848E" w:rsidR="00FC0D57" w:rsidRPr="00FC0D57" w:rsidRDefault="00FC0D57">
          <w:pPr>
            <w:pStyle w:val="TOC1"/>
            <w:tabs>
              <w:tab w:val="right" w:leader="dot" w:pos="9016"/>
            </w:tabs>
            <w:rPr>
              <w:rFonts w:eastAsiaTheme="minorEastAsia"/>
              <w:b/>
              <w:bCs/>
              <w:noProof/>
              <w:sz w:val="40"/>
              <w:szCs w:val="40"/>
              <w:lang w:eastAsia="en-GB"/>
            </w:rPr>
          </w:pPr>
          <w:hyperlink w:anchor="_Toc228129667" w:history="1">
            <w:r w:rsidRPr="00FC0D57">
              <w:rPr>
                <w:rStyle w:val="Hyperlink"/>
                <w:b/>
                <w:bCs/>
                <w:noProof/>
                <w:color w:val="auto"/>
                <w:sz w:val="40"/>
                <w:szCs w:val="40"/>
              </w:rPr>
              <w:t>Product</w:t>
            </w:r>
            <w:r w:rsidRPr="00FC0D57">
              <w:rPr>
                <w:b/>
                <w:bCs/>
                <w:noProof/>
                <w:webHidden/>
                <w:sz w:val="40"/>
                <w:szCs w:val="40"/>
              </w:rPr>
              <w:tab/>
            </w:r>
            <w:r w:rsidRPr="00FC0D57">
              <w:rPr>
                <w:b/>
                <w:bCs/>
                <w:noProof/>
                <w:webHidden/>
                <w:sz w:val="40"/>
                <w:szCs w:val="40"/>
              </w:rPr>
              <w:fldChar w:fldCharType="begin"/>
            </w:r>
            <w:r w:rsidRPr="00FC0D57">
              <w:rPr>
                <w:b/>
                <w:bCs/>
                <w:noProof/>
                <w:webHidden/>
                <w:sz w:val="40"/>
                <w:szCs w:val="40"/>
              </w:rPr>
              <w:instrText xml:space="preserve"> PAGEREF _Toc228129667 \h </w:instrText>
            </w:r>
            <w:r w:rsidRPr="00FC0D57">
              <w:rPr>
                <w:b/>
                <w:bCs/>
                <w:noProof/>
                <w:webHidden/>
                <w:sz w:val="40"/>
                <w:szCs w:val="40"/>
              </w:rPr>
            </w:r>
            <w:r w:rsidRPr="00FC0D57">
              <w:rPr>
                <w:b/>
                <w:bCs/>
                <w:noProof/>
                <w:webHidden/>
                <w:sz w:val="40"/>
                <w:szCs w:val="40"/>
              </w:rPr>
              <w:fldChar w:fldCharType="separate"/>
            </w:r>
            <w:r w:rsidRPr="00FC0D57">
              <w:rPr>
                <w:b/>
                <w:bCs/>
                <w:noProof/>
                <w:webHidden/>
                <w:sz w:val="40"/>
                <w:szCs w:val="40"/>
              </w:rPr>
              <w:t>6</w:t>
            </w:r>
            <w:r w:rsidRPr="00FC0D57">
              <w:rPr>
                <w:b/>
                <w:bCs/>
                <w:noProof/>
                <w:webHidden/>
                <w:sz w:val="40"/>
                <w:szCs w:val="40"/>
              </w:rPr>
              <w:fldChar w:fldCharType="end"/>
            </w:r>
          </w:hyperlink>
        </w:p>
        <w:p w14:paraId="6EC5E216" w14:textId="78EB2BC7" w:rsidR="00FC0D57" w:rsidRPr="00FC0D57" w:rsidRDefault="00FC0D57">
          <w:pPr>
            <w:pStyle w:val="TOC1"/>
            <w:tabs>
              <w:tab w:val="right" w:leader="dot" w:pos="9016"/>
            </w:tabs>
            <w:rPr>
              <w:rFonts w:eastAsiaTheme="minorEastAsia"/>
              <w:b/>
              <w:bCs/>
              <w:noProof/>
              <w:sz w:val="40"/>
              <w:szCs w:val="40"/>
              <w:lang w:eastAsia="en-GB"/>
            </w:rPr>
          </w:pPr>
          <w:hyperlink w:anchor="_Toc228129668" w:history="1">
            <w:r w:rsidRPr="00FC0D57">
              <w:rPr>
                <w:rStyle w:val="Hyperlink"/>
                <w:b/>
                <w:bCs/>
                <w:noProof/>
                <w:color w:val="auto"/>
                <w:sz w:val="40"/>
                <w:szCs w:val="40"/>
              </w:rPr>
              <w:t>Conclusion</w:t>
            </w:r>
            <w:r w:rsidRPr="00FC0D57">
              <w:rPr>
                <w:b/>
                <w:bCs/>
                <w:noProof/>
                <w:webHidden/>
                <w:sz w:val="40"/>
                <w:szCs w:val="40"/>
              </w:rPr>
              <w:tab/>
            </w:r>
            <w:r w:rsidRPr="00FC0D57">
              <w:rPr>
                <w:b/>
                <w:bCs/>
                <w:noProof/>
                <w:webHidden/>
                <w:sz w:val="40"/>
                <w:szCs w:val="40"/>
              </w:rPr>
              <w:fldChar w:fldCharType="begin"/>
            </w:r>
            <w:r w:rsidRPr="00FC0D57">
              <w:rPr>
                <w:b/>
                <w:bCs/>
                <w:noProof/>
                <w:webHidden/>
                <w:sz w:val="40"/>
                <w:szCs w:val="40"/>
              </w:rPr>
              <w:instrText xml:space="preserve"> PAGEREF _Toc228129668 \h </w:instrText>
            </w:r>
            <w:r w:rsidRPr="00FC0D57">
              <w:rPr>
                <w:b/>
                <w:bCs/>
                <w:noProof/>
                <w:webHidden/>
                <w:sz w:val="40"/>
                <w:szCs w:val="40"/>
              </w:rPr>
            </w:r>
            <w:r w:rsidRPr="00FC0D57">
              <w:rPr>
                <w:b/>
                <w:bCs/>
                <w:noProof/>
                <w:webHidden/>
                <w:sz w:val="40"/>
                <w:szCs w:val="40"/>
              </w:rPr>
              <w:fldChar w:fldCharType="separate"/>
            </w:r>
            <w:r w:rsidRPr="00FC0D57">
              <w:rPr>
                <w:b/>
                <w:bCs/>
                <w:noProof/>
                <w:webHidden/>
                <w:sz w:val="40"/>
                <w:szCs w:val="40"/>
              </w:rPr>
              <w:t>7</w:t>
            </w:r>
            <w:r w:rsidRPr="00FC0D57">
              <w:rPr>
                <w:b/>
                <w:bCs/>
                <w:noProof/>
                <w:webHidden/>
                <w:sz w:val="40"/>
                <w:szCs w:val="40"/>
              </w:rPr>
              <w:fldChar w:fldCharType="end"/>
            </w:r>
          </w:hyperlink>
        </w:p>
        <w:p w14:paraId="387F53D6" w14:textId="19902B10" w:rsidR="00FC0D57" w:rsidRPr="00FC0D57" w:rsidRDefault="00FC0D57">
          <w:pPr>
            <w:pStyle w:val="TOC1"/>
            <w:tabs>
              <w:tab w:val="right" w:leader="dot" w:pos="9016"/>
            </w:tabs>
            <w:rPr>
              <w:rFonts w:eastAsiaTheme="minorEastAsia"/>
              <w:b/>
              <w:bCs/>
              <w:noProof/>
              <w:sz w:val="40"/>
              <w:szCs w:val="40"/>
              <w:lang w:eastAsia="en-GB"/>
            </w:rPr>
          </w:pPr>
          <w:hyperlink w:anchor="_Toc228129669" w:history="1">
            <w:r w:rsidRPr="00FC0D57">
              <w:rPr>
                <w:rStyle w:val="Hyperlink"/>
                <w:b/>
                <w:bCs/>
                <w:noProof/>
                <w:color w:val="auto"/>
                <w:sz w:val="40"/>
                <w:szCs w:val="40"/>
              </w:rPr>
              <w:t>Reference List</w:t>
            </w:r>
            <w:r w:rsidRPr="00FC0D57">
              <w:rPr>
                <w:b/>
                <w:bCs/>
                <w:noProof/>
                <w:webHidden/>
                <w:sz w:val="40"/>
                <w:szCs w:val="40"/>
              </w:rPr>
              <w:tab/>
            </w:r>
            <w:r w:rsidRPr="00FC0D57">
              <w:rPr>
                <w:b/>
                <w:bCs/>
                <w:noProof/>
                <w:webHidden/>
                <w:sz w:val="40"/>
                <w:szCs w:val="40"/>
              </w:rPr>
              <w:fldChar w:fldCharType="begin"/>
            </w:r>
            <w:r w:rsidRPr="00FC0D57">
              <w:rPr>
                <w:b/>
                <w:bCs/>
                <w:noProof/>
                <w:webHidden/>
                <w:sz w:val="40"/>
                <w:szCs w:val="40"/>
              </w:rPr>
              <w:instrText xml:space="preserve"> PAGEREF _Toc228129669 \h </w:instrText>
            </w:r>
            <w:r w:rsidRPr="00FC0D57">
              <w:rPr>
                <w:b/>
                <w:bCs/>
                <w:noProof/>
                <w:webHidden/>
                <w:sz w:val="40"/>
                <w:szCs w:val="40"/>
              </w:rPr>
            </w:r>
            <w:r w:rsidRPr="00FC0D57">
              <w:rPr>
                <w:b/>
                <w:bCs/>
                <w:noProof/>
                <w:webHidden/>
                <w:sz w:val="40"/>
                <w:szCs w:val="40"/>
              </w:rPr>
              <w:fldChar w:fldCharType="separate"/>
            </w:r>
            <w:r w:rsidRPr="00FC0D57">
              <w:rPr>
                <w:b/>
                <w:bCs/>
                <w:noProof/>
                <w:webHidden/>
                <w:sz w:val="40"/>
                <w:szCs w:val="40"/>
              </w:rPr>
              <w:t>7</w:t>
            </w:r>
            <w:r w:rsidRPr="00FC0D57">
              <w:rPr>
                <w:b/>
                <w:bCs/>
                <w:noProof/>
                <w:webHidden/>
                <w:sz w:val="40"/>
                <w:szCs w:val="40"/>
              </w:rPr>
              <w:fldChar w:fldCharType="end"/>
            </w:r>
          </w:hyperlink>
        </w:p>
        <w:p w14:paraId="58D461E7" w14:textId="4AD0B238" w:rsidR="00FC0D57" w:rsidRDefault="00FC0D57">
          <w:r w:rsidRPr="00FC0D57">
            <w:rPr>
              <w:b/>
              <w:bCs/>
              <w:noProof/>
              <w:sz w:val="40"/>
              <w:szCs w:val="40"/>
            </w:rPr>
            <w:fldChar w:fldCharType="end"/>
          </w:r>
        </w:p>
      </w:sdtContent>
    </w:sdt>
    <w:p w14:paraId="7EEE67B3" w14:textId="77777777" w:rsidR="00D15E7C" w:rsidRDefault="00D15E7C" w:rsidP="009410F9">
      <w:pPr>
        <w:jc w:val="both"/>
        <w:rPr>
          <w:rFonts w:ascii="Times New Roman" w:eastAsia="Times New Roman" w:hAnsi="Times New Roman" w:cs="Times New Roman"/>
          <w:b/>
          <w:bCs/>
          <w:kern w:val="36"/>
          <w:sz w:val="48"/>
          <w:szCs w:val="48"/>
          <w:lang w:eastAsia="en-GB"/>
        </w:rPr>
      </w:pPr>
    </w:p>
    <w:p w14:paraId="646CE286" w14:textId="77777777" w:rsidR="00D15E7C" w:rsidRDefault="00D15E7C" w:rsidP="009410F9">
      <w:pPr>
        <w:jc w:val="both"/>
        <w:rPr>
          <w:rFonts w:ascii="Times New Roman" w:eastAsia="Times New Roman" w:hAnsi="Times New Roman" w:cs="Times New Roman"/>
          <w:b/>
          <w:bCs/>
          <w:kern w:val="36"/>
          <w:sz w:val="48"/>
          <w:szCs w:val="48"/>
          <w:lang w:eastAsia="en-GB"/>
        </w:rPr>
      </w:pPr>
    </w:p>
    <w:p w14:paraId="35D0B053" w14:textId="77777777" w:rsidR="00D15E7C" w:rsidRDefault="00D15E7C" w:rsidP="009410F9">
      <w:pPr>
        <w:jc w:val="both"/>
        <w:rPr>
          <w:rFonts w:ascii="Times New Roman" w:eastAsia="Times New Roman" w:hAnsi="Times New Roman" w:cs="Times New Roman"/>
          <w:b/>
          <w:bCs/>
          <w:kern w:val="36"/>
          <w:sz w:val="48"/>
          <w:szCs w:val="48"/>
          <w:lang w:eastAsia="en-GB"/>
        </w:rPr>
      </w:pPr>
    </w:p>
    <w:p w14:paraId="5328A34E" w14:textId="77777777" w:rsidR="00D15E7C" w:rsidRDefault="00D15E7C" w:rsidP="009410F9">
      <w:pPr>
        <w:jc w:val="both"/>
        <w:rPr>
          <w:rFonts w:ascii="Times New Roman" w:eastAsia="Times New Roman" w:hAnsi="Times New Roman" w:cs="Times New Roman"/>
          <w:b/>
          <w:bCs/>
          <w:kern w:val="36"/>
          <w:sz w:val="48"/>
          <w:szCs w:val="48"/>
          <w:lang w:eastAsia="en-GB"/>
        </w:rPr>
      </w:pPr>
    </w:p>
    <w:p w14:paraId="7EC45802" w14:textId="77777777" w:rsidR="00D15E7C" w:rsidRDefault="00D15E7C" w:rsidP="009410F9">
      <w:pPr>
        <w:jc w:val="both"/>
        <w:rPr>
          <w:rFonts w:ascii="Times New Roman" w:eastAsia="Times New Roman" w:hAnsi="Times New Roman" w:cs="Times New Roman"/>
          <w:b/>
          <w:bCs/>
          <w:kern w:val="36"/>
          <w:sz w:val="48"/>
          <w:szCs w:val="48"/>
          <w:lang w:eastAsia="en-GB"/>
        </w:rPr>
      </w:pPr>
    </w:p>
    <w:p w14:paraId="0E1D883F" w14:textId="77777777" w:rsidR="00D15E7C" w:rsidRDefault="00D15E7C" w:rsidP="009410F9">
      <w:pPr>
        <w:jc w:val="both"/>
        <w:rPr>
          <w:rFonts w:ascii="Times New Roman" w:eastAsia="Times New Roman" w:hAnsi="Times New Roman" w:cs="Times New Roman"/>
          <w:b/>
          <w:bCs/>
          <w:kern w:val="36"/>
          <w:sz w:val="48"/>
          <w:szCs w:val="48"/>
          <w:lang w:eastAsia="en-GB"/>
        </w:rPr>
      </w:pPr>
    </w:p>
    <w:p w14:paraId="1896A09F" w14:textId="77777777" w:rsidR="00D15E7C" w:rsidRDefault="00D15E7C" w:rsidP="009410F9">
      <w:pPr>
        <w:jc w:val="both"/>
        <w:rPr>
          <w:rFonts w:ascii="Times New Roman" w:eastAsia="Times New Roman" w:hAnsi="Times New Roman" w:cs="Times New Roman"/>
          <w:b/>
          <w:bCs/>
          <w:kern w:val="36"/>
          <w:sz w:val="48"/>
          <w:szCs w:val="48"/>
          <w:lang w:eastAsia="en-GB"/>
        </w:rPr>
      </w:pPr>
    </w:p>
    <w:p w14:paraId="45F97EA2" w14:textId="77777777" w:rsidR="00D15E7C" w:rsidRDefault="00D15E7C" w:rsidP="009410F9">
      <w:pPr>
        <w:jc w:val="both"/>
        <w:rPr>
          <w:rFonts w:ascii="Times New Roman" w:eastAsia="Times New Roman" w:hAnsi="Times New Roman" w:cs="Times New Roman"/>
          <w:b/>
          <w:bCs/>
          <w:kern w:val="36"/>
          <w:sz w:val="48"/>
          <w:szCs w:val="48"/>
          <w:lang w:eastAsia="en-GB"/>
        </w:rPr>
      </w:pPr>
    </w:p>
    <w:p w14:paraId="203C7B3E" w14:textId="77777777" w:rsidR="00D15E7C" w:rsidRDefault="00D15E7C" w:rsidP="009410F9">
      <w:pPr>
        <w:jc w:val="both"/>
        <w:rPr>
          <w:rFonts w:ascii="Times New Roman" w:eastAsia="Times New Roman" w:hAnsi="Times New Roman" w:cs="Times New Roman"/>
          <w:b/>
          <w:bCs/>
          <w:kern w:val="36"/>
          <w:sz w:val="48"/>
          <w:szCs w:val="48"/>
          <w:lang w:eastAsia="en-GB"/>
        </w:rPr>
      </w:pPr>
    </w:p>
    <w:p w14:paraId="717405E2" w14:textId="77777777" w:rsidR="00D15E7C" w:rsidRDefault="00D15E7C" w:rsidP="009410F9">
      <w:pPr>
        <w:jc w:val="both"/>
        <w:rPr>
          <w:rFonts w:ascii="Times New Roman" w:eastAsia="Times New Roman" w:hAnsi="Times New Roman" w:cs="Times New Roman"/>
          <w:b/>
          <w:bCs/>
          <w:kern w:val="36"/>
          <w:sz w:val="48"/>
          <w:szCs w:val="48"/>
          <w:lang w:eastAsia="en-GB"/>
        </w:rPr>
      </w:pPr>
    </w:p>
    <w:p w14:paraId="2FAEA914" w14:textId="05DF0104" w:rsidR="00D15E7C" w:rsidRDefault="00D15E7C" w:rsidP="009410F9">
      <w:pPr>
        <w:jc w:val="both"/>
        <w:rPr>
          <w:rFonts w:ascii="Times New Roman" w:eastAsia="Times New Roman" w:hAnsi="Times New Roman" w:cs="Times New Roman"/>
          <w:b/>
          <w:bCs/>
          <w:kern w:val="36"/>
          <w:sz w:val="48"/>
          <w:szCs w:val="48"/>
          <w:lang w:eastAsia="en-GB"/>
        </w:rPr>
      </w:pPr>
    </w:p>
    <w:p w14:paraId="57369B18" w14:textId="77777777" w:rsidR="00FC0D57" w:rsidRDefault="00FC0D57" w:rsidP="009410F9">
      <w:pPr>
        <w:jc w:val="both"/>
        <w:rPr>
          <w:rFonts w:ascii="Times New Roman" w:eastAsia="Times New Roman" w:hAnsi="Times New Roman" w:cs="Times New Roman"/>
          <w:b/>
          <w:bCs/>
          <w:kern w:val="36"/>
          <w:sz w:val="48"/>
          <w:szCs w:val="48"/>
          <w:lang w:eastAsia="en-GB"/>
        </w:rPr>
      </w:pPr>
    </w:p>
    <w:p w14:paraId="7AEA9717" w14:textId="38BFC328" w:rsidR="00224A80" w:rsidRPr="00224A80" w:rsidRDefault="00224A80" w:rsidP="009410F9">
      <w:pPr>
        <w:pStyle w:val="Heading1"/>
        <w:jc w:val="both"/>
      </w:pPr>
      <w:bookmarkStart w:id="5" w:name="_Toc228058689"/>
      <w:bookmarkStart w:id="6" w:name="_Toc228058745"/>
      <w:bookmarkStart w:id="7" w:name="_Toc228129347"/>
      <w:bookmarkStart w:id="8" w:name="_Toc228129663"/>
      <w:r w:rsidRPr="00224A80">
        <w:t>Introduction</w:t>
      </w:r>
      <w:bookmarkEnd w:id="5"/>
      <w:bookmarkEnd w:id="6"/>
      <w:bookmarkEnd w:id="7"/>
      <w:bookmarkEnd w:id="8"/>
    </w:p>
    <w:p w14:paraId="14B33CC7" w14:textId="5A992C0C" w:rsid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The reflective report, through studying it, emphasizes what I have learned regarding service integration and partnership in the practice of health and social care. It is founded on my group work, </w:t>
      </w:r>
      <w:proofErr w:type="spellStart"/>
      <w:r w:rsidRPr="00224A80">
        <w:rPr>
          <w:rFonts w:ascii="Times New Roman" w:eastAsia="Times New Roman" w:hAnsi="Times New Roman" w:cs="Times New Roman"/>
          <w:sz w:val="24"/>
          <w:szCs w:val="24"/>
          <w:lang w:eastAsia="en-GB"/>
        </w:rPr>
        <w:t>DiaWell</w:t>
      </w:r>
      <w:proofErr w:type="spellEnd"/>
      <w:r w:rsidRPr="00224A80">
        <w:rPr>
          <w:rFonts w:ascii="Times New Roman" w:eastAsia="Times New Roman" w:hAnsi="Times New Roman" w:cs="Times New Roman"/>
          <w:sz w:val="24"/>
          <w:szCs w:val="24"/>
          <w:lang w:eastAsia="en-GB"/>
        </w:rPr>
        <w:t xml:space="preserve"> LU4, which is a collaborative model of diabetes care and prevention among adults aged 17 and above living with or at risk of Type 2 diabetes in Luton. The group proposal was focused on a local issue that was clearly defined and it was, that diabetes was more prevalent in Luton than in the national level and that the poor performance was a result of the disaggregated services, insufficient prevention and the social determinants of health (Luton Borough Council, 2024; Diabetes UK, 2023). My experience on the relationships between cooperation in a general sense was familiar to me before I came to this study, but I was not aware of how profound and deep the concept of integrated care can be regarded. This assignment helped me to understand that the successful integration is not only a matter of the number of organisations involved in the same service. It implies the common vision, roles, strategic leadership, excellent communication, multidisciplinary work, digital coordination, and the person-centred philosophy, where the service user is the centre of the planning and delivery process (World Health Organization, 2016; Goodwin, 2016). This learning mattered to me bearing in mind that it transformed my way of thinking about care to a systems-based approach as compared to a highly service-based approach. The brief required that the report be organized in terms of Context, Input, Process and Product and it does so. I consider what I have learned, the ways my attitudes towards the subject shifted, what issues have come into my focus, and how this experience will influence my practice in the future in each section. I will not simply report or assign the group task but will be critical in assessing how it relates to integrated health and social care and my own development.</w:t>
      </w:r>
    </w:p>
    <w:p w14:paraId="21F63D84" w14:textId="6D1F75F4" w:rsidR="00224A80" w:rsidRPr="00224A80" w:rsidRDefault="00224A80" w:rsidP="009410F9">
      <w:pPr>
        <w:pStyle w:val="Heading1"/>
        <w:jc w:val="both"/>
        <w:rPr>
          <w:sz w:val="24"/>
          <w:szCs w:val="24"/>
        </w:rPr>
      </w:pPr>
      <w:bookmarkStart w:id="9" w:name="_Toc228058690"/>
      <w:bookmarkStart w:id="10" w:name="_Toc228058746"/>
      <w:bookmarkStart w:id="11" w:name="_Toc228129348"/>
      <w:bookmarkStart w:id="12" w:name="_Toc228129664"/>
      <w:r w:rsidRPr="00224A80">
        <w:t>Context</w:t>
      </w:r>
      <w:bookmarkEnd w:id="9"/>
      <w:bookmarkEnd w:id="10"/>
      <w:bookmarkEnd w:id="11"/>
      <w:bookmarkEnd w:id="12"/>
    </w:p>
    <w:p w14:paraId="7EA2B3DC" w14:textId="504BF9AC"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Among the key lessons that I have learned during this assignment was that in the process of successful service integration I need to start with a solid grasp of local need. In the </w:t>
      </w:r>
      <w:proofErr w:type="spellStart"/>
      <w:r w:rsidRPr="00224A80">
        <w:rPr>
          <w:rFonts w:ascii="Times New Roman" w:eastAsia="Times New Roman" w:hAnsi="Times New Roman" w:cs="Times New Roman"/>
          <w:sz w:val="24"/>
          <w:szCs w:val="24"/>
          <w:lang w:eastAsia="en-GB"/>
        </w:rPr>
        <w:t>Dia</w:t>
      </w:r>
      <w:proofErr w:type="spellEnd"/>
      <w:r w:rsidR="00927E5B">
        <w:rPr>
          <w:rFonts w:ascii="Times New Roman" w:eastAsia="Times New Roman" w:hAnsi="Times New Roman" w:cs="Times New Roman"/>
          <w:sz w:val="24"/>
          <w:szCs w:val="24"/>
          <w:lang w:eastAsia="en-GB"/>
        </w:rPr>
        <w:t>-</w:t>
      </w:r>
      <w:r w:rsidRPr="00224A80">
        <w:rPr>
          <w:rFonts w:ascii="Times New Roman" w:eastAsia="Times New Roman" w:hAnsi="Times New Roman" w:cs="Times New Roman"/>
          <w:sz w:val="24"/>
          <w:szCs w:val="24"/>
          <w:lang w:eastAsia="en-GB"/>
        </w:rPr>
        <w:t>Well LU4 case study, the population of interest consisted of adults aged 17 and over and living in Luton and at risk of or living with Type 2 diabetes. The group work found that</w:t>
      </w:r>
      <w:r w:rsidR="004A4FEB">
        <w:rPr>
          <w:rFonts w:ascii="Times New Roman" w:eastAsia="Times New Roman" w:hAnsi="Times New Roman" w:cs="Times New Roman"/>
          <w:sz w:val="24"/>
          <w:szCs w:val="24"/>
          <w:lang w:eastAsia="en-GB"/>
        </w:rPr>
        <w:t xml:space="preserve"> according to the L</w:t>
      </w:r>
      <w:r w:rsidR="00CF33A5">
        <w:rPr>
          <w:rFonts w:ascii="Times New Roman" w:eastAsia="Times New Roman" w:hAnsi="Times New Roman" w:cs="Times New Roman"/>
          <w:sz w:val="24"/>
          <w:szCs w:val="24"/>
          <w:lang w:eastAsia="en-GB"/>
        </w:rPr>
        <w:t>u</w:t>
      </w:r>
      <w:r w:rsidR="004A4FEB">
        <w:rPr>
          <w:rFonts w:ascii="Times New Roman" w:eastAsia="Times New Roman" w:hAnsi="Times New Roman" w:cs="Times New Roman"/>
          <w:sz w:val="24"/>
          <w:szCs w:val="24"/>
          <w:lang w:eastAsia="en-GB"/>
        </w:rPr>
        <w:t>ton Joint Strategic Needs Assessment (JSNA) (Luton Borough Council 2024)</w:t>
      </w:r>
      <w:r w:rsidRPr="00224A80">
        <w:rPr>
          <w:rFonts w:ascii="Times New Roman" w:eastAsia="Times New Roman" w:hAnsi="Times New Roman" w:cs="Times New Roman"/>
          <w:sz w:val="24"/>
          <w:szCs w:val="24"/>
          <w:lang w:eastAsia="en-GB"/>
        </w:rPr>
        <w:t xml:space="preserve"> the local diabetes prevalence had risen to 9.6%, against the national average of 7.5% and also cited associated issues like obesity, sedentary living, deprivation and poor prevention programmes (Luton Borough Council, 2024; Diabetes UK, 2023; Lippman et al., 2024; </w:t>
      </w:r>
      <w:proofErr w:type="spellStart"/>
      <w:r w:rsidRPr="00224A80">
        <w:rPr>
          <w:rFonts w:ascii="Times New Roman" w:eastAsia="Times New Roman" w:hAnsi="Times New Roman" w:cs="Times New Roman"/>
          <w:sz w:val="24"/>
          <w:szCs w:val="24"/>
          <w:lang w:eastAsia="en-GB"/>
        </w:rPr>
        <w:t>Gherasim</w:t>
      </w:r>
      <w:proofErr w:type="spellEnd"/>
      <w:r w:rsidRPr="00224A80">
        <w:rPr>
          <w:rFonts w:ascii="Times New Roman" w:eastAsia="Times New Roman" w:hAnsi="Times New Roman" w:cs="Times New Roman"/>
          <w:sz w:val="24"/>
          <w:szCs w:val="24"/>
          <w:lang w:eastAsia="en-GB"/>
        </w:rPr>
        <w:t xml:space="preserve"> et al., 2023). Such information allowed me to realize that diabetes in Luton is not an isolated medical problem. It is as well a broader public health and social care issue.</w:t>
      </w:r>
    </w:p>
    <w:p w14:paraId="42DB06FE"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Considering this, I realised that knowing more about context in health and social care is not just about statistics. It also involves having an insight into why a condition is more prevalent in a given population and local factors that complicate prevention and management. The problem, in this instance, was associated with both clinical care and social factors, including housing, economic stress, lifestyle, and community support access (Gunter et al., 2023; Chen, </w:t>
      </w:r>
      <w:proofErr w:type="spellStart"/>
      <w:r w:rsidRPr="00224A80">
        <w:rPr>
          <w:rFonts w:ascii="Times New Roman" w:eastAsia="Times New Roman" w:hAnsi="Times New Roman" w:cs="Times New Roman"/>
          <w:sz w:val="24"/>
          <w:szCs w:val="24"/>
          <w:lang w:eastAsia="en-GB"/>
        </w:rPr>
        <w:t>Su</w:t>
      </w:r>
      <w:proofErr w:type="spellEnd"/>
      <w:r w:rsidRPr="00224A80">
        <w:rPr>
          <w:rFonts w:ascii="Times New Roman" w:eastAsia="Times New Roman" w:hAnsi="Times New Roman" w:cs="Times New Roman"/>
          <w:sz w:val="24"/>
          <w:szCs w:val="24"/>
          <w:lang w:eastAsia="en-GB"/>
        </w:rPr>
        <w:t xml:space="preserve"> and Liu, 2024). This was a significant revelation to me as it revealed that integrated care is required when the health needs of a person are influenced by a combination of systems simultaneously.</w:t>
      </w:r>
    </w:p>
    <w:p w14:paraId="67A812B7" w14:textId="1DBE9E6E"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I also discovered that finding context implies finding opportunities not just problems. </w:t>
      </w:r>
      <w:proofErr w:type="spellStart"/>
      <w:r w:rsidRPr="00224A80">
        <w:rPr>
          <w:rFonts w:ascii="Times New Roman" w:eastAsia="Times New Roman" w:hAnsi="Times New Roman" w:cs="Times New Roman"/>
          <w:sz w:val="24"/>
          <w:szCs w:val="24"/>
          <w:lang w:eastAsia="en-GB"/>
        </w:rPr>
        <w:t>DiaWell</w:t>
      </w:r>
      <w:proofErr w:type="spellEnd"/>
      <w:r w:rsidRPr="00224A80">
        <w:rPr>
          <w:rFonts w:ascii="Times New Roman" w:eastAsia="Times New Roman" w:hAnsi="Times New Roman" w:cs="Times New Roman"/>
          <w:sz w:val="24"/>
          <w:szCs w:val="24"/>
          <w:lang w:eastAsia="en-GB"/>
        </w:rPr>
        <w:t xml:space="preserve"> LU4 model suggested a one-stop, community-based model that enables inhabitants to obtain glucose monitoring, housing recommendations, lifestyle assistance, social prescribing, and integrated professional advocacy within a single location (World Health Organization, 2016; Goodwin, 2016). This assisted me in learning how service integration can enhance service-user experience. When the organisation of care is </w:t>
      </w:r>
      <w:r w:rsidR="00927E5B" w:rsidRPr="00224A80">
        <w:rPr>
          <w:rFonts w:ascii="Times New Roman" w:eastAsia="Times New Roman" w:hAnsi="Times New Roman" w:cs="Times New Roman"/>
          <w:sz w:val="24"/>
          <w:szCs w:val="24"/>
          <w:lang w:eastAsia="en-GB"/>
        </w:rPr>
        <w:t>cantered</w:t>
      </w:r>
      <w:r w:rsidRPr="00224A80">
        <w:rPr>
          <w:rFonts w:ascii="Times New Roman" w:eastAsia="Times New Roman" w:hAnsi="Times New Roman" w:cs="Times New Roman"/>
          <w:sz w:val="24"/>
          <w:szCs w:val="24"/>
          <w:lang w:eastAsia="en-GB"/>
        </w:rPr>
        <w:t xml:space="preserve"> on the person rather than on distinct organisations, the service will be more accessible and possibly effective. This is in line with the concept of integrated, people-centred, health services, which focuses on co-ordination based on individual and community need, but not on professional or institutional lines (World Health Organization, 2016).</w:t>
      </w:r>
    </w:p>
    <w:p w14:paraId="35E2EB85"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Value of having clear aims and objectives was another area of learning. In our group work, the objectives suggested were to decrease the disparity between the prevalence of diabetes in Luton and the national average, enhance holistic care plans, enhance early intervention, and implement a common digital records system to avoid fragmentation (NHS England, 2022; Goodwin, 2016). Considering this, I realized that integrated care cannot work by mere cloudy ambition. It must have quantifiable and attainable objectives. This is significant since when there are no clear objectives, it becomes hard to determine whether partnership working is making any tangible difference.</w:t>
      </w:r>
    </w:p>
    <w:p w14:paraId="1A6E95CA" w14:textId="6AAFFB9E" w:rsidR="00531A52"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On the whole, the context section helped me to learn how integrated services should commence. They have to be constructed on the basis of need evidence, local inequality, and feasible opportunities of improvement. Next time I will be more attentive to the fact that I should not think only about the service that a person needs, but also about the broader context that influences their wellbeing and health.</w:t>
      </w:r>
    </w:p>
    <w:p w14:paraId="7C54CA17" w14:textId="77777777" w:rsidR="00531A52" w:rsidRPr="00531A52" w:rsidRDefault="00531A52"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4F2716CE" w14:textId="0F1B03D4" w:rsidR="00224A80" w:rsidRPr="00224A80" w:rsidRDefault="00224A80" w:rsidP="009410F9">
      <w:pPr>
        <w:pStyle w:val="Heading1"/>
        <w:jc w:val="both"/>
      </w:pPr>
      <w:bookmarkStart w:id="13" w:name="_Toc228058691"/>
      <w:bookmarkStart w:id="14" w:name="_Toc228058747"/>
      <w:bookmarkStart w:id="15" w:name="_Toc228129349"/>
      <w:bookmarkStart w:id="16" w:name="_Toc228129665"/>
      <w:r w:rsidRPr="00224A80">
        <w:t>Input</w:t>
      </w:r>
      <w:bookmarkEnd w:id="13"/>
      <w:bookmarkEnd w:id="14"/>
      <w:bookmarkEnd w:id="15"/>
      <w:bookmarkEnd w:id="16"/>
    </w:p>
    <w:p w14:paraId="29A2C2AA" w14:textId="34D0A253"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The input section helped me to understand what it takes to integrate. The first insight I gained was that I had to identify the partners. Primary care, Luton Borough Council public health and adult social care, the Bedfordshire, Luton and Milton Keynes Integrated Care Board and the community organisations of Active Luton and the voluntary sector were the main partners in </w:t>
      </w:r>
      <w:proofErr w:type="spellStart"/>
      <w:r w:rsidRPr="00224A80">
        <w:rPr>
          <w:rFonts w:ascii="Times New Roman" w:eastAsia="Times New Roman" w:hAnsi="Times New Roman" w:cs="Times New Roman"/>
          <w:sz w:val="24"/>
          <w:szCs w:val="24"/>
          <w:lang w:eastAsia="en-GB"/>
        </w:rPr>
        <w:t>Dia</w:t>
      </w:r>
      <w:proofErr w:type="spellEnd"/>
      <w:r w:rsidR="00927E5B">
        <w:rPr>
          <w:rFonts w:ascii="Times New Roman" w:eastAsia="Times New Roman" w:hAnsi="Times New Roman" w:cs="Times New Roman"/>
          <w:sz w:val="24"/>
          <w:szCs w:val="24"/>
          <w:lang w:eastAsia="en-GB"/>
        </w:rPr>
        <w:t>-</w:t>
      </w:r>
      <w:r w:rsidRPr="00224A80">
        <w:rPr>
          <w:rFonts w:ascii="Times New Roman" w:eastAsia="Times New Roman" w:hAnsi="Times New Roman" w:cs="Times New Roman"/>
          <w:sz w:val="24"/>
          <w:szCs w:val="24"/>
          <w:lang w:eastAsia="en-GB"/>
        </w:rPr>
        <w:t>Well LU4 (NHS England, 2022; Bedfordshire, Luton and Milton Keynes Integrated Care Board, 2024; Luton Borough Council, 2024). These were considered partners because they were involved in a different element of the diabetes pathway: diagnosis and treatment, social determinants of health, strategic and financial, and community (NHS England, 2019; World Health Organization, 2016; Khan, Randhawa and Hewson, 2023).</w:t>
      </w:r>
    </w:p>
    <w:p w14:paraId="6412C7D3"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This helped me to understand that partnership is not just about collaboration in theory. It is about deliberate partnership working with organisations that contribute different, but complementary roles. I discovered that the integrated care can easily be lost or fail due to lack of roles. On the other hand, collaboration is more practical and sustainable when they know their roles (</w:t>
      </w:r>
      <w:proofErr w:type="spellStart"/>
      <w:r w:rsidRPr="00224A80">
        <w:rPr>
          <w:rFonts w:ascii="Times New Roman" w:eastAsia="Times New Roman" w:hAnsi="Times New Roman" w:cs="Times New Roman"/>
          <w:sz w:val="24"/>
          <w:szCs w:val="24"/>
          <w:lang w:eastAsia="en-GB"/>
        </w:rPr>
        <w:t>Liapi</w:t>
      </w:r>
      <w:proofErr w:type="spellEnd"/>
      <w:r w:rsidRPr="00224A80">
        <w:rPr>
          <w:rFonts w:ascii="Times New Roman" w:eastAsia="Times New Roman" w:hAnsi="Times New Roman" w:cs="Times New Roman"/>
          <w:sz w:val="24"/>
          <w:szCs w:val="24"/>
          <w:lang w:eastAsia="en-GB"/>
        </w:rPr>
        <w:t xml:space="preserve"> et al., 2025; Khatri et al., 2023). This matter is important in my future practice as it shows the professional collaboration should not be taken for granted.</w:t>
      </w:r>
    </w:p>
    <w:p w14:paraId="3F88E236"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The second lesson was about policy and legislation. The group work has linked the </w:t>
      </w:r>
      <w:proofErr w:type="spellStart"/>
      <w:r w:rsidRPr="00224A80">
        <w:rPr>
          <w:rFonts w:ascii="Times New Roman" w:eastAsia="Times New Roman" w:hAnsi="Times New Roman" w:cs="Times New Roman"/>
          <w:sz w:val="24"/>
          <w:szCs w:val="24"/>
          <w:lang w:eastAsia="en-GB"/>
        </w:rPr>
        <w:t>DiaWell</w:t>
      </w:r>
      <w:proofErr w:type="spellEnd"/>
      <w:r w:rsidRPr="00224A80">
        <w:rPr>
          <w:rFonts w:ascii="Times New Roman" w:eastAsia="Times New Roman" w:hAnsi="Times New Roman" w:cs="Times New Roman"/>
          <w:sz w:val="24"/>
          <w:szCs w:val="24"/>
          <w:lang w:eastAsia="en-GB"/>
        </w:rPr>
        <w:t xml:space="preserve"> LU4 to the NHS Long Term Plan, guidance on Integrated Care Systems and Health and Care Act 2022 (NHS England, 2019; NHS England, 2022; Legislation, 2025) which advocate for collaborative and preventive health and social care. This helped me to see that integration is more than a local flavour. It is part of the national strategy of health and care system in England. However, I also realised that the national policy is no guarantee of success. The policy sets the vision but it is the leadership, implementation and resources that enable or disable the practice of integrated care.</w:t>
      </w:r>
    </w:p>
    <w:p w14:paraId="015B156D"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The section on resources also shifted my thinking. Before this assignment, I considered resources as financial. This task has allowed me to learn that the workforce, IT systems, community space, educational resources, information infrastructure, and time to plan and coordinate cases are resources. Our group proposal was made up of GPs, diabetes specialist nurses, endocrinologists, podiatrists, pharmacists, dietitians, social workers, public health practitioners and wellbeing officers, so the multidisciplinary team approach to diabetes care needs a broad group (NHS England, 2019; National Institute for Health and Care Excellence, 2022; Diabetes UK, 2023). I have learnt that integration is expensive and patient-centred care requires practical resources.</w:t>
      </w:r>
    </w:p>
    <w:p w14:paraId="1E51A7FA"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The barriers identified in our group work were significant to my critical idea. These included siloed organisations, resource scarcity, funding and GDPR/data sharing (Goodwin, 2016; </w:t>
      </w:r>
      <w:proofErr w:type="spellStart"/>
      <w:r w:rsidRPr="00224A80">
        <w:rPr>
          <w:rFonts w:ascii="Times New Roman" w:eastAsia="Times New Roman" w:hAnsi="Times New Roman" w:cs="Times New Roman"/>
          <w:sz w:val="24"/>
          <w:szCs w:val="24"/>
          <w:lang w:eastAsia="en-GB"/>
        </w:rPr>
        <w:t>Liapi</w:t>
      </w:r>
      <w:proofErr w:type="spellEnd"/>
      <w:r w:rsidRPr="00224A80">
        <w:rPr>
          <w:rFonts w:ascii="Times New Roman" w:eastAsia="Times New Roman" w:hAnsi="Times New Roman" w:cs="Times New Roman"/>
          <w:sz w:val="24"/>
          <w:szCs w:val="24"/>
          <w:lang w:eastAsia="en-GB"/>
        </w:rPr>
        <w:t xml:space="preserve"> et al., 2025; Khatri et al., 2023). I reflected these challenges and realised that service integration may not be successful because of a bad idea, but instead because of a difficult environment. Different organisations may have different priorities or cultures, systems, and readiness. This helped me realise that conflict and complexity need to be managed in the context of integrated care.</w:t>
      </w:r>
    </w:p>
    <w:p w14:paraId="3DA5F032" w14:textId="42F0251E"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And I also learned it is important to consider options and solutions. The shared care planning, IT-based information systems, annual review, patient feedback and implementation over a few years were recommended by </w:t>
      </w:r>
      <w:proofErr w:type="spellStart"/>
      <w:r w:rsidRPr="00224A80">
        <w:rPr>
          <w:rFonts w:ascii="Times New Roman" w:eastAsia="Times New Roman" w:hAnsi="Times New Roman" w:cs="Times New Roman"/>
          <w:sz w:val="24"/>
          <w:szCs w:val="24"/>
          <w:lang w:eastAsia="en-GB"/>
        </w:rPr>
        <w:t>Dia</w:t>
      </w:r>
      <w:proofErr w:type="spellEnd"/>
      <w:r w:rsidR="00927E5B">
        <w:rPr>
          <w:rFonts w:ascii="Times New Roman" w:eastAsia="Times New Roman" w:hAnsi="Times New Roman" w:cs="Times New Roman"/>
          <w:sz w:val="24"/>
          <w:szCs w:val="24"/>
          <w:lang w:eastAsia="en-GB"/>
        </w:rPr>
        <w:t>-</w:t>
      </w:r>
      <w:r w:rsidRPr="00224A80">
        <w:rPr>
          <w:rFonts w:ascii="Times New Roman" w:eastAsia="Times New Roman" w:hAnsi="Times New Roman" w:cs="Times New Roman"/>
          <w:sz w:val="24"/>
          <w:szCs w:val="24"/>
          <w:lang w:eastAsia="en-GB"/>
        </w:rPr>
        <w:t xml:space="preserve">Well LU4 (Goodwin, 2016; NHS England, 2022; World Health Organization, 2016). In detail, I think additional solutions would include educating the staff in collaborative practice, inter-agency governance, increased community work to address health inequalities, and multidisciplinary review meetings (NHS England, 2022; </w:t>
      </w:r>
      <w:proofErr w:type="spellStart"/>
      <w:r w:rsidRPr="00224A80">
        <w:rPr>
          <w:rFonts w:ascii="Times New Roman" w:eastAsia="Times New Roman" w:hAnsi="Times New Roman" w:cs="Times New Roman"/>
          <w:sz w:val="24"/>
          <w:szCs w:val="24"/>
          <w:lang w:eastAsia="en-GB"/>
        </w:rPr>
        <w:t>Liapi</w:t>
      </w:r>
      <w:proofErr w:type="spellEnd"/>
      <w:r w:rsidRPr="00224A80">
        <w:rPr>
          <w:rFonts w:ascii="Times New Roman" w:eastAsia="Times New Roman" w:hAnsi="Times New Roman" w:cs="Times New Roman"/>
          <w:sz w:val="24"/>
          <w:szCs w:val="24"/>
          <w:lang w:eastAsia="en-GB"/>
        </w:rPr>
        <w:t xml:space="preserve"> et al., 2025; Khatri et al., 2023). I found this reflection useful, as it reminded me that the critical thinking in health and social care, based on identifying a problem, must provide practical solutions.</w:t>
      </w:r>
    </w:p>
    <w:p w14:paraId="21FC935B"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Overall, the input section helped me understand that the integrated care is based on the coordination of partners, policies, resources, barriers and solutions. I now consider input to be the foundation, which supports person-centred and integrated care.</w:t>
      </w:r>
    </w:p>
    <w:p w14:paraId="35F02D08" w14:textId="77777777" w:rsidR="00224A80" w:rsidRPr="00224A80" w:rsidRDefault="00224A80" w:rsidP="009410F9">
      <w:pPr>
        <w:pStyle w:val="Heading1"/>
        <w:jc w:val="both"/>
      </w:pPr>
      <w:bookmarkStart w:id="17" w:name="_Toc228058692"/>
      <w:bookmarkStart w:id="18" w:name="_Toc228058748"/>
      <w:bookmarkStart w:id="19" w:name="_Toc228129350"/>
      <w:bookmarkStart w:id="20" w:name="_Toc228129666"/>
      <w:r w:rsidRPr="00224A80">
        <w:t>Process</w:t>
      </w:r>
      <w:bookmarkEnd w:id="17"/>
      <w:bookmarkEnd w:id="18"/>
      <w:bookmarkEnd w:id="19"/>
      <w:bookmarkEnd w:id="20"/>
    </w:p>
    <w:p w14:paraId="59FC575C"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The key aspect of this reflection has been the process part of the assignment as I have been able to relate my experiences of group work in academia with teamwork in health and social care. When engaging in the </w:t>
      </w:r>
      <w:proofErr w:type="spellStart"/>
      <w:r w:rsidRPr="00224A80">
        <w:rPr>
          <w:rFonts w:ascii="Times New Roman" w:eastAsia="Times New Roman" w:hAnsi="Times New Roman" w:cs="Times New Roman"/>
          <w:sz w:val="24"/>
          <w:szCs w:val="24"/>
          <w:lang w:eastAsia="en-GB"/>
        </w:rPr>
        <w:t>DiaWell</w:t>
      </w:r>
      <w:proofErr w:type="spellEnd"/>
      <w:r w:rsidRPr="00224A80">
        <w:rPr>
          <w:rFonts w:ascii="Times New Roman" w:eastAsia="Times New Roman" w:hAnsi="Times New Roman" w:cs="Times New Roman"/>
          <w:sz w:val="24"/>
          <w:szCs w:val="24"/>
          <w:lang w:eastAsia="en-GB"/>
        </w:rPr>
        <w:t xml:space="preserve"> LU4 task I needed to talk, plan, collaborate and have a common goal. I felt this was similar to my experiences of multidisciplinary practice where each person has varying expertise, but the success of the work relies on their ability to work together (Khatri et al., 2023; </w:t>
      </w:r>
      <w:proofErr w:type="spellStart"/>
      <w:r w:rsidRPr="00224A80">
        <w:rPr>
          <w:rFonts w:ascii="Times New Roman" w:eastAsia="Times New Roman" w:hAnsi="Times New Roman" w:cs="Times New Roman"/>
          <w:sz w:val="24"/>
          <w:szCs w:val="24"/>
          <w:lang w:eastAsia="en-GB"/>
        </w:rPr>
        <w:t>Liapi</w:t>
      </w:r>
      <w:proofErr w:type="spellEnd"/>
      <w:r w:rsidRPr="00224A80">
        <w:rPr>
          <w:rFonts w:ascii="Times New Roman" w:eastAsia="Times New Roman" w:hAnsi="Times New Roman" w:cs="Times New Roman"/>
          <w:sz w:val="24"/>
          <w:szCs w:val="24"/>
          <w:lang w:eastAsia="en-GB"/>
        </w:rPr>
        <w:t xml:space="preserve"> et al., 2025).</w:t>
      </w:r>
    </w:p>
    <w:p w14:paraId="40B03AE4"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I have learnt from this experience that teamwork can be a fun but challenging experience. Each member brought different experiences and this allowed us to create a better product overall. However, I also learnt that teamwork is patient, adaptable and communicative. It is about managing relationships, risks and uncertainties and having a collective goal (NHS England, 2022; World Health Organization, 2016).</w:t>
      </w:r>
    </w:p>
    <w:p w14:paraId="43D007D5"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In writing about myself, I realised the ways I can support teamwork. I contributed to the design of the service model, in the concept of the person-centred diabetes care. This allowed me to understand more about the person-centred practice and integration of clinical and social and community support (World Health Organization, 2016; Chen, </w:t>
      </w:r>
      <w:proofErr w:type="spellStart"/>
      <w:r w:rsidRPr="00224A80">
        <w:rPr>
          <w:rFonts w:ascii="Times New Roman" w:eastAsia="Times New Roman" w:hAnsi="Times New Roman" w:cs="Times New Roman"/>
          <w:sz w:val="24"/>
          <w:szCs w:val="24"/>
          <w:lang w:eastAsia="en-GB"/>
        </w:rPr>
        <w:t>Su</w:t>
      </w:r>
      <w:proofErr w:type="spellEnd"/>
      <w:r w:rsidRPr="00224A80">
        <w:rPr>
          <w:rFonts w:ascii="Times New Roman" w:eastAsia="Times New Roman" w:hAnsi="Times New Roman" w:cs="Times New Roman"/>
          <w:sz w:val="24"/>
          <w:szCs w:val="24"/>
          <w:lang w:eastAsia="en-GB"/>
        </w:rPr>
        <w:t xml:space="preserve"> and Liu, 2024). I also discovered how I need to learn as a person in being more expressive of critical academic perspectives and being more evaluative and less descriptive.</w:t>
      </w:r>
    </w:p>
    <w:p w14:paraId="1EC94967"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The other realisation was regarding accountability. The various partners need to be clear about their role in an integrated care to make the service work (Goodwin, 2016; NHS England, 2022). This made me realise the importance of individual and collective accountability for teamwork. I will use this skill in my practice by communicating early, being </w:t>
      </w:r>
      <w:proofErr w:type="gramStart"/>
      <w:r w:rsidRPr="00224A80">
        <w:rPr>
          <w:rFonts w:ascii="Times New Roman" w:eastAsia="Times New Roman" w:hAnsi="Times New Roman" w:cs="Times New Roman"/>
          <w:sz w:val="24"/>
          <w:szCs w:val="24"/>
          <w:lang w:eastAsia="en-GB"/>
        </w:rPr>
        <w:t>more clear</w:t>
      </w:r>
      <w:proofErr w:type="gramEnd"/>
      <w:r w:rsidRPr="00224A80">
        <w:rPr>
          <w:rFonts w:ascii="Times New Roman" w:eastAsia="Times New Roman" w:hAnsi="Times New Roman" w:cs="Times New Roman"/>
          <w:sz w:val="24"/>
          <w:szCs w:val="24"/>
          <w:lang w:eastAsia="en-GB"/>
        </w:rPr>
        <w:t xml:space="preserve"> about my expectations and also check for understanding frequently.</w:t>
      </w:r>
    </w:p>
    <w:p w14:paraId="2B11B1C9"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Communication, listening, flexibility and having a respectful mindset are not 'nice to have' in effective integrated care. They are professional requirements (NHS England, 2022). This assignment has allowed me to be aware that an integrated service model is not going to be effective if its professionals do not collaborate.</w:t>
      </w:r>
    </w:p>
    <w:p w14:paraId="33CBBF89" w14:textId="77777777" w:rsidR="00531A52"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In general, the completion of the work has given me insight that partnership working is not only a concept. It is a practice that requires trust, communication, accountability and collaboration (World Health Organization, 2016; Goodwin, 2016). This will be an important learning from my future health and social care practice.</w:t>
      </w:r>
    </w:p>
    <w:p w14:paraId="49C8C5D6" w14:textId="670B33B6" w:rsidR="00224A80" w:rsidRPr="00224A80" w:rsidRDefault="00224A80" w:rsidP="009410F9">
      <w:pPr>
        <w:pStyle w:val="Heading1"/>
        <w:jc w:val="both"/>
        <w:rPr>
          <w:sz w:val="24"/>
          <w:szCs w:val="24"/>
        </w:rPr>
      </w:pPr>
      <w:bookmarkStart w:id="21" w:name="_Toc228058693"/>
      <w:bookmarkStart w:id="22" w:name="_Toc228058749"/>
      <w:bookmarkStart w:id="23" w:name="_Toc228129351"/>
      <w:bookmarkStart w:id="24" w:name="_Toc228129667"/>
      <w:r w:rsidRPr="00224A80">
        <w:t>Product</w:t>
      </w:r>
      <w:bookmarkEnd w:id="21"/>
      <w:bookmarkEnd w:id="22"/>
      <w:bookmarkEnd w:id="23"/>
      <w:bookmarkEnd w:id="24"/>
    </w:p>
    <w:p w14:paraId="365A905D"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As for the product, I believe the </w:t>
      </w:r>
      <w:proofErr w:type="spellStart"/>
      <w:r w:rsidRPr="00224A80">
        <w:rPr>
          <w:rFonts w:ascii="Times New Roman" w:eastAsia="Times New Roman" w:hAnsi="Times New Roman" w:cs="Times New Roman"/>
          <w:sz w:val="24"/>
          <w:szCs w:val="24"/>
          <w:lang w:eastAsia="en-GB"/>
        </w:rPr>
        <w:t>DiaWell</w:t>
      </w:r>
      <w:proofErr w:type="spellEnd"/>
      <w:r w:rsidRPr="00224A80">
        <w:rPr>
          <w:rFonts w:ascii="Times New Roman" w:eastAsia="Times New Roman" w:hAnsi="Times New Roman" w:cs="Times New Roman"/>
          <w:sz w:val="24"/>
          <w:szCs w:val="24"/>
          <w:lang w:eastAsia="en-GB"/>
        </w:rPr>
        <w:t xml:space="preserve"> LU4 model had achieved many things. There was a genuine local health concern, a clear target audience, it linked the model to the policy, it engaged the relevant stakeholders and it proposed a tri-sector model that takes into account the input of the voluntary sector into health and social care (Luton Borough Council, 2024; NHS England, 2022; World Health Organization, 2016). It also had a multidisciplinary approach, shared electronic records, prevention programmes, annual review and feedback from patients (Goodwin, 2016; NHS England, 2019; Khatri et al., 2023).</w:t>
      </w:r>
    </w:p>
    <w:p w14:paraId="4B610FA9"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The model was from the outset person-centred but I think that the product could have been more explicit around service user involvement. It would have been more convincing if it had outlined how people with diabetes in LU4 would be involved in co-designing, ongoing feedback and review of services.</w:t>
      </w:r>
    </w:p>
    <w:p w14:paraId="65A291FF"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The second limitation was that we had identified the barriers but we could have gone further in overcoming them. The problem of staffing shortages, data sharing and lack of funding was clearly acknowledged, but a more critical approach to thinking would have included how to combat resistance to change, how to protect the integrity of staff during the change process, and how to consider the longer-term impacts in a more structured way (Goodwin, 2016; </w:t>
      </w:r>
      <w:proofErr w:type="spellStart"/>
      <w:r w:rsidRPr="00224A80">
        <w:rPr>
          <w:rFonts w:ascii="Times New Roman" w:eastAsia="Times New Roman" w:hAnsi="Times New Roman" w:cs="Times New Roman"/>
          <w:sz w:val="24"/>
          <w:szCs w:val="24"/>
          <w:lang w:eastAsia="en-GB"/>
        </w:rPr>
        <w:t>Liapi</w:t>
      </w:r>
      <w:proofErr w:type="spellEnd"/>
      <w:r w:rsidRPr="00224A80">
        <w:rPr>
          <w:rFonts w:ascii="Times New Roman" w:eastAsia="Times New Roman" w:hAnsi="Times New Roman" w:cs="Times New Roman"/>
          <w:sz w:val="24"/>
          <w:szCs w:val="24"/>
          <w:lang w:eastAsia="en-GB"/>
        </w:rPr>
        <w:t xml:space="preserve"> et al., 2025; Khatri et al., 2023).</w:t>
      </w:r>
    </w:p>
    <w:p w14:paraId="28C7C80B"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The product also helped me to identify the skills needed in integrated care. Our team practice promoted team-focused decision-making and communication, cultural safety and organisational planning (NHS England, 2022; Khan, Randhawa and Hewson, 2023). I would add, leadership, empathy, technology skills, problem-solving and reflective practice (NHS England, 2019; World Health Organization, 2016).</w:t>
      </w:r>
    </w:p>
    <w:p w14:paraId="135210C3"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I now know that quality in health and social care is not about the competencies of individuals. It is about the inter-relationship of services. Even good individual practice can be undermined by fragmentation. Integrated care, therefore, needs to be assessed on the criteria of improving continuity, reducing inequity and improving outcomes and experience over time (Goodwin, 2016).</w:t>
      </w:r>
    </w:p>
    <w:p w14:paraId="3520C338" w14:textId="64E8BABD" w:rsidR="00D15E7C" w:rsidRPr="00224A80" w:rsidRDefault="00224A80" w:rsidP="00FC0D57">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I will view service-user need in a more integrated manner, which includes health and social needs. I will value more interdisciplinary working and I will be more mindful of the influence of policies, information technology and leadership on practice (NHS England, 2022; Goodwin, 2016). Most importantly, I will try to contribute to services that will de-fragment and enable integrated care.</w:t>
      </w:r>
    </w:p>
    <w:p w14:paraId="4B78B454" w14:textId="77777777" w:rsidR="00224A80" w:rsidRPr="00224A80" w:rsidRDefault="00224A80" w:rsidP="009410F9">
      <w:pPr>
        <w:pStyle w:val="Heading1"/>
        <w:jc w:val="both"/>
      </w:pPr>
      <w:bookmarkStart w:id="25" w:name="_Toc228058694"/>
      <w:bookmarkStart w:id="26" w:name="_Toc228058750"/>
      <w:bookmarkStart w:id="27" w:name="_Toc228129352"/>
      <w:bookmarkStart w:id="28" w:name="_Toc228129668"/>
      <w:r w:rsidRPr="00224A80">
        <w:t>Conclusion</w:t>
      </w:r>
      <w:bookmarkEnd w:id="25"/>
      <w:bookmarkEnd w:id="26"/>
      <w:bookmarkEnd w:id="27"/>
      <w:bookmarkEnd w:id="28"/>
    </w:p>
    <w:p w14:paraId="70AAD0C1"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 xml:space="preserve">In summary, the </w:t>
      </w:r>
      <w:proofErr w:type="spellStart"/>
      <w:r w:rsidRPr="00224A80">
        <w:rPr>
          <w:rFonts w:ascii="Times New Roman" w:eastAsia="Times New Roman" w:hAnsi="Times New Roman" w:cs="Times New Roman"/>
          <w:sz w:val="24"/>
          <w:szCs w:val="24"/>
          <w:lang w:eastAsia="en-GB"/>
        </w:rPr>
        <w:t>DiaWell</w:t>
      </w:r>
      <w:proofErr w:type="spellEnd"/>
      <w:r w:rsidRPr="00224A80">
        <w:rPr>
          <w:rFonts w:ascii="Times New Roman" w:eastAsia="Times New Roman" w:hAnsi="Times New Roman" w:cs="Times New Roman"/>
          <w:sz w:val="24"/>
          <w:szCs w:val="24"/>
          <w:lang w:eastAsia="en-GB"/>
        </w:rPr>
        <w:t xml:space="preserve"> LU4 group task has demonstrated how my perspectives on service integration and partnership working have evolved because of the given task. I studied that integrated care has to start with a clear understanding of population need and has to address both clinical and social determinants of health. The Luton diabetes situation has illustrated the inadequacy of fragmented services in the </w:t>
      </w:r>
      <w:proofErr w:type="gramStart"/>
      <w:r w:rsidRPr="00224A80">
        <w:rPr>
          <w:rFonts w:ascii="Times New Roman" w:eastAsia="Times New Roman" w:hAnsi="Times New Roman" w:cs="Times New Roman"/>
          <w:sz w:val="24"/>
          <w:szCs w:val="24"/>
          <w:lang w:eastAsia="en-GB"/>
        </w:rPr>
        <w:t>long term</w:t>
      </w:r>
      <w:proofErr w:type="gramEnd"/>
      <w:r w:rsidRPr="00224A80">
        <w:rPr>
          <w:rFonts w:ascii="Times New Roman" w:eastAsia="Times New Roman" w:hAnsi="Times New Roman" w:cs="Times New Roman"/>
          <w:sz w:val="24"/>
          <w:szCs w:val="24"/>
          <w:lang w:eastAsia="en-GB"/>
        </w:rPr>
        <w:t xml:space="preserve"> conditions like Type 2 diabetes and the need to create coordinated community-based responses (Luton Borough Council, 2024; Diabetes UK, 2023; Goodwin, 2016).</w:t>
      </w:r>
    </w:p>
    <w:p w14:paraId="64177EF0"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I also came to know that effective integration requires effective input such as the right partners, the good policy, adequate resources, good leadership and realistic solutions to problems (NHS England, 2019; NHS England, 2022; World Health Organization, 2016). In the process of group work I was able to appreciate more the values of communication, accountability, teamwork and reflective self-awareness. By assessing the product, I found the competencies required to practice integrated care, such as collaboration, cultural competence, strategic thinking, and person-centred practice.</w:t>
      </w:r>
    </w:p>
    <w:p w14:paraId="746D9CB8" w14:textId="77777777" w:rsidR="00224A80" w:rsidRPr="00224A80" w:rsidRDefault="00224A80" w:rsidP="009410F9">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24A80">
        <w:rPr>
          <w:rFonts w:ascii="Times New Roman" w:eastAsia="Times New Roman" w:hAnsi="Times New Roman" w:cs="Times New Roman"/>
          <w:sz w:val="24"/>
          <w:szCs w:val="24"/>
          <w:lang w:eastAsia="en-GB"/>
        </w:rPr>
        <w:t>Most significantly, this learning has enabled me to know that service integration is structural and relational. It relies on systems, governance and digital coordination, yet trust, communication and purpose. I will use this learning in my practice in the future by working more as a holistic practitioner, investing in multidisciplinary collaboration, and understanding that more results are often realised when services are coordinated as systems and not as disjointed components (Goodwin, 2016; Khatri et al., 2023).</w:t>
      </w:r>
    </w:p>
    <w:p w14:paraId="69247519" w14:textId="77777777" w:rsidR="00FC0D57" w:rsidRDefault="00FC0D57" w:rsidP="009410F9">
      <w:pPr>
        <w:pStyle w:val="Heading1"/>
        <w:jc w:val="both"/>
        <w:rPr>
          <w:rStyle w:val="Strong"/>
          <w:b/>
          <w:bCs/>
        </w:rPr>
      </w:pPr>
      <w:bookmarkStart w:id="29" w:name="_Toc228058695"/>
      <w:bookmarkStart w:id="30" w:name="_Toc228058751"/>
      <w:bookmarkStart w:id="31" w:name="_Toc228129353"/>
    </w:p>
    <w:p w14:paraId="7094859A" w14:textId="4F50C864" w:rsidR="00D15E7C" w:rsidRPr="00531A52" w:rsidRDefault="00D15E7C" w:rsidP="009410F9">
      <w:pPr>
        <w:pStyle w:val="Heading1"/>
        <w:jc w:val="both"/>
      </w:pPr>
      <w:bookmarkStart w:id="32" w:name="_Toc228129669"/>
      <w:r w:rsidRPr="00531A52">
        <w:rPr>
          <w:rStyle w:val="Strong"/>
          <w:b/>
          <w:bCs/>
        </w:rPr>
        <w:t>Reference List</w:t>
      </w:r>
      <w:bookmarkEnd w:id="29"/>
      <w:bookmarkEnd w:id="30"/>
      <w:bookmarkEnd w:id="31"/>
      <w:bookmarkEnd w:id="32"/>
    </w:p>
    <w:p w14:paraId="0CD6527E" w14:textId="77777777" w:rsidR="00D15E7C" w:rsidRDefault="00D15E7C" w:rsidP="009410F9">
      <w:pPr>
        <w:pStyle w:val="NormalWeb"/>
        <w:jc w:val="both"/>
      </w:pPr>
      <w:r>
        <w:t xml:space="preserve">Bedfordshire, Luton and Milton Keynes Integrated Care Board (2024) </w:t>
      </w:r>
      <w:r>
        <w:rPr>
          <w:rStyle w:val="Emphasis"/>
        </w:rPr>
        <w:t>About the ICB</w:t>
      </w:r>
      <w:r>
        <w:t xml:space="preserve">. Available at: </w:t>
      </w:r>
      <w:hyperlink r:id="rId8" w:tgtFrame="_new" w:history="1">
        <w:r>
          <w:rPr>
            <w:rStyle w:val="Hyperlink"/>
          </w:rPr>
          <w:t>https://www.blmkicb.nhs.uk/</w:t>
        </w:r>
      </w:hyperlink>
    </w:p>
    <w:p w14:paraId="152774D5" w14:textId="77777777" w:rsidR="00D15E7C" w:rsidRDefault="00D15E7C" w:rsidP="009410F9">
      <w:pPr>
        <w:pStyle w:val="NormalWeb"/>
        <w:jc w:val="both"/>
      </w:pPr>
      <w:proofErr w:type="spellStart"/>
      <w:r>
        <w:t>Bergmo</w:t>
      </w:r>
      <w:proofErr w:type="spellEnd"/>
      <w:r>
        <w:t xml:space="preserve">, T.S. (2015) ‘How to measure costs and benefits of eHealth interventions: an overview of methods and frameworks’, </w:t>
      </w:r>
      <w:r>
        <w:rPr>
          <w:rStyle w:val="Emphasis"/>
        </w:rPr>
        <w:t>Journal of Medical Internet Research</w:t>
      </w:r>
      <w:r>
        <w:t>, 17(11), e254.</w:t>
      </w:r>
    </w:p>
    <w:p w14:paraId="25B9C6AE" w14:textId="77777777" w:rsidR="00D15E7C" w:rsidRDefault="00D15E7C" w:rsidP="009410F9">
      <w:pPr>
        <w:pStyle w:val="NormalWeb"/>
        <w:jc w:val="both"/>
      </w:pPr>
      <w:r>
        <w:t xml:space="preserve">Braithwaite, J., </w:t>
      </w:r>
      <w:proofErr w:type="spellStart"/>
      <w:r>
        <w:t>Churruca</w:t>
      </w:r>
      <w:proofErr w:type="spellEnd"/>
      <w:r>
        <w:t xml:space="preserve">, K. and Long, J.C. (2018) ‘When complexity science meets implementation science: a theoretical and empirical analysis of systems change’, </w:t>
      </w:r>
      <w:r>
        <w:rPr>
          <w:rStyle w:val="Emphasis"/>
        </w:rPr>
        <w:t>BMC Medicine</w:t>
      </w:r>
      <w:r>
        <w:t>, 16, 63.</w:t>
      </w:r>
    </w:p>
    <w:p w14:paraId="6307B6A2" w14:textId="77777777" w:rsidR="00D15E7C" w:rsidRDefault="00D15E7C" w:rsidP="009410F9">
      <w:pPr>
        <w:pStyle w:val="NormalWeb"/>
        <w:jc w:val="both"/>
      </w:pPr>
      <w:r>
        <w:t xml:space="preserve">Care Quality Commission (2022) </w:t>
      </w:r>
      <w:r>
        <w:rPr>
          <w:rStyle w:val="Emphasis"/>
        </w:rPr>
        <w:t>Integrated care systems: what are they and what do they mean for CQC?</w:t>
      </w:r>
      <w:r>
        <w:t xml:space="preserve"> London: CQC.</w:t>
      </w:r>
    </w:p>
    <w:p w14:paraId="39F6523F" w14:textId="77777777" w:rsidR="00D15E7C" w:rsidRDefault="00D15E7C" w:rsidP="009410F9">
      <w:pPr>
        <w:pStyle w:val="NormalWeb"/>
        <w:jc w:val="both"/>
      </w:pPr>
      <w:r>
        <w:t xml:space="preserve">Chen, T.T., </w:t>
      </w:r>
      <w:proofErr w:type="spellStart"/>
      <w:r>
        <w:t>Su</w:t>
      </w:r>
      <w:proofErr w:type="spellEnd"/>
      <w:r>
        <w:t>, W.C. and Liu, M.I. (2024) ‘Patient-</w:t>
      </w:r>
      <w:proofErr w:type="spellStart"/>
      <w:r>
        <w:t>centered</w:t>
      </w:r>
      <w:proofErr w:type="spellEnd"/>
      <w:r>
        <w:t xml:space="preserve"> care in diabetes care: concepts, relationships and practice’, </w:t>
      </w:r>
      <w:r>
        <w:rPr>
          <w:rStyle w:val="Emphasis"/>
        </w:rPr>
        <w:t>World Journal of Diabetes</w:t>
      </w:r>
      <w:r>
        <w:t>, 15(7), p. 1417.</w:t>
      </w:r>
    </w:p>
    <w:p w14:paraId="39BE1C38" w14:textId="77777777" w:rsidR="00D15E7C" w:rsidRDefault="00D15E7C" w:rsidP="009410F9">
      <w:pPr>
        <w:pStyle w:val="NormalWeb"/>
        <w:jc w:val="both"/>
      </w:pPr>
      <w:r>
        <w:t xml:space="preserve">Department of Health and Social Care (2022) </w:t>
      </w:r>
      <w:r>
        <w:rPr>
          <w:rStyle w:val="Emphasis"/>
        </w:rPr>
        <w:t>Care and support statutory guidance</w:t>
      </w:r>
      <w:r>
        <w:t>. London: DHSC.</w:t>
      </w:r>
    </w:p>
    <w:p w14:paraId="4D4D684F" w14:textId="77777777" w:rsidR="00D15E7C" w:rsidRDefault="00D15E7C" w:rsidP="009410F9">
      <w:pPr>
        <w:pStyle w:val="NormalWeb"/>
        <w:jc w:val="both"/>
      </w:pPr>
      <w:r>
        <w:t xml:space="preserve">Diabetes UK (2023) </w:t>
      </w:r>
      <w:r>
        <w:rPr>
          <w:rStyle w:val="Emphasis"/>
        </w:rPr>
        <w:t>How many people in the UK have diabetes?</w:t>
      </w:r>
      <w:r>
        <w:t xml:space="preserve"> Available at: </w:t>
      </w:r>
      <w:hyperlink r:id="rId9" w:tgtFrame="_new" w:history="1">
        <w:r>
          <w:rPr>
            <w:rStyle w:val="Hyperlink"/>
          </w:rPr>
          <w:t>https://www.diabetes.org.uk/</w:t>
        </w:r>
      </w:hyperlink>
    </w:p>
    <w:p w14:paraId="2DA781FB" w14:textId="77777777" w:rsidR="00D15E7C" w:rsidRDefault="00D15E7C" w:rsidP="009410F9">
      <w:pPr>
        <w:pStyle w:val="NormalWeb"/>
        <w:jc w:val="both"/>
      </w:pPr>
      <w:r>
        <w:t xml:space="preserve">Diabetes UK (2023) </w:t>
      </w:r>
      <w:r>
        <w:rPr>
          <w:rStyle w:val="Emphasis"/>
        </w:rPr>
        <w:t>Improving diabetes care and outcomes</w:t>
      </w:r>
      <w:r>
        <w:t>. London: Diabetes UK.</w:t>
      </w:r>
    </w:p>
    <w:p w14:paraId="0E324783" w14:textId="77777777" w:rsidR="00D15E7C" w:rsidRDefault="00D15E7C" w:rsidP="009410F9">
      <w:pPr>
        <w:pStyle w:val="NormalWeb"/>
        <w:jc w:val="both"/>
      </w:pPr>
      <w:r>
        <w:t xml:space="preserve">Dixon-Woods, M., McNicol, S. and Martin, G. (2012) ‘Ten challenges in improving quality in healthcare: lessons from the Health Foundation's programme evaluations and relevant literature’, </w:t>
      </w:r>
      <w:r>
        <w:rPr>
          <w:rStyle w:val="Emphasis"/>
        </w:rPr>
        <w:t>BMJ Quality and Safety</w:t>
      </w:r>
      <w:r>
        <w:t>, 21(10), pp. 876–884.</w:t>
      </w:r>
    </w:p>
    <w:p w14:paraId="39EE3173" w14:textId="77777777" w:rsidR="00D15E7C" w:rsidRDefault="00D15E7C" w:rsidP="009410F9">
      <w:pPr>
        <w:pStyle w:val="NormalWeb"/>
        <w:jc w:val="both"/>
      </w:pPr>
      <w:proofErr w:type="spellStart"/>
      <w:r>
        <w:t>Gherasim</w:t>
      </w:r>
      <w:proofErr w:type="spellEnd"/>
      <w:r>
        <w:t xml:space="preserve">, A., </w:t>
      </w:r>
      <w:proofErr w:type="spellStart"/>
      <w:r>
        <w:t>Oprescu</w:t>
      </w:r>
      <w:proofErr w:type="spellEnd"/>
      <w:r>
        <w:t xml:space="preserve">, A.C., Gal, A.M., </w:t>
      </w:r>
      <w:proofErr w:type="spellStart"/>
      <w:r>
        <w:t>Burlui</w:t>
      </w:r>
      <w:proofErr w:type="spellEnd"/>
      <w:r>
        <w:t xml:space="preserve">, A.M. and </w:t>
      </w:r>
      <w:proofErr w:type="spellStart"/>
      <w:r>
        <w:t>Mihalache</w:t>
      </w:r>
      <w:proofErr w:type="spellEnd"/>
      <w:r>
        <w:t xml:space="preserve">, L. (2023) ‘Lifestyle patterns in patients with type 2 diabetes’, </w:t>
      </w:r>
      <w:r>
        <w:rPr>
          <w:rStyle w:val="Emphasis"/>
        </w:rPr>
        <w:t>Metabolites</w:t>
      </w:r>
      <w:r>
        <w:t>, 13(7), p. 831.</w:t>
      </w:r>
    </w:p>
    <w:p w14:paraId="01EBDFD9" w14:textId="77777777" w:rsidR="00D15E7C" w:rsidRDefault="00D15E7C" w:rsidP="009410F9">
      <w:pPr>
        <w:pStyle w:val="NormalWeb"/>
        <w:jc w:val="both"/>
      </w:pPr>
      <w:r>
        <w:t xml:space="preserve">Glasby, J. and Dickinson, H. (2014) </w:t>
      </w:r>
      <w:r>
        <w:rPr>
          <w:rStyle w:val="Emphasis"/>
        </w:rPr>
        <w:t>Partnership working in health and social care: what is integrated care and how can we deliver it?</w:t>
      </w:r>
      <w:r>
        <w:t xml:space="preserve"> 2nd </w:t>
      </w:r>
      <w:proofErr w:type="spellStart"/>
      <w:r>
        <w:t>edn</w:t>
      </w:r>
      <w:proofErr w:type="spellEnd"/>
      <w:r>
        <w:t>. Bristol: Policy Press.</w:t>
      </w:r>
    </w:p>
    <w:p w14:paraId="50F73DDB" w14:textId="77777777" w:rsidR="00D15E7C" w:rsidRDefault="00D15E7C" w:rsidP="009410F9">
      <w:pPr>
        <w:pStyle w:val="NormalWeb"/>
        <w:jc w:val="both"/>
      </w:pPr>
      <w:r>
        <w:t xml:space="preserve">Goodwin, N. (2016) </w:t>
      </w:r>
      <w:r>
        <w:rPr>
          <w:rStyle w:val="Emphasis"/>
        </w:rPr>
        <w:t>Understanding integrated care: a complex process, a fundamental principle</w:t>
      </w:r>
      <w:r>
        <w:t>. London: The King's Fund.</w:t>
      </w:r>
    </w:p>
    <w:p w14:paraId="380CD2FA" w14:textId="77777777" w:rsidR="00D15E7C" w:rsidRDefault="00D15E7C" w:rsidP="009410F9">
      <w:pPr>
        <w:pStyle w:val="NormalWeb"/>
        <w:jc w:val="both"/>
      </w:pPr>
      <w:r>
        <w:t xml:space="preserve">Greenhalgh, T., </w:t>
      </w:r>
      <w:proofErr w:type="spellStart"/>
      <w:r>
        <w:t>Wherton</w:t>
      </w:r>
      <w:proofErr w:type="spellEnd"/>
      <w:r>
        <w:t xml:space="preserve">, J., </w:t>
      </w:r>
      <w:proofErr w:type="spellStart"/>
      <w:r>
        <w:t>Papoutsi</w:t>
      </w:r>
      <w:proofErr w:type="spellEnd"/>
      <w:r>
        <w:t xml:space="preserve">, C., Lynch, J., Hughes, G., </w:t>
      </w:r>
      <w:proofErr w:type="spellStart"/>
      <w:r>
        <w:t>A’Court</w:t>
      </w:r>
      <w:proofErr w:type="spellEnd"/>
      <w:r>
        <w:t xml:space="preserve">, C., Hinder, S., Fahy, N., Procter, R. and Shaw, S. (2017) ‘Beyond adoption: a new framework for theorizing and evaluating </w:t>
      </w:r>
      <w:proofErr w:type="spellStart"/>
      <w:r>
        <w:t>nonadoption</w:t>
      </w:r>
      <w:proofErr w:type="spellEnd"/>
      <w:r>
        <w:t xml:space="preserve">, abandonment, and challenges to the scale-up, spread, and sustainability of health and care technologies’, </w:t>
      </w:r>
      <w:r>
        <w:rPr>
          <w:rStyle w:val="Emphasis"/>
        </w:rPr>
        <w:t>Journal of Medical Internet Research</w:t>
      </w:r>
      <w:r>
        <w:t>, 19(11), e367.</w:t>
      </w:r>
    </w:p>
    <w:p w14:paraId="5F06982F" w14:textId="77777777" w:rsidR="00D15E7C" w:rsidRDefault="00D15E7C" w:rsidP="009410F9">
      <w:pPr>
        <w:pStyle w:val="NormalWeb"/>
        <w:jc w:val="both"/>
      </w:pPr>
      <w:r>
        <w:t xml:space="preserve">Gunter, K.E., </w:t>
      </w:r>
      <w:proofErr w:type="spellStart"/>
      <w:r>
        <w:t>Tanumihardjo</w:t>
      </w:r>
      <w:proofErr w:type="spellEnd"/>
      <w:r>
        <w:t xml:space="preserve">, J.P., O’Neal, Y., Peek, M.E. and Chin, M.H. (2023) ‘Integrated interventions to bridge medical and social care for people living with diabetes’, </w:t>
      </w:r>
      <w:r>
        <w:rPr>
          <w:rStyle w:val="Emphasis"/>
        </w:rPr>
        <w:t>Journal of General Internal Medicine</w:t>
      </w:r>
      <w:r>
        <w:t>, 38(</w:t>
      </w:r>
      <w:proofErr w:type="spellStart"/>
      <w:r>
        <w:t>Suppl</w:t>
      </w:r>
      <w:proofErr w:type="spellEnd"/>
      <w:r>
        <w:t xml:space="preserve"> 1), pp. 4–10.</w:t>
      </w:r>
    </w:p>
    <w:p w14:paraId="1B093B56" w14:textId="77777777" w:rsidR="00D15E7C" w:rsidRDefault="00D15E7C" w:rsidP="009410F9">
      <w:pPr>
        <w:pStyle w:val="NormalWeb"/>
        <w:jc w:val="both"/>
      </w:pPr>
      <w:r>
        <w:t xml:space="preserve">Ham, C. and Curry, N. (2011) </w:t>
      </w:r>
      <w:r>
        <w:rPr>
          <w:rStyle w:val="Emphasis"/>
        </w:rPr>
        <w:t>Integrated care: what is it? Does it work? What does it mean for the NHS?</w:t>
      </w:r>
      <w:r>
        <w:t xml:space="preserve"> London: The King's Fund.</w:t>
      </w:r>
    </w:p>
    <w:p w14:paraId="4C361A2C" w14:textId="77777777" w:rsidR="00D15E7C" w:rsidRDefault="00D15E7C" w:rsidP="009410F9">
      <w:pPr>
        <w:pStyle w:val="NormalWeb"/>
        <w:jc w:val="both"/>
      </w:pPr>
      <w:r>
        <w:t xml:space="preserve">Health and Care Act 2022, c.31. Available at: </w:t>
      </w:r>
      <w:hyperlink r:id="rId10" w:tgtFrame="_new" w:history="1">
        <w:r>
          <w:rPr>
            <w:rStyle w:val="Hyperlink"/>
          </w:rPr>
          <w:t>https://www.legislation.gov.uk/ukpga/2022/31/contents</w:t>
        </w:r>
      </w:hyperlink>
    </w:p>
    <w:p w14:paraId="5296F235" w14:textId="77777777" w:rsidR="00D15E7C" w:rsidRDefault="00D15E7C" w:rsidP="009410F9">
      <w:pPr>
        <w:pStyle w:val="NormalWeb"/>
        <w:jc w:val="both"/>
      </w:pPr>
      <w:r>
        <w:t xml:space="preserve">Hood, C.M., </w:t>
      </w:r>
      <w:proofErr w:type="spellStart"/>
      <w:r>
        <w:t>Gennuso</w:t>
      </w:r>
      <w:proofErr w:type="spellEnd"/>
      <w:r>
        <w:t xml:space="preserve">, K.P., Swain, G.R. and Catlin, B.B. (2016) ‘County health rankings: relationships between determinant factors and health outcomes’, </w:t>
      </w:r>
      <w:r>
        <w:rPr>
          <w:rStyle w:val="Emphasis"/>
        </w:rPr>
        <w:t>American Journal of Preventive Medicine</w:t>
      </w:r>
      <w:r>
        <w:t>, 50(2), pp. 129–135.</w:t>
      </w:r>
    </w:p>
    <w:p w14:paraId="03D6CE7F" w14:textId="77777777" w:rsidR="00D15E7C" w:rsidRDefault="00D15E7C" w:rsidP="009410F9">
      <w:pPr>
        <w:pStyle w:val="NormalWeb"/>
        <w:jc w:val="both"/>
      </w:pPr>
      <w:r>
        <w:t xml:space="preserve">Institute of Medicine (2001) </w:t>
      </w:r>
      <w:r>
        <w:rPr>
          <w:rStyle w:val="Emphasis"/>
        </w:rPr>
        <w:t>Crossing the quality chasm: a new health system for the 21st century</w:t>
      </w:r>
      <w:r>
        <w:t>. Washington, DC: National Academies Press.</w:t>
      </w:r>
    </w:p>
    <w:p w14:paraId="62BC9F8C" w14:textId="77777777" w:rsidR="00D15E7C" w:rsidRDefault="00D15E7C" w:rsidP="009410F9">
      <w:pPr>
        <w:pStyle w:val="NormalWeb"/>
        <w:jc w:val="both"/>
      </w:pPr>
      <w:r>
        <w:t xml:space="preserve">Khan, N., Randhawa, G. and Hewson, D. (2023) ‘Integrated care for older people with different frailty levels: a qualitative study of local implementation of a national policy in Luton, England’, </w:t>
      </w:r>
      <w:r>
        <w:rPr>
          <w:rStyle w:val="Emphasis"/>
        </w:rPr>
        <w:t>International Journal of Integrated Care</w:t>
      </w:r>
      <w:r>
        <w:t>, 23(1), p. 15.</w:t>
      </w:r>
    </w:p>
    <w:p w14:paraId="7941ADA6" w14:textId="77777777" w:rsidR="00D15E7C" w:rsidRDefault="00D15E7C" w:rsidP="009410F9">
      <w:pPr>
        <w:pStyle w:val="NormalWeb"/>
        <w:jc w:val="both"/>
      </w:pPr>
      <w:r>
        <w:t xml:space="preserve">Khatri, R., </w:t>
      </w:r>
      <w:proofErr w:type="spellStart"/>
      <w:r>
        <w:t>Endalamaw</w:t>
      </w:r>
      <w:proofErr w:type="spellEnd"/>
      <w:r>
        <w:t xml:space="preserve">, A., </w:t>
      </w:r>
      <w:proofErr w:type="spellStart"/>
      <w:r>
        <w:t>Erku</w:t>
      </w:r>
      <w:proofErr w:type="spellEnd"/>
      <w:r>
        <w:t xml:space="preserve">, D., </w:t>
      </w:r>
      <w:proofErr w:type="spellStart"/>
      <w:r>
        <w:t>Wolka</w:t>
      </w:r>
      <w:proofErr w:type="spellEnd"/>
      <w:r>
        <w:t xml:space="preserve">, E., Nigatu, F., Zewdie, A. and Assefa, Y. (2023) ‘Continuity and care coordination of primary health care: a scoping review’, </w:t>
      </w:r>
      <w:r>
        <w:rPr>
          <w:rStyle w:val="Emphasis"/>
        </w:rPr>
        <w:t>BMC Health Services Research</w:t>
      </w:r>
      <w:r>
        <w:t>, 23(1), p. 750.</w:t>
      </w:r>
    </w:p>
    <w:p w14:paraId="67AFB9CE" w14:textId="77777777" w:rsidR="00D15E7C" w:rsidRDefault="00D15E7C" w:rsidP="009410F9">
      <w:pPr>
        <w:pStyle w:val="NormalWeb"/>
        <w:jc w:val="both"/>
      </w:pPr>
      <w:proofErr w:type="spellStart"/>
      <w:r>
        <w:t>Leutz</w:t>
      </w:r>
      <w:proofErr w:type="spellEnd"/>
      <w:r>
        <w:t xml:space="preserve">, W.N. (1999) ‘Five laws for integrating medical and social services: lessons from the United States and the United Kingdom’, </w:t>
      </w:r>
      <w:r>
        <w:rPr>
          <w:rStyle w:val="Emphasis"/>
        </w:rPr>
        <w:t>Milbank Quarterly</w:t>
      </w:r>
      <w:r>
        <w:t>, 77(1), pp. 77–110.</w:t>
      </w:r>
    </w:p>
    <w:p w14:paraId="5B780174" w14:textId="77777777" w:rsidR="00D15E7C" w:rsidRDefault="00D15E7C" w:rsidP="009410F9">
      <w:pPr>
        <w:pStyle w:val="NormalWeb"/>
        <w:jc w:val="both"/>
      </w:pPr>
      <w:proofErr w:type="spellStart"/>
      <w:r>
        <w:t>Liapi</w:t>
      </w:r>
      <w:proofErr w:type="spellEnd"/>
      <w:r>
        <w:t xml:space="preserve">, F., </w:t>
      </w:r>
      <w:proofErr w:type="spellStart"/>
      <w:r>
        <w:t>Chater</w:t>
      </w:r>
      <w:proofErr w:type="spellEnd"/>
      <w:r>
        <w:t xml:space="preserve">, A.M., Randhawa, G., Stephenson, A. and Pappas, Y. (2025) ‘Factors that influence inter-organisational integration: a qualitative exploration of service providers’ perspectives from an integrated care initiative’, </w:t>
      </w:r>
      <w:r>
        <w:rPr>
          <w:rStyle w:val="Emphasis"/>
        </w:rPr>
        <w:t>BMC Health Services Research</w:t>
      </w:r>
      <w:r>
        <w:t>, 25(1), p. 947.</w:t>
      </w:r>
    </w:p>
    <w:p w14:paraId="25DCB561" w14:textId="77777777" w:rsidR="00D15E7C" w:rsidRDefault="00D15E7C" w:rsidP="009410F9">
      <w:pPr>
        <w:pStyle w:val="NormalWeb"/>
        <w:jc w:val="both"/>
      </w:pPr>
      <w:r>
        <w:t xml:space="preserve">Lippman, D., Stump, M., </w:t>
      </w:r>
      <w:proofErr w:type="spellStart"/>
      <w:r>
        <w:t>Veazey</w:t>
      </w:r>
      <w:proofErr w:type="spellEnd"/>
      <w:r>
        <w:t xml:space="preserve">, E., Guimaraes, S.T., Rosenfeld, R., Kelly, J.H., </w:t>
      </w:r>
      <w:proofErr w:type="spellStart"/>
      <w:r>
        <w:t>Ornish</w:t>
      </w:r>
      <w:proofErr w:type="spellEnd"/>
      <w:r>
        <w:t xml:space="preserve">, D. and Katz, D.L. (2024) ‘Foundations of lifestyle medicine and its evolution’, </w:t>
      </w:r>
      <w:r>
        <w:rPr>
          <w:rStyle w:val="Emphasis"/>
        </w:rPr>
        <w:t>Mayo Clinic Proceedings: Innovations, Quality and Outcomes</w:t>
      </w:r>
      <w:r>
        <w:t>, 8(1), pp. 97–111.</w:t>
      </w:r>
    </w:p>
    <w:p w14:paraId="1F2715D8" w14:textId="77777777" w:rsidR="00D15E7C" w:rsidRDefault="00D15E7C" w:rsidP="009410F9">
      <w:pPr>
        <w:pStyle w:val="NormalWeb"/>
        <w:jc w:val="both"/>
      </w:pPr>
      <w:r>
        <w:t xml:space="preserve">Luton Borough Council (2024) </w:t>
      </w:r>
      <w:r>
        <w:rPr>
          <w:rStyle w:val="Emphasis"/>
        </w:rPr>
        <w:t>Joint Strategic Needs Assessment: health and wellbeing in Luton</w:t>
      </w:r>
      <w:r>
        <w:t>. Luton: Luton Borough Council.</w:t>
      </w:r>
    </w:p>
    <w:p w14:paraId="397DBD83" w14:textId="77777777" w:rsidR="00D15E7C" w:rsidRDefault="00D15E7C" w:rsidP="009410F9">
      <w:pPr>
        <w:pStyle w:val="NormalWeb"/>
        <w:jc w:val="both"/>
      </w:pPr>
      <w:r>
        <w:t xml:space="preserve">Marmot, M. (2010) </w:t>
      </w:r>
      <w:r>
        <w:rPr>
          <w:rStyle w:val="Emphasis"/>
        </w:rPr>
        <w:t>Fair society, healthy lives: the Marmot Review</w:t>
      </w:r>
      <w:r>
        <w:t>. London: The Marmot Review.</w:t>
      </w:r>
    </w:p>
    <w:p w14:paraId="27DC0D5A" w14:textId="77777777" w:rsidR="00D15E7C" w:rsidRDefault="00D15E7C" w:rsidP="009410F9">
      <w:pPr>
        <w:pStyle w:val="NormalWeb"/>
        <w:jc w:val="both"/>
      </w:pPr>
      <w:r>
        <w:t xml:space="preserve">Marmot, M., Allen, J., Goldblatt, P., Herd, E. and Morrison, J. (2020) </w:t>
      </w:r>
      <w:r>
        <w:rPr>
          <w:rStyle w:val="Emphasis"/>
        </w:rPr>
        <w:t>Build back fairer: the COVID-19 Marmot Review</w:t>
      </w:r>
      <w:r>
        <w:t>. London: Institute of Health Equity.</w:t>
      </w:r>
    </w:p>
    <w:p w14:paraId="3FF90977" w14:textId="77777777" w:rsidR="00D15E7C" w:rsidRDefault="00D15E7C" w:rsidP="009410F9">
      <w:pPr>
        <w:pStyle w:val="NormalWeb"/>
        <w:jc w:val="both"/>
      </w:pPr>
      <w:r>
        <w:t xml:space="preserve">National Institute for Health and Care Excellence (2022) </w:t>
      </w:r>
      <w:r>
        <w:rPr>
          <w:rStyle w:val="Emphasis"/>
        </w:rPr>
        <w:t>Type 2 diabetes in adults: management (NG28)</w:t>
      </w:r>
      <w:r>
        <w:t>. London: NICE.</w:t>
      </w:r>
    </w:p>
    <w:p w14:paraId="4FECF6EB" w14:textId="77777777" w:rsidR="00D15E7C" w:rsidRDefault="00D15E7C" w:rsidP="009410F9">
      <w:pPr>
        <w:pStyle w:val="NormalWeb"/>
        <w:jc w:val="both"/>
      </w:pPr>
      <w:r>
        <w:t xml:space="preserve">Naylor, C., Das, P., Ross, S., </w:t>
      </w:r>
      <w:proofErr w:type="spellStart"/>
      <w:r>
        <w:t>Honeyman</w:t>
      </w:r>
      <w:proofErr w:type="spellEnd"/>
      <w:r>
        <w:t xml:space="preserve">, M., Thompson, J. and </w:t>
      </w:r>
      <w:proofErr w:type="spellStart"/>
      <w:r>
        <w:t>Gilburt</w:t>
      </w:r>
      <w:proofErr w:type="spellEnd"/>
      <w:r>
        <w:t xml:space="preserve">, H. (2016) </w:t>
      </w:r>
      <w:r>
        <w:rPr>
          <w:rStyle w:val="Emphasis"/>
        </w:rPr>
        <w:t>Bringing together physical and mental health: a new frontier for integrated care</w:t>
      </w:r>
      <w:r>
        <w:t>. London: The King's Fund.</w:t>
      </w:r>
    </w:p>
    <w:p w14:paraId="50C9634C" w14:textId="77777777" w:rsidR="00D15E7C" w:rsidRDefault="00D15E7C" w:rsidP="009410F9">
      <w:pPr>
        <w:pStyle w:val="NormalWeb"/>
        <w:jc w:val="both"/>
      </w:pPr>
      <w:r>
        <w:t xml:space="preserve">NHS England (2019) </w:t>
      </w:r>
      <w:r>
        <w:rPr>
          <w:rStyle w:val="Emphasis"/>
        </w:rPr>
        <w:t>Primary care networks</w:t>
      </w:r>
      <w:r>
        <w:t>. London: NHS England.</w:t>
      </w:r>
    </w:p>
    <w:p w14:paraId="58F330DA" w14:textId="77777777" w:rsidR="00D15E7C" w:rsidRDefault="00D15E7C" w:rsidP="009410F9">
      <w:pPr>
        <w:pStyle w:val="NormalWeb"/>
        <w:jc w:val="both"/>
      </w:pPr>
      <w:r>
        <w:t xml:space="preserve">NHS England (2019) </w:t>
      </w:r>
      <w:r>
        <w:rPr>
          <w:rStyle w:val="Emphasis"/>
        </w:rPr>
        <w:t>The NHS Long Term Plan</w:t>
      </w:r>
      <w:r>
        <w:t>. London: NHS England.</w:t>
      </w:r>
    </w:p>
    <w:p w14:paraId="04A5F7A9" w14:textId="77777777" w:rsidR="00D15E7C" w:rsidRDefault="00D15E7C" w:rsidP="009410F9">
      <w:pPr>
        <w:pStyle w:val="NormalWeb"/>
        <w:jc w:val="both"/>
      </w:pPr>
      <w:r>
        <w:t xml:space="preserve">NHS England (2019) </w:t>
      </w:r>
      <w:r>
        <w:rPr>
          <w:rStyle w:val="Emphasis"/>
        </w:rPr>
        <w:t>Universal personalised care: implementing the comprehensive model</w:t>
      </w:r>
      <w:r>
        <w:t>. London: NHS England.</w:t>
      </w:r>
    </w:p>
    <w:p w14:paraId="6E1AC76A" w14:textId="77777777" w:rsidR="00D15E7C" w:rsidRDefault="00D15E7C" w:rsidP="009410F9">
      <w:pPr>
        <w:pStyle w:val="NormalWeb"/>
        <w:jc w:val="both"/>
      </w:pPr>
      <w:r>
        <w:t xml:space="preserve">NHS England (2022) </w:t>
      </w:r>
      <w:r>
        <w:rPr>
          <w:rStyle w:val="Emphasis"/>
        </w:rPr>
        <w:t>Integrated care systems: guidance for partnerships</w:t>
      </w:r>
      <w:r>
        <w:t>. London: NHS England.</w:t>
      </w:r>
    </w:p>
    <w:p w14:paraId="1461101E" w14:textId="77777777" w:rsidR="00D15E7C" w:rsidRDefault="00D15E7C" w:rsidP="009410F9">
      <w:pPr>
        <w:pStyle w:val="NormalWeb"/>
        <w:jc w:val="both"/>
      </w:pPr>
      <w:r>
        <w:t xml:space="preserve">NHS England (2023) </w:t>
      </w:r>
      <w:r>
        <w:rPr>
          <w:rStyle w:val="Emphasis"/>
        </w:rPr>
        <w:t>Safeguarding in the NHS</w:t>
      </w:r>
      <w:r>
        <w:t>. London: NHS England.</w:t>
      </w:r>
    </w:p>
    <w:p w14:paraId="6AB403DF" w14:textId="77777777" w:rsidR="00D15E7C" w:rsidRDefault="00D15E7C" w:rsidP="009410F9">
      <w:pPr>
        <w:pStyle w:val="NormalWeb"/>
        <w:jc w:val="both"/>
      </w:pPr>
      <w:r>
        <w:t xml:space="preserve">Office for Health Improvement and Disparities (2023) </w:t>
      </w:r>
      <w:r>
        <w:rPr>
          <w:rStyle w:val="Emphasis"/>
        </w:rPr>
        <w:t>Diabetes prevalence data</w:t>
      </w:r>
      <w:r>
        <w:t xml:space="preserve">. Available at: </w:t>
      </w:r>
      <w:hyperlink r:id="rId11" w:tgtFrame="_new" w:history="1">
        <w:r>
          <w:rPr>
            <w:rStyle w:val="Hyperlink"/>
          </w:rPr>
          <w:t>https://fingertips.phe.org.uk/</w:t>
        </w:r>
      </w:hyperlink>
    </w:p>
    <w:p w14:paraId="17056BF7" w14:textId="77777777" w:rsidR="00D15E7C" w:rsidRDefault="00D15E7C" w:rsidP="009410F9">
      <w:pPr>
        <w:pStyle w:val="NormalWeb"/>
        <w:jc w:val="both"/>
      </w:pPr>
      <w:r>
        <w:t xml:space="preserve">Pettigrew, L.M., </w:t>
      </w:r>
      <w:proofErr w:type="spellStart"/>
      <w:r>
        <w:t>Kumpunen</w:t>
      </w:r>
      <w:proofErr w:type="spellEnd"/>
      <w:r>
        <w:t xml:space="preserve">, S., Rosen, R., </w:t>
      </w:r>
      <w:proofErr w:type="spellStart"/>
      <w:r>
        <w:t>Posaner</w:t>
      </w:r>
      <w:proofErr w:type="spellEnd"/>
      <w:r>
        <w:t xml:space="preserve">, R. and Mays, N. (2019) ‘Lessons for integrated care from accountable care organisations in the United States’, </w:t>
      </w:r>
      <w:r>
        <w:rPr>
          <w:rStyle w:val="Emphasis"/>
        </w:rPr>
        <w:t>International Journal of Integrated Care</w:t>
      </w:r>
      <w:r>
        <w:t>, 19(3), p. 2.</w:t>
      </w:r>
    </w:p>
    <w:p w14:paraId="460B9010" w14:textId="77777777" w:rsidR="00D15E7C" w:rsidRDefault="00D15E7C" w:rsidP="009410F9">
      <w:pPr>
        <w:pStyle w:val="NormalWeb"/>
        <w:jc w:val="both"/>
      </w:pPr>
      <w:r>
        <w:t xml:space="preserve">Raimundo, M., </w:t>
      </w:r>
      <w:proofErr w:type="spellStart"/>
      <w:r>
        <w:t>Cerqueira</w:t>
      </w:r>
      <w:proofErr w:type="spellEnd"/>
      <w:r>
        <w:t xml:space="preserve">, A., Gaspar, T. and Gaspar de Matos, M. (2024) ‘An overview of health-promoting programmes and healthy lifestyles for adolescents and young people: a scoping review’, </w:t>
      </w:r>
      <w:r>
        <w:rPr>
          <w:rStyle w:val="Emphasis"/>
        </w:rPr>
        <w:t>Healthcare</w:t>
      </w:r>
      <w:r>
        <w:t>, 12(20), p. 2094.</w:t>
      </w:r>
    </w:p>
    <w:p w14:paraId="44A28B88" w14:textId="77777777" w:rsidR="00D15E7C" w:rsidRDefault="00D15E7C" w:rsidP="009410F9">
      <w:pPr>
        <w:pStyle w:val="NormalWeb"/>
        <w:jc w:val="both"/>
      </w:pPr>
      <w:r>
        <w:t xml:space="preserve">Rosen, R., Mountford, J., Lewis, G., Lewis, R., Shand, J. and Shaw, S. (2011) </w:t>
      </w:r>
      <w:r>
        <w:rPr>
          <w:rStyle w:val="Emphasis"/>
        </w:rPr>
        <w:t>Integration in action: four international case studies</w:t>
      </w:r>
      <w:r>
        <w:t>. London: Nuffield Trust.</w:t>
      </w:r>
    </w:p>
    <w:p w14:paraId="2ACFB274" w14:textId="77777777" w:rsidR="00D15E7C" w:rsidRDefault="00D15E7C" w:rsidP="009410F9">
      <w:pPr>
        <w:pStyle w:val="NormalWeb"/>
        <w:jc w:val="both"/>
      </w:pPr>
      <w:r>
        <w:t xml:space="preserve">Sugandh, F.N.U., Chandio, M., Raveena, F.N.U., Kumar, L., </w:t>
      </w:r>
      <w:proofErr w:type="spellStart"/>
      <w:r>
        <w:t>Khuwaja</w:t>
      </w:r>
      <w:proofErr w:type="spellEnd"/>
      <w:r>
        <w:t xml:space="preserve">, S., Memon, U.A., Bai, K., Kashif, M., </w:t>
      </w:r>
      <w:proofErr w:type="spellStart"/>
      <w:r>
        <w:t>Varrassi</w:t>
      </w:r>
      <w:proofErr w:type="spellEnd"/>
      <w:r>
        <w:t xml:space="preserve">, G. and Khatri, M. (2023) ‘Advances in the management of diabetes mellitus: a focus on personalized medicine’, </w:t>
      </w:r>
      <w:proofErr w:type="spellStart"/>
      <w:r>
        <w:rPr>
          <w:rStyle w:val="Emphasis"/>
        </w:rPr>
        <w:t>Cureus</w:t>
      </w:r>
      <w:proofErr w:type="spellEnd"/>
      <w:r>
        <w:t>, 15(8).</w:t>
      </w:r>
    </w:p>
    <w:p w14:paraId="7CFDE201" w14:textId="77777777" w:rsidR="00D15E7C" w:rsidRDefault="00D15E7C" w:rsidP="009410F9">
      <w:pPr>
        <w:pStyle w:val="NormalWeb"/>
        <w:jc w:val="both"/>
      </w:pPr>
      <w:proofErr w:type="spellStart"/>
      <w:r>
        <w:t>Wiedermann</w:t>
      </w:r>
      <w:proofErr w:type="spellEnd"/>
      <w:r>
        <w:t xml:space="preserve">, C.J., Barbieri, V., </w:t>
      </w:r>
      <w:proofErr w:type="spellStart"/>
      <w:r>
        <w:t>Plagg</w:t>
      </w:r>
      <w:proofErr w:type="spellEnd"/>
      <w:r>
        <w:t xml:space="preserve">, B., Marino, P., </w:t>
      </w:r>
      <w:proofErr w:type="spellStart"/>
      <w:r>
        <w:t>Piccoliori</w:t>
      </w:r>
      <w:proofErr w:type="spellEnd"/>
      <w:r>
        <w:t xml:space="preserve">, G. and </w:t>
      </w:r>
      <w:proofErr w:type="spellStart"/>
      <w:r>
        <w:t>Engl</w:t>
      </w:r>
      <w:proofErr w:type="spellEnd"/>
      <w:r>
        <w:t xml:space="preserve">, A. (2023) ‘Fortifying the foundations: a comprehensive approach to enhancing mental health support in educational policies amidst crises’, </w:t>
      </w:r>
      <w:r>
        <w:rPr>
          <w:rStyle w:val="Emphasis"/>
        </w:rPr>
        <w:t>Healthcare</w:t>
      </w:r>
      <w:r>
        <w:t>, 11(10), p. 1423.</w:t>
      </w:r>
    </w:p>
    <w:p w14:paraId="32D446B6" w14:textId="77777777" w:rsidR="00D15E7C" w:rsidRDefault="00D15E7C" w:rsidP="009410F9">
      <w:pPr>
        <w:pStyle w:val="NormalWeb"/>
        <w:jc w:val="both"/>
      </w:pPr>
      <w:r>
        <w:t xml:space="preserve">World Health Organization (2016) </w:t>
      </w:r>
      <w:r>
        <w:rPr>
          <w:rStyle w:val="Emphasis"/>
        </w:rPr>
        <w:t>Framework on integrated, people-centred health services</w:t>
      </w:r>
      <w:r>
        <w:t>. Geneva: World Health Organization.</w:t>
      </w:r>
    </w:p>
    <w:p w14:paraId="45E1A9D0" w14:textId="7D3C6BD2" w:rsidR="00D15E7C" w:rsidRDefault="00D15E7C" w:rsidP="009410F9">
      <w:pPr>
        <w:jc w:val="both"/>
      </w:pPr>
    </w:p>
    <w:p w14:paraId="120160A3" w14:textId="77777777" w:rsidR="00D15E7C" w:rsidRDefault="00D15E7C" w:rsidP="009410F9">
      <w:pPr>
        <w:jc w:val="both"/>
      </w:pPr>
    </w:p>
    <w:sectPr w:rsidR="00D15E7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331D1" w14:textId="77777777" w:rsidR="00BF11F8" w:rsidRDefault="00BF11F8" w:rsidP="00531A52">
      <w:pPr>
        <w:spacing w:after="0" w:line="240" w:lineRule="auto"/>
      </w:pPr>
      <w:r>
        <w:separator/>
      </w:r>
    </w:p>
  </w:endnote>
  <w:endnote w:type="continuationSeparator" w:id="0">
    <w:p w14:paraId="35DEE269" w14:textId="77777777" w:rsidR="00BF11F8" w:rsidRDefault="00BF11F8" w:rsidP="00531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8713074"/>
      <w:docPartObj>
        <w:docPartGallery w:val="Page Numbers (Bottom of Page)"/>
        <w:docPartUnique/>
      </w:docPartObj>
    </w:sdtPr>
    <w:sdtEndPr>
      <w:rPr>
        <w:noProof/>
      </w:rPr>
    </w:sdtEndPr>
    <w:sdtContent>
      <w:p w14:paraId="6D0C67ED" w14:textId="4AC2A0A4" w:rsidR="00531A52" w:rsidRDefault="00531A52">
        <w:pPr>
          <w:pStyle w:val="Footer"/>
        </w:pPr>
        <w:r>
          <w:fldChar w:fldCharType="begin"/>
        </w:r>
        <w:r>
          <w:instrText xml:space="preserve"> PAGE   \* MERGEFORMAT </w:instrText>
        </w:r>
        <w:r>
          <w:fldChar w:fldCharType="separate"/>
        </w:r>
        <w:r>
          <w:rPr>
            <w:noProof/>
          </w:rPr>
          <w:t>2</w:t>
        </w:r>
        <w:r>
          <w:rPr>
            <w:noProof/>
          </w:rPr>
          <w:fldChar w:fldCharType="end"/>
        </w:r>
      </w:p>
    </w:sdtContent>
  </w:sdt>
  <w:p w14:paraId="7047F987" w14:textId="77777777" w:rsidR="00531A52" w:rsidRDefault="00531A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F5F54B" w14:textId="77777777" w:rsidR="00BF11F8" w:rsidRDefault="00BF11F8" w:rsidP="00531A52">
      <w:pPr>
        <w:spacing w:after="0" w:line="240" w:lineRule="auto"/>
      </w:pPr>
      <w:r>
        <w:separator/>
      </w:r>
    </w:p>
  </w:footnote>
  <w:footnote w:type="continuationSeparator" w:id="0">
    <w:p w14:paraId="6D6FF5BC" w14:textId="77777777" w:rsidR="00BF11F8" w:rsidRDefault="00BF11F8" w:rsidP="00531A5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A80"/>
    <w:rsid w:val="00224A80"/>
    <w:rsid w:val="00422DCA"/>
    <w:rsid w:val="00482BD3"/>
    <w:rsid w:val="004A4FEB"/>
    <w:rsid w:val="00531A52"/>
    <w:rsid w:val="00607F53"/>
    <w:rsid w:val="00927E5B"/>
    <w:rsid w:val="009410F9"/>
    <w:rsid w:val="00BF11F8"/>
    <w:rsid w:val="00CF33A5"/>
    <w:rsid w:val="00D15E7C"/>
    <w:rsid w:val="00ED72B0"/>
    <w:rsid w:val="00F74F00"/>
    <w:rsid w:val="00FC0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0CE7E"/>
  <w15:chartTrackingRefBased/>
  <w15:docId w15:val="{3428A220-8A04-4FF7-AA19-9526D2F63D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E7C"/>
  </w:style>
  <w:style w:type="paragraph" w:styleId="Heading1">
    <w:name w:val="heading 1"/>
    <w:basedOn w:val="Normal"/>
    <w:link w:val="Heading1Char"/>
    <w:uiPriority w:val="9"/>
    <w:qFormat/>
    <w:rsid w:val="00224A8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224A80"/>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A80"/>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224A80"/>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24A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15E7C"/>
    <w:rPr>
      <w:b/>
      <w:bCs/>
    </w:rPr>
  </w:style>
  <w:style w:type="character" w:styleId="Emphasis">
    <w:name w:val="Emphasis"/>
    <w:basedOn w:val="DefaultParagraphFont"/>
    <w:uiPriority w:val="20"/>
    <w:qFormat/>
    <w:rsid w:val="00D15E7C"/>
    <w:rPr>
      <w:i/>
      <w:iCs/>
    </w:rPr>
  </w:style>
  <w:style w:type="character" w:styleId="Hyperlink">
    <w:name w:val="Hyperlink"/>
    <w:basedOn w:val="DefaultParagraphFont"/>
    <w:uiPriority w:val="99"/>
    <w:unhideWhenUsed/>
    <w:rsid w:val="00D15E7C"/>
    <w:rPr>
      <w:color w:val="0000FF"/>
      <w:u w:val="single"/>
    </w:rPr>
  </w:style>
  <w:style w:type="paragraph" w:styleId="TOCHeading">
    <w:name w:val="TOC Heading"/>
    <w:basedOn w:val="Heading1"/>
    <w:next w:val="Normal"/>
    <w:uiPriority w:val="39"/>
    <w:unhideWhenUsed/>
    <w:qFormat/>
    <w:rsid w:val="00531A5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531A52"/>
    <w:pPr>
      <w:spacing w:after="100"/>
      <w:ind w:left="220"/>
    </w:pPr>
  </w:style>
  <w:style w:type="paragraph" w:styleId="TOC1">
    <w:name w:val="toc 1"/>
    <w:basedOn w:val="Normal"/>
    <w:next w:val="Normal"/>
    <w:autoRedefine/>
    <w:uiPriority w:val="39"/>
    <w:unhideWhenUsed/>
    <w:rsid w:val="00531A52"/>
    <w:pPr>
      <w:spacing w:after="100"/>
    </w:pPr>
  </w:style>
  <w:style w:type="paragraph" w:styleId="Header">
    <w:name w:val="header"/>
    <w:basedOn w:val="Normal"/>
    <w:link w:val="HeaderChar"/>
    <w:uiPriority w:val="99"/>
    <w:unhideWhenUsed/>
    <w:rsid w:val="00531A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A52"/>
  </w:style>
  <w:style w:type="paragraph" w:styleId="Footer">
    <w:name w:val="footer"/>
    <w:basedOn w:val="Normal"/>
    <w:link w:val="FooterChar"/>
    <w:uiPriority w:val="99"/>
    <w:unhideWhenUsed/>
    <w:rsid w:val="00531A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A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826962">
      <w:bodyDiv w:val="1"/>
      <w:marLeft w:val="0"/>
      <w:marRight w:val="0"/>
      <w:marTop w:val="0"/>
      <w:marBottom w:val="0"/>
      <w:divBdr>
        <w:top w:val="none" w:sz="0" w:space="0" w:color="auto"/>
        <w:left w:val="none" w:sz="0" w:space="0" w:color="auto"/>
        <w:bottom w:val="none" w:sz="0" w:space="0" w:color="auto"/>
        <w:right w:val="none" w:sz="0" w:space="0" w:color="auto"/>
      </w:divBdr>
    </w:div>
    <w:div w:id="239024595">
      <w:bodyDiv w:val="1"/>
      <w:marLeft w:val="0"/>
      <w:marRight w:val="0"/>
      <w:marTop w:val="0"/>
      <w:marBottom w:val="0"/>
      <w:divBdr>
        <w:top w:val="none" w:sz="0" w:space="0" w:color="auto"/>
        <w:left w:val="none" w:sz="0" w:space="0" w:color="auto"/>
        <w:bottom w:val="none" w:sz="0" w:space="0" w:color="auto"/>
        <w:right w:val="none" w:sz="0" w:space="0" w:color="auto"/>
      </w:divBdr>
    </w:div>
    <w:div w:id="783813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mkicb.nhs.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fingertips.phe.org.uk/" TargetMode="External"/><Relationship Id="rId5" Type="http://schemas.openxmlformats.org/officeDocument/2006/relationships/footnotes" Target="footnotes.xml"/><Relationship Id="rId10" Type="http://schemas.openxmlformats.org/officeDocument/2006/relationships/hyperlink" Target="https://www.legislation.gov.uk/ukpga/2022/31/contents" TargetMode="External"/><Relationship Id="rId4" Type="http://schemas.openxmlformats.org/officeDocument/2006/relationships/webSettings" Target="webSettings.xml"/><Relationship Id="rId9" Type="http://schemas.openxmlformats.org/officeDocument/2006/relationships/hyperlink" Target="https://www.diabetes.org.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5F0D3B-DC0A-4CA3-9918-3D7A39338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TotalTime>
  <Pages>10</Pages>
  <Words>3647</Words>
  <Characters>20789</Characters>
  <Application>Microsoft Office Word</Application>
  <DocSecurity>0</DocSecurity>
  <Lines>173</Lines>
  <Paragraphs>48</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DiaWell LU4: Integrated Diabetes Care and Prevention Centre</vt:lpstr>
      <vt:lpstr/>
      <vt:lpstr>Introduction</vt:lpstr>
      <vt:lpstr>Context</vt:lpstr>
      <vt:lpstr>Input</vt:lpstr>
      <vt:lpstr>Process</vt:lpstr>
      <vt:lpstr>Product</vt:lpstr>
      <vt:lpstr>Conclusion</vt:lpstr>
      <vt:lpstr>Reference List</vt:lpstr>
    </vt:vector>
  </TitlesOfParts>
  <Company/>
  <LinksUpToDate>false</LinksUpToDate>
  <CharactersWithSpaces>24388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Mija Chakkalaparambil Michael</dc:creator>
  <cp:keywords/>
  <dc:description/>
  <cp:lastModifiedBy>Y M</cp:lastModifiedBy>
  <cp:revision>7</cp:revision>
  <cp:lastPrinted>2026-04-26T00:23:00Z</cp:lastPrinted>
  <dcterms:created xsi:type="dcterms:W3CDTF">2026-04-25T22:32:00Z</dcterms:created>
  <dcterms:modified xsi:type="dcterms:W3CDTF">2026-04-26T20:05:00Z</dcterms:modified>
</cp:coreProperties>
</file>