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FBFCB" w14:textId="77777777" w:rsidR="00EF3ACF" w:rsidRPr="006231B9" w:rsidRDefault="00EF3ACF" w:rsidP="006231B9">
      <w:pPr>
        <w:spacing w:before="120" w:after="120" w:line="360" w:lineRule="auto"/>
        <w:contextualSpacing/>
        <w:jc w:val="center"/>
        <w:rPr>
          <w:rFonts w:ascii="Arial" w:eastAsia="Times New Roman" w:hAnsi="Arial" w:cs="Arial"/>
          <w:b/>
          <w:bCs/>
          <w:lang w:eastAsia="en-GB"/>
        </w:rPr>
      </w:pPr>
    </w:p>
    <w:p w14:paraId="659D8CB6" w14:textId="77777777" w:rsidR="00CA0C1F" w:rsidRPr="006231B9" w:rsidRDefault="00CA0C1F" w:rsidP="006231B9">
      <w:pPr>
        <w:spacing w:before="120" w:after="120" w:line="360" w:lineRule="auto"/>
        <w:contextualSpacing/>
        <w:jc w:val="center"/>
        <w:rPr>
          <w:rFonts w:ascii="Arial" w:eastAsia="Times New Roman" w:hAnsi="Arial" w:cs="Arial"/>
          <w:b/>
          <w:bCs/>
          <w:lang w:eastAsia="en-GB"/>
        </w:rPr>
      </w:pPr>
    </w:p>
    <w:p w14:paraId="682C0446" w14:textId="77777777" w:rsidR="00CA0C1F" w:rsidRPr="006231B9" w:rsidRDefault="00CA0C1F" w:rsidP="006231B9">
      <w:pPr>
        <w:spacing w:before="120" w:after="120" w:line="360" w:lineRule="auto"/>
        <w:contextualSpacing/>
        <w:jc w:val="center"/>
        <w:rPr>
          <w:rFonts w:ascii="Arial" w:eastAsia="Times New Roman" w:hAnsi="Arial" w:cs="Arial"/>
          <w:b/>
          <w:bCs/>
          <w:lang w:eastAsia="en-GB"/>
        </w:rPr>
      </w:pPr>
    </w:p>
    <w:p w14:paraId="7BACE052" w14:textId="77777777" w:rsidR="00102683" w:rsidRPr="006231B9" w:rsidRDefault="00102683" w:rsidP="006231B9">
      <w:pPr>
        <w:spacing w:before="120" w:after="120" w:line="360" w:lineRule="auto"/>
        <w:contextualSpacing/>
        <w:jc w:val="center"/>
        <w:rPr>
          <w:rFonts w:ascii="Arial" w:eastAsia="Times New Roman" w:hAnsi="Arial" w:cs="Arial"/>
          <w:b/>
          <w:bCs/>
          <w:lang w:eastAsia="en-GB"/>
        </w:rPr>
      </w:pPr>
    </w:p>
    <w:p w14:paraId="3226A366" w14:textId="77777777" w:rsidR="00CA0C1F" w:rsidRPr="006231B9" w:rsidRDefault="00CA0C1F" w:rsidP="006231B9">
      <w:pPr>
        <w:spacing w:before="120" w:after="120" w:line="360" w:lineRule="auto"/>
        <w:contextualSpacing/>
        <w:jc w:val="center"/>
        <w:rPr>
          <w:rFonts w:ascii="Arial" w:eastAsia="Times New Roman" w:hAnsi="Arial" w:cs="Arial"/>
          <w:b/>
          <w:bCs/>
          <w:lang w:eastAsia="en-GB"/>
        </w:rPr>
      </w:pPr>
    </w:p>
    <w:p w14:paraId="0F575267" w14:textId="77777777" w:rsidR="00467DDA" w:rsidRPr="006231B9" w:rsidRDefault="00A9508B" w:rsidP="006231B9">
      <w:pPr>
        <w:spacing w:before="120" w:after="120" w:line="360" w:lineRule="auto"/>
        <w:contextualSpacing/>
        <w:jc w:val="center"/>
        <w:rPr>
          <w:rFonts w:ascii="Arial" w:eastAsia="Times New Roman" w:hAnsi="Arial" w:cs="Arial"/>
          <w:b/>
          <w:bCs/>
          <w:lang w:eastAsia="en-GB"/>
        </w:rPr>
      </w:pPr>
      <w:r w:rsidRPr="006231B9">
        <w:rPr>
          <w:rFonts w:ascii="Arial" w:eastAsia="Times New Roman" w:hAnsi="Arial" w:cs="Arial"/>
          <w:b/>
          <w:bCs/>
          <w:lang w:eastAsia="en-GB"/>
        </w:rPr>
        <w:t>THE LEWIS BLACKMAN CASE: LEADERSHIP, GOVERNANCE AND SYSTEMS THINKING IN FAILURE TO RESCUE</w:t>
      </w:r>
    </w:p>
    <w:p w14:paraId="240104CC" w14:textId="77777777" w:rsidR="00563C8F" w:rsidRPr="006231B9" w:rsidRDefault="00563C8F" w:rsidP="006231B9">
      <w:pPr>
        <w:spacing w:before="120" w:after="120" w:line="360" w:lineRule="auto"/>
        <w:contextualSpacing/>
        <w:rPr>
          <w:rFonts w:ascii="Arial" w:eastAsia="Times New Roman" w:hAnsi="Arial" w:cs="Arial"/>
          <w:b/>
          <w:bCs/>
          <w:lang w:eastAsia="en-GB"/>
        </w:rPr>
      </w:pPr>
    </w:p>
    <w:p w14:paraId="5621D59B" w14:textId="77777777" w:rsidR="00563C8F" w:rsidRPr="006231B9" w:rsidRDefault="00563C8F" w:rsidP="006231B9">
      <w:pPr>
        <w:spacing w:before="120" w:after="120" w:line="360" w:lineRule="auto"/>
        <w:contextualSpacing/>
        <w:rPr>
          <w:rFonts w:ascii="Arial" w:eastAsia="Times New Roman" w:hAnsi="Arial" w:cs="Arial"/>
          <w:b/>
          <w:bCs/>
          <w:lang w:eastAsia="en-GB"/>
        </w:rPr>
      </w:pPr>
    </w:p>
    <w:p w14:paraId="6B0C90CB" w14:textId="77777777" w:rsidR="00563C8F" w:rsidRPr="006231B9" w:rsidRDefault="00563C8F" w:rsidP="006231B9">
      <w:pPr>
        <w:spacing w:before="120" w:after="120" w:line="360" w:lineRule="auto"/>
        <w:contextualSpacing/>
        <w:rPr>
          <w:rFonts w:ascii="Arial" w:eastAsia="Times New Roman" w:hAnsi="Arial" w:cs="Arial"/>
          <w:b/>
          <w:bCs/>
          <w:lang w:eastAsia="en-GB"/>
        </w:rPr>
      </w:pPr>
    </w:p>
    <w:p w14:paraId="0C903C54" w14:textId="31A04202" w:rsidR="00797345" w:rsidRPr="00797345" w:rsidRDefault="00797345" w:rsidP="00797345">
      <w:pPr>
        <w:spacing w:before="120" w:after="120" w:line="360" w:lineRule="auto"/>
        <w:contextualSpacing/>
        <w:jc w:val="center"/>
        <w:rPr>
          <w:rFonts w:ascii="Arial" w:hAnsi="Arial" w:cs="Arial"/>
          <w:b/>
          <w:bCs/>
        </w:rPr>
      </w:pPr>
      <w:r w:rsidRPr="00797345">
        <w:rPr>
          <w:rFonts w:ascii="Arial" w:hAnsi="Arial" w:cs="Arial"/>
          <w:b/>
          <w:bCs/>
        </w:rPr>
        <w:t xml:space="preserve">Student Name: Kesavapriya Vasamsetti </w:t>
      </w:r>
    </w:p>
    <w:p w14:paraId="013ABDA2" w14:textId="68D49782" w:rsidR="00797345" w:rsidRDefault="00797345" w:rsidP="00797345">
      <w:pPr>
        <w:spacing w:before="120" w:after="120" w:line="360" w:lineRule="auto"/>
        <w:contextualSpacing/>
        <w:jc w:val="center"/>
        <w:rPr>
          <w:rFonts w:ascii="Arial" w:hAnsi="Arial" w:cs="Arial"/>
          <w:b/>
          <w:bCs/>
        </w:rPr>
      </w:pPr>
      <w:r w:rsidRPr="00797345">
        <w:rPr>
          <w:rFonts w:ascii="Arial" w:hAnsi="Arial" w:cs="Arial"/>
          <w:b/>
          <w:bCs/>
        </w:rPr>
        <w:t>Student Number: 2532751</w:t>
      </w:r>
    </w:p>
    <w:p w14:paraId="4045B009" w14:textId="5538DB1D" w:rsidR="00563C8F" w:rsidRPr="006231B9" w:rsidRDefault="00A9508B" w:rsidP="00797345">
      <w:pPr>
        <w:spacing w:before="120" w:after="120" w:line="360" w:lineRule="auto"/>
        <w:contextualSpacing/>
        <w:jc w:val="center"/>
        <w:rPr>
          <w:rFonts w:ascii="Arial" w:hAnsi="Arial" w:cs="Arial"/>
          <w:b/>
          <w:bCs/>
        </w:rPr>
      </w:pPr>
      <w:r w:rsidRPr="006231B9">
        <w:rPr>
          <w:rFonts w:ascii="Arial" w:hAnsi="Arial" w:cs="Arial"/>
          <w:b/>
          <w:bCs/>
        </w:rPr>
        <w:t>Programme: MSC Public Health and Social Care in Practice</w:t>
      </w:r>
    </w:p>
    <w:p w14:paraId="4C7F15C5" w14:textId="77777777" w:rsidR="00563C8F" w:rsidRPr="006231B9" w:rsidRDefault="00A9508B" w:rsidP="006231B9">
      <w:pPr>
        <w:spacing w:before="120" w:after="120" w:line="360" w:lineRule="auto"/>
        <w:contextualSpacing/>
        <w:jc w:val="center"/>
        <w:rPr>
          <w:rFonts w:ascii="Arial" w:hAnsi="Arial" w:cs="Arial"/>
          <w:b/>
          <w:bCs/>
        </w:rPr>
      </w:pPr>
      <w:r w:rsidRPr="006231B9">
        <w:rPr>
          <w:rFonts w:ascii="Arial" w:hAnsi="Arial" w:cs="Arial"/>
          <w:b/>
          <w:bCs/>
        </w:rPr>
        <w:t>Module: Health Care System Organisation and Leadership</w:t>
      </w:r>
    </w:p>
    <w:p w14:paraId="427311DD" w14:textId="77777777" w:rsidR="00563C8F" w:rsidRPr="006231B9" w:rsidRDefault="00A9508B" w:rsidP="006231B9">
      <w:pPr>
        <w:spacing w:before="120" w:after="120" w:line="360" w:lineRule="auto"/>
        <w:contextualSpacing/>
        <w:jc w:val="center"/>
        <w:rPr>
          <w:rFonts w:ascii="Arial" w:hAnsi="Arial" w:cs="Arial"/>
          <w:b/>
          <w:bCs/>
        </w:rPr>
      </w:pPr>
      <w:r w:rsidRPr="006231B9">
        <w:rPr>
          <w:rFonts w:ascii="Arial" w:hAnsi="Arial" w:cs="Arial"/>
          <w:b/>
          <w:bCs/>
        </w:rPr>
        <w:t>Module Code: Lchs7002</w:t>
      </w:r>
    </w:p>
    <w:p w14:paraId="53812952" w14:textId="0291F1A1" w:rsidR="00EF3ACF" w:rsidRPr="006231B9" w:rsidRDefault="00A9508B" w:rsidP="006231B9">
      <w:pPr>
        <w:spacing w:before="120" w:after="120" w:line="360" w:lineRule="auto"/>
        <w:contextualSpacing/>
        <w:jc w:val="center"/>
        <w:rPr>
          <w:rFonts w:ascii="Arial" w:eastAsia="Times New Roman" w:hAnsi="Arial" w:cs="Arial"/>
          <w:b/>
          <w:bCs/>
          <w:lang w:eastAsia="en-GB"/>
        </w:rPr>
      </w:pPr>
      <w:r w:rsidRPr="006231B9">
        <w:rPr>
          <w:rFonts w:ascii="Arial" w:eastAsia="Times New Roman" w:hAnsi="Arial" w:cs="Arial"/>
          <w:b/>
          <w:bCs/>
          <w:lang w:eastAsia="en-GB"/>
        </w:rPr>
        <w:t>Word Count: 5</w:t>
      </w:r>
      <w:r w:rsidR="004E1997" w:rsidRPr="006231B9">
        <w:rPr>
          <w:rFonts w:ascii="Arial" w:eastAsia="Times New Roman" w:hAnsi="Arial" w:cs="Arial"/>
          <w:b/>
          <w:bCs/>
          <w:lang w:eastAsia="en-GB"/>
        </w:rPr>
        <w:t>0</w:t>
      </w:r>
      <w:r w:rsidR="006231B9" w:rsidRPr="006231B9">
        <w:rPr>
          <w:rFonts w:ascii="Arial" w:eastAsia="Times New Roman" w:hAnsi="Arial" w:cs="Arial"/>
          <w:b/>
          <w:bCs/>
          <w:lang w:eastAsia="en-GB"/>
        </w:rPr>
        <w:t>05</w:t>
      </w:r>
    </w:p>
    <w:p w14:paraId="1D1B070F" w14:textId="77777777" w:rsidR="0000715B" w:rsidRPr="006231B9" w:rsidRDefault="00A9508B" w:rsidP="006231B9">
      <w:pPr>
        <w:spacing w:before="120" w:after="120" w:line="360" w:lineRule="auto"/>
        <w:contextualSpacing/>
        <w:rPr>
          <w:rFonts w:ascii="Arial" w:eastAsia="Times New Roman" w:hAnsi="Arial" w:cs="Arial"/>
          <w:b/>
          <w:bCs/>
          <w:lang w:eastAsia="en-GB"/>
        </w:rPr>
      </w:pPr>
      <w:r w:rsidRPr="006231B9">
        <w:rPr>
          <w:rFonts w:ascii="Arial" w:eastAsia="Times New Roman" w:hAnsi="Arial" w:cs="Arial"/>
          <w:b/>
          <w:bCs/>
          <w:lang w:eastAsia="en-GB"/>
        </w:rPr>
        <w:br w:type="page"/>
      </w:r>
    </w:p>
    <w:sdt>
      <w:sdtPr>
        <w:rPr>
          <w:rFonts w:ascii="Arial" w:eastAsiaTheme="minorHAnsi" w:hAnsi="Arial" w:cstheme="minorBidi"/>
          <w:bCs w:val="0"/>
          <w:color w:val="auto"/>
          <w:sz w:val="22"/>
          <w:szCs w:val="22"/>
        </w:rPr>
        <w:id w:val="-1977741713"/>
        <w:docPartObj>
          <w:docPartGallery w:val="Table of Contents"/>
          <w:docPartUnique/>
        </w:docPartObj>
      </w:sdtPr>
      <w:sdtEndPr>
        <w:rPr>
          <w:b/>
          <w:noProof/>
        </w:rPr>
      </w:sdtEndPr>
      <w:sdtContent>
        <w:p w14:paraId="30EA7CE1" w14:textId="77777777" w:rsidR="0000715B" w:rsidRPr="006231B9" w:rsidRDefault="00A9508B" w:rsidP="006231B9">
          <w:pPr>
            <w:pStyle w:val="TOCHeading"/>
            <w:rPr>
              <w:rFonts w:ascii="Arial" w:hAnsi="Arial"/>
              <w:b/>
              <w:color w:val="auto"/>
              <w:sz w:val="22"/>
              <w:szCs w:val="22"/>
            </w:rPr>
          </w:pPr>
          <w:r w:rsidRPr="006231B9">
            <w:rPr>
              <w:rFonts w:ascii="Arial" w:hAnsi="Arial"/>
              <w:b/>
              <w:color w:val="auto"/>
              <w:sz w:val="22"/>
              <w:szCs w:val="22"/>
            </w:rPr>
            <w:t>TABLE OF CONTENTS</w:t>
          </w:r>
        </w:p>
        <w:p w14:paraId="31DFBAD4" w14:textId="684DA18A" w:rsidR="004E1997" w:rsidRPr="006231B9" w:rsidRDefault="00A9508B"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r w:rsidRPr="006231B9">
            <w:rPr>
              <w:rFonts w:ascii="Arial" w:hAnsi="Arial" w:cs="Arial"/>
              <w:b/>
              <w:bCs/>
              <w:noProof/>
            </w:rPr>
            <w:fldChar w:fldCharType="begin"/>
          </w:r>
          <w:r w:rsidRPr="006231B9">
            <w:rPr>
              <w:rFonts w:ascii="Arial" w:hAnsi="Arial" w:cs="Arial"/>
              <w:b/>
              <w:bCs/>
              <w:noProof/>
            </w:rPr>
            <w:instrText xml:space="preserve"> TOC \o "1-3" \h \z \u </w:instrText>
          </w:r>
          <w:r w:rsidRPr="006231B9">
            <w:rPr>
              <w:rFonts w:ascii="Arial" w:hAnsi="Arial" w:cs="Arial"/>
              <w:b/>
              <w:bCs/>
              <w:noProof/>
            </w:rPr>
            <w:fldChar w:fldCharType="separate"/>
          </w:r>
          <w:hyperlink w:anchor="_Toc237333324" w:history="1">
            <w:r w:rsidR="004E1997" w:rsidRPr="006231B9">
              <w:rPr>
                <w:rStyle w:val="Hyperlink"/>
                <w:rFonts w:ascii="Arial" w:hAnsi="Arial" w:cs="Arial"/>
                <w:noProof/>
              </w:rPr>
              <w:t>TABLE OF TABLES</w:t>
            </w:r>
            <w:r w:rsidR="004E1997" w:rsidRPr="006231B9">
              <w:rPr>
                <w:rFonts w:ascii="Arial" w:hAnsi="Arial" w:cs="Arial"/>
                <w:noProof/>
                <w:webHidden/>
              </w:rPr>
              <w:tab/>
            </w:r>
            <w:r w:rsidR="004E1997" w:rsidRPr="006231B9">
              <w:rPr>
                <w:rFonts w:ascii="Arial" w:hAnsi="Arial" w:cs="Arial"/>
                <w:noProof/>
                <w:webHidden/>
              </w:rPr>
              <w:fldChar w:fldCharType="begin"/>
            </w:r>
            <w:r w:rsidR="004E1997" w:rsidRPr="006231B9">
              <w:rPr>
                <w:rFonts w:ascii="Arial" w:hAnsi="Arial" w:cs="Arial"/>
                <w:noProof/>
                <w:webHidden/>
              </w:rPr>
              <w:instrText xml:space="preserve"> PAGEREF _Toc237333324 \h </w:instrText>
            </w:r>
            <w:r w:rsidR="004E1997" w:rsidRPr="006231B9">
              <w:rPr>
                <w:rFonts w:ascii="Arial" w:hAnsi="Arial" w:cs="Arial"/>
                <w:noProof/>
                <w:webHidden/>
              </w:rPr>
            </w:r>
            <w:r w:rsidR="004E1997" w:rsidRPr="006231B9">
              <w:rPr>
                <w:rFonts w:ascii="Arial" w:hAnsi="Arial" w:cs="Arial"/>
                <w:noProof/>
                <w:webHidden/>
              </w:rPr>
              <w:fldChar w:fldCharType="separate"/>
            </w:r>
            <w:r w:rsidR="004E1997" w:rsidRPr="006231B9">
              <w:rPr>
                <w:rFonts w:ascii="Arial" w:hAnsi="Arial" w:cs="Arial"/>
                <w:noProof/>
                <w:webHidden/>
              </w:rPr>
              <w:t>2</w:t>
            </w:r>
            <w:r w:rsidR="004E1997" w:rsidRPr="006231B9">
              <w:rPr>
                <w:rFonts w:ascii="Arial" w:hAnsi="Arial" w:cs="Arial"/>
                <w:noProof/>
                <w:webHidden/>
              </w:rPr>
              <w:fldChar w:fldCharType="end"/>
            </w:r>
          </w:hyperlink>
        </w:p>
        <w:p w14:paraId="6F0F19C6" w14:textId="2245DBFA" w:rsidR="004E1997" w:rsidRPr="006231B9" w:rsidRDefault="004E1997"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25" w:history="1">
            <w:r w:rsidRPr="006231B9">
              <w:rPr>
                <w:rStyle w:val="Hyperlink"/>
                <w:rFonts w:ascii="Arial" w:hAnsi="Arial" w:cs="Arial"/>
                <w:noProof/>
              </w:rPr>
              <w:t>TABLE OF FIGURES</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_Toc237333325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2</w:t>
            </w:r>
            <w:r w:rsidRPr="006231B9">
              <w:rPr>
                <w:rFonts w:ascii="Arial" w:hAnsi="Arial" w:cs="Arial"/>
                <w:noProof/>
                <w:webHidden/>
              </w:rPr>
              <w:fldChar w:fldCharType="end"/>
            </w:r>
          </w:hyperlink>
        </w:p>
        <w:p w14:paraId="315CBB10" w14:textId="793EE58D" w:rsidR="004E1997" w:rsidRPr="006231B9" w:rsidRDefault="004E1997"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26" w:history="1">
            <w:r w:rsidRPr="006231B9">
              <w:rPr>
                <w:rStyle w:val="Hyperlink"/>
                <w:rFonts w:ascii="Arial" w:hAnsi="Arial" w:cs="Arial"/>
                <w:noProof/>
              </w:rPr>
              <w:t>1. INTRODUCTION</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_Toc237333326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3</w:t>
            </w:r>
            <w:r w:rsidRPr="006231B9">
              <w:rPr>
                <w:rFonts w:ascii="Arial" w:hAnsi="Arial" w:cs="Arial"/>
                <w:noProof/>
                <w:webHidden/>
              </w:rPr>
              <w:fldChar w:fldCharType="end"/>
            </w:r>
          </w:hyperlink>
        </w:p>
        <w:p w14:paraId="4D8131A6" w14:textId="186D7FEA" w:rsidR="004E1997" w:rsidRPr="006231B9" w:rsidRDefault="004E1997"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27" w:history="1">
            <w:r w:rsidRPr="006231B9">
              <w:rPr>
                <w:rStyle w:val="Hyperlink"/>
                <w:rFonts w:ascii="Arial" w:hAnsi="Arial" w:cs="Arial"/>
                <w:noProof/>
                <w:lang w:val="en-GB"/>
              </w:rPr>
              <w:t>2. IDENTIFYING THE PROBLEM AND SETTING THE SYSTEM CONTEXT</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_Toc237333327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4</w:t>
            </w:r>
            <w:r w:rsidRPr="006231B9">
              <w:rPr>
                <w:rFonts w:ascii="Arial" w:hAnsi="Arial" w:cs="Arial"/>
                <w:noProof/>
                <w:webHidden/>
              </w:rPr>
              <w:fldChar w:fldCharType="end"/>
            </w:r>
          </w:hyperlink>
        </w:p>
        <w:p w14:paraId="705A892A" w14:textId="4FBC942B" w:rsidR="004E1997" w:rsidRPr="006231B9" w:rsidRDefault="004E1997"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28" w:history="1">
            <w:r w:rsidRPr="006231B9">
              <w:rPr>
                <w:rStyle w:val="Hyperlink"/>
                <w:rFonts w:ascii="Arial" w:eastAsia="Arial" w:hAnsi="Arial" w:cs="Arial"/>
                <w:noProof/>
              </w:rPr>
              <w:t>3. CENTRALISATION OR DECENTRALISATION WITHIN THE CASE STUDY</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_Toc237333328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8</w:t>
            </w:r>
            <w:r w:rsidRPr="006231B9">
              <w:rPr>
                <w:rFonts w:ascii="Arial" w:hAnsi="Arial" w:cs="Arial"/>
                <w:noProof/>
                <w:webHidden/>
              </w:rPr>
              <w:fldChar w:fldCharType="end"/>
            </w:r>
          </w:hyperlink>
        </w:p>
        <w:p w14:paraId="5C4D049F" w14:textId="3C887175" w:rsidR="004E1997" w:rsidRPr="006231B9" w:rsidRDefault="004E1997"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29" w:history="1">
            <w:r w:rsidRPr="006231B9">
              <w:rPr>
                <w:rStyle w:val="Hyperlink"/>
                <w:rFonts w:ascii="Arial" w:eastAsia="Arial" w:hAnsi="Arial" w:cs="Arial"/>
                <w:noProof/>
              </w:rPr>
              <w:t>4. LEADERSHIP THEORIES AND APPLICATION TO THE CASE STUDY</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_Toc237333329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10</w:t>
            </w:r>
            <w:r w:rsidRPr="006231B9">
              <w:rPr>
                <w:rFonts w:ascii="Arial" w:hAnsi="Arial" w:cs="Arial"/>
                <w:noProof/>
                <w:webHidden/>
              </w:rPr>
              <w:fldChar w:fldCharType="end"/>
            </w:r>
          </w:hyperlink>
        </w:p>
        <w:p w14:paraId="11B7250D" w14:textId="778FCA9A" w:rsidR="004E1997" w:rsidRPr="006231B9" w:rsidRDefault="004E1997"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30" w:history="1">
            <w:r w:rsidRPr="006231B9">
              <w:rPr>
                <w:rStyle w:val="Hyperlink"/>
                <w:rFonts w:ascii="Arial" w:eastAsia="Arial" w:hAnsi="Arial" w:cs="Arial"/>
                <w:noProof/>
              </w:rPr>
              <w:t>5. IMPROVEMENT AND LESSONS LEARNED</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_Toc237333330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13</w:t>
            </w:r>
            <w:r w:rsidRPr="006231B9">
              <w:rPr>
                <w:rFonts w:ascii="Arial" w:hAnsi="Arial" w:cs="Arial"/>
                <w:noProof/>
                <w:webHidden/>
              </w:rPr>
              <w:fldChar w:fldCharType="end"/>
            </w:r>
          </w:hyperlink>
        </w:p>
        <w:p w14:paraId="3A151CAB" w14:textId="018C29BA" w:rsidR="004E1997" w:rsidRPr="006231B9" w:rsidRDefault="004E1997"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31" w:history="1">
            <w:r w:rsidRPr="006231B9">
              <w:rPr>
                <w:rStyle w:val="Hyperlink"/>
                <w:rFonts w:ascii="Arial" w:eastAsia="Arial" w:hAnsi="Arial" w:cs="Arial"/>
                <w:noProof/>
              </w:rPr>
              <w:t>6. RECOMMENDATIONS</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_Toc237333331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16</w:t>
            </w:r>
            <w:r w:rsidRPr="006231B9">
              <w:rPr>
                <w:rFonts w:ascii="Arial" w:hAnsi="Arial" w:cs="Arial"/>
                <w:noProof/>
                <w:webHidden/>
              </w:rPr>
              <w:fldChar w:fldCharType="end"/>
            </w:r>
          </w:hyperlink>
        </w:p>
        <w:p w14:paraId="56F9A7C2" w14:textId="0F2C9097" w:rsidR="004E1997" w:rsidRPr="006231B9" w:rsidRDefault="004E1997"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32" w:history="1">
            <w:r w:rsidRPr="006231B9">
              <w:rPr>
                <w:rStyle w:val="Hyperlink"/>
                <w:rFonts w:ascii="Arial" w:eastAsia="Arial" w:hAnsi="Arial" w:cs="Arial"/>
                <w:noProof/>
              </w:rPr>
              <w:t>7. CONCLUSION</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_Toc237333332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18</w:t>
            </w:r>
            <w:r w:rsidRPr="006231B9">
              <w:rPr>
                <w:rFonts w:ascii="Arial" w:hAnsi="Arial" w:cs="Arial"/>
                <w:noProof/>
                <w:webHidden/>
              </w:rPr>
              <w:fldChar w:fldCharType="end"/>
            </w:r>
          </w:hyperlink>
        </w:p>
        <w:p w14:paraId="42A59CEF" w14:textId="3025B2DA" w:rsidR="004E1997" w:rsidRPr="006231B9" w:rsidRDefault="004E1997" w:rsidP="006231B9">
          <w:pPr>
            <w:pStyle w:val="TOC1"/>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33" w:history="1">
            <w:r w:rsidRPr="006231B9">
              <w:rPr>
                <w:rStyle w:val="Hyperlink"/>
                <w:rFonts w:ascii="Arial" w:hAnsi="Arial" w:cs="Arial"/>
                <w:noProof/>
              </w:rPr>
              <w:t>8. LIST OF REFERENCES</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_Toc237333333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20</w:t>
            </w:r>
            <w:r w:rsidRPr="006231B9">
              <w:rPr>
                <w:rFonts w:ascii="Arial" w:hAnsi="Arial" w:cs="Arial"/>
                <w:noProof/>
                <w:webHidden/>
              </w:rPr>
              <w:fldChar w:fldCharType="end"/>
            </w:r>
          </w:hyperlink>
        </w:p>
        <w:p w14:paraId="754C5ABD" w14:textId="66826665" w:rsidR="0000715B" w:rsidRPr="006231B9" w:rsidRDefault="00A9508B" w:rsidP="006231B9">
          <w:pPr>
            <w:spacing w:before="120" w:after="120" w:line="360" w:lineRule="auto"/>
            <w:contextualSpacing/>
            <w:rPr>
              <w:rFonts w:ascii="Arial" w:hAnsi="Arial" w:cs="Arial"/>
            </w:rPr>
          </w:pPr>
          <w:r w:rsidRPr="006231B9">
            <w:rPr>
              <w:rFonts w:ascii="Arial" w:hAnsi="Arial" w:cs="Arial"/>
              <w:b/>
              <w:bCs/>
              <w:noProof/>
            </w:rPr>
            <w:fldChar w:fldCharType="end"/>
          </w:r>
        </w:p>
      </w:sdtContent>
    </w:sdt>
    <w:p w14:paraId="0D4209F6" w14:textId="77777777" w:rsidR="00102683" w:rsidRPr="006231B9" w:rsidRDefault="00A9508B" w:rsidP="006231B9">
      <w:pPr>
        <w:pStyle w:val="Heading1"/>
        <w:rPr>
          <w:sz w:val="22"/>
          <w:szCs w:val="22"/>
        </w:rPr>
      </w:pPr>
      <w:bookmarkStart w:id="0" w:name="_Toc237333324"/>
      <w:r w:rsidRPr="006231B9">
        <w:rPr>
          <w:sz w:val="22"/>
          <w:szCs w:val="22"/>
        </w:rPr>
        <w:t>TABLE OF TABLES</w:t>
      </w:r>
      <w:bookmarkEnd w:id="0"/>
    </w:p>
    <w:p w14:paraId="4987A345" w14:textId="499607D9" w:rsidR="004E1997" w:rsidRPr="006231B9" w:rsidRDefault="00A9508B" w:rsidP="006231B9">
      <w:pPr>
        <w:pStyle w:val="TableofFigures"/>
        <w:tabs>
          <w:tab w:val="right" w:leader="dot" w:pos="9016"/>
        </w:tabs>
        <w:spacing w:before="120" w:after="120" w:line="360" w:lineRule="auto"/>
        <w:contextualSpacing/>
        <w:rPr>
          <w:rFonts w:ascii="Arial" w:eastAsiaTheme="minorEastAsia" w:hAnsi="Arial" w:cs="Arial"/>
          <w:noProof/>
          <w:kern w:val="2"/>
          <w14:ligatures w14:val="standardContextual"/>
        </w:rPr>
      </w:pPr>
      <w:r w:rsidRPr="006231B9">
        <w:rPr>
          <w:rFonts w:ascii="Arial" w:eastAsia="Times New Roman" w:hAnsi="Arial" w:cs="Arial"/>
          <w:b/>
          <w:bCs/>
          <w:lang w:eastAsia="en-GB"/>
        </w:rPr>
        <w:fldChar w:fldCharType="begin"/>
      </w:r>
      <w:r w:rsidRPr="006231B9">
        <w:rPr>
          <w:rFonts w:ascii="Arial" w:eastAsia="Times New Roman" w:hAnsi="Arial" w:cs="Arial"/>
          <w:b/>
          <w:bCs/>
          <w:lang w:eastAsia="en-GB"/>
        </w:rPr>
        <w:instrText xml:space="preserve"> TOC \h \z \c "Table" </w:instrText>
      </w:r>
      <w:r w:rsidRPr="006231B9">
        <w:rPr>
          <w:rFonts w:ascii="Arial" w:eastAsia="Times New Roman" w:hAnsi="Arial" w:cs="Arial"/>
          <w:b/>
          <w:bCs/>
          <w:lang w:eastAsia="en-GB"/>
        </w:rPr>
        <w:fldChar w:fldCharType="separate"/>
      </w:r>
      <w:hyperlink w:anchor="_Toc237333380" w:history="1">
        <w:r w:rsidR="004E1997" w:rsidRPr="006231B9">
          <w:rPr>
            <w:rStyle w:val="Hyperlink"/>
            <w:rFonts w:ascii="Arial" w:hAnsi="Arial" w:cs="Arial"/>
            <w:noProof/>
          </w:rPr>
          <w:t>Table 1: CATWOE-informed formulation of the Lewis Blackman case</w:t>
        </w:r>
        <w:r w:rsidR="004E1997" w:rsidRPr="006231B9">
          <w:rPr>
            <w:rFonts w:ascii="Arial" w:hAnsi="Arial" w:cs="Arial"/>
            <w:noProof/>
            <w:webHidden/>
          </w:rPr>
          <w:tab/>
        </w:r>
        <w:r w:rsidR="004E1997" w:rsidRPr="006231B9">
          <w:rPr>
            <w:rFonts w:ascii="Arial" w:hAnsi="Arial" w:cs="Arial"/>
            <w:noProof/>
            <w:webHidden/>
          </w:rPr>
          <w:fldChar w:fldCharType="begin"/>
        </w:r>
        <w:r w:rsidR="004E1997" w:rsidRPr="006231B9">
          <w:rPr>
            <w:rFonts w:ascii="Arial" w:hAnsi="Arial" w:cs="Arial"/>
            <w:noProof/>
            <w:webHidden/>
          </w:rPr>
          <w:instrText xml:space="preserve"> PAGEREF _Toc237333380 \h </w:instrText>
        </w:r>
        <w:r w:rsidR="004E1997" w:rsidRPr="006231B9">
          <w:rPr>
            <w:rFonts w:ascii="Arial" w:hAnsi="Arial" w:cs="Arial"/>
            <w:noProof/>
            <w:webHidden/>
          </w:rPr>
        </w:r>
        <w:r w:rsidR="004E1997" w:rsidRPr="006231B9">
          <w:rPr>
            <w:rFonts w:ascii="Arial" w:hAnsi="Arial" w:cs="Arial"/>
            <w:noProof/>
            <w:webHidden/>
          </w:rPr>
          <w:fldChar w:fldCharType="separate"/>
        </w:r>
        <w:r w:rsidR="004E1997" w:rsidRPr="006231B9">
          <w:rPr>
            <w:rFonts w:ascii="Arial" w:hAnsi="Arial" w:cs="Arial"/>
            <w:noProof/>
            <w:webHidden/>
          </w:rPr>
          <w:t>7</w:t>
        </w:r>
        <w:r w:rsidR="004E1997" w:rsidRPr="006231B9">
          <w:rPr>
            <w:rFonts w:ascii="Arial" w:hAnsi="Arial" w:cs="Arial"/>
            <w:noProof/>
            <w:webHidden/>
          </w:rPr>
          <w:fldChar w:fldCharType="end"/>
        </w:r>
      </w:hyperlink>
    </w:p>
    <w:p w14:paraId="738F576B" w14:textId="5B379392" w:rsidR="004E1997" w:rsidRPr="006231B9" w:rsidRDefault="004E1997" w:rsidP="006231B9">
      <w:pPr>
        <w:pStyle w:val="TableofFigures"/>
        <w:tabs>
          <w:tab w:val="right" w:leader="dot" w:pos="9016"/>
        </w:tabs>
        <w:spacing w:before="120" w:after="120" w:line="360" w:lineRule="auto"/>
        <w:contextualSpacing/>
        <w:rPr>
          <w:rFonts w:ascii="Arial" w:eastAsiaTheme="minorEastAsia" w:hAnsi="Arial" w:cs="Arial"/>
          <w:noProof/>
          <w:kern w:val="2"/>
          <w14:ligatures w14:val="standardContextual"/>
        </w:rPr>
      </w:pPr>
      <w:hyperlink w:anchor="_Toc237333381" w:history="1">
        <w:r w:rsidRPr="006231B9">
          <w:rPr>
            <w:rStyle w:val="Hyperlink"/>
            <w:rFonts w:ascii="Arial" w:hAnsi="Arial" w:cs="Arial"/>
            <w:noProof/>
          </w:rPr>
          <w:t>Table 2: Improvement strategy, measures and risk mitigation</w:t>
        </w:r>
        <w:r w:rsidRPr="006231B9">
          <w:rPr>
            <w:rFonts w:ascii="Arial" w:hAnsi="Arial" w:cs="Arial"/>
            <w:noProof/>
            <w:webHidden/>
          </w:rPr>
          <w:tab/>
        </w:r>
        <w:r w:rsidRPr="006231B9">
          <w:rPr>
            <w:rFonts w:ascii="Arial" w:hAnsi="Arial" w:cs="Arial"/>
            <w:noProof/>
            <w:webHidden/>
          </w:rPr>
          <w:fldChar w:fldCharType="begin"/>
        </w:r>
        <w:r w:rsidRPr="006231B9">
          <w:rPr>
            <w:rFonts w:ascii="Arial" w:hAnsi="Arial" w:cs="Arial"/>
            <w:noProof/>
            <w:webHidden/>
          </w:rPr>
          <w:instrText xml:space="preserve"> PAGEREF _Toc237333381 \h </w:instrText>
        </w:r>
        <w:r w:rsidRPr="006231B9">
          <w:rPr>
            <w:rFonts w:ascii="Arial" w:hAnsi="Arial" w:cs="Arial"/>
            <w:noProof/>
            <w:webHidden/>
          </w:rPr>
        </w:r>
        <w:r w:rsidRPr="006231B9">
          <w:rPr>
            <w:rFonts w:ascii="Arial" w:hAnsi="Arial" w:cs="Arial"/>
            <w:noProof/>
            <w:webHidden/>
          </w:rPr>
          <w:fldChar w:fldCharType="separate"/>
        </w:r>
        <w:r w:rsidRPr="006231B9">
          <w:rPr>
            <w:rFonts w:ascii="Arial" w:hAnsi="Arial" w:cs="Arial"/>
            <w:noProof/>
            <w:webHidden/>
          </w:rPr>
          <w:t>16</w:t>
        </w:r>
        <w:r w:rsidRPr="006231B9">
          <w:rPr>
            <w:rFonts w:ascii="Arial" w:hAnsi="Arial" w:cs="Arial"/>
            <w:noProof/>
            <w:webHidden/>
          </w:rPr>
          <w:fldChar w:fldCharType="end"/>
        </w:r>
      </w:hyperlink>
    </w:p>
    <w:p w14:paraId="0B54B76C" w14:textId="5D199D67" w:rsidR="0000715B" w:rsidRPr="006231B9" w:rsidRDefault="00A9508B" w:rsidP="006231B9">
      <w:pPr>
        <w:pStyle w:val="Heading1"/>
        <w:rPr>
          <w:sz w:val="22"/>
          <w:szCs w:val="22"/>
        </w:rPr>
      </w:pPr>
      <w:r w:rsidRPr="006231B9">
        <w:rPr>
          <w:sz w:val="22"/>
          <w:szCs w:val="22"/>
        </w:rPr>
        <w:fldChar w:fldCharType="end"/>
      </w:r>
      <w:bookmarkStart w:id="1" w:name="_Toc237333325"/>
      <w:r w:rsidRPr="006231B9">
        <w:rPr>
          <w:sz w:val="22"/>
          <w:szCs w:val="22"/>
        </w:rPr>
        <w:t>TABLE OF FIGURES</w:t>
      </w:r>
      <w:bookmarkEnd w:id="1"/>
    </w:p>
    <w:p w14:paraId="355C6896" w14:textId="3A9EC789" w:rsidR="004E1997" w:rsidRPr="006231B9" w:rsidRDefault="00A9508B" w:rsidP="006231B9">
      <w:pPr>
        <w:pStyle w:val="TableofFigures"/>
        <w:tabs>
          <w:tab w:val="right" w:leader="dot" w:pos="9016"/>
        </w:tabs>
        <w:spacing w:before="120" w:after="120" w:line="360" w:lineRule="auto"/>
        <w:contextualSpacing/>
        <w:rPr>
          <w:rFonts w:ascii="Arial" w:eastAsiaTheme="minorEastAsia" w:hAnsi="Arial" w:cs="Arial"/>
          <w:noProof/>
          <w:kern w:val="2"/>
          <w14:ligatures w14:val="standardContextual"/>
        </w:rPr>
      </w:pPr>
      <w:r w:rsidRPr="006231B9">
        <w:rPr>
          <w:rFonts w:ascii="Arial" w:hAnsi="Arial" w:cs="Arial"/>
          <w:lang w:eastAsia="en-GB"/>
        </w:rPr>
        <w:fldChar w:fldCharType="begin"/>
      </w:r>
      <w:r w:rsidRPr="006231B9">
        <w:rPr>
          <w:rFonts w:ascii="Arial" w:hAnsi="Arial" w:cs="Arial"/>
          <w:lang w:eastAsia="en-GB"/>
        </w:rPr>
        <w:instrText xml:space="preserve"> TOC \h \z \c "Figure" </w:instrText>
      </w:r>
      <w:r w:rsidRPr="006231B9">
        <w:rPr>
          <w:rFonts w:ascii="Arial" w:hAnsi="Arial" w:cs="Arial"/>
          <w:lang w:eastAsia="en-GB"/>
        </w:rPr>
        <w:fldChar w:fldCharType="separate"/>
      </w:r>
      <w:hyperlink w:anchor="_Toc237333386" w:history="1">
        <w:r w:rsidR="004E1997" w:rsidRPr="006231B9">
          <w:rPr>
            <w:rStyle w:val="Hyperlink"/>
            <w:rFonts w:ascii="Arial" w:hAnsi="Arial" w:cs="Arial"/>
            <w:noProof/>
          </w:rPr>
          <w:t>Figure 1: Rich Picture of the Lewis Blackman failure-to-rescue system (author-developed from the case evidence and systems literature).</w:t>
        </w:r>
        <w:r w:rsidR="004E1997" w:rsidRPr="006231B9">
          <w:rPr>
            <w:rFonts w:ascii="Arial" w:hAnsi="Arial" w:cs="Arial"/>
            <w:noProof/>
            <w:webHidden/>
          </w:rPr>
          <w:tab/>
        </w:r>
        <w:r w:rsidR="004E1997" w:rsidRPr="006231B9">
          <w:rPr>
            <w:rFonts w:ascii="Arial" w:hAnsi="Arial" w:cs="Arial"/>
            <w:noProof/>
            <w:webHidden/>
          </w:rPr>
          <w:fldChar w:fldCharType="begin"/>
        </w:r>
        <w:r w:rsidR="004E1997" w:rsidRPr="006231B9">
          <w:rPr>
            <w:rFonts w:ascii="Arial" w:hAnsi="Arial" w:cs="Arial"/>
            <w:noProof/>
            <w:webHidden/>
          </w:rPr>
          <w:instrText xml:space="preserve"> PAGEREF _Toc237333386 \h </w:instrText>
        </w:r>
        <w:r w:rsidR="004E1997" w:rsidRPr="006231B9">
          <w:rPr>
            <w:rFonts w:ascii="Arial" w:hAnsi="Arial" w:cs="Arial"/>
            <w:noProof/>
            <w:webHidden/>
          </w:rPr>
        </w:r>
        <w:r w:rsidR="004E1997" w:rsidRPr="006231B9">
          <w:rPr>
            <w:rFonts w:ascii="Arial" w:hAnsi="Arial" w:cs="Arial"/>
            <w:noProof/>
            <w:webHidden/>
          </w:rPr>
          <w:fldChar w:fldCharType="separate"/>
        </w:r>
        <w:r w:rsidR="004E1997" w:rsidRPr="006231B9">
          <w:rPr>
            <w:rFonts w:ascii="Arial" w:hAnsi="Arial" w:cs="Arial"/>
            <w:noProof/>
            <w:webHidden/>
          </w:rPr>
          <w:t>6</w:t>
        </w:r>
        <w:r w:rsidR="004E1997" w:rsidRPr="006231B9">
          <w:rPr>
            <w:rFonts w:ascii="Arial" w:hAnsi="Arial" w:cs="Arial"/>
            <w:noProof/>
            <w:webHidden/>
          </w:rPr>
          <w:fldChar w:fldCharType="end"/>
        </w:r>
      </w:hyperlink>
    </w:p>
    <w:p w14:paraId="37F35F3D" w14:textId="35251FC7" w:rsidR="00102683"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fldChar w:fldCharType="end"/>
      </w:r>
    </w:p>
    <w:p w14:paraId="0E997577" w14:textId="77777777" w:rsidR="00B90718" w:rsidRPr="006231B9" w:rsidRDefault="00A9508B" w:rsidP="006231B9">
      <w:pPr>
        <w:pStyle w:val="Heading1"/>
        <w:rPr>
          <w:sz w:val="22"/>
          <w:szCs w:val="22"/>
        </w:rPr>
      </w:pPr>
      <w:r w:rsidRPr="006231B9">
        <w:rPr>
          <w:sz w:val="22"/>
          <w:szCs w:val="22"/>
        </w:rPr>
        <w:br w:type="page"/>
      </w:r>
      <w:bookmarkStart w:id="2" w:name="_Toc237333326"/>
      <w:r w:rsidR="00563C8F" w:rsidRPr="006231B9">
        <w:rPr>
          <w:sz w:val="22"/>
          <w:szCs w:val="22"/>
        </w:rPr>
        <w:t xml:space="preserve">1. </w:t>
      </w:r>
      <w:r w:rsidR="004D1271" w:rsidRPr="006231B9">
        <w:rPr>
          <w:sz w:val="22"/>
          <w:szCs w:val="22"/>
        </w:rPr>
        <w:t>INTRODUCTION</w:t>
      </w:r>
      <w:bookmarkEnd w:id="2"/>
    </w:p>
    <w:p w14:paraId="303C0297" w14:textId="23FD1377" w:rsidR="00907CC6" w:rsidRPr="006231B9" w:rsidRDefault="00A9508B" w:rsidP="006231B9">
      <w:pPr>
        <w:spacing w:before="120" w:after="120" w:line="360" w:lineRule="auto"/>
        <w:contextualSpacing/>
        <w:rPr>
          <w:rFonts w:ascii="Arial" w:hAnsi="Arial" w:cs="Arial"/>
          <w:lang w:val="en-GB" w:eastAsia="en-GB"/>
        </w:rPr>
      </w:pPr>
      <w:r w:rsidRPr="006231B9">
        <w:rPr>
          <w:rFonts w:ascii="Arial" w:hAnsi="Arial" w:cs="Arial"/>
          <w:lang w:val="en-GB" w:eastAsia="en-GB"/>
        </w:rPr>
        <w:t>Patient safety is determined by the interaction of leadership, governance and health-system design as demonstrated by the tragic story of Lewis Blackman. Lewis was a previously healthy 15-year-old boy admitted for elective repair of pectus excavatum at a large teaching hospital in South Carolina. The Patient Safety Movement Foundation (</w:t>
      </w:r>
      <w:r w:rsidR="000E23E0" w:rsidRPr="006231B9">
        <w:rPr>
          <w:rFonts w:ascii="Arial" w:hAnsi="Arial" w:cs="Arial"/>
          <w:lang w:val="en-GB" w:eastAsia="en-GB"/>
        </w:rPr>
        <w:t>n.d.</w:t>
      </w:r>
      <w:r w:rsidRPr="006231B9">
        <w:rPr>
          <w:rFonts w:ascii="Arial" w:hAnsi="Arial" w:cs="Arial"/>
          <w:lang w:val="en-GB" w:eastAsia="en-GB"/>
        </w:rPr>
        <w:t>) offers the timeline from a family perspective detailing worsening abdominal pain, difficult blood pressure readings, changes in monitoring, and a lack of attending physician evaluation prior to cardiac arrest. Rather than blaming a single clinician for the error, the analysis considers how system leaders created an environment where expedient recognition, escalation, and rescue were untenable. This focus on safety systems aligns with the World Health Organization's (WHO, 2021) leadership priorities for el</w:t>
      </w:r>
      <w:r w:rsidRPr="006231B9">
        <w:rPr>
          <w:rFonts w:ascii="Arial" w:hAnsi="Arial" w:cs="Arial"/>
          <w:lang w:val="en-GB" w:eastAsia="en-GB"/>
        </w:rPr>
        <w:t>iminating preventable harm, including improvement science and partnering with patients and their families.</w:t>
      </w:r>
    </w:p>
    <w:p w14:paraId="093C22B7" w14:textId="77777777" w:rsidR="00907CC6" w:rsidRPr="006231B9" w:rsidRDefault="00A9508B" w:rsidP="006231B9">
      <w:pPr>
        <w:spacing w:before="120" w:after="120" w:line="360" w:lineRule="auto"/>
        <w:contextualSpacing/>
        <w:rPr>
          <w:rFonts w:ascii="Arial" w:hAnsi="Arial" w:cs="Arial"/>
          <w:lang w:val="en-GB" w:eastAsia="en-GB"/>
        </w:rPr>
      </w:pPr>
      <w:r w:rsidRPr="006231B9">
        <w:rPr>
          <w:rFonts w:ascii="Arial" w:hAnsi="Arial" w:cs="Arial"/>
          <w:lang w:val="en-GB" w:eastAsia="en-GB"/>
        </w:rPr>
        <w:t>For present purposes, leadership is conceptualised as leading people, relationships and organisational conditions such that common purpose is manifested through coordinated action. This definition is consistent with recent reviews of safety leadership research that describe associations between discrete leader behaviours, teamwork, communication and learning behaviours, and other elements of patient-safety culture, even where support extends little beyond descriptive accounts (Althobaiti</w:t>
      </w:r>
      <w:r w:rsidRPr="006231B9">
        <w:rPr>
          <w:rFonts w:ascii="Arial" w:hAnsi="Arial" w:cs="Arial"/>
          <w:lang w:val="en-GB" w:eastAsia="en-GB"/>
        </w:rPr>
        <w:t>, 2026). Centralisation or concentration of decisional authority can offer opportunities for oversight and accountability but can suffer from slower response time if concerns need to traverse a long chain of command. Decentralisation can support faster response at the risk of fragmentation, and clarity of authority boundaries can reduce confusion (Sadegh Tabrizi, Azami Aghdash</w:t>
      </w:r>
      <w:r w:rsidRPr="006231B9">
        <w:rPr>
          <w:rFonts w:ascii="Arial" w:hAnsi="Arial" w:cs="Arial"/>
          <w:lang w:val="en-GB" w:eastAsia="en-GB"/>
        </w:rPr>
        <w:t xml:space="preserve"> and Nouri, 2021; Francis- Auton et al., 2024). Transformational leaders focus on common purpose and follower empowerment, transactional leaders ensure standards and accountability are established, situational leaders provide direction and support depending on urgency and follower capability, and leaders employing a distributed leadership style defer most influence decisions to personnel who possess the relevant expertise (Fournier, Moisan and Lagacé, 2022; Restivo et al., 2022; Ystaas</w:t>
      </w:r>
      <w:r w:rsidRPr="006231B9">
        <w:rPr>
          <w:rFonts w:ascii="Arial" w:hAnsi="Arial" w:cs="Arial"/>
          <w:lang w:val="en-GB" w:eastAsia="en-GB"/>
        </w:rPr>
        <w:t xml:space="preserve"> et al., 2023; Wang et al., 2024). The balance of these qualities is consequential when leading through crisis or change because there can be many unresolved tensions, such as when motivation and empowerment are exerted without sufficient oversight and coordination, or when authority is too tightly held at the cost of voice.</w:t>
      </w:r>
    </w:p>
    <w:p w14:paraId="630C815F" w14:textId="26A588BB" w:rsidR="00563C8F" w:rsidRPr="006231B9" w:rsidRDefault="00A9508B" w:rsidP="006231B9">
      <w:pPr>
        <w:spacing w:before="120" w:after="120" w:line="360" w:lineRule="auto"/>
        <w:contextualSpacing/>
        <w:rPr>
          <w:rFonts w:ascii="Arial" w:hAnsi="Arial" w:cs="Arial"/>
          <w:lang w:val="en-GB" w:eastAsia="en-GB"/>
        </w:rPr>
      </w:pPr>
      <w:r w:rsidRPr="006231B9">
        <w:rPr>
          <w:rFonts w:ascii="Arial" w:hAnsi="Arial" w:cs="Arial"/>
          <w:lang w:val="en-GB" w:eastAsia="en-GB"/>
        </w:rPr>
        <w:t>Th</w:t>
      </w:r>
      <w:r w:rsidR="004E7648" w:rsidRPr="006231B9">
        <w:rPr>
          <w:rFonts w:ascii="Arial" w:hAnsi="Arial" w:cs="Arial"/>
          <w:lang w:val="en-GB" w:eastAsia="en-GB"/>
        </w:rPr>
        <w:t>is</w:t>
      </w:r>
      <w:r w:rsidRPr="006231B9">
        <w:rPr>
          <w:rFonts w:ascii="Arial" w:hAnsi="Arial" w:cs="Arial"/>
          <w:lang w:val="en-GB" w:eastAsia="en-GB"/>
        </w:rPr>
        <w:t xml:space="preserve"> report contextualises Lewis's death against world and United States </w:t>
      </w:r>
      <w:r w:rsidR="00975020" w:rsidRPr="006231B9">
        <w:rPr>
          <w:rFonts w:ascii="Arial" w:hAnsi="Arial" w:cs="Arial"/>
          <w:lang w:val="en-GB" w:eastAsia="en-GB"/>
        </w:rPr>
        <w:t>patient-safety</w:t>
      </w:r>
      <w:r w:rsidRPr="006231B9">
        <w:rPr>
          <w:rFonts w:ascii="Arial" w:hAnsi="Arial" w:cs="Arial"/>
          <w:lang w:val="en-GB" w:eastAsia="en-GB"/>
        </w:rPr>
        <w:t xml:space="preserve"> data, then models contributing factors and feedback loops using a Rich Picture and CATWOE. The review then analyses centralisation versus decentralisation, critically assesses leadership </w:t>
      </w:r>
      <w:r w:rsidR="00975020" w:rsidRPr="006231B9">
        <w:rPr>
          <w:rFonts w:ascii="Arial" w:hAnsi="Arial" w:cs="Arial"/>
          <w:lang w:val="en-GB" w:eastAsia="en-GB"/>
        </w:rPr>
        <w:t xml:space="preserve">theory, identifies </w:t>
      </w:r>
      <w:r w:rsidRPr="006231B9">
        <w:rPr>
          <w:rFonts w:ascii="Arial" w:hAnsi="Arial" w:cs="Arial"/>
          <w:lang w:val="en-GB" w:eastAsia="en-GB"/>
        </w:rPr>
        <w:t>opportunities for improvement and learning lessons, before making recommendations regarding governance, communication, system integration, technical and allocative efficiency, continuous learning, stakeholder engagement and coproduction</w:t>
      </w:r>
      <w:r w:rsidR="00907CC6" w:rsidRPr="006231B9">
        <w:rPr>
          <w:rFonts w:ascii="Arial" w:hAnsi="Arial" w:cs="Arial"/>
          <w:lang w:val="en-GB" w:eastAsia="en-GB"/>
        </w:rPr>
        <w:t>.</w:t>
      </w:r>
    </w:p>
    <w:p w14:paraId="71CC10DF" w14:textId="77777777" w:rsidR="00907CC6" w:rsidRPr="006231B9" w:rsidRDefault="00A9508B" w:rsidP="006231B9">
      <w:pPr>
        <w:pStyle w:val="Heading1"/>
        <w:rPr>
          <w:sz w:val="22"/>
          <w:szCs w:val="22"/>
          <w:lang w:val="en-GB"/>
        </w:rPr>
      </w:pPr>
      <w:bookmarkStart w:id="3" w:name="_Toc237333327"/>
      <w:r w:rsidRPr="006231B9">
        <w:rPr>
          <w:sz w:val="22"/>
          <w:szCs w:val="22"/>
          <w:lang w:val="en-GB"/>
        </w:rPr>
        <w:t>2. IDENTIFYING THE PROBLEM AND SETTING THE SYSTEM CONTEXT</w:t>
      </w:r>
      <w:bookmarkEnd w:id="3"/>
    </w:p>
    <w:p w14:paraId="3CB0226A" w14:textId="67C7A21C" w:rsidR="00666D72" w:rsidRPr="006231B9" w:rsidRDefault="00975020" w:rsidP="006231B9">
      <w:pPr>
        <w:spacing w:before="120" w:after="120" w:line="360" w:lineRule="auto"/>
        <w:contextualSpacing/>
        <w:rPr>
          <w:rFonts w:ascii="Arial" w:hAnsi="Arial" w:cs="Arial"/>
          <w:lang w:eastAsia="en-GB"/>
        </w:rPr>
      </w:pPr>
      <w:r w:rsidRPr="006231B9">
        <w:rPr>
          <w:rFonts w:ascii="Arial" w:hAnsi="Arial" w:cs="Arial"/>
          <w:lang w:eastAsia="en-GB"/>
        </w:rPr>
        <w:t>Lewis’ death resulted from a failure to recognise and respond to postoperative deterioration despite having multiple opportunities to reassess his diagnosis and escalate care</w:t>
      </w:r>
      <w:r w:rsidR="00BC5EA5" w:rsidRPr="006231B9">
        <w:rPr>
          <w:rFonts w:ascii="Arial" w:hAnsi="Arial" w:cs="Arial"/>
          <w:lang w:eastAsia="en-GB"/>
        </w:rPr>
        <w:t xml:space="preserve"> (Patient Safety Movement Foundation, n.d.)</w:t>
      </w:r>
      <w:r w:rsidRPr="006231B9">
        <w:rPr>
          <w:rFonts w:ascii="Arial" w:hAnsi="Arial" w:cs="Arial"/>
          <w:lang w:eastAsia="en-GB"/>
        </w:rPr>
        <w:t xml:space="preserve">. Acquaviva, Haskell and Johnson (2013) frame the case using cognitive and organisational processes including anchoring and authority biases. The family statement describes sudden onset of severe abdominal pain accompanied by worsening pallor, tachycardia, lack of urine production, increasingly disturbing oxygen saturation levels and multiple unsuccessful attempts to obtain a blood pressure; after a resident entered a normal blood pressure into the computer system Lewis went into cardiac arrest </w:t>
      </w:r>
      <w:r w:rsidR="000E23E0" w:rsidRPr="006231B9">
        <w:rPr>
          <w:rFonts w:ascii="Arial" w:hAnsi="Arial" w:cs="Arial"/>
          <w:lang w:eastAsia="en-GB"/>
        </w:rPr>
        <w:t xml:space="preserve">just over an hour later </w:t>
      </w:r>
      <w:r w:rsidRPr="006231B9">
        <w:rPr>
          <w:rFonts w:ascii="Arial" w:hAnsi="Arial" w:cs="Arial"/>
          <w:lang w:eastAsia="en-GB"/>
        </w:rPr>
        <w:t xml:space="preserve">without having an attending physician paged (Patient Safety Movement Foundation, </w:t>
      </w:r>
      <w:r w:rsidR="000E23E0" w:rsidRPr="006231B9">
        <w:rPr>
          <w:rFonts w:ascii="Arial" w:hAnsi="Arial" w:cs="Arial"/>
          <w:lang w:eastAsia="en-GB"/>
        </w:rPr>
        <w:t>n.d.</w:t>
      </w:r>
      <w:r w:rsidRPr="006231B9">
        <w:rPr>
          <w:rFonts w:ascii="Arial" w:hAnsi="Arial" w:cs="Arial"/>
          <w:lang w:eastAsia="en-GB"/>
        </w:rPr>
        <w:t>). Based on these events, it is possible to describe a systems problem: fluctuating clinical indicators were not adequately translated into prompts for senior review, reconsideration of diagnosis, and timely treatment.</w:t>
      </w:r>
    </w:p>
    <w:p w14:paraId="4C250975" w14:textId="3D388924" w:rsidR="00907CC6"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 xml:space="preserve">The issue is </w:t>
      </w:r>
      <w:r w:rsidR="00975020" w:rsidRPr="006231B9">
        <w:rPr>
          <w:rFonts w:ascii="Arial" w:hAnsi="Arial" w:cs="Arial"/>
          <w:lang w:eastAsia="en-GB"/>
        </w:rPr>
        <w:t>locally meaningful and internationally important.</w:t>
      </w:r>
      <w:r w:rsidRPr="006231B9">
        <w:rPr>
          <w:rFonts w:ascii="Arial" w:hAnsi="Arial" w:cs="Arial"/>
          <w:lang w:eastAsia="en-GB"/>
        </w:rPr>
        <w:t xml:space="preserve"> WHO (2023) estimates that one in every ten patients is harmed during care, that care far below accepted standards is responsible for over three million deaths annually, and that more than half of patient harm is preventable. </w:t>
      </w:r>
      <w:r w:rsidR="00975020" w:rsidRPr="006231B9">
        <w:rPr>
          <w:rFonts w:ascii="Arial" w:hAnsi="Arial" w:cs="Arial"/>
          <w:lang w:eastAsia="en-GB"/>
        </w:rPr>
        <w:t xml:space="preserve">To provide a national benchmark, the U. S. Department of Health and Human Services Office of Inspector General sampled 770 Medicare patients randomly and estimated that 25% suffered harm during their hospitalization; 12% experienced adverse events, 13% experienced temporary harm, and </w:t>
      </w:r>
      <w:r w:rsidR="000E23E0" w:rsidRPr="006231B9">
        <w:rPr>
          <w:rFonts w:ascii="Arial" w:hAnsi="Arial" w:cs="Arial"/>
          <w:lang w:eastAsia="en-GB"/>
        </w:rPr>
        <w:t>physician-reviewers determined that 43% of the identified harm events were preventable (HHS OIG, 2022)</w:t>
      </w:r>
      <w:r w:rsidRPr="006231B9">
        <w:rPr>
          <w:rFonts w:ascii="Arial" w:hAnsi="Arial" w:cs="Arial"/>
          <w:lang w:eastAsia="en-GB"/>
        </w:rPr>
        <w:t xml:space="preserve">. These statistics should not be compared directly because they are different samples with different harm definitions and timeframes, but both highlight the continued magnitude of the issue. </w:t>
      </w:r>
      <w:r w:rsidR="00AE1E63" w:rsidRPr="006231B9">
        <w:rPr>
          <w:rFonts w:ascii="Arial" w:hAnsi="Arial" w:cs="Arial"/>
          <w:lang w:eastAsia="en-GB"/>
        </w:rPr>
        <w:t>Diagnostic-specific studies further demonstrate that delays and organisational factors are prominent features of diagnostic harm</w:t>
      </w:r>
      <w:r w:rsidRPr="006231B9">
        <w:rPr>
          <w:rFonts w:ascii="Arial" w:hAnsi="Arial" w:cs="Arial"/>
          <w:lang w:eastAsia="en-GB"/>
        </w:rPr>
        <w:t>: Dalal et al. (2025) found harmful diagnostic incidents in 7.2% of hospitalised</w:t>
      </w:r>
      <w:r w:rsidRPr="006231B9">
        <w:rPr>
          <w:rFonts w:ascii="Arial" w:hAnsi="Arial" w:cs="Arial"/>
          <w:lang w:eastAsia="en-GB"/>
        </w:rPr>
        <w:t xml:space="preserve"> general-internal medicine patients, with 61.9% of those harmful incidents due to delay, and Hooftman et al. (2024) found that organisational factors contributed to 63.3% of 109 serious diagnostic incidents reported from 31 hospitals in the Netherlands. </w:t>
      </w:r>
      <w:r w:rsidR="006D0C85" w:rsidRPr="006231B9">
        <w:rPr>
          <w:rFonts w:ascii="Arial" w:hAnsi="Arial" w:cs="Arial"/>
          <w:lang w:eastAsia="en-GB"/>
        </w:rPr>
        <w:t>While these cases differ in many ways from Lewis' situation, including setting and populations involved, their conclusions support the applicability of diagnostic delay and organisational failure to Lewis'</w:t>
      </w:r>
      <w:r w:rsidRPr="006231B9">
        <w:rPr>
          <w:rFonts w:ascii="Arial" w:hAnsi="Arial" w:cs="Arial"/>
          <w:lang w:eastAsia="en-GB"/>
        </w:rPr>
        <w:t>.</w:t>
      </w:r>
    </w:p>
    <w:p w14:paraId="43E8BC3F" w14:textId="45C0404D" w:rsidR="00666D72"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 xml:space="preserve">Systems evidence describes why this case cannot be distilled to one missed observation. Beane et al. (2022) performed a qualitative acute- care inquiry and found vertical hierarchy, siloed working, continuation bias and unwillingness to accept responsibility were barriers that prevented deterioration recognition. Smith et al. (2022) used stakeholder consensus to develop a multicomponent intervention to improve deterioration recognition, demonstrating that cues, environmental re-structuring and other </w:t>
      </w:r>
      <w:r w:rsidRPr="006231B9">
        <w:rPr>
          <w:rFonts w:ascii="Arial" w:hAnsi="Arial" w:cs="Arial"/>
          <w:lang w:eastAsia="en-GB"/>
        </w:rPr>
        <w:t>behavioural-change methods were necessary to complement knowledge. As applied to Lewis, this critical failure was a lack of a trusted process by which bedside observations, family worry and clinical doubt could each separately initiate review by seniors.</w:t>
      </w:r>
    </w:p>
    <w:p w14:paraId="528AA88F" w14:textId="7B6FA947" w:rsidR="00907CC6"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U.S. data also sheds light on organisational</w:t>
      </w:r>
      <w:r w:rsidRPr="006231B9">
        <w:rPr>
          <w:rFonts w:ascii="Arial" w:hAnsi="Arial" w:cs="Arial"/>
          <w:lang w:eastAsia="en-GB"/>
        </w:rPr>
        <w:t xml:space="preserve"> weaknesses related to governance. In the Agency for Healthcare Research and Quality (AHRQ) 2024 SOPS Hospital 2.0 dataset, 445 hospitals provided 284,036 responses: teamwork (81% positive), and supervisor/clinical- leader support (80%) outperformed response to error (64%) and staffing and work pace (55%); 68% felt their unit was excellent or very good at safety (Tyler et al., 2024). Separately, HHS OIG (2025) found that hospitals had failed to capture half of the harm events they identified in their nation</w:t>
      </w:r>
      <w:r w:rsidRPr="006231B9">
        <w:rPr>
          <w:rFonts w:ascii="Arial" w:hAnsi="Arial" w:cs="Arial"/>
          <w:lang w:eastAsia="en-GB"/>
        </w:rPr>
        <w:t xml:space="preserve">al patient harm study and few captured events resulted in improvement. Neither source details historical staffing ratios, budgets or culture scores from Lewis’s hospital, so the cited staffing shortage cannot be directly claimed as causal. </w:t>
      </w:r>
    </w:p>
    <w:p w14:paraId="2C715077" w14:textId="09F3CAD5" w:rsidR="00907CC6"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HHS OIG and AHRQ demonstrate that detection of harm, response to error and knowledge of staffing/work pace and organisational learning are still quantifiable areas for national-level governance improvement efforts in the United States</w:t>
      </w:r>
      <w:r w:rsidR="00BC5EA5" w:rsidRPr="006231B9">
        <w:rPr>
          <w:rFonts w:ascii="Arial" w:hAnsi="Arial" w:cs="Arial"/>
          <w:lang w:eastAsia="en-GB"/>
        </w:rPr>
        <w:t xml:space="preserve"> (HHS OIG, 2025; Tyler et al., 2024)</w:t>
      </w:r>
      <w:r w:rsidRPr="006231B9">
        <w:rPr>
          <w:rFonts w:ascii="Arial" w:hAnsi="Arial" w:cs="Arial"/>
          <w:lang w:eastAsia="en-GB"/>
        </w:rPr>
        <w:t>. These sources do not establish that the same rates or causations existed at Lewis's hospital in 2000. At the case level, the publicly available information documents failures in escalation, communication, and ultimately responsible senior review; at the state level, escalation rights were later changed by legislation. The resulting problem thus spans bedside processes, unit-level governance and external regulation.</w:t>
      </w:r>
    </w:p>
    <w:p w14:paraId="1228A8E5" w14:textId="77777777" w:rsidR="00907CC6" w:rsidRPr="006231B9" w:rsidRDefault="00A9508B" w:rsidP="006231B9">
      <w:pPr>
        <w:spacing w:before="120" w:after="120" w:line="360" w:lineRule="auto"/>
        <w:contextualSpacing/>
        <w:rPr>
          <w:rFonts w:ascii="Arial" w:hAnsi="Arial" w:cs="Arial"/>
          <w:b/>
          <w:bCs/>
          <w:lang w:eastAsia="en-GB"/>
        </w:rPr>
      </w:pPr>
      <w:r w:rsidRPr="006231B9">
        <w:rPr>
          <w:rFonts w:ascii="Arial" w:hAnsi="Arial" w:cs="Arial"/>
          <w:b/>
          <w:bCs/>
          <w:lang w:eastAsia="en-GB"/>
        </w:rPr>
        <w:t>2.1 Rich Picture and CATWOE-Informed Analysis</w:t>
      </w:r>
    </w:p>
    <w:p w14:paraId="3CE40D7E" w14:textId="77777777" w:rsidR="00E02C0E" w:rsidRPr="006231B9" w:rsidRDefault="00A9508B" w:rsidP="006231B9">
      <w:pPr>
        <w:keepNext/>
        <w:spacing w:before="120" w:after="120" w:line="360" w:lineRule="auto"/>
        <w:contextualSpacing/>
        <w:jc w:val="center"/>
        <w:rPr>
          <w:rFonts w:ascii="Arial" w:hAnsi="Arial" w:cs="Arial"/>
        </w:rPr>
      </w:pPr>
      <w:r w:rsidRPr="006231B9">
        <w:rPr>
          <w:rFonts w:ascii="Arial" w:hAnsi="Arial" w:cs="Arial"/>
          <w:noProof/>
          <w:lang w:eastAsia="en-GB"/>
        </w:rPr>
        <w:drawing>
          <wp:inline distT="0" distB="0" distL="0" distR="0" wp14:anchorId="295A992E" wp14:editId="673C28BD">
            <wp:extent cx="6569626" cy="36192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wis_blackman_rich_picture_verified.png"/>
                    <pic:cNvPicPr/>
                  </pic:nvPicPr>
                  <pic:blipFill rotWithShape="1">
                    <a:blip r:embed="rId8"/>
                    <a:srcRect l="2179" t="11943" r="2026" b="1323"/>
                    <a:stretch/>
                  </pic:blipFill>
                  <pic:spPr bwMode="auto">
                    <a:xfrm>
                      <a:off x="0" y="0"/>
                      <a:ext cx="6581415" cy="3625790"/>
                    </a:xfrm>
                    <a:prstGeom prst="rect">
                      <a:avLst/>
                    </a:prstGeom>
                    <a:ln>
                      <a:noFill/>
                    </a:ln>
                    <a:extLst>
                      <a:ext uri="{53640926-AAD7-44D8-BBD7-CCE9431645EC}">
                        <a14:shadowObscured xmlns:a14="http://schemas.microsoft.com/office/drawing/2010/main"/>
                      </a:ext>
                    </a:extLst>
                  </pic:spPr>
                </pic:pic>
              </a:graphicData>
            </a:graphic>
          </wp:inline>
        </w:drawing>
      </w:r>
    </w:p>
    <w:p w14:paraId="13E66C60" w14:textId="77777777" w:rsidR="00907CC6" w:rsidRPr="006231B9" w:rsidRDefault="00A9508B" w:rsidP="006231B9">
      <w:pPr>
        <w:pStyle w:val="Caption"/>
        <w:spacing w:before="120" w:after="120" w:line="360" w:lineRule="auto"/>
        <w:contextualSpacing/>
        <w:jc w:val="center"/>
        <w:rPr>
          <w:rFonts w:ascii="Arial" w:hAnsi="Arial" w:cs="Arial"/>
          <w:color w:val="auto"/>
          <w:sz w:val="22"/>
          <w:szCs w:val="22"/>
          <w:lang w:eastAsia="en-GB"/>
        </w:rPr>
      </w:pPr>
      <w:bookmarkStart w:id="4" w:name="_Toc237333386"/>
      <w:r w:rsidRPr="006231B9">
        <w:rPr>
          <w:rFonts w:ascii="Arial" w:hAnsi="Arial" w:cs="Arial"/>
          <w:color w:val="auto"/>
          <w:sz w:val="22"/>
          <w:szCs w:val="22"/>
        </w:rPr>
        <w:t xml:space="preserve">Figure </w:t>
      </w:r>
      <w:r w:rsidRPr="006231B9">
        <w:rPr>
          <w:rFonts w:ascii="Arial" w:hAnsi="Arial" w:cs="Arial"/>
          <w:color w:val="auto"/>
          <w:sz w:val="22"/>
          <w:szCs w:val="22"/>
        </w:rPr>
        <w:fldChar w:fldCharType="begin"/>
      </w:r>
      <w:r w:rsidRPr="006231B9">
        <w:rPr>
          <w:rFonts w:ascii="Arial" w:hAnsi="Arial" w:cs="Arial"/>
          <w:color w:val="auto"/>
          <w:sz w:val="22"/>
          <w:szCs w:val="22"/>
        </w:rPr>
        <w:instrText xml:space="preserve"> SEQ Figure \* ARABIC </w:instrText>
      </w:r>
      <w:r w:rsidRPr="006231B9">
        <w:rPr>
          <w:rFonts w:ascii="Arial" w:hAnsi="Arial" w:cs="Arial"/>
          <w:color w:val="auto"/>
          <w:sz w:val="22"/>
          <w:szCs w:val="22"/>
        </w:rPr>
        <w:fldChar w:fldCharType="separate"/>
      </w:r>
      <w:r w:rsidRPr="006231B9">
        <w:rPr>
          <w:rFonts w:ascii="Arial" w:hAnsi="Arial" w:cs="Arial"/>
          <w:noProof/>
          <w:color w:val="auto"/>
          <w:sz w:val="22"/>
          <w:szCs w:val="22"/>
        </w:rPr>
        <w:t>1</w:t>
      </w:r>
      <w:r w:rsidRPr="006231B9">
        <w:rPr>
          <w:rFonts w:ascii="Arial" w:hAnsi="Arial" w:cs="Arial"/>
          <w:color w:val="auto"/>
          <w:sz w:val="22"/>
          <w:szCs w:val="22"/>
        </w:rPr>
        <w:fldChar w:fldCharType="end"/>
      </w:r>
      <w:r w:rsidRPr="006231B9">
        <w:rPr>
          <w:rFonts w:ascii="Arial" w:hAnsi="Arial" w:cs="Arial"/>
          <w:color w:val="auto"/>
          <w:sz w:val="22"/>
          <w:szCs w:val="22"/>
        </w:rPr>
        <w:t>: Rich Picture of the Lewis Blackman failure-to-rescue system (author-developed from the case evidence and systems literature).</w:t>
      </w:r>
      <w:bookmarkEnd w:id="4"/>
    </w:p>
    <w:p w14:paraId="09D84AF0" w14:textId="67F69900" w:rsidR="00907CC6"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Figure 1 locates the case in the space of an interdependent system formed by family concern; bedside monitoring, junior appraisal; drug and monitoring; attending supervision; escalation; safety culture and governance. There is a risk-compounding loop when anchoring interpretation on an initial diagnosis, hierarchy silences questioning and tardy escalation permits further decline. Conte and Davidson (20</w:t>
      </w:r>
      <w:r w:rsidR="000E23E0" w:rsidRPr="006231B9">
        <w:rPr>
          <w:rFonts w:ascii="Arial" w:hAnsi="Arial" w:cs="Arial"/>
          <w:lang w:eastAsia="en-GB"/>
        </w:rPr>
        <w:t>20</w:t>
      </w:r>
      <w:r w:rsidRPr="006231B9">
        <w:rPr>
          <w:rFonts w:ascii="Arial" w:hAnsi="Arial" w:cs="Arial"/>
          <w:lang w:eastAsia="en-GB"/>
        </w:rPr>
        <w:t>) describe Rich Pictures as ‘systems-thinking tools that enable nonlinear representation of a situation; their research study also demonstrates that it is the guided attribution of meaning that creates value, not analysing the image as if it were an objective dataset. Figure 1 is thus a synthesis based on the available evidence, not</w:t>
      </w:r>
      <w:r w:rsidR="006D0C85" w:rsidRPr="006231B9">
        <w:rPr>
          <w:rFonts w:ascii="Arial" w:hAnsi="Arial" w:cs="Arial"/>
          <w:lang w:eastAsia="en-GB"/>
        </w:rPr>
        <w:t xml:space="preserve"> a reconstruction of undocumented events</w:t>
      </w:r>
      <w:r w:rsidRPr="006231B9">
        <w:rPr>
          <w:rFonts w:ascii="Arial" w:hAnsi="Arial" w:cs="Arial"/>
          <w:lang w:eastAsia="en-GB"/>
        </w:rPr>
        <w:t>.</w:t>
      </w:r>
    </w:p>
    <w:p w14:paraId="5364B45D" w14:textId="739010ED" w:rsidR="00E02C0E" w:rsidRPr="006231B9" w:rsidRDefault="00A9508B" w:rsidP="006231B9">
      <w:pPr>
        <w:spacing w:before="120" w:after="120" w:line="360" w:lineRule="auto"/>
        <w:contextualSpacing/>
        <w:rPr>
          <w:rFonts w:ascii="Arial" w:hAnsi="Arial" w:cs="Arial"/>
          <w:lang w:eastAsia="en-GB"/>
        </w:rPr>
      </w:pPr>
      <w:bookmarkStart w:id="5" w:name="_Toc237333380"/>
      <w:r w:rsidRPr="006231B9">
        <w:rPr>
          <w:rFonts w:ascii="Arial" w:hAnsi="Arial" w:cs="Arial"/>
        </w:rPr>
        <w:t xml:space="preserve">Table </w:t>
      </w:r>
      <w:r w:rsidRPr="006231B9">
        <w:rPr>
          <w:rFonts w:ascii="Arial" w:hAnsi="Arial" w:cs="Arial"/>
        </w:rPr>
        <w:fldChar w:fldCharType="begin"/>
      </w:r>
      <w:r w:rsidRPr="006231B9">
        <w:rPr>
          <w:rFonts w:ascii="Arial" w:hAnsi="Arial" w:cs="Arial"/>
        </w:rPr>
        <w:instrText xml:space="preserve"> SEQ Table \* ARABIC </w:instrText>
      </w:r>
      <w:r w:rsidRPr="006231B9">
        <w:rPr>
          <w:rFonts w:ascii="Arial" w:hAnsi="Arial" w:cs="Arial"/>
        </w:rPr>
        <w:fldChar w:fldCharType="separate"/>
      </w:r>
      <w:r w:rsidR="004E1997" w:rsidRPr="006231B9">
        <w:rPr>
          <w:rFonts w:ascii="Arial" w:hAnsi="Arial" w:cs="Arial"/>
          <w:noProof/>
        </w:rPr>
        <w:t>1</w:t>
      </w:r>
      <w:r w:rsidRPr="006231B9">
        <w:rPr>
          <w:rFonts w:ascii="Arial" w:hAnsi="Arial" w:cs="Arial"/>
        </w:rPr>
        <w:fldChar w:fldCharType="end"/>
      </w:r>
      <w:r w:rsidRPr="006231B9">
        <w:rPr>
          <w:rFonts w:ascii="Arial" w:hAnsi="Arial" w:cs="Arial"/>
        </w:rPr>
        <w:t>: CATWOE-informed formulation of the Lewis Blackman case</w:t>
      </w:r>
      <w:bookmarkEnd w:id="5"/>
    </w:p>
    <w:tbl>
      <w:tblPr>
        <w:tblStyle w:val="TableGrid"/>
        <w:tblW w:w="0" w:type="auto"/>
        <w:jc w:val="center"/>
        <w:tblLook w:val="04A0" w:firstRow="1" w:lastRow="0" w:firstColumn="1" w:lastColumn="0" w:noHBand="0" w:noVBand="1"/>
      </w:tblPr>
      <w:tblGrid>
        <w:gridCol w:w="3001"/>
        <w:gridCol w:w="3007"/>
        <w:gridCol w:w="3008"/>
      </w:tblGrid>
      <w:tr w:rsidR="00CD770F" w:rsidRPr="006231B9" w14:paraId="4C97E3BE" w14:textId="77777777" w:rsidTr="00E02C0E">
        <w:trPr>
          <w:cantSplit/>
          <w:tblHeader/>
          <w:jc w:val="center"/>
        </w:trPr>
        <w:tc>
          <w:tcPr>
            <w:tcW w:w="3079" w:type="dxa"/>
          </w:tcPr>
          <w:p w14:paraId="59682348" w14:textId="77777777" w:rsidR="00907CC6" w:rsidRPr="006231B9" w:rsidRDefault="00A9508B" w:rsidP="006231B9">
            <w:pPr>
              <w:spacing w:before="120" w:after="120" w:line="360" w:lineRule="auto"/>
              <w:contextualSpacing/>
              <w:rPr>
                <w:rFonts w:ascii="Arial" w:hAnsi="Arial" w:cs="Arial"/>
                <w:lang w:eastAsia="en-GB"/>
              </w:rPr>
            </w:pPr>
            <w:r w:rsidRPr="006231B9">
              <w:rPr>
                <w:rFonts w:ascii="Arial" w:hAnsi="Arial" w:cs="Arial"/>
                <w:b/>
                <w:lang w:eastAsia="en-GB"/>
              </w:rPr>
              <w:t>CATWOE element</w:t>
            </w:r>
          </w:p>
        </w:tc>
        <w:tc>
          <w:tcPr>
            <w:tcW w:w="3079" w:type="dxa"/>
          </w:tcPr>
          <w:p w14:paraId="0B1E76A6" w14:textId="77777777" w:rsidR="00907CC6" w:rsidRPr="006231B9" w:rsidRDefault="00A9508B" w:rsidP="006231B9">
            <w:pPr>
              <w:spacing w:before="120" w:after="120" w:line="360" w:lineRule="auto"/>
              <w:contextualSpacing/>
              <w:rPr>
                <w:rFonts w:ascii="Arial" w:hAnsi="Arial" w:cs="Arial"/>
                <w:lang w:eastAsia="en-GB"/>
              </w:rPr>
            </w:pPr>
            <w:r w:rsidRPr="006231B9">
              <w:rPr>
                <w:rFonts w:ascii="Arial" w:hAnsi="Arial" w:cs="Arial"/>
                <w:b/>
                <w:lang w:eastAsia="en-GB"/>
              </w:rPr>
              <w:t>Case interpretation</w:t>
            </w:r>
          </w:p>
        </w:tc>
        <w:tc>
          <w:tcPr>
            <w:tcW w:w="3084" w:type="dxa"/>
          </w:tcPr>
          <w:p w14:paraId="2ABA6A97" w14:textId="77777777" w:rsidR="00907CC6" w:rsidRPr="006231B9" w:rsidRDefault="00A9508B" w:rsidP="006231B9">
            <w:pPr>
              <w:spacing w:before="120" w:after="120" w:line="360" w:lineRule="auto"/>
              <w:contextualSpacing/>
              <w:rPr>
                <w:rFonts w:ascii="Arial" w:hAnsi="Arial" w:cs="Arial"/>
                <w:lang w:eastAsia="en-GB"/>
              </w:rPr>
            </w:pPr>
            <w:r w:rsidRPr="006231B9">
              <w:rPr>
                <w:rFonts w:ascii="Arial" w:hAnsi="Arial" w:cs="Arial"/>
                <w:b/>
                <w:lang w:eastAsia="en-GB"/>
              </w:rPr>
              <w:t>Safety implication</w:t>
            </w:r>
          </w:p>
        </w:tc>
      </w:tr>
      <w:tr w:rsidR="00CD770F" w:rsidRPr="006231B9" w14:paraId="4F1D1424" w14:textId="77777777" w:rsidTr="00E02C0E">
        <w:trPr>
          <w:cantSplit/>
          <w:jc w:val="center"/>
        </w:trPr>
        <w:tc>
          <w:tcPr>
            <w:tcW w:w="3079" w:type="dxa"/>
          </w:tcPr>
          <w:p w14:paraId="7A08D566" w14:textId="77777777" w:rsidR="00754991" w:rsidRPr="006231B9" w:rsidRDefault="00A9508B" w:rsidP="006231B9">
            <w:pPr>
              <w:spacing w:before="120" w:after="120" w:line="360" w:lineRule="auto"/>
              <w:contextualSpacing/>
              <w:rPr>
                <w:rFonts w:ascii="Arial" w:hAnsi="Arial" w:cs="Arial"/>
                <w:b/>
                <w:bCs/>
                <w:i/>
                <w:iCs/>
                <w:lang w:eastAsia="en-GB"/>
              </w:rPr>
            </w:pPr>
            <w:r w:rsidRPr="006231B9">
              <w:rPr>
                <w:rFonts w:ascii="Arial" w:hAnsi="Arial" w:cs="Arial"/>
                <w:b/>
                <w:bCs/>
                <w:i/>
                <w:iCs/>
                <w:lang w:eastAsia="en-GB"/>
              </w:rPr>
              <w:t>Customers</w:t>
            </w:r>
          </w:p>
        </w:tc>
        <w:tc>
          <w:tcPr>
            <w:tcW w:w="3079" w:type="dxa"/>
          </w:tcPr>
          <w:p w14:paraId="3FEFA10B" w14:textId="77777777" w:rsidR="00754991" w:rsidRPr="006231B9" w:rsidRDefault="00A9508B" w:rsidP="006231B9">
            <w:pPr>
              <w:spacing w:before="120" w:after="120" w:line="360" w:lineRule="auto"/>
              <w:contextualSpacing/>
              <w:rPr>
                <w:rFonts w:ascii="Arial" w:hAnsi="Arial" w:cs="Arial"/>
                <w:lang w:eastAsia="en-GB"/>
              </w:rPr>
            </w:pPr>
            <w:r w:rsidRPr="006231B9">
              <w:rPr>
                <w:rFonts w:ascii="Arial" w:hAnsi="Arial" w:cs="Arial"/>
              </w:rPr>
              <w:t xml:space="preserve">Patient (Lewis Blackman) and family, </w:t>
            </w:r>
          </w:p>
        </w:tc>
        <w:tc>
          <w:tcPr>
            <w:tcW w:w="3084" w:type="dxa"/>
          </w:tcPr>
          <w:p w14:paraId="6701E78E" w14:textId="77777777" w:rsidR="00754991"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 xml:space="preserve">Avoid preventable harm and let concerns drive care. </w:t>
            </w:r>
          </w:p>
        </w:tc>
      </w:tr>
      <w:tr w:rsidR="00CD770F" w:rsidRPr="006231B9" w14:paraId="0DE1F5B2" w14:textId="77777777" w:rsidTr="00E02C0E">
        <w:trPr>
          <w:cantSplit/>
          <w:jc w:val="center"/>
        </w:trPr>
        <w:tc>
          <w:tcPr>
            <w:tcW w:w="3079" w:type="dxa"/>
          </w:tcPr>
          <w:p w14:paraId="299A95F3" w14:textId="77777777" w:rsidR="00754991" w:rsidRPr="006231B9" w:rsidRDefault="00A9508B" w:rsidP="006231B9">
            <w:pPr>
              <w:spacing w:before="120" w:after="120" w:line="360" w:lineRule="auto"/>
              <w:contextualSpacing/>
              <w:rPr>
                <w:rFonts w:ascii="Arial" w:hAnsi="Arial" w:cs="Arial"/>
                <w:b/>
                <w:bCs/>
                <w:i/>
                <w:iCs/>
                <w:lang w:eastAsia="en-GB"/>
              </w:rPr>
            </w:pPr>
            <w:r w:rsidRPr="006231B9">
              <w:rPr>
                <w:rFonts w:ascii="Arial" w:hAnsi="Arial" w:cs="Arial"/>
                <w:b/>
                <w:bCs/>
                <w:i/>
                <w:iCs/>
                <w:lang w:eastAsia="en-GB"/>
              </w:rPr>
              <w:t>Actors</w:t>
            </w:r>
          </w:p>
        </w:tc>
        <w:tc>
          <w:tcPr>
            <w:tcW w:w="3079" w:type="dxa"/>
          </w:tcPr>
          <w:p w14:paraId="2A776232" w14:textId="77777777" w:rsidR="00754991" w:rsidRPr="006231B9" w:rsidRDefault="00A9508B" w:rsidP="006231B9">
            <w:pPr>
              <w:spacing w:before="120" w:after="120" w:line="360" w:lineRule="auto"/>
              <w:contextualSpacing/>
              <w:rPr>
                <w:rFonts w:ascii="Arial" w:hAnsi="Arial" w:cs="Arial"/>
                <w:lang w:eastAsia="en-GB"/>
              </w:rPr>
            </w:pPr>
            <w:r w:rsidRPr="006231B9">
              <w:rPr>
                <w:rFonts w:ascii="Arial" w:hAnsi="Arial" w:cs="Arial"/>
              </w:rPr>
              <w:t xml:space="preserve">"On-Call" Physicians (Residents), Registered Nurses, </w:t>
            </w:r>
          </w:p>
        </w:tc>
        <w:tc>
          <w:tcPr>
            <w:tcW w:w="3084" w:type="dxa"/>
          </w:tcPr>
          <w:p w14:paraId="40FEE69D" w14:textId="77777777" w:rsidR="00754991"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 xml:space="preserve">Each role needs to link monitoring, recognising, responding and escalating. </w:t>
            </w:r>
          </w:p>
        </w:tc>
      </w:tr>
      <w:tr w:rsidR="00CD770F" w:rsidRPr="006231B9" w14:paraId="04110228" w14:textId="77777777" w:rsidTr="00E02C0E">
        <w:trPr>
          <w:cantSplit/>
          <w:jc w:val="center"/>
        </w:trPr>
        <w:tc>
          <w:tcPr>
            <w:tcW w:w="3079" w:type="dxa"/>
          </w:tcPr>
          <w:p w14:paraId="309B6D48" w14:textId="77777777" w:rsidR="00754991" w:rsidRPr="006231B9" w:rsidRDefault="00A9508B" w:rsidP="006231B9">
            <w:pPr>
              <w:spacing w:before="120" w:after="120" w:line="360" w:lineRule="auto"/>
              <w:contextualSpacing/>
              <w:rPr>
                <w:rFonts w:ascii="Arial" w:hAnsi="Arial" w:cs="Arial"/>
                <w:b/>
                <w:bCs/>
                <w:i/>
                <w:iCs/>
                <w:lang w:eastAsia="en-GB"/>
              </w:rPr>
            </w:pPr>
            <w:r w:rsidRPr="006231B9">
              <w:rPr>
                <w:rFonts w:ascii="Arial" w:hAnsi="Arial" w:cs="Arial"/>
                <w:b/>
                <w:bCs/>
                <w:i/>
                <w:iCs/>
                <w:lang w:eastAsia="en-GB"/>
              </w:rPr>
              <w:t>Transformation</w:t>
            </w:r>
          </w:p>
        </w:tc>
        <w:tc>
          <w:tcPr>
            <w:tcW w:w="3079" w:type="dxa"/>
          </w:tcPr>
          <w:p w14:paraId="55BC1ECC" w14:textId="65274D23" w:rsidR="00754991" w:rsidRPr="006231B9" w:rsidRDefault="00BC5EA5" w:rsidP="006231B9">
            <w:pPr>
              <w:spacing w:before="120" w:after="120" w:line="360" w:lineRule="auto"/>
              <w:contextualSpacing/>
              <w:rPr>
                <w:rFonts w:ascii="Arial" w:hAnsi="Arial" w:cs="Arial"/>
                <w:lang w:eastAsia="en-GB"/>
              </w:rPr>
            </w:pPr>
            <w:r w:rsidRPr="006231B9">
              <w:rPr>
                <w:rFonts w:ascii="Arial" w:hAnsi="Arial" w:cs="Arial"/>
              </w:rPr>
              <w:t xml:space="preserve">Change an inconsistent postop course where warning bells don't lead to rescue, into a reliable process that turns clinical and family concerns into swift escalation/action. </w:t>
            </w:r>
          </w:p>
        </w:tc>
        <w:tc>
          <w:tcPr>
            <w:tcW w:w="3084" w:type="dxa"/>
          </w:tcPr>
          <w:p w14:paraId="2CF6686E" w14:textId="77777777" w:rsidR="00754991"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 xml:space="preserve">Provide diverse pathways from faint signals to action. </w:t>
            </w:r>
          </w:p>
        </w:tc>
      </w:tr>
      <w:tr w:rsidR="00CD770F" w:rsidRPr="006231B9" w14:paraId="26098730" w14:textId="77777777" w:rsidTr="00E02C0E">
        <w:trPr>
          <w:cantSplit/>
          <w:jc w:val="center"/>
        </w:trPr>
        <w:tc>
          <w:tcPr>
            <w:tcW w:w="3079" w:type="dxa"/>
          </w:tcPr>
          <w:p w14:paraId="1B8C62DE" w14:textId="77777777" w:rsidR="00754991" w:rsidRPr="006231B9" w:rsidRDefault="00A9508B" w:rsidP="006231B9">
            <w:pPr>
              <w:spacing w:before="120" w:after="120" w:line="360" w:lineRule="auto"/>
              <w:contextualSpacing/>
              <w:rPr>
                <w:rFonts w:ascii="Arial" w:hAnsi="Arial" w:cs="Arial"/>
                <w:b/>
                <w:bCs/>
                <w:i/>
                <w:iCs/>
                <w:lang w:eastAsia="en-GB"/>
              </w:rPr>
            </w:pPr>
            <w:r w:rsidRPr="006231B9">
              <w:rPr>
                <w:rFonts w:ascii="Arial" w:hAnsi="Arial" w:cs="Arial"/>
                <w:b/>
                <w:bCs/>
                <w:i/>
                <w:iCs/>
                <w:lang w:eastAsia="en-GB"/>
              </w:rPr>
              <w:t>Worldview</w:t>
            </w:r>
          </w:p>
        </w:tc>
        <w:tc>
          <w:tcPr>
            <w:tcW w:w="3079" w:type="dxa"/>
          </w:tcPr>
          <w:p w14:paraId="73B9AA2C" w14:textId="6F844196" w:rsidR="00754991" w:rsidRPr="006231B9" w:rsidRDefault="006D0C85" w:rsidP="006231B9">
            <w:pPr>
              <w:spacing w:before="120" w:after="120" w:line="360" w:lineRule="auto"/>
              <w:contextualSpacing/>
              <w:rPr>
                <w:rFonts w:ascii="Arial" w:hAnsi="Arial" w:cs="Arial"/>
                <w:lang w:eastAsia="en-GB"/>
              </w:rPr>
            </w:pPr>
            <w:r w:rsidRPr="006231B9">
              <w:rPr>
                <w:rFonts w:ascii="Arial" w:hAnsi="Arial" w:cs="Arial"/>
              </w:rPr>
              <w:t>Patient safety is about interdependent system design, not just individual vigilance.</w:t>
            </w:r>
          </w:p>
        </w:tc>
        <w:tc>
          <w:tcPr>
            <w:tcW w:w="3084" w:type="dxa"/>
          </w:tcPr>
          <w:p w14:paraId="34C25DC9" w14:textId="74528A11" w:rsidR="006C6D5F" w:rsidRPr="006231B9" w:rsidRDefault="00BC5EA5" w:rsidP="006231B9">
            <w:pPr>
              <w:spacing w:before="120" w:after="120" w:line="360" w:lineRule="auto"/>
              <w:contextualSpacing/>
              <w:rPr>
                <w:rFonts w:ascii="Arial" w:hAnsi="Arial" w:cs="Arial"/>
                <w:lang w:eastAsia="en-GB"/>
              </w:rPr>
            </w:pPr>
            <w:r w:rsidRPr="006231B9">
              <w:rPr>
                <w:rFonts w:ascii="Arial" w:hAnsi="Arial" w:cs="Arial"/>
                <w:lang w:eastAsia="en-GB"/>
              </w:rPr>
              <w:t xml:space="preserve">Avoid attributing system failures to individual human error alone. </w:t>
            </w:r>
          </w:p>
          <w:p w14:paraId="1F94AEFB" w14:textId="77777777" w:rsidR="00754991" w:rsidRPr="006231B9" w:rsidRDefault="00754991" w:rsidP="006231B9">
            <w:pPr>
              <w:spacing w:before="120" w:after="120" w:line="360" w:lineRule="auto"/>
              <w:contextualSpacing/>
              <w:rPr>
                <w:rFonts w:ascii="Arial" w:hAnsi="Arial" w:cs="Arial"/>
                <w:lang w:eastAsia="en-GB"/>
              </w:rPr>
            </w:pPr>
          </w:p>
        </w:tc>
      </w:tr>
      <w:tr w:rsidR="00CD770F" w:rsidRPr="006231B9" w14:paraId="334F2141" w14:textId="77777777" w:rsidTr="00E02C0E">
        <w:trPr>
          <w:cantSplit/>
          <w:jc w:val="center"/>
        </w:trPr>
        <w:tc>
          <w:tcPr>
            <w:tcW w:w="3079" w:type="dxa"/>
          </w:tcPr>
          <w:p w14:paraId="5693F229" w14:textId="77777777" w:rsidR="00754991" w:rsidRPr="006231B9" w:rsidRDefault="00A9508B" w:rsidP="006231B9">
            <w:pPr>
              <w:spacing w:before="120" w:after="120" w:line="360" w:lineRule="auto"/>
              <w:contextualSpacing/>
              <w:rPr>
                <w:rFonts w:ascii="Arial" w:hAnsi="Arial" w:cs="Arial"/>
                <w:b/>
                <w:bCs/>
                <w:i/>
                <w:iCs/>
                <w:lang w:eastAsia="en-GB"/>
              </w:rPr>
            </w:pPr>
            <w:r w:rsidRPr="006231B9">
              <w:rPr>
                <w:rFonts w:ascii="Arial" w:hAnsi="Arial" w:cs="Arial"/>
                <w:b/>
                <w:bCs/>
                <w:i/>
                <w:iCs/>
                <w:lang w:eastAsia="en-GB"/>
              </w:rPr>
              <w:t>Owners</w:t>
            </w:r>
          </w:p>
        </w:tc>
        <w:tc>
          <w:tcPr>
            <w:tcW w:w="3079" w:type="dxa"/>
          </w:tcPr>
          <w:p w14:paraId="04BDF1CE" w14:textId="44ADA008" w:rsidR="00754991" w:rsidRPr="006231B9" w:rsidRDefault="006D0C85" w:rsidP="006231B9">
            <w:pPr>
              <w:spacing w:before="120" w:after="120" w:line="360" w:lineRule="auto"/>
              <w:contextualSpacing/>
              <w:rPr>
                <w:rFonts w:ascii="Arial" w:hAnsi="Arial" w:cs="Arial"/>
                <w:lang w:eastAsia="en-GB"/>
              </w:rPr>
            </w:pPr>
            <w:r w:rsidRPr="006231B9">
              <w:rPr>
                <w:rFonts w:ascii="Arial" w:hAnsi="Arial" w:cs="Arial"/>
              </w:rPr>
              <w:t>Hospital executives</w:t>
            </w:r>
          </w:p>
        </w:tc>
        <w:tc>
          <w:tcPr>
            <w:tcW w:w="3084" w:type="dxa"/>
          </w:tcPr>
          <w:p w14:paraId="05F21653" w14:textId="77777777" w:rsidR="00754991"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 xml:space="preserve">They have authority over policy, staffing, training, accountability and escalation protocols. </w:t>
            </w:r>
          </w:p>
        </w:tc>
      </w:tr>
      <w:tr w:rsidR="00CD770F" w:rsidRPr="006231B9" w14:paraId="55F2554B" w14:textId="77777777" w:rsidTr="00E02C0E">
        <w:trPr>
          <w:cantSplit/>
          <w:jc w:val="center"/>
        </w:trPr>
        <w:tc>
          <w:tcPr>
            <w:tcW w:w="3079" w:type="dxa"/>
          </w:tcPr>
          <w:p w14:paraId="7DBB8FCE" w14:textId="77777777" w:rsidR="00754991" w:rsidRPr="006231B9" w:rsidRDefault="00A9508B" w:rsidP="006231B9">
            <w:pPr>
              <w:spacing w:before="120" w:after="120" w:line="360" w:lineRule="auto"/>
              <w:contextualSpacing/>
              <w:rPr>
                <w:rFonts w:ascii="Arial" w:hAnsi="Arial" w:cs="Arial"/>
                <w:b/>
                <w:bCs/>
                <w:i/>
                <w:iCs/>
                <w:lang w:eastAsia="en-GB"/>
              </w:rPr>
            </w:pPr>
            <w:r w:rsidRPr="006231B9">
              <w:rPr>
                <w:rFonts w:ascii="Arial" w:hAnsi="Arial" w:cs="Arial"/>
                <w:b/>
                <w:bCs/>
                <w:i/>
                <w:iCs/>
                <w:lang w:eastAsia="en-GB"/>
              </w:rPr>
              <w:t>Environmental constraints</w:t>
            </w:r>
          </w:p>
        </w:tc>
        <w:tc>
          <w:tcPr>
            <w:tcW w:w="3079" w:type="dxa"/>
          </w:tcPr>
          <w:p w14:paraId="1F88BFD5" w14:textId="7FE80C22" w:rsidR="00754991" w:rsidRPr="006231B9" w:rsidRDefault="00D7068A" w:rsidP="006231B9">
            <w:pPr>
              <w:spacing w:before="120" w:after="120" w:line="360" w:lineRule="auto"/>
              <w:contextualSpacing/>
              <w:rPr>
                <w:rFonts w:ascii="Arial" w:hAnsi="Arial" w:cs="Arial"/>
                <w:lang w:eastAsia="en-GB"/>
              </w:rPr>
            </w:pPr>
            <w:r w:rsidRPr="006231B9">
              <w:rPr>
                <w:rFonts w:ascii="Arial" w:hAnsi="Arial" w:cs="Arial"/>
              </w:rPr>
              <w:t>Uncertainty in the clinical setting, workload, resource constraints, hierarchy, technology, and personnel and regulations.</w:t>
            </w:r>
          </w:p>
        </w:tc>
        <w:tc>
          <w:tcPr>
            <w:tcW w:w="3084" w:type="dxa"/>
          </w:tcPr>
          <w:p w14:paraId="5C341ABB" w14:textId="77777777" w:rsidR="00754991"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Safeguards need to work even when times are tough and feel fair to patients/families.</w:t>
            </w:r>
          </w:p>
        </w:tc>
      </w:tr>
    </w:tbl>
    <w:p w14:paraId="4CBF0486" w14:textId="39C27B04" w:rsidR="00907CC6"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 xml:space="preserve">The CATWOE described in Table 1 helps explain accountability and change. Worldview is safety is created by interdependent system components while hospital executive and clinical governance leaders are owners with the power to change policy, staffing, supervision and escalation. Constraints include uncertainty, workload, technology, training level, hierarchy and limited resources. More </w:t>
      </w:r>
      <w:r w:rsidR="00D7068A" w:rsidRPr="006231B9">
        <w:rPr>
          <w:rFonts w:ascii="Arial" w:hAnsi="Arial" w:cs="Arial"/>
          <w:lang w:eastAsia="en-GB"/>
        </w:rPr>
        <w:t>immediate</w:t>
      </w:r>
      <w:r w:rsidRPr="006231B9">
        <w:rPr>
          <w:rFonts w:ascii="Arial" w:hAnsi="Arial" w:cs="Arial"/>
          <w:lang w:eastAsia="en-GB"/>
        </w:rPr>
        <w:t xml:space="preserve"> governance failures were local organisational</w:t>
      </w:r>
      <w:r w:rsidRPr="006231B9">
        <w:rPr>
          <w:rFonts w:ascii="Arial" w:hAnsi="Arial" w:cs="Arial"/>
          <w:lang w:eastAsia="en-GB"/>
        </w:rPr>
        <w:t xml:space="preserve"> failures but ultimately state governance changed the rules. The Lewis Blackman Hospital Patient Safety Act mandates identification of trainees, notification of attending responsibility, nurse support to contact the attending, and assurance of a mechanism available at all times to get quick help with unresolved medical- care issues (South Carolina General Assembly, 2005). The law allows for structural interpretation but does not demonstrate that any particular intervention would have changed the outcome.</w:t>
      </w:r>
    </w:p>
    <w:p w14:paraId="571D6032" w14:textId="77777777" w:rsidR="00E02C0E" w:rsidRPr="006231B9" w:rsidRDefault="00A9508B" w:rsidP="006231B9">
      <w:pPr>
        <w:pStyle w:val="Heading1"/>
        <w:rPr>
          <w:sz w:val="22"/>
          <w:szCs w:val="22"/>
        </w:rPr>
      </w:pPr>
      <w:bookmarkStart w:id="6" w:name="_Toc237333328"/>
      <w:r w:rsidRPr="006231B9">
        <w:rPr>
          <w:rFonts w:eastAsia="Arial"/>
          <w:sz w:val="22"/>
          <w:szCs w:val="22"/>
        </w:rPr>
        <w:t>3. CENTRALISATION OR DECENTRALISATION WITHIN THE CASE STUDY</w:t>
      </w:r>
      <w:bookmarkEnd w:id="6"/>
    </w:p>
    <w:p w14:paraId="1D003E00" w14:textId="6F4E934E" w:rsidR="00E02C0E"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 xml:space="preserve">On its face, the Lewis Blackman </w:t>
      </w:r>
      <w:r w:rsidR="00D7068A" w:rsidRPr="006231B9">
        <w:rPr>
          <w:rFonts w:ascii="Arial" w:hAnsi="Arial" w:cs="Arial"/>
          <w:lang w:eastAsia="en-GB"/>
        </w:rPr>
        <w:t>case</w:t>
      </w:r>
      <w:r w:rsidRPr="006231B9">
        <w:rPr>
          <w:rFonts w:ascii="Arial" w:hAnsi="Arial" w:cs="Arial"/>
          <w:lang w:eastAsia="en-GB"/>
        </w:rPr>
        <w:t xml:space="preserve"> is most strongly argued as an example of </w:t>
      </w:r>
      <w:r w:rsidR="00AE1E63" w:rsidRPr="006231B9">
        <w:rPr>
          <w:rFonts w:ascii="Arial" w:hAnsi="Arial" w:cs="Arial"/>
          <w:lang w:eastAsia="en-GB"/>
        </w:rPr>
        <w:t xml:space="preserve">clinically centralised hierarchy </w:t>
      </w:r>
      <w:r w:rsidRPr="006231B9">
        <w:rPr>
          <w:rFonts w:ascii="Arial" w:hAnsi="Arial" w:cs="Arial"/>
          <w:lang w:eastAsia="en-GB"/>
        </w:rPr>
        <w:t>with decentralised execution of tasks. From a functional standpoint, though, the escalation path clearly documents that diagnosis and treatment decision-making power remained centralised</w:t>
      </w:r>
      <w:r w:rsidRPr="006231B9">
        <w:rPr>
          <w:rFonts w:ascii="Arial" w:hAnsi="Arial" w:cs="Arial"/>
          <w:lang w:eastAsia="en-GB"/>
        </w:rPr>
        <w:t xml:space="preserve"> in the medical hierarchy as nurses and junior trainees executed surveillance tasks without a reciprocal, reliable method to gain an alternative senior-level reaction (Acquaviva, Haskell and Johnson, 2013; Patient Safety Movement Foundation, </w:t>
      </w:r>
      <w:r w:rsidR="000E23E0" w:rsidRPr="006231B9">
        <w:rPr>
          <w:rFonts w:ascii="Arial" w:hAnsi="Arial" w:cs="Arial"/>
          <w:lang w:eastAsia="en-GB"/>
        </w:rPr>
        <w:t>n.d.</w:t>
      </w:r>
      <w:r w:rsidRPr="006231B9">
        <w:rPr>
          <w:rFonts w:ascii="Arial" w:hAnsi="Arial" w:cs="Arial"/>
          <w:lang w:eastAsia="en-GB"/>
        </w:rPr>
        <w:t>). During a postoperative decline, for example, clearly defining attending physician accountability can help decrease ambiguity. Instead, the issue at hand was not the senior authority itself, but the lack of a reliable link between the concern at the bedside and that authority.</w:t>
      </w:r>
    </w:p>
    <w:p w14:paraId="6985304D" w14:textId="68B8FDA1" w:rsidR="00961C0C"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 xml:space="preserve">Over-reliance on escalation for permission can result in catastrophic delay. This case study highlighted ongoing family distress and decline with no effective pathway to an attending physician (Acquaviva, Haskell and Johnson, 2013; Patient Safety Movement Foundation, </w:t>
      </w:r>
      <w:r w:rsidR="000E23E0" w:rsidRPr="006231B9">
        <w:rPr>
          <w:rFonts w:ascii="Arial" w:hAnsi="Arial" w:cs="Arial"/>
          <w:lang w:eastAsia="en-GB"/>
        </w:rPr>
        <w:t>n.d.</w:t>
      </w:r>
      <w:r w:rsidRPr="006231B9">
        <w:rPr>
          <w:rFonts w:ascii="Arial" w:hAnsi="Arial" w:cs="Arial"/>
          <w:lang w:eastAsia="en-GB"/>
        </w:rPr>
        <w:t>). Lainidi</w:t>
      </w:r>
      <w:r w:rsidRPr="006231B9">
        <w:rPr>
          <w:rFonts w:ascii="Arial" w:hAnsi="Arial" w:cs="Arial"/>
          <w:lang w:eastAsia="en-GB"/>
        </w:rPr>
        <w:t xml:space="preserve"> et al. (2023) systematically reviewed 76 healthcare studies, representing 122,009 participants and found significant conceptual and methodological inconsistency across voice and silence research, much of which was cross-sectional and self-reported; speaking up therefore should not be considered as merely an individual act independent of contextual factors. </w:t>
      </w:r>
      <w:r w:rsidR="00961C0C" w:rsidRPr="006231B9">
        <w:rPr>
          <w:rFonts w:ascii="Arial" w:hAnsi="Arial" w:cs="Arial"/>
          <w:lang w:eastAsia="en-GB"/>
        </w:rPr>
        <w:t>Weiss, Morrison and Szyld's (2023) experimental work showed that perceptions of psychological safety moderated reception to lower status clinicians' voice. Applied to Lewis, those closest to the patient may have had information of importance but lacked an accepted method to convert that to power-based decision-making.</w:t>
      </w:r>
    </w:p>
    <w:p w14:paraId="081959EA" w14:textId="149C2C1C" w:rsidR="00CB3036" w:rsidRPr="006231B9" w:rsidRDefault="00961C0C" w:rsidP="006231B9">
      <w:pPr>
        <w:spacing w:before="120" w:after="120" w:line="360" w:lineRule="auto"/>
        <w:contextualSpacing/>
        <w:rPr>
          <w:rFonts w:ascii="Arial" w:hAnsi="Arial" w:cs="Arial"/>
          <w:lang w:eastAsia="en-GB"/>
        </w:rPr>
      </w:pPr>
      <w:r w:rsidRPr="006231B9">
        <w:rPr>
          <w:rFonts w:ascii="Arial" w:hAnsi="Arial" w:cs="Arial"/>
          <w:lang w:eastAsia="en-GB"/>
        </w:rPr>
        <w:t>Decentralisation can help limit this lag by devolving decision rights to where care is delivered. For example, South Carolina's post-case legislation shifts defined escalation rights: hospitals must inform about the role of trainees and who the attending is; nurses must initiate or help page the attending physician (or designee) when asked; and there must be some mechanism available at all times that can rapidly escalate to someone who can help if concerns are not resolved (South Carolina General Assembly, 2005). This is not unfettered treatment authority; it is bounded decentralisation</w:t>
      </w:r>
      <w:r w:rsidR="00E02C0E" w:rsidRPr="006231B9">
        <w:rPr>
          <w:rFonts w:ascii="Arial" w:hAnsi="Arial" w:cs="Arial"/>
          <w:lang w:eastAsia="en-GB"/>
        </w:rPr>
        <w:t xml:space="preserve">. </w:t>
      </w:r>
    </w:p>
    <w:p w14:paraId="4F9B2BD7" w14:textId="77777777" w:rsidR="00E02C0E"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Hospital-governance literature shows mixed findings around decision authority. Whilst greater authority may improve responsiveness, impact is affected by mechanisms of accountability and contextual factors (Sadegh Tabrizi, Azami Aghdash and Nouri, 2021). Its benefit in this context is autonomy to review directly; its hazard is duplication of effort or role conflict in the absence of clearly delineated escalation and response responsibilities.</w:t>
      </w:r>
    </w:p>
    <w:p w14:paraId="0EEDBC0A" w14:textId="3308F1F9" w:rsidR="00E02C0E"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Total decentralisation</w:t>
      </w:r>
      <w:r w:rsidRPr="006231B9">
        <w:rPr>
          <w:rFonts w:ascii="Arial" w:hAnsi="Arial" w:cs="Arial"/>
          <w:lang w:eastAsia="en-GB"/>
        </w:rPr>
        <w:t xml:space="preserve"> comes with its own risks. Permitting autonomy at the micro- level for teams to make decisions about treatment protocols, monitoring thresholds, or medication classes may simply open the floodgates for additional variability and conflicting decisions. Research by Francis- Auton et al. (2024) employed mixed methods to realist evaluate conditions that enabled large- system change and discovered four main enablers: an authorising environment, actionable and timely data, dedicated and decentralised</w:t>
      </w:r>
      <w:r w:rsidRPr="006231B9">
        <w:rPr>
          <w:rFonts w:ascii="Arial" w:hAnsi="Arial" w:cs="Arial"/>
          <w:lang w:eastAsia="en-GB"/>
        </w:rPr>
        <w:t xml:space="preserve"> leadership/distributed decision-making, and a culture of learning. Further elaborating on distributed decision-making, Fournier, Moisan and Lagacé (2022) noted that performance management systems embraced shared leadership when both goals and coordination were decentralised. Both lines of literature suggest an ideal hybrid model for this case: Macro- level strategy, standards, and accountability could be centralised while ensuring that day- to- day problem solving and escalation are decentralised</w:t>
      </w:r>
      <w:r w:rsidRPr="006231B9">
        <w:rPr>
          <w:rFonts w:ascii="Arial" w:hAnsi="Arial" w:cs="Arial"/>
          <w:lang w:eastAsia="en-GB"/>
        </w:rPr>
        <w:t xml:space="preserve">. Framing the problem this way leads us to the important design question of where to draw decision boundaries instead of which ideology is better. The governance challenge with that design would be to ensure a distributed trigger does not become a distributed responsibility gap; each activation of the trigger must have a named responder, a </w:t>
      </w:r>
      <w:r w:rsidR="00592B1C" w:rsidRPr="006231B9">
        <w:rPr>
          <w:rFonts w:ascii="Arial" w:hAnsi="Arial" w:cs="Arial"/>
          <w:lang w:eastAsia="en-GB"/>
        </w:rPr>
        <w:t>time-dependent</w:t>
      </w:r>
      <w:r w:rsidRPr="006231B9">
        <w:rPr>
          <w:rFonts w:ascii="Arial" w:hAnsi="Arial" w:cs="Arial"/>
          <w:lang w:eastAsia="en-GB"/>
        </w:rPr>
        <w:t xml:space="preserve"> response standard, and documented resolution.</w:t>
      </w:r>
    </w:p>
    <w:p w14:paraId="51537272" w14:textId="2561190C" w:rsidR="00E02C0E"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Ideally, for crisis management centralised</w:t>
      </w:r>
      <w:r w:rsidRPr="006231B9">
        <w:rPr>
          <w:rFonts w:ascii="Arial" w:hAnsi="Arial" w:cs="Arial"/>
          <w:lang w:eastAsia="en-GB"/>
        </w:rPr>
        <w:t xml:space="preserve"> command should have been strong on assuring identifiable attending oversight but weak on allowing conventional chains of command to monopolise access to that oversight. Olsen et al</w:t>
      </w:r>
      <w:r w:rsidR="000E23E0" w:rsidRPr="006231B9">
        <w:rPr>
          <w:rFonts w:ascii="Arial" w:hAnsi="Arial" w:cs="Arial"/>
          <w:lang w:eastAsia="en-GB"/>
        </w:rPr>
        <w:t>.</w:t>
      </w:r>
      <w:r w:rsidRPr="006231B9">
        <w:rPr>
          <w:rFonts w:ascii="Arial" w:hAnsi="Arial" w:cs="Arial"/>
          <w:lang w:eastAsia="en-GB"/>
        </w:rPr>
        <w:t xml:space="preserve"> (2023) saw omission events drop from 40% pre implementation to 20% and then 11% after implementation and maturation of a rapid response system (p</w:t>
      </w:r>
      <w:r w:rsidR="00D7068A" w:rsidRPr="006231B9">
        <w:rPr>
          <w:rFonts w:ascii="Arial" w:hAnsi="Arial" w:cs="Arial"/>
          <w:lang w:eastAsia="en-GB"/>
        </w:rPr>
        <w:t xml:space="preserve"> </w:t>
      </w:r>
      <w:r w:rsidRPr="006231B9">
        <w:rPr>
          <w:rFonts w:ascii="Arial" w:hAnsi="Arial" w:cs="Arial"/>
          <w:lang w:eastAsia="en-GB"/>
        </w:rPr>
        <w:t>=</w:t>
      </w:r>
      <w:r w:rsidR="00D7068A" w:rsidRPr="006231B9">
        <w:rPr>
          <w:rFonts w:ascii="Arial" w:hAnsi="Arial" w:cs="Arial"/>
          <w:lang w:eastAsia="en-GB"/>
        </w:rPr>
        <w:t xml:space="preserve"> </w:t>
      </w:r>
      <w:r w:rsidRPr="006231B9">
        <w:rPr>
          <w:rFonts w:ascii="Arial" w:hAnsi="Arial" w:cs="Arial"/>
          <w:lang w:eastAsia="en-GB"/>
        </w:rPr>
        <w:t>0.01) in a Norwegian gastrointestinal-surgery mortality review; complete vital sign documentation and intensivist consultation also improved. While their decade-long observational study design does not allow cause to be ascribed to the system alone, it provides evidence that escalation structures can be quantified by using process and outcome measures.</w:t>
      </w:r>
    </w:p>
    <w:p w14:paraId="095A5CB4" w14:textId="161A2C41" w:rsidR="00E02C0E" w:rsidRPr="006231B9" w:rsidRDefault="00A9508B" w:rsidP="006231B9">
      <w:pPr>
        <w:spacing w:before="120" w:after="120" w:line="360" w:lineRule="auto"/>
        <w:contextualSpacing/>
        <w:rPr>
          <w:rFonts w:ascii="Arial" w:hAnsi="Arial" w:cs="Arial"/>
          <w:lang w:eastAsia="en-GB"/>
        </w:rPr>
      </w:pPr>
      <w:r w:rsidRPr="006231B9">
        <w:rPr>
          <w:rFonts w:ascii="Arial" w:hAnsi="Arial" w:cs="Arial"/>
          <w:lang w:eastAsia="en-GB"/>
        </w:rPr>
        <w:t>A hybrid design is therefore optimal. Centralisation</w:t>
      </w:r>
      <w:r w:rsidRPr="006231B9">
        <w:rPr>
          <w:rFonts w:ascii="Arial" w:hAnsi="Arial" w:cs="Arial"/>
          <w:lang w:eastAsia="en-GB"/>
        </w:rPr>
        <w:t xml:space="preserve"> should provide non-negotiable standards for staffing accountability, credentialling, training, data definitions and ownership of unknown risk. Decentralisation should ensure the right to question, request senior review, and activate rescue is never delegated to the authority which may be challenged. Positive percentages on the AHRQ tools like 55% staffing and work pace or 64% response to error capture organisational</w:t>
      </w:r>
      <w:r w:rsidRPr="006231B9">
        <w:rPr>
          <w:rFonts w:ascii="Arial" w:hAnsi="Arial" w:cs="Arial"/>
          <w:lang w:eastAsia="en-GB"/>
        </w:rPr>
        <w:t xml:space="preserve"> dimensions that can be measured (Tyler et al., 2024). Associations between selected human factors like management support, feedback, handoffs and comfort speaking up and adverse events were reported by Hafezi et al. (2022) in a cross-sectional survey of 338 nurses. However, causation should not be inferred from these observational studies.</w:t>
      </w:r>
      <w:r w:rsidR="00F61CFB" w:rsidRPr="006231B9">
        <w:rPr>
          <w:rFonts w:ascii="Arial" w:hAnsi="Arial" w:cs="Arial"/>
          <w:lang w:eastAsia="en-GB"/>
        </w:rPr>
        <w:t xml:space="preserve"> </w:t>
      </w:r>
      <w:r w:rsidRPr="006231B9">
        <w:rPr>
          <w:rFonts w:ascii="Arial" w:hAnsi="Arial" w:cs="Arial"/>
          <w:lang w:eastAsia="en-GB"/>
        </w:rPr>
        <w:t>Review of oversight should therefore examine actual escalation patterns as well as formal authority delegations.</w:t>
      </w:r>
    </w:p>
    <w:p w14:paraId="6AA31E55" w14:textId="77777777" w:rsidR="00E02C0E" w:rsidRPr="006231B9" w:rsidRDefault="00A9508B" w:rsidP="006231B9">
      <w:pPr>
        <w:pStyle w:val="Heading1"/>
        <w:rPr>
          <w:sz w:val="22"/>
          <w:szCs w:val="22"/>
        </w:rPr>
      </w:pPr>
      <w:bookmarkStart w:id="7" w:name="_Toc237333329"/>
      <w:r w:rsidRPr="006231B9">
        <w:rPr>
          <w:rFonts w:eastAsia="Arial"/>
          <w:sz w:val="22"/>
          <w:szCs w:val="22"/>
        </w:rPr>
        <w:t>4. LEADERSHIP THEORIES AND APPLICATION TO THE CASE STUDY</w:t>
      </w:r>
      <w:bookmarkEnd w:id="7"/>
    </w:p>
    <w:p w14:paraId="0ECFA4E2" w14:textId="54AFBDFD" w:rsidR="00E02C0E" w:rsidRPr="006231B9" w:rsidRDefault="00A9508B" w:rsidP="006231B9">
      <w:pPr>
        <w:spacing w:before="120" w:after="120" w:line="360" w:lineRule="auto"/>
        <w:contextualSpacing/>
        <w:rPr>
          <w:rFonts w:ascii="Arial" w:hAnsi="Arial" w:cs="Arial"/>
          <w:highlight w:val="yellow"/>
        </w:rPr>
      </w:pPr>
      <w:r w:rsidRPr="006231B9">
        <w:rPr>
          <w:rFonts w:ascii="Arial" w:hAnsi="Arial" w:cs="Arial"/>
        </w:rPr>
        <w:t>Leadership theories are frameworks through which we can understand how structure becomes behaviour; the evidence we have does not suggest hospital leaders intentionally adopted a specific leadership theory. Transformational leadership articulates common purpose, role modelling, empowerment and challenging mindsets. Ystaas et al. (2023) reviewed 23 studies, finding broadly positive correlations with nursing work-environment outcomes (such as empowerment, commitment, job satisfaction). Althobaiti</w:t>
      </w:r>
      <w:r w:rsidRPr="006231B9">
        <w:rPr>
          <w:rFonts w:ascii="Arial" w:hAnsi="Arial" w:cs="Arial"/>
        </w:rPr>
        <w:t xml:space="preserve"> (2026) conducted a similar analysis on 12 quantitative studies and concluded that transformational, ethical or transactional leadership was positively correlated with safety-culture constructs like teamwork, communication and learning behaviours; most reviewed studies were cross-sectional, however, limiting conclusions about causation. </w:t>
      </w:r>
      <w:r w:rsidR="00961C0C" w:rsidRPr="006231B9">
        <w:rPr>
          <w:rFonts w:ascii="Arial" w:hAnsi="Arial" w:cs="Arial"/>
        </w:rPr>
        <w:t>In Lewis's case, transformational leadership could have acknowledged nurses' and family concerns and safety as a team value.</w:t>
      </w:r>
    </w:p>
    <w:p w14:paraId="4EF52B32" w14:textId="09BB8F49" w:rsidR="008A303B" w:rsidRPr="006231B9" w:rsidRDefault="004E1997" w:rsidP="006231B9">
      <w:pPr>
        <w:spacing w:before="120" w:after="120" w:line="360" w:lineRule="auto"/>
        <w:contextualSpacing/>
        <w:rPr>
          <w:rFonts w:ascii="Arial" w:hAnsi="Arial" w:cs="Arial"/>
        </w:rPr>
      </w:pPr>
      <w:r w:rsidRPr="006231B9">
        <w:rPr>
          <w:rFonts w:ascii="Arial" w:hAnsi="Arial" w:cs="Arial"/>
        </w:rPr>
        <w:t>Transactional leadership institutes OS discipline. The problems experienced by Lewis demonstrate failures at each of these transactions: observations that were unusual/unavailable were not uniformly actionable for escalation, monitoring methods differed, and responsibility was distributed (Acquaviva, Haskell and Johnson, 2013; Patient Safety Movement Foundation, n.d.). Transactional cadences may require the nurse to escalate care after a number of failed attempts at obtaining a blood pressure, verify care is handed off to a senior colleague when defined deterioration criteria are reached, and build a compulsory action note when significant family concerns are expressed. Restivo et al. (2022) conducted a systematic review looking at healthcare leader interventions and their effect on clinician performance and compliance behaviors. The</w:t>
      </w:r>
      <w:r w:rsidR="00961C0C" w:rsidRPr="006231B9">
        <w:rPr>
          <w:rFonts w:ascii="Arial" w:hAnsi="Arial" w:cs="Arial"/>
        </w:rPr>
        <w:t xml:space="preserve">y </w:t>
      </w:r>
      <w:r w:rsidRPr="006231B9">
        <w:rPr>
          <w:rFonts w:ascii="Arial" w:hAnsi="Arial" w:cs="Arial"/>
        </w:rPr>
        <w:t>found some improvement but their evidence was mixed and largely from observational studies</w:t>
      </w:r>
      <w:r w:rsidR="00E02C0E" w:rsidRPr="006231B9">
        <w:rPr>
          <w:rFonts w:ascii="Arial" w:hAnsi="Arial" w:cs="Arial"/>
        </w:rPr>
        <w:t xml:space="preserve">. </w:t>
      </w:r>
    </w:p>
    <w:p w14:paraId="2E8706BD" w14:textId="77777777" w:rsidR="00E02C0E" w:rsidRPr="006231B9" w:rsidRDefault="00A9508B" w:rsidP="006231B9">
      <w:pPr>
        <w:spacing w:before="120" w:after="120" w:line="360" w:lineRule="auto"/>
        <w:contextualSpacing/>
        <w:rPr>
          <w:rFonts w:ascii="Arial" w:hAnsi="Arial" w:cs="Arial"/>
        </w:rPr>
      </w:pPr>
      <w:r w:rsidRPr="006231B9">
        <w:rPr>
          <w:rFonts w:ascii="Arial" w:hAnsi="Arial" w:cs="Arial"/>
        </w:rPr>
        <w:t>Rules, therefore, need to be tested like other safety interventions, instead of being assumed to be effective; too much rigidity creates a checkbox mentality. The AHRQ (2023) report also linked psychological safety to talking about diagnostic error with organisational</w:t>
      </w:r>
      <w:r w:rsidRPr="006231B9">
        <w:rPr>
          <w:rFonts w:ascii="Arial" w:hAnsi="Arial" w:cs="Arial"/>
        </w:rPr>
        <w:t xml:space="preserve"> learning, so accountability will need to continue to be coupled with safe reporting and speaking up. Transactional control would have aligned best with minimum monitoring and escalation of responsibility in Lewis's case, but would be misguided if used to force staff to comply with a working diagnosis. Benefit comes from standardising safety-critical tasks and allowing flexibility.</w:t>
      </w:r>
    </w:p>
    <w:p w14:paraId="0D1A57E1" w14:textId="095EAE06" w:rsidR="00E02C0E" w:rsidRPr="006231B9" w:rsidRDefault="00A9508B" w:rsidP="006231B9">
      <w:pPr>
        <w:spacing w:before="120" w:after="120" w:line="360" w:lineRule="auto"/>
        <w:contextualSpacing/>
        <w:rPr>
          <w:rFonts w:ascii="Arial" w:hAnsi="Arial" w:cs="Arial"/>
        </w:rPr>
      </w:pPr>
      <w:r w:rsidRPr="006231B9">
        <w:rPr>
          <w:rFonts w:ascii="Arial" w:hAnsi="Arial" w:cs="Arial"/>
        </w:rPr>
        <w:t xml:space="preserve">Situational leadership dictates change in leadership direction and support based on the urgency of the situation and the capability of the staff. A recent review found situational leadership widely implemented in nursing management literature; </w:t>
      </w:r>
      <w:r w:rsidR="00D7068A" w:rsidRPr="006231B9">
        <w:rPr>
          <w:rFonts w:ascii="Arial" w:hAnsi="Arial" w:cs="Arial"/>
        </w:rPr>
        <w:t>however,</w:t>
      </w:r>
      <w:r w:rsidRPr="006231B9">
        <w:rPr>
          <w:rFonts w:ascii="Arial" w:hAnsi="Arial" w:cs="Arial"/>
        </w:rPr>
        <w:t xml:space="preserve"> reported poor quality of reporting and lacking robust validation (Wang et al., 2024). These aspects of critical illness should decrease the threshold for senior, directive intervention. As such, leadership skill includes knowing when a situation outpaces the capability of your team, and escalating the appropriate people and expertise. This case illustrates how that shift was not reliably recognised or acted upon.</w:t>
      </w:r>
    </w:p>
    <w:p w14:paraId="46AA16B3" w14:textId="50B50514" w:rsidR="00E02C0E" w:rsidRPr="006231B9" w:rsidRDefault="00A9508B" w:rsidP="006231B9">
      <w:pPr>
        <w:spacing w:before="120" w:after="120" w:line="360" w:lineRule="auto"/>
        <w:contextualSpacing/>
        <w:rPr>
          <w:rFonts w:ascii="Arial" w:hAnsi="Arial" w:cs="Arial"/>
        </w:rPr>
      </w:pPr>
      <w:r w:rsidRPr="006231B9">
        <w:rPr>
          <w:rFonts w:ascii="Arial" w:hAnsi="Arial" w:cs="Arial"/>
        </w:rPr>
        <w:t xml:space="preserve">Distributed leadership allows leadership action to happen closest to where the information/knowledge exists; it does not provide all members of the team equal clinical authority. Fournier, Moisan and Lagacé (2022) demonstrated shared leadership can occur when performance improvement systems create coherence around aligned goals, boundary-spanning coordination and visible information, and </w:t>
      </w:r>
      <w:r w:rsidR="00874D93" w:rsidRPr="006231B9">
        <w:rPr>
          <w:rFonts w:ascii="Arial" w:hAnsi="Arial" w:cs="Arial"/>
        </w:rPr>
        <w:t>according to Francis-Auton et al. (2024), distributed decision making is vital for transformation</w:t>
      </w:r>
      <w:r w:rsidRPr="006231B9">
        <w:rPr>
          <w:rFonts w:ascii="Arial" w:hAnsi="Arial" w:cs="Arial"/>
        </w:rPr>
        <w:t>. In Lewis's case, nurses provide surveillance leadership, pharmacists offer medication-risk leadership, residents synthesise</w:t>
      </w:r>
      <w:r w:rsidRPr="006231B9">
        <w:rPr>
          <w:rFonts w:ascii="Arial" w:hAnsi="Arial" w:cs="Arial"/>
        </w:rPr>
        <w:t xml:space="preserve"> diagnostic team leadership, attending provide command of the response for serious deterioration, and family members provide insight to change from baseline. According to Correia et al. (2023), families can serve as a safety barrier when giving and receiving information and providing continuity. Through distributed leadership, Helen Haskell's request would be seen as safety information rather than just a suggestion.</w:t>
      </w:r>
    </w:p>
    <w:p w14:paraId="0635A134" w14:textId="77777777" w:rsidR="00E02C0E" w:rsidRPr="006231B9" w:rsidRDefault="00A9508B" w:rsidP="006231B9">
      <w:pPr>
        <w:spacing w:before="120" w:after="120" w:line="360" w:lineRule="auto"/>
        <w:contextualSpacing/>
        <w:rPr>
          <w:rFonts w:ascii="Arial" w:hAnsi="Arial" w:cs="Arial"/>
        </w:rPr>
      </w:pPr>
      <w:r w:rsidRPr="006231B9">
        <w:rPr>
          <w:rFonts w:ascii="Arial" w:hAnsi="Arial" w:cs="Arial"/>
        </w:rPr>
        <w:t>Psychological safety is the litmus test for whether distributed leadership is genuine or ceremonial. Lainidi et al. (2023) demonstrate healthcare voice and silence research is fraught with heterogeneous constructs and measures; therefore broad claims about the efficacy of one speaking-up intervention should be made with caution. Weiss, Morrison and Szyld</w:t>
      </w:r>
      <w:r w:rsidRPr="006231B9">
        <w:rPr>
          <w:rFonts w:ascii="Arial" w:hAnsi="Arial" w:cs="Arial"/>
        </w:rPr>
        <w:t xml:space="preserve"> (2023) found experimentally that the perceived value of a lower-ranking voice depended on psychological safety. AHRQ data explain why this variable should be assessed separately: communication openness items averaged 77% positive, while response to error items averaged 64% across hospitals that participated (Tyler et al., 2024). Note these are modern-day benchmarks, not from Lewis' hospitals. Leaders should thus be evaluated on whether concerns are heard, escalated, and remedied, not if policy merely tells</w:t>
      </w:r>
      <w:r w:rsidRPr="006231B9">
        <w:rPr>
          <w:rFonts w:ascii="Arial" w:hAnsi="Arial" w:cs="Arial"/>
        </w:rPr>
        <w:t xml:space="preserve"> staff to speak up.</w:t>
      </w:r>
    </w:p>
    <w:p w14:paraId="7A041850" w14:textId="6EBDFABA" w:rsidR="00961C0C" w:rsidRPr="006231B9" w:rsidRDefault="00A9508B" w:rsidP="006231B9">
      <w:pPr>
        <w:spacing w:before="120" w:after="120" w:line="360" w:lineRule="auto"/>
        <w:contextualSpacing/>
        <w:rPr>
          <w:rFonts w:ascii="Arial" w:hAnsi="Arial" w:cs="Arial"/>
        </w:rPr>
      </w:pPr>
      <w:r w:rsidRPr="006231B9">
        <w:rPr>
          <w:rFonts w:ascii="Arial" w:hAnsi="Arial" w:cs="Arial"/>
        </w:rPr>
        <w:t xml:space="preserve">According to the family account, Lewis's pulse-oximetry threshold was reduced, and later his monitoring was disabled in response to repeated alarms being perceived as nuisances (Patient Safety Movement Foundation, </w:t>
      </w:r>
      <w:r w:rsidR="000E23E0" w:rsidRPr="006231B9">
        <w:rPr>
          <w:rFonts w:ascii="Arial" w:hAnsi="Arial" w:cs="Arial"/>
        </w:rPr>
        <w:t>n.d.</w:t>
      </w:r>
      <w:r w:rsidRPr="006231B9">
        <w:rPr>
          <w:rFonts w:ascii="Arial" w:hAnsi="Arial" w:cs="Arial"/>
        </w:rPr>
        <w:t xml:space="preserve">). </w:t>
      </w:r>
      <w:r w:rsidR="00961C0C" w:rsidRPr="006231B9">
        <w:rPr>
          <w:rFonts w:ascii="Arial" w:hAnsi="Arial" w:cs="Arial"/>
        </w:rPr>
        <w:t>Chromik et al. (20 22) performed a review of 69 studies and determined that the majority of interventions targeted technically false alarms, fewer targeted deterioration prediction or alarm presentation; no universally applicable solution to alarm fatigue was found</w:t>
      </w:r>
      <w:r w:rsidRPr="006231B9">
        <w:rPr>
          <w:rFonts w:ascii="Arial" w:hAnsi="Arial" w:cs="Arial"/>
        </w:rPr>
        <w:t xml:space="preserve">. A proactive response would interrogate the signal, maintain safe escalation and draw upon the right expertise, rather than simply stopping nuisance alarms. </w:t>
      </w:r>
    </w:p>
    <w:p w14:paraId="52760901" w14:textId="2A3CCFFE" w:rsidR="00E02C0E" w:rsidRPr="006231B9" w:rsidRDefault="00A9508B" w:rsidP="006231B9">
      <w:pPr>
        <w:spacing w:before="120" w:after="120" w:line="360" w:lineRule="auto"/>
        <w:contextualSpacing/>
        <w:rPr>
          <w:rFonts w:ascii="Arial" w:hAnsi="Arial" w:cs="Arial"/>
        </w:rPr>
      </w:pPr>
      <w:r w:rsidRPr="006231B9">
        <w:rPr>
          <w:rFonts w:ascii="Arial" w:hAnsi="Arial" w:cs="Arial"/>
        </w:rPr>
        <w:t xml:space="preserve">Emotional intelligence plays a role in responding to challenge: Powell et al. (2024) identified improvement associated with emotional-intelligence training across 17 longitudinal studies of the healthcare workforce but noted that results may be exaggerated by methodological flaws. Leadership style, therefore, needs to be blended situationally: transformational for purpose, transactional for standards, situational leadership as risk increases, distributed for expertise and voice, and emotionally intelligent </w:t>
      </w:r>
      <w:r w:rsidRPr="006231B9">
        <w:rPr>
          <w:rFonts w:ascii="Arial" w:hAnsi="Arial" w:cs="Arial"/>
        </w:rPr>
        <w:t xml:space="preserve">in how people respond to concerns. The limited available case evidence therefore suggests leadership responded reactively at the point of crisis: concerns were raised after patient deterioration became visible, rather than </w:t>
      </w:r>
      <w:r w:rsidRPr="006231B9">
        <w:rPr>
          <w:rFonts w:ascii="Arial" w:hAnsi="Arial" w:cs="Arial"/>
        </w:rPr>
        <w:t>creating purposeful pathways in advance for escalation when trend data, family insight and senior expertise are connected.</w:t>
      </w:r>
    </w:p>
    <w:p w14:paraId="15443F49" w14:textId="77777777" w:rsidR="00E02C0E" w:rsidRPr="006231B9" w:rsidRDefault="00A9508B" w:rsidP="006231B9">
      <w:pPr>
        <w:pStyle w:val="Heading1"/>
        <w:rPr>
          <w:sz w:val="22"/>
          <w:szCs w:val="22"/>
        </w:rPr>
      </w:pPr>
      <w:bookmarkStart w:id="8" w:name="_Toc237333330"/>
      <w:r w:rsidRPr="006231B9">
        <w:rPr>
          <w:rFonts w:eastAsia="Arial"/>
          <w:sz w:val="22"/>
          <w:szCs w:val="22"/>
        </w:rPr>
        <w:t>5. IMPROVEMENT AND LESSONS LEARNED</w:t>
      </w:r>
      <w:bookmarkEnd w:id="8"/>
    </w:p>
    <w:p w14:paraId="763C97C7" w14:textId="77777777" w:rsidR="00E02C0E" w:rsidRPr="006231B9" w:rsidRDefault="00A9508B" w:rsidP="006231B9">
      <w:pPr>
        <w:spacing w:before="120" w:after="120" w:line="360" w:lineRule="auto"/>
        <w:contextualSpacing/>
        <w:rPr>
          <w:rFonts w:ascii="Arial" w:hAnsi="Arial" w:cs="Arial"/>
        </w:rPr>
      </w:pPr>
      <w:r w:rsidRPr="006231B9">
        <w:rPr>
          <w:rFonts w:ascii="Arial" w:hAnsi="Arial" w:cs="Arial"/>
        </w:rPr>
        <w:t>Priority number one for improvement is a dependable escalation framework connecting governance to the bedside response. An integrated model should employ physiological parameters with input from clinicians and patient-family concern escalation because no pathway is ideal in terms of sensitivity. Smith et al. (2022) found several behaviour</w:t>
      </w:r>
      <w:r w:rsidRPr="006231B9">
        <w:rPr>
          <w:rFonts w:ascii="Arial" w:hAnsi="Arial" w:cs="Arial"/>
        </w:rPr>
        <w:t>-change elements endorsed as acceptable and feasible by system leaders, senior clinical leaders and ward nurses to enhance recognition and responsiveness highlighting that education initiatives alone are not enough. Olsen et al. (2023) performed an observational mortality review and found omission rates dropped from 40% to 20% and finally 11% between study periods as an RRS was implemented and evolved. Although isolation of causality is not possible, the data encourages tracking of omission rates, documenta</w:t>
      </w:r>
      <w:r w:rsidRPr="006231B9">
        <w:rPr>
          <w:rFonts w:ascii="Arial" w:hAnsi="Arial" w:cs="Arial"/>
        </w:rPr>
        <w:t xml:space="preserve">tion of vital signs and specialist response. Economic evidence is lacking at this time, note </w:t>
      </w:r>
      <w:r w:rsidRPr="006231B9">
        <w:rPr>
          <w:rFonts w:ascii="Arial" w:hAnsi="Arial" w:cs="Arial"/>
        </w:rPr>
        <w:t>Subbe et al. (2023) therefore local adoption should track outcome and expense.</w:t>
      </w:r>
    </w:p>
    <w:p w14:paraId="0D979958" w14:textId="78602668" w:rsidR="00E02C0E" w:rsidRPr="006231B9" w:rsidRDefault="00A9508B" w:rsidP="006231B9">
      <w:pPr>
        <w:spacing w:before="120" w:after="120" w:line="360" w:lineRule="auto"/>
        <w:contextualSpacing/>
        <w:rPr>
          <w:rFonts w:ascii="Arial" w:hAnsi="Arial" w:cs="Arial"/>
        </w:rPr>
      </w:pPr>
      <w:r w:rsidRPr="006231B9">
        <w:rPr>
          <w:rFonts w:ascii="Arial" w:hAnsi="Arial" w:cs="Arial"/>
        </w:rPr>
        <w:t xml:space="preserve">The second missed opportunity involved communication and continuity. Characterised by multiple clinicians, shifting interpretations and duplicated unresolved concerns, the case provided the conditions necessary for fragmentation of information (Acquaviva, Haskell and Johnson, 2013; Patient Safety Movement Foundation, </w:t>
      </w:r>
      <w:r w:rsidR="000E23E0" w:rsidRPr="006231B9">
        <w:rPr>
          <w:rFonts w:ascii="Arial" w:hAnsi="Arial" w:cs="Arial"/>
        </w:rPr>
        <w:t>n.d.</w:t>
      </w:r>
      <w:r w:rsidRPr="006231B9">
        <w:rPr>
          <w:rFonts w:ascii="Arial" w:hAnsi="Arial" w:cs="Arial"/>
        </w:rPr>
        <w:t>). Evaluating a national Israeli programme</w:t>
      </w:r>
      <w:r w:rsidRPr="006231B9">
        <w:rPr>
          <w:rFonts w:ascii="Arial" w:hAnsi="Arial" w:cs="Arial"/>
        </w:rPr>
        <w:t>, Toren et al. (2022) associated success with implementation of a defined process rather than reliance on the acronym alone, highlighting team adherence, monitoring, peer learning and real-time problem solving as important factors. Ghosh, Ramamoorthy and Pottakat</w:t>
      </w:r>
      <w:r w:rsidRPr="006231B9">
        <w:rPr>
          <w:rFonts w:ascii="Arial" w:hAnsi="Arial" w:cs="Arial"/>
        </w:rPr>
        <w:t xml:space="preserve"> (2021) demonstrated improved handover performance and patient satisfaction with SBAR implementation in one unit, but their uncontrolled design limits applicability. Guidance from AHRQ has similarly described transitions of care as events where diagnostic-safety risks occur, and require both structured transfer and feedback of information (Santhosh et al., 2023).</w:t>
      </w:r>
    </w:p>
    <w:p w14:paraId="0BE275C0" w14:textId="77777777" w:rsidR="00E02C0E" w:rsidRPr="006231B9" w:rsidRDefault="00A9508B" w:rsidP="006231B9">
      <w:pPr>
        <w:spacing w:before="120" w:after="120" w:line="360" w:lineRule="auto"/>
        <w:contextualSpacing/>
        <w:rPr>
          <w:rFonts w:ascii="Arial" w:hAnsi="Arial" w:cs="Arial"/>
        </w:rPr>
      </w:pPr>
      <w:r w:rsidRPr="006231B9">
        <w:rPr>
          <w:rFonts w:ascii="Arial" w:hAnsi="Arial" w:cs="Arial"/>
        </w:rPr>
        <w:t>Thirdly, diagnostic debiasing within the workflow. Acquaviva, Haskell and Johnson (2013) take Lewis's case as a classic example of anchoring, belief perseverance and authority effects respectively. Hooftman et al. (2024) showed that serious diagnostic adverse events involved both reasoning failures and failures of communication, monitoring, task execution, and protocol compliance. Dalal et al. (2025) analysed</w:t>
      </w:r>
      <w:r w:rsidRPr="006231B9">
        <w:rPr>
          <w:rFonts w:ascii="Arial" w:hAnsi="Arial" w:cs="Arial"/>
        </w:rPr>
        <w:t xml:space="preserve"> failures across assessment, testing, and referral processes. Taken together these observations suggest that cognitive- bias training in isolation is unlikely to be effective. Diagnostic time-outs, alternative-diagnosis prompts, trend visualisation, automatic senior review after multiple abnormal observations, and forcing functions that elicit explicit use of family concern as disconfirming evidence can help break the reinforcing cycle seen in the Rich Picture.</w:t>
      </w:r>
    </w:p>
    <w:p w14:paraId="09CC03BF" w14:textId="77777777" w:rsidR="00E02C0E" w:rsidRPr="006231B9" w:rsidRDefault="00A9508B" w:rsidP="006231B9">
      <w:pPr>
        <w:spacing w:before="120" w:after="120" w:line="360" w:lineRule="auto"/>
        <w:contextualSpacing/>
        <w:rPr>
          <w:rFonts w:ascii="Arial" w:hAnsi="Arial" w:cs="Arial"/>
        </w:rPr>
      </w:pPr>
      <w:r w:rsidRPr="006231B9">
        <w:rPr>
          <w:rFonts w:ascii="Arial" w:hAnsi="Arial" w:cs="Arial"/>
        </w:rPr>
        <w:t>Lesson four is that governance should build a closed-loop learning system. South Carolina law established a set of statutory requirements designed to improve transparency and access to senior escalation (South Carolina General Assembly, 2005). But frontline data are needed to know if these safeguards translate into practice. The dashboard should include escalation calls and response times, unplanned ICU transfers, omission events, medication injury, alarm silencing, handover scores and family issues/culture</w:t>
      </w:r>
      <w:r w:rsidRPr="006231B9">
        <w:rPr>
          <w:rFonts w:ascii="Arial" w:hAnsi="Arial" w:cs="Arial"/>
        </w:rPr>
        <w:t xml:space="preserve"> surveys. One HHS OIG (2025) study found hospitals did not report half of harm events identified in its national sample and few reported events led to corrective action. AHRQ's SOPS survey asks separate questions about </w:t>
      </w:r>
      <w:r w:rsidRPr="006231B9">
        <w:rPr>
          <w:rFonts w:ascii="Arial" w:hAnsi="Arial" w:cs="Arial"/>
        </w:rPr>
        <w:t>organisational learning, communication about mistakes and reaction to error (Tyler et al., 2024). On a policy level, Pareja- Rossell et al. (2024) report that a Catalan event reporting system had logged or migrated over 127,000 incidents as of 2022 and was being used for risk mapping. The feedback loop should close with capture, analyse, act, communicate and reassess.</w:t>
      </w:r>
    </w:p>
    <w:p w14:paraId="72B86451" w14:textId="37670351" w:rsidR="00E02C0E" w:rsidRPr="006231B9" w:rsidRDefault="00A9508B" w:rsidP="006231B9">
      <w:pPr>
        <w:spacing w:before="120" w:after="120" w:line="360" w:lineRule="auto"/>
        <w:contextualSpacing/>
        <w:rPr>
          <w:rFonts w:ascii="Arial" w:hAnsi="Arial" w:cs="Arial"/>
        </w:rPr>
      </w:pPr>
      <w:r w:rsidRPr="006231B9">
        <w:rPr>
          <w:rFonts w:ascii="Arial" w:hAnsi="Arial" w:cs="Arial"/>
        </w:rPr>
        <w:t>Finally, improvement needs to target working conditions and safety culture. Churruca</w:t>
      </w:r>
      <w:r w:rsidRPr="006231B9">
        <w:rPr>
          <w:rFonts w:ascii="Arial" w:hAnsi="Arial" w:cs="Arial"/>
        </w:rPr>
        <w:t xml:space="preserve"> et al. (2021) demonstrate that hospital safety culture is not captured by a single score but multiple dimensions. Similarly, Hafezi et al. (2022) </w:t>
      </w:r>
      <w:r w:rsidR="00874D93" w:rsidRPr="006231B9">
        <w:rPr>
          <w:rFonts w:ascii="Arial" w:hAnsi="Arial" w:cs="Arial"/>
        </w:rPr>
        <w:t>demonstrates</w:t>
      </w:r>
      <w:r w:rsidRPr="006231B9">
        <w:rPr>
          <w:rFonts w:ascii="Arial" w:hAnsi="Arial" w:cs="Arial"/>
        </w:rPr>
        <w:t xml:space="preserve"> associations between adverse events and seven areas of safety culture: management support, teamwork and communication, handoffs and transitions, feedback and speaking up, but its cross-sectional design does not allow determination of causality. Leadership can therefore augment surveys with walk-rounds, debriefs, case reviews and staff stories. AHRQ's report of an 81% teamwork score concurrent with 55% positivity for staffing/work pace suggests that strong and poor dimensions can exist simultaneously (Tyler</w:t>
      </w:r>
      <w:r w:rsidRPr="006231B9">
        <w:rPr>
          <w:rFonts w:ascii="Arial" w:hAnsi="Arial" w:cs="Arial"/>
        </w:rPr>
        <w:t xml:space="preserve"> et al., 2024). If staffing levels or supervisor supervision are so poor that observation is inherently unreliable, asking nurses to be "more vigilant" is not a systems solution. Workforce planning and competence must be linked to actionable, measured safety risk.</w:t>
      </w:r>
    </w:p>
    <w:p w14:paraId="7B50387B" w14:textId="29444B3A" w:rsidR="00E02C0E" w:rsidRPr="006231B9" w:rsidRDefault="00A9508B" w:rsidP="006231B9">
      <w:pPr>
        <w:spacing w:before="120" w:after="120" w:line="360" w:lineRule="auto"/>
        <w:contextualSpacing/>
        <w:rPr>
          <w:rFonts w:ascii="Arial" w:hAnsi="Arial" w:cs="Arial"/>
          <w:highlight w:val="yellow"/>
        </w:rPr>
      </w:pPr>
      <w:r w:rsidRPr="006231B9">
        <w:rPr>
          <w:rFonts w:ascii="Arial" w:hAnsi="Arial" w:cs="Arial"/>
        </w:rPr>
        <w:t>Soft Systems Methodology (SSM) can accommodate these additions because it is concerned with interacting technical processes, stakeholder viewpoints and organisational limitations. Augustsson, Churruca</w:t>
      </w:r>
      <w:r w:rsidRPr="006231B9">
        <w:rPr>
          <w:rFonts w:ascii="Arial" w:hAnsi="Arial" w:cs="Arial"/>
        </w:rPr>
        <w:t xml:space="preserve"> and Braithwaite (2019) describe SSM as being applicable to complex healthcare improvement that is sensitive to context and multiple stakeholder perspectives that affect implementation; Drei et al. (2023) offer one example in hospital care. In that work, the desired conceptual transformation is from a reactive postoperative system that accepts observations to an interpretive rescue system that analyses trends, validates concerns and ensures the availability of appropriate personnel. </w:t>
      </w:r>
      <w:r w:rsidR="00961C0C" w:rsidRPr="006231B9">
        <w:rPr>
          <w:rFonts w:ascii="Arial" w:hAnsi="Arial" w:cs="Arial"/>
        </w:rPr>
        <w:t>Preventive measures: graded alerts, accessible alerts and communication, simulation training, workload monitoring, false-positive and false-negative rate tracking</w:t>
      </w:r>
      <w:r w:rsidR="00BA066E" w:rsidRPr="006231B9">
        <w:rPr>
          <w:rFonts w:ascii="Arial" w:hAnsi="Arial" w:cs="Arial"/>
        </w:rPr>
        <w:t xml:space="preserve"> as illustrated in Table 2</w:t>
      </w:r>
      <w:r w:rsidRPr="006231B9">
        <w:rPr>
          <w:rFonts w:ascii="Arial" w:hAnsi="Arial" w:cs="Arial"/>
        </w:rPr>
        <w:t>.</w:t>
      </w:r>
      <w:r w:rsidR="00961C0C" w:rsidRPr="006231B9">
        <w:rPr>
          <w:rFonts w:ascii="Arial" w:hAnsi="Arial" w:cs="Arial"/>
        </w:rPr>
        <w:t xml:space="preserve"> Overall, o</w:t>
      </w:r>
      <w:r w:rsidRPr="006231B9">
        <w:rPr>
          <w:rFonts w:ascii="Arial" w:hAnsi="Arial" w:cs="Arial"/>
        </w:rPr>
        <w:t>nly when evidence leads to change and subsequent data demonstrate whether or not risk actually decreased will we see continuous improvement.</w:t>
      </w:r>
    </w:p>
    <w:p w14:paraId="4F93C5E9" w14:textId="66AA0431" w:rsidR="002A18A3" w:rsidRPr="006231B9" w:rsidRDefault="00A9508B" w:rsidP="006231B9">
      <w:pPr>
        <w:pStyle w:val="Caption"/>
        <w:keepNext/>
        <w:spacing w:before="120" w:after="120" w:line="360" w:lineRule="auto"/>
        <w:contextualSpacing/>
        <w:rPr>
          <w:rFonts w:ascii="Arial" w:hAnsi="Arial" w:cs="Arial"/>
          <w:color w:val="auto"/>
          <w:sz w:val="22"/>
          <w:szCs w:val="22"/>
        </w:rPr>
      </w:pPr>
      <w:bookmarkStart w:id="9" w:name="_Toc237333381"/>
      <w:r w:rsidRPr="006231B9">
        <w:rPr>
          <w:rFonts w:ascii="Arial" w:hAnsi="Arial" w:cs="Arial"/>
          <w:color w:val="auto"/>
          <w:sz w:val="22"/>
          <w:szCs w:val="22"/>
        </w:rPr>
        <w:t xml:space="preserve">Table </w:t>
      </w:r>
      <w:r w:rsidRPr="006231B9">
        <w:rPr>
          <w:rFonts w:ascii="Arial" w:hAnsi="Arial" w:cs="Arial"/>
          <w:color w:val="auto"/>
          <w:sz w:val="22"/>
          <w:szCs w:val="22"/>
        </w:rPr>
        <w:fldChar w:fldCharType="begin"/>
      </w:r>
      <w:r w:rsidRPr="006231B9">
        <w:rPr>
          <w:rFonts w:ascii="Arial" w:hAnsi="Arial" w:cs="Arial"/>
          <w:color w:val="auto"/>
          <w:sz w:val="22"/>
          <w:szCs w:val="22"/>
        </w:rPr>
        <w:instrText xml:space="preserve"> SEQ Table \* ARABIC </w:instrText>
      </w:r>
      <w:r w:rsidRPr="006231B9">
        <w:rPr>
          <w:rFonts w:ascii="Arial" w:hAnsi="Arial" w:cs="Arial"/>
          <w:color w:val="auto"/>
          <w:sz w:val="22"/>
          <w:szCs w:val="22"/>
        </w:rPr>
        <w:fldChar w:fldCharType="separate"/>
      </w:r>
      <w:r w:rsidR="004E1997" w:rsidRPr="006231B9">
        <w:rPr>
          <w:rFonts w:ascii="Arial" w:hAnsi="Arial" w:cs="Arial"/>
          <w:noProof/>
          <w:color w:val="auto"/>
          <w:sz w:val="22"/>
          <w:szCs w:val="22"/>
        </w:rPr>
        <w:t>2</w:t>
      </w:r>
      <w:r w:rsidRPr="006231B9">
        <w:rPr>
          <w:rFonts w:ascii="Arial" w:hAnsi="Arial" w:cs="Arial"/>
          <w:color w:val="auto"/>
          <w:sz w:val="22"/>
          <w:szCs w:val="22"/>
        </w:rPr>
        <w:fldChar w:fldCharType="end"/>
      </w:r>
      <w:r w:rsidRPr="006231B9">
        <w:rPr>
          <w:rFonts w:ascii="Arial" w:hAnsi="Arial" w:cs="Arial"/>
          <w:color w:val="auto"/>
          <w:sz w:val="22"/>
          <w:szCs w:val="22"/>
        </w:rPr>
        <w:t>: Improvement strategy, measures and risk mitigation</w:t>
      </w:r>
      <w:bookmarkEnd w:id="9"/>
    </w:p>
    <w:p w14:paraId="731C65F7" w14:textId="77777777" w:rsidR="00915077" w:rsidRPr="006231B9" w:rsidRDefault="00A9508B" w:rsidP="006231B9">
      <w:pPr>
        <w:spacing w:before="120" w:after="120" w:line="360" w:lineRule="auto"/>
        <w:contextualSpacing/>
        <w:rPr>
          <w:rFonts w:ascii="Arial" w:hAnsi="Arial" w:cs="Arial"/>
        </w:rPr>
      </w:pPr>
      <w:r w:rsidRPr="006231B9">
        <w:rPr>
          <w:rFonts w:ascii="Arial" w:hAnsi="Arial" w:cs="Arial"/>
          <w:noProof/>
        </w:rPr>
        <w:drawing>
          <wp:inline distT="0" distB="0" distL="0" distR="0" wp14:anchorId="5D3AEC33" wp14:editId="3884581D">
            <wp:extent cx="5731510" cy="5017135"/>
            <wp:effectExtent l="19050" t="19050" r="2540" b="0"/>
            <wp:docPr id="1834321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21716" name="Picture 1834321716"/>
                    <pic:cNvPicPr/>
                  </pic:nvPicPr>
                  <pic:blipFill>
                    <a:blip r:embed="rId9">
                      <a:extLst>
                        <a:ext uri="{28A0092B-C50C-407E-A947-70E740481C1C}">
                          <a14:useLocalDpi xmlns:a14="http://schemas.microsoft.com/office/drawing/2010/main" val="0"/>
                        </a:ext>
                      </a:extLst>
                    </a:blip>
                    <a:stretch>
                      <a:fillRect/>
                    </a:stretch>
                  </pic:blipFill>
                  <pic:spPr>
                    <a:xfrm>
                      <a:off x="0" y="0"/>
                      <a:ext cx="5731510" cy="5017135"/>
                    </a:xfrm>
                    <a:prstGeom prst="rect">
                      <a:avLst/>
                    </a:prstGeom>
                    <a:ln>
                      <a:solidFill>
                        <a:schemeClr val="tx1"/>
                      </a:solidFill>
                    </a:ln>
                  </pic:spPr>
                </pic:pic>
              </a:graphicData>
            </a:graphic>
          </wp:inline>
        </w:drawing>
      </w:r>
    </w:p>
    <w:p w14:paraId="2380AB45" w14:textId="77777777" w:rsidR="002A18A3" w:rsidRPr="006231B9" w:rsidRDefault="00A9508B" w:rsidP="006231B9">
      <w:pPr>
        <w:pStyle w:val="Heading1"/>
        <w:rPr>
          <w:sz w:val="22"/>
          <w:szCs w:val="22"/>
        </w:rPr>
      </w:pPr>
      <w:bookmarkStart w:id="10" w:name="_Toc237333331"/>
      <w:r w:rsidRPr="006231B9">
        <w:rPr>
          <w:rFonts w:eastAsia="Arial"/>
          <w:sz w:val="22"/>
          <w:szCs w:val="22"/>
        </w:rPr>
        <w:t>6. RECOMMENDATIONS</w:t>
      </w:r>
      <w:bookmarkEnd w:id="10"/>
    </w:p>
    <w:p w14:paraId="1A373755" w14:textId="1D9EB74E" w:rsidR="009317CB" w:rsidRPr="006231B9" w:rsidRDefault="00AE1E63" w:rsidP="006231B9">
      <w:pPr>
        <w:spacing w:before="120" w:after="120" w:line="360" w:lineRule="auto"/>
        <w:contextualSpacing/>
        <w:rPr>
          <w:rFonts w:ascii="Arial" w:hAnsi="Arial" w:cs="Arial"/>
        </w:rPr>
      </w:pPr>
      <w:r w:rsidRPr="006231B9">
        <w:rPr>
          <w:rFonts w:ascii="Arial" w:hAnsi="Arial" w:cs="Arial"/>
        </w:rPr>
        <w:t>A tiered escalation pathway should be governed by clear accountability</w:t>
      </w:r>
      <w:r w:rsidR="00874D93" w:rsidRPr="006231B9">
        <w:rPr>
          <w:rFonts w:ascii="Arial" w:hAnsi="Arial" w:cs="Arial"/>
        </w:rPr>
        <w:t>. Escalation based on validated physiological</w:t>
      </w:r>
      <w:r w:rsidRPr="006231B9">
        <w:rPr>
          <w:rFonts w:ascii="Arial" w:hAnsi="Arial" w:cs="Arial"/>
        </w:rPr>
        <w:t xml:space="preserve"> triggers</w:t>
      </w:r>
      <w:r w:rsidR="00874D93" w:rsidRPr="006231B9">
        <w:rPr>
          <w:rFonts w:ascii="Arial" w:hAnsi="Arial" w:cs="Arial"/>
        </w:rPr>
        <w:t xml:space="preserve"> should prompt rapid-response reconsideration. Any clinician should be able to escalate undue concern even if thresholds are normal, and patients/families should have a publicly posted 24-hour mechanism for independent escalation. This will operationalise and reinforce the access principles outlined in the Lewis Blackman Hospital Patient Safety Act WHILST meeting requirements of the WHO Patient Safety Rights Charter to include patient</w:t>
      </w:r>
      <w:r w:rsidR="00F61CFB" w:rsidRPr="006231B9">
        <w:rPr>
          <w:rFonts w:ascii="Arial" w:hAnsi="Arial" w:cs="Arial"/>
        </w:rPr>
        <w:t xml:space="preserve"> and </w:t>
      </w:r>
      <w:r w:rsidR="00874D93" w:rsidRPr="006231B9">
        <w:rPr>
          <w:rFonts w:ascii="Arial" w:hAnsi="Arial" w:cs="Arial"/>
        </w:rPr>
        <w:t>family voice (South Carolina General Assembly, 2005; WHO, 2024). Policy should outline response times, required responder level and closed-loop documentation requirements. A multidisciplinary deterioration governance committee with executive sponsorship should review monthly activation rates, response times, omission events, unplanned ICU transfers and missed activations.</w:t>
      </w:r>
    </w:p>
    <w:p w14:paraId="5352735F" w14:textId="112E2CC1" w:rsidR="009317CB" w:rsidRPr="006231B9" w:rsidRDefault="00874D93" w:rsidP="006231B9">
      <w:pPr>
        <w:spacing w:before="120" w:after="120" w:line="360" w:lineRule="auto"/>
        <w:contextualSpacing/>
        <w:rPr>
          <w:rFonts w:ascii="Arial" w:hAnsi="Arial" w:cs="Arial"/>
        </w:rPr>
      </w:pPr>
      <w:r w:rsidRPr="006231B9">
        <w:rPr>
          <w:rFonts w:ascii="Arial" w:hAnsi="Arial" w:cs="Arial"/>
        </w:rPr>
        <w:t xml:space="preserve">A combination of leadership style is suggested. Transformational leadership should focus on establishing safety and speaking up as collective goals. Transactional controls should standardise non-negotiable components of observation, medications, escalation and handover. </w:t>
      </w:r>
      <w:r w:rsidR="00CA7606" w:rsidRPr="006231B9">
        <w:rPr>
          <w:rFonts w:ascii="Arial" w:hAnsi="Arial" w:cs="Arial"/>
        </w:rPr>
        <w:t>As risk increases, situational leadership should give progressively greater senior direction</w:t>
      </w:r>
      <w:r w:rsidRPr="006231B9">
        <w:rPr>
          <w:rFonts w:ascii="Arial" w:hAnsi="Arial" w:cs="Arial"/>
        </w:rPr>
        <w:t xml:space="preserve">. Distributed leadership should empower frontline nurses, pharmacists and family members to share their expertise. Psychological safety metrics should be adopted with accountability assigned to leaders for how raised concerns are handled. Althobaiti (2026) identified positive correlations between multiple leadership styles and safety culture; however, we are unable to make causal claims due to the heterogeneous and predominantly cross-sectional nature of the evidence. </w:t>
      </w:r>
      <w:r w:rsidR="00CA7606" w:rsidRPr="006231B9">
        <w:rPr>
          <w:rFonts w:ascii="Arial" w:hAnsi="Arial" w:cs="Arial"/>
        </w:rPr>
        <w:t>T</w:t>
      </w:r>
      <w:r w:rsidRPr="006231B9">
        <w:rPr>
          <w:rFonts w:ascii="Arial" w:hAnsi="Arial" w:cs="Arial"/>
        </w:rPr>
        <w:t xml:space="preserve">his </w:t>
      </w:r>
      <w:r w:rsidR="00CA7606" w:rsidRPr="006231B9">
        <w:rPr>
          <w:rFonts w:ascii="Arial" w:hAnsi="Arial" w:cs="Arial"/>
        </w:rPr>
        <w:t>evidence</w:t>
      </w:r>
      <w:r w:rsidRPr="006231B9">
        <w:rPr>
          <w:rFonts w:ascii="Arial" w:hAnsi="Arial" w:cs="Arial"/>
        </w:rPr>
        <w:t xml:space="preserve"> supports aligning leadership style to the safety need at hand rather than decreeing one superior style for all situations.</w:t>
      </w:r>
    </w:p>
    <w:p w14:paraId="1D20E5E5" w14:textId="1EFF5C16" w:rsidR="002A18A3" w:rsidRPr="006231B9" w:rsidRDefault="00A9508B" w:rsidP="006231B9">
      <w:pPr>
        <w:spacing w:before="120" w:after="120" w:line="360" w:lineRule="auto"/>
        <w:contextualSpacing/>
        <w:rPr>
          <w:rFonts w:ascii="Arial" w:hAnsi="Arial" w:cs="Arial"/>
        </w:rPr>
      </w:pPr>
      <w:r w:rsidRPr="006231B9">
        <w:rPr>
          <w:rFonts w:ascii="Arial" w:hAnsi="Arial" w:cs="Arial"/>
        </w:rPr>
        <w:t xml:space="preserve">Governance structures should strengthen the integration of these systems. One patient- safety dashboard that feeds into a formal learning cycle should be implemented. Included would be </w:t>
      </w:r>
      <w:r w:rsidR="00CA7606" w:rsidRPr="006231B9">
        <w:rPr>
          <w:rFonts w:ascii="Arial" w:hAnsi="Arial" w:cs="Arial"/>
        </w:rPr>
        <w:t>abnormal or unobtainable</w:t>
      </w:r>
      <w:r w:rsidRPr="006231B9">
        <w:rPr>
          <w:rFonts w:ascii="Arial" w:hAnsi="Arial" w:cs="Arial"/>
        </w:rPr>
        <w:t xml:space="preserve"> vital signs, monitored alarm overrides, escalation compliance/ timeliness, delayed senior review, handover quality, med admin events/high risk meds, family concern documentation, incident capture rates and omission events. Root cause should be multidisciplinary with system process interactions reviewed, action assigned and closed out describing what changed and if outcomes improved. Francis- Auton et al. (2024) also highlight key enablers of this transformation including an authorising</w:t>
      </w:r>
      <w:r w:rsidRPr="006231B9">
        <w:rPr>
          <w:rFonts w:ascii="Arial" w:hAnsi="Arial" w:cs="Arial"/>
        </w:rPr>
        <w:t xml:space="preserve"> environment, reliable and meaningful data, designated and distributed leadership and a learning culture. </w:t>
      </w:r>
      <w:r w:rsidR="00CA7606" w:rsidRPr="006231B9">
        <w:rPr>
          <w:rFonts w:ascii="Arial" w:hAnsi="Arial" w:cs="Arial"/>
        </w:rPr>
        <w:t>Governance arrangements should ensure these principles are implemented by connecting data to decision rights, frontline action and feedback rather than treating published policy as evidence of organisational change</w:t>
      </w:r>
      <w:r w:rsidRPr="006231B9">
        <w:rPr>
          <w:rFonts w:ascii="Arial" w:hAnsi="Arial" w:cs="Arial"/>
        </w:rPr>
        <w:t>.</w:t>
      </w:r>
    </w:p>
    <w:p w14:paraId="122048A1" w14:textId="34EABE51" w:rsidR="00353F26" w:rsidRPr="006231B9" w:rsidRDefault="00A9508B" w:rsidP="006231B9">
      <w:pPr>
        <w:spacing w:before="120" w:after="120" w:line="360" w:lineRule="auto"/>
        <w:contextualSpacing/>
        <w:rPr>
          <w:rFonts w:ascii="Arial" w:hAnsi="Arial" w:cs="Arial"/>
        </w:rPr>
      </w:pPr>
      <w:r w:rsidRPr="006231B9">
        <w:rPr>
          <w:rFonts w:ascii="Arial" w:hAnsi="Arial" w:cs="Arial"/>
        </w:rPr>
        <w:t xml:space="preserve">Technical efficiency and allocative efficiency should drive improvement efforts. </w:t>
      </w:r>
      <w:r w:rsidR="00AE1E63" w:rsidRPr="006231B9">
        <w:rPr>
          <w:rFonts w:ascii="Arial" w:hAnsi="Arial" w:cs="Arial"/>
        </w:rPr>
        <w:t xml:space="preserve">Technical efficiency should decrease duplicated and </w:t>
      </w:r>
      <w:r w:rsidR="00961C0C" w:rsidRPr="006231B9">
        <w:rPr>
          <w:rFonts w:ascii="Arial" w:hAnsi="Arial" w:cs="Arial"/>
        </w:rPr>
        <w:t>non-actionable</w:t>
      </w:r>
      <w:r w:rsidR="00AE1E63" w:rsidRPr="006231B9">
        <w:rPr>
          <w:rFonts w:ascii="Arial" w:hAnsi="Arial" w:cs="Arial"/>
        </w:rPr>
        <w:t xml:space="preserve"> work while maintaining timely rescue with handovers and appropriately configured monitoring. (Toren et al., 2022; Chromik et al., 2022)</w:t>
      </w:r>
      <w:r w:rsidRPr="006231B9">
        <w:rPr>
          <w:rFonts w:ascii="Arial" w:hAnsi="Arial" w:cs="Arial"/>
        </w:rPr>
        <w:t>. Although some researchers have posited that rapid-response systems improve outcomes (Subbe</w:t>
      </w:r>
      <w:r w:rsidRPr="006231B9">
        <w:rPr>
          <w:rFonts w:ascii="Arial" w:hAnsi="Arial" w:cs="Arial"/>
        </w:rPr>
        <w:t xml:space="preserve"> et al. 2023), the economic evidence supporting these systems is methodologically sparse, necessitating local determinations of costs and cost-effectiveness. A recent review conducted by Chromik et al. (2022) of 69 studies focused on alarm-management interventions showed that the majority of studied interventions targeted technically false alarms rather than clinically non-actionable alarms or predicting deterioration. Due to the variability in both methods and outcomes measured, it was difficult to determi</w:t>
      </w:r>
      <w:r w:rsidRPr="006231B9">
        <w:rPr>
          <w:rFonts w:ascii="Arial" w:hAnsi="Arial" w:cs="Arial"/>
        </w:rPr>
        <w:t>ne a superior method, leaving open the possibility that multidisciplinary alarm redesign should be specific to hospital contexts.</w:t>
      </w:r>
    </w:p>
    <w:p w14:paraId="7B8EF212" w14:textId="547826A1" w:rsidR="002F069B" w:rsidRPr="006231B9" w:rsidRDefault="00C22258" w:rsidP="006231B9">
      <w:pPr>
        <w:spacing w:before="120" w:after="120" w:line="360" w:lineRule="auto"/>
        <w:contextualSpacing/>
        <w:rPr>
          <w:rFonts w:ascii="Arial" w:hAnsi="Arial" w:cs="Arial"/>
        </w:rPr>
      </w:pPr>
      <w:r w:rsidRPr="006231B9">
        <w:rPr>
          <w:rFonts w:ascii="Arial" w:hAnsi="Arial" w:cs="Arial"/>
        </w:rPr>
        <w:t>Stakeholder involvement in service delivery and policy implementation must be also be established. The patient-family advisory group should co-design escalation info and accessibility. Frontline staff should co-design workflow and identify workarounds. Quarterly SSM-informed reviews should revisit the Rich Picture as new data identify unintended consequences; Conte and Davidson (2020) note Rich Pictures are only valuable to the extent that they are used to facilitate sense-making. Monitoring at 3, 6 and 12 months should include process, outcome and balancing measures</w:t>
      </w:r>
      <w:r w:rsidR="002A18A3" w:rsidRPr="006231B9">
        <w:rPr>
          <w:rFonts w:ascii="Arial" w:hAnsi="Arial" w:cs="Arial"/>
        </w:rPr>
        <w:t>.</w:t>
      </w:r>
    </w:p>
    <w:p w14:paraId="35E99579" w14:textId="77777777" w:rsidR="002A18A3" w:rsidRPr="006231B9" w:rsidRDefault="00A9508B" w:rsidP="006231B9">
      <w:pPr>
        <w:pStyle w:val="Heading1"/>
        <w:rPr>
          <w:sz w:val="22"/>
          <w:szCs w:val="22"/>
        </w:rPr>
      </w:pPr>
      <w:bookmarkStart w:id="11" w:name="_Toc237333332"/>
      <w:r w:rsidRPr="006231B9">
        <w:rPr>
          <w:rFonts w:eastAsia="Arial"/>
          <w:sz w:val="22"/>
          <w:szCs w:val="22"/>
        </w:rPr>
        <w:t>7. CONCLUSION</w:t>
      </w:r>
      <w:bookmarkEnd w:id="11"/>
    </w:p>
    <w:p w14:paraId="5D182363" w14:textId="59383FF3" w:rsidR="000F6C90" w:rsidRPr="006231B9" w:rsidRDefault="00A9508B" w:rsidP="006231B9">
      <w:pPr>
        <w:spacing w:before="120" w:after="120" w:line="360" w:lineRule="auto"/>
        <w:contextualSpacing/>
        <w:rPr>
          <w:rFonts w:ascii="Arial" w:hAnsi="Arial" w:cs="Arial"/>
        </w:rPr>
      </w:pPr>
      <w:r w:rsidRPr="006231B9">
        <w:rPr>
          <w:rFonts w:ascii="Arial" w:hAnsi="Arial" w:cs="Arial"/>
        </w:rPr>
        <w:t xml:space="preserve">The Lewis Blackman story shows how a bad outcome can occur when a series of logical decisions interacts poorly within a system. There were multiple points for detection, reassessment of diagnosis, and escalation to senior clinicians during Lewis' </w:t>
      </w:r>
      <w:r w:rsidR="00C22258" w:rsidRPr="006231B9">
        <w:rPr>
          <w:rFonts w:ascii="Arial" w:hAnsi="Arial" w:cs="Arial"/>
        </w:rPr>
        <w:t>postoperative deterioration</w:t>
      </w:r>
      <w:r w:rsidRPr="006231B9">
        <w:rPr>
          <w:rFonts w:ascii="Arial" w:hAnsi="Arial" w:cs="Arial"/>
        </w:rPr>
        <w:t xml:space="preserve">. Cognitive fixation, care fragmentation, professional power dynamics, monitoring behaviours and restricted access to responsible experts all contributed to the inability to rescue Lewis. Unfortunately, these </w:t>
      </w:r>
      <w:r w:rsidR="00C22258" w:rsidRPr="006231B9">
        <w:rPr>
          <w:rFonts w:ascii="Arial" w:hAnsi="Arial" w:cs="Arial"/>
        </w:rPr>
        <w:t xml:space="preserve">risks remain relevant </w:t>
      </w:r>
      <w:r w:rsidR="00F61CFB" w:rsidRPr="006231B9">
        <w:rPr>
          <w:rFonts w:ascii="Arial" w:hAnsi="Arial" w:cs="Arial"/>
        </w:rPr>
        <w:t>to hospital</w:t>
      </w:r>
      <w:r w:rsidR="00C22258" w:rsidRPr="006231B9">
        <w:rPr>
          <w:rFonts w:ascii="Arial" w:hAnsi="Arial" w:cs="Arial"/>
        </w:rPr>
        <w:t xml:space="preserve"> safety, especially where d</w:t>
      </w:r>
      <w:r w:rsidRPr="006231B9">
        <w:rPr>
          <w:rFonts w:ascii="Arial" w:hAnsi="Arial" w:cs="Arial"/>
        </w:rPr>
        <w:t>elayed diagnosis, missed communication, resource constraints, weak safety culture and ineffective speaking up</w:t>
      </w:r>
      <w:r w:rsidR="00C22258" w:rsidRPr="006231B9">
        <w:rPr>
          <w:rFonts w:ascii="Arial" w:hAnsi="Arial" w:cs="Arial"/>
        </w:rPr>
        <w:t xml:space="preserve"> persist</w:t>
      </w:r>
      <w:r w:rsidRPr="006231B9">
        <w:rPr>
          <w:rFonts w:ascii="Arial" w:hAnsi="Arial" w:cs="Arial"/>
        </w:rPr>
        <w:t>.</w:t>
      </w:r>
    </w:p>
    <w:p w14:paraId="02128468" w14:textId="05F0A232" w:rsidR="002A18A3" w:rsidRPr="006231B9" w:rsidRDefault="00C22258" w:rsidP="006231B9">
      <w:pPr>
        <w:spacing w:before="120" w:after="120" w:line="360" w:lineRule="auto"/>
        <w:contextualSpacing/>
        <w:rPr>
          <w:rFonts w:ascii="Arial" w:hAnsi="Arial" w:cs="Arial"/>
        </w:rPr>
      </w:pPr>
      <w:r w:rsidRPr="006231B9">
        <w:rPr>
          <w:rFonts w:ascii="Arial" w:hAnsi="Arial" w:cs="Arial"/>
        </w:rPr>
        <w:t>Focusing on systems takes the investigation away from finding who did something wrong and moves it toward finding how the organisation made successful rescue uncertain. The Rich Picture and CATWOE helped to see that patients, family members, bedside nurses, trainees, senior doctors, technology, institutional governance and escalation processes are part of a loosely coupled safety system. Rather than being highly centralised or decentralised, the optimal organisation strikes a balance between the two. Standardisation, accountability, and responsibility should be centralised; the ability to question, call for help, and provide input should be decentralised. Additionally, no single leadership style will meet all of the needs of such a complex system. Transformational leadership, transactional leadership, situational leadership, and distributed leadership each play important roles in managing a high-stakes clinical system.</w:t>
      </w:r>
    </w:p>
    <w:p w14:paraId="1B6E2B6D" w14:textId="182E3172" w:rsidR="002A18A3" w:rsidRPr="006231B9" w:rsidRDefault="00A9508B" w:rsidP="006231B9">
      <w:pPr>
        <w:spacing w:before="120" w:after="120" w:line="360" w:lineRule="auto"/>
        <w:contextualSpacing/>
        <w:rPr>
          <w:rFonts w:ascii="Arial" w:hAnsi="Arial" w:cs="Arial"/>
        </w:rPr>
      </w:pPr>
      <w:r w:rsidRPr="006231B9">
        <w:rPr>
          <w:rFonts w:ascii="Arial" w:hAnsi="Arial" w:cs="Arial"/>
        </w:rPr>
        <w:t xml:space="preserve">The enduring legacy of the case, therefore, may be to shift patient safety from a professionalism problem to a problem of systems design and rights. </w:t>
      </w:r>
      <w:r w:rsidR="00BA066E" w:rsidRPr="006231B9">
        <w:rPr>
          <w:rFonts w:ascii="Arial" w:hAnsi="Arial" w:cs="Arial"/>
        </w:rPr>
        <w:t>Policy has given structure to access senior support, but leaders can do more to create rapid-response pathways, psychologically safe teams, robust handoffs/standardized communication, diagnostic debiasing and decision-making support, learning dashboards, and meaningful coproduction with patients and families. When leaders create feedback loops with data and see weak signals as learning opportunities, health systems can sense failure before crisis occurs</w:t>
      </w:r>
      <w:r w:rsidRPr="006231B9">
        <w:rPr>
          <w:rFonts w:ascii="Arial" w:hAnsi="Arial" w:cs="Arial"/>
        </w:rPr>
        <w:t>.</w:t>
      </w:r>
    </w:p>
    <w:p w14:paraId="6C84BD6E" w14:textId="77777777" w:rsidR="00353F26" w:rsidRPr="006231B9" w:rsidRDefault="00A9508B" w:rsidP="006231B9">
      <w:pPr>
        <w:spacing w:before="120" w:after="120" w:line="360" w:lineRule="auto"/>
        <w:contextualSpacing/>
        <w:rPr>
          <w:rFonts w:ascii="Arial" w:eastAsia="Times New Roman" w:hAnsi="Arial" w:cs="Arial"/>
          <w:b/>
          <w:bCs/>
          <w:lang w:eastAsia="en-GB"/>
        </w:rPr>
      </w:pPr>
      <w:r w:rsidRPr="006231B9">
        <w:rPr>
          <w:rFonts w:ascii="Arial" w:hAnsi="Arial" w:cs="Arial"/>
        </w:rPr>
        <w:br w:type="page"/>
      </w:r>
    </w:p>
    <w:p w14:paraId="3B6404B8" w14:textId="77777777" w:rsidR="002A18A3" w:rsidRPr="006231B9" w:rsidRDefault="00A9508B" w:rsidP="006231B9">
      <w:pPr>
        <w:pStyle w:val="Heading1"/>
        <w:rPr>
          <w:sz w:val="22"/>
          <w:szCs w:val="22"/>
        </w:rPr>
      </w:pPr>
      <w:bookmarkStart w:id="12" w:name="_Toc237333333"/>
      <w:r w:rsidRPr="006231B9">
        <w:rPr>
          <w:sz w:val="22"/>
          <w:szCs w:val="22"/>
        </w:rPr>
        <w:t>8. LIST OF REFERENCES</w:t>
      </w:r>
      <w:bookmarkEnd w:id="12"/>
    </w:p>
    <w:p w14:paraId="3182B485"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Acquaviva, K.D., Haskell, H. and Johnson, J. (2013) “Human cognition and the dynamics of failure to rescue: the Lewis Blackman case,” </w:t>
      </w:r>
      <w:r w:rsidRPr="006231B9">
        <w:rPr>
          <w:rFonts w:ascii="Arial" w:hAnsi="Arial" w:cs="Arial"/>
          <w:i/>
          <w:lang w:eastAsia="en-GB"/>
        </w:rPr>
        <w:t>Journal of Professional Nursing</w:t>
      </w:r>
      <w:r w:rsidRPr="006231B9">
        <w:rPr>
          <w:rFonts w:ascii="Arial" w:hAnsi="Arial" w:cs="Arial"/>
          <w:lang w:eastAsia="en-GB"/>
        </w:rPr>
        <w:t xml:space="preserve">, 29(2), pp. 95–101. doi:10.1016/j.profnurs.2012.12.009. Available at: </w:t>
      </w:r>
      <w:hyperlink r:id="rId10">
        <w:r w:rsidRPr="006231B9">
          <w:rPr>
            <w:rStyle w:val="Hyperlink"/>
            <w:rFonts w:ascii="Arial" w:hAnsi="Arial" w:cs="Arial"/>
            <w:color w:val="auto"/>
            <w:lang w:eastAsia="en-GB"/>
          </w:rPr>
          <w:t>https://hsrc.himmelfarb.gwu.edu/son_nurs_facpubs/36/</w:t>
        </w:r>
      </w:hyperlink>
      <w:r w:rsidRPr="006231B9">
        <w:rPr>
          <w:rFonts w:ascii="Arial" w:hAnsi="Arial" w:cs="Arial"/>
          <w:lang w:eastAsia="en-GB"/>
        </w:rPr>
        <w:t xml:space="preserve"> (Accessed: July 25, 2026).</w:t>
      </w:r>
    </w:p>
    <w:p w14:paraId="7E5423FC"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Agency for Healthcare Research and Quality (AHRQ) (2023) </w:t>
      </w:r>
      <w:r w:rsidRPr="006231B9">
        <w:rPr>
          <w:rFonts w:ascii="Arial" w:hAnsi="Arial" w:cs="Arial"/>
          <w:i/>
          <w:lang w:eastAsia="en-GB"/>
        </w:rPr>
        <w:t>Strategies for Improving Clinician Psychological Safety in Reporting and Discussing Diagnostic Error</w:t>
      </w:r>
      <w:r w:rsidRPr="006231B9">
        <w:rPr>
          <w:rFonts w:ascii="Arial" w:hAnsi="Arial" w:cs="Arial"/>
          <w:lang w:eastAsia="en-GB"/>
        </w:rPr>
        <w:t xml:space="preserve">. Rockville, MD: AHRQ. Available at: </w:t>
      </w:r>
      <w:hyperlink r:id="rId11">
        <w:r w:rsidRPr="006231B9">
          <w:rPr>
            <w:rStyle w:val="Hyperlink"/>
            <w:rFonts w:ascii="Arial" w:hAnsi="Arial" w:cs="Arial"/>
            <w:color w:val="auto"/>
            <w:lang w:eastAsia="en-GB"/>
          </w:rPr>
          <w:t>https://www.ahrq.gov/diagnostic-safety/resources/issue-briefs/dxsafety-psychological-safety.html</w:t>
        </w:r>
      </w:hyperlink>
      <w:r w:rsidRPr="006231B9">
        <w:rPr>
          <w:rFonts w:ascii="Arial" w:hAnsi="Arial" w:cs="Arial"/>
          <w:lang w:eastAsia="en-GB"/>
        </w:rPr>
        <w:t xml:space="preserve"> (Accessed: August 2, 2026).</w:t>
      </w:r>
    </w:p>
    <w:p w14:paraId="7CF57A4C"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Althobaiti, F.M. (2026) “The effects of leadership on patient safety culture in health care: a systematic review,” </w:t>
      </w:r>
      <w:r w:rsidRPr="006231B9">
        <w:rPr>
          <w:rFonts w:ascii="Arial" w:hAnsi="Arial" w:cs="Arial"/>
          <w:i/>
          <w:lang w:eastAsia="en-GB"/>
        </w:rPr>
        <w:t>BMC Nursing</w:t>
      </w:r>
      <w:r w:rsidRPr="006231B9">
        <w:rPr>
          <w:rFonts w:ascii="Arial" w:hAnsi="Arial" w:cs="Arial"/>
          <w:lang w:eastAsia="en-GB"/>
        </w:rPr>
        <w:t xml:space="preserve">, 25, 125. doi:10.1186/s12912-025-04263-7. Available at: </w:t>
      </w:r>
      <w:hyperlink r:id="rId12">
        <w:r w:rsidRPr="006231B9">
          <w:rPr>
            <w:rStyle w:val="Hyperlink"/>
            <w:rFonts w:ascii="Arial" w:hAnsi="Arial" w:cs="Arial"/>
            <w:color w:val="auto"/>
            <w:lang w:eastAsia="en-GB"/>
          </w:rPr>
          <w:t>https://link.springer.com/article/10.1186/s12912-025-04263-7</w:t>
        </w:r>
      </w:hyperlink>
      <w:r w:rsidRPr="006231B9">
        <w:rPr>
          <w:rFonts w:ascii="Arial" w:hAnsi="Arial" w:cs="Arial"/>
          <w:lang w:eastAsia="en-GB"/>
        </w:rPr>
        <w:t xml:space="preserve"> (Accessed: July 26, 2026).</w:t>
      </w:r>
    </w:p>
    <w:p w14:paraId="7061AA45"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Augustsson, H., Churruca, K. and Braithwaite, J. (2019) “Re-energising the way we manage change in healthcare: the case for soft systems methodology and its application to evidence-based practice,” </w:t>
      </w:r>
      <w:r w:rsidRPr="006231B9">
        <w:rPr>
          <w:rFonts w:ascii="Arial" w:hAnsi="Arial" w:cs="Arial"/>
          <w:i/>
          <w:lang w:eastAsia="en-GB"/>
        </w:rPr>
        <w:t>BMC Health Services Research</w:t>
      </w:r>
      <w:r w:rsidRPr="006231B9">
        <w:rPr>
          <w:rFonts w:ascii="Arial" w:hAnsi="Arial" w:cs="Arial"/>
          <w:lang w:eastAsia="en-GB"/>
        </w:rPr>
        <w:t xml:space="preserve">, 19, 666. doi:10.1186/s12913-019-4508-0. Available at: </w:t>
      </w:r>
      <w:hyperlink r:id="rId13">
        <w:r w:rsidRPr="006231B9">
          <w:rPr>
            <w:rStyle w:val="Hyperlink"/>
            <w:rFonts w:ascii="Arial" w:hAnsi="Arial" w:cs="Arial"/>
            <w:color w:val="auto"/>
            <w:lang w:eastAsia="en-GB"/>
          </w:rPr>
          <w:t>https://link.springer.com/article/10.1186/s12913-019-4508-0</w:t>
        </w:r>
      </w:hyperlink>
      <w:r w:rsidRPr="006231B9">
        <w:rPr>
          <w:rFonts w:ascii="Arial" w:hAnsi="Arial" w:cs="Arial"/>
          <w:lang w:eastAsia="en-GB"/>
        </w:rPr>
        <w:t xml:space="preserve"> (Accessed: August 5, 2026).</w:t>
      </w:r>
    </w:p>
    <w:p w14:paraId="6DCE1239"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Beane, A. et al. (2022) “Recognising the deterioration of patients in acute care wards: a qualitative study,” </w:t>
      </w:r>
      <w:r w:rsidRPr="006231B9">
        <w:rPr>
          <w:rFonts w:ascii="Arial" w:hAnsi="Arial" w:cs="Arial"/>
          <w:i/>
          <w:lang w:eastAsia="en-GB"/>
        </w:rPr>
        <w:t>Wellcome Open Research</w:t>
      </w:r>
      <w:r w:rsidRPr="006231B9">
        <w:rPr>
          <w:rFonts w:ascii="Arial" w:hAnsi="Arial" w:cs="Arial"/>
          <w:lang w:eastAsia="en-GB"/>
        </w:rPr>
        <w:t xml:space="preserve">, 7, 137. doi:10.12688/wellcomeopenres.17624.2. Available at: </w:t>
      </w:r>
      <w:hyperlink r:id="rId14">
        <w:r w:rsidRPr="006231B9">
          <w:rPr>
            <w:rStyle w:val="Hyperlink"/>
            <w:rFonts w:ascii="Arial" w:hAnsi="Arial" w:cs="Arial"/>
            <w:color w:val="auto"/>
            <w:lang w:eastAsia="en-GB"/>
          </w:rPr>
          <w:t>https://wellcomeopenresearch.org/articles/7-137</w:t>
        </w:r>
      </w:hyperlink>
      <w:r w:rsidRPr="006231B9">
        <w:rPr>
          <w:rFonts w:ascii="Arial" w:hAnsi="Arial" w:cs="Arial"/>
          <w:lang w:eastAsia="en-GB"/>
        </w:rPr>
        <w:t xml:space="preserve"> (Accessed: July 28, 2026).</w:t>
      </w:r>
    </w:p>
    <w:p w14:paraId="159E09F9"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Chromik, J. et al. (2022) “Computational approaches to alleviate alarm fatigue in intensive care medicine: a systematic literature review,” </w:t>
      </w:r>
      <w:r w:rsidRPr="006231B9">
        <w:rPr>
          <w:rFonts w:ascii="Arial" w:hAnsi="Arial" w:cs="Arial"/>
          <w:i/>
          <w:lang w:eastAsia="en-GB"/>
        </w:rPr>
        <w:t>Frontiers in Digital Health</w:t>
      </w:r>
      <w:r w:rsidRPr="006231B9">
        <w:rPr>
          <w:rFonts w:ascii="Arial" w:hAnsi="Arial" w:cs="Arial"/>
          <w:lang w:eastAsia="en-GB"/>
        </w:rPr>
        <w:t xml:space="preserve">, 4, 843747. doi:10.3389/fdgth.2022.843747. Available at: </w:t>
      </w:r>
      <w:hyperlink r:id="rId15">
        <w:r w:rsidRPr="006231B9">
          <w:rPr>
            <w:rStyle w:val="Hyperlink"/>
            <w:rFonts w:ascii="Arial" w:hAnsi="Arial" w:cs="Arial"/>
            <w:color w:val="auto"/>
            <w:lang w:eastAsia="en-GB"/>
          </w:rPr>
          <w:t>https://www.frontiersin.org/journals/digital-health/articles/10.3389/fdgth.2022.843747/full</w:t>
        </w:r>
      </w:hyperlink>
      <w:r w:rsidRPr="006231B9">
        <w:rPr>
          <w:rFonts w:ascii="Arial" w:hAnsi="Arial" w:cs="Arial"/>
          <w:lang w:eastAsia="en-GB"/>
        </w:rPr>
        <w:t xml:space="preserve"> (Accessed: August 3, 2026).</w:t>
      </w:r>
    </w:p>
    <w:p w14:paraId="6AF15345"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Churruca, K. </w:t>
      </w:r>
      <w:r w:rsidRPr="006231B9">
        <w:rPr>
          <w:rFonts w:ascii="Arial" w:hAnsi="Arial" w:cs="Arial"/>
          <w:i/>
          <w:iCs/>
          <w:lang w:eastAsia="en-GB"/>
        </w:rPr>
        <w:t>et al.</w:t>
      </w:r>
      <w:r w:rsidRPr="006231B9">
        <w:rPr>
          <w:rFonts w:ascii="Arial" w:hAnsi="Arial" w:cs="Arial"/>
          <w:lang w:eastAsia="en-GB"/>
        </w:rPr>
        <w:t xml:space="preserve"> (2021) “Dimensions of safety culture: a systematic review of quantitative, qualitative and mixed methods for assessing safety culture in hospitals,” </w:t>
      </w:r>
      <w:r w:rsidRPr="006231B9">
        <w:rPr>
          <w:rFonts w:ascii="Arial" w:hAnsi="Arial" w:cs="Arial"/>
          <w:i/>
          <w:iCs/>
          <w:lang w:eastAsia="en-GB"/>
        </w:rPr>
        <w:t>BMJ Open</w:t>
      </w:r>
      <w:r w:rsidRPr="006231B9">
        <w:rPr>
          <w:rFonts w:ascii="Arial" w:hAnsi="Arial" w:cs="Arial"/>
          <w:lang w:eastAsia="en-GB"/>
        </w:rPr>
        <w:t xml:space="preserve">, 11(7), p. e043982. doi:10.1136/bmjopen-2020-043982. </w:t>
      </w:r>
    </w:p>
    <w:p w14:paraId="471478A6"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Conte, K.P. and Davidson, S. (2020) “Using a rich picture to facilitate systems thinking in research coproduction,” </w:t>
      </w:r>
      <w:r w:rsidRPr="006231B9">
        <w:rPr>
          <w:rFonts w:ascii="Arial" w:hAnsi="Arial" w:cs="Arial"/>
          <w:i/>
          <w:lang w:eastAsia="en-GB"/>
        </w:rPr>
        <w:t>Health Research Policy and Systems</w:t>
      </w:r>
      <w:r w:rsidRPr="006231B9">
        <w:rPr>
          <w:rFonts w:ascii="Arial" w:hAnsi="Arial" w:cs="Arial"/>
          <w:lang w:eastAsia="en-GB"/>
        </w:rPr>
        <w:t xml:space="preserve">, 18, 14. doi:10.1186/s12961-019-0514-2. Available at: </w:t>
      </w:r>
      <w:hyperlink r:id="rId16">
        <w:r w:rsidRPr="006231B9">
          <w:rPr>
            <w:rStyle w:val="Hyperlink"/>
            <w:rFonts w:ascii="Arial" w:hAnsi="Arial" w:cs="Arial"/>
            <w:color w:val="auto"/>
            <w:lang w:eastAsia="en-GB"/>
          </w:rPr>
          <w:t>https://pmc.ncbi.nlm.nih.gov/articles/PMC6995183/</w:t>
        </w:r>
      </w:hyperlink>
      <w:r w:rsidRPr="006231B9">
        <w:rPr>
          <w:rFonts w:ascii="Arial" w:hAnsi="Arial" w:cs="Arial"/>
          <w:lang w:eastAsia="en-GB"/>
        </w:rPr>
        <w:t xml:space="preserve"> (Accessed: July 29, 2026).</w:t>
      </w:r>
    </w:p>
    <w:p w14:paraId="7765586F"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Correia, T. et al. (2023) “The family's contribution to patient safety,” </w:t>
      </w:r>
      <w:r w:rsidRPr="006231B9">
        <w:rPr>
          <w:rFonts w:ascii="Arial" w:hAnsi="Arial" w:cs="Arial"/>
          <w:i/>
          <w:lang w:eastAsia="en-GB"/>
        </w:rPr>
        <w:t>Nursing Reports</w:t>
      </w:r>
      <w:r w:rsidRPr="006231B9">
        <w:rPr>
          <w:rFonts w:ascii="Arial" w:hAnsi="Arial" w:cs="Arial"/>
          <w:lang w:eastAsia="en-GB"/>
        </w:rPr>
        <w:t xml:space="preserve">, 13(2), pp. 634-643. doi:10.3390/nursrep13020056. Available at: </w:t>
      </w:r>
      <w:hyperlink r:id="rId17">
        <w:r w:rsidRPr="006231B9">
          <w:rPr>
            <w:rStyle w:val="Hyperlink"/>
            <w:rFonts w:ascii="Arial" w:hAnsi="Arial" w:cs="Arial"/>
            <w:color w:val="auto"/>
            <w:lang w:eastAsia="en-GB"/>
          </w:rPr>
          <w:t>https://pmc.ncbi.nlm.nih.gov/articles/PMC10123717/</w:t>
        </w:r>
      </w:hyperlink>
      <w:r w:rsidRPr="006231B9">
        <w:rPr>
          <w:rFonts w:ascii="Arial" w:hAnsi="Arial" w:cs="Arial"/>
          <w:lang w:eastAsia="en-GB"/>
        </w:rPr>
        <w:t xml:space="preserve"> (Accessed: August 3, 2026).</w:t>
      </w:r>
    </w:p>
    <w:p w14:paraId="05FE9C41"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Dalal, A.K. et al. (2025) “Adverse diagnostic events in hospitalised patients: a single-centre, retrospective cohort study,” </w:t>
      </w:r>
      <w:r w:rsidRPr="006231B9">
        <w:rPr>
          <w:rFonts w:ascii="Arial" w:hAnsi="Arial" w:cs="Arial"/>
          <w:i/>
          <w:lang w:eastAsia="en-GB"/>
        </w:rPr>
        <w:t>BMJ Quality &amp; Safety</w:t>
      </w:r>
      <w:r w:rsidRPr="006231B9">
        <w:rPr>
          <w:rFonts w:ascii="Arial" w:hAnsi="Arial" w:cs="Arial"/>
          <w:lang w:eastAsia="en-GB"/>
        </w:rPr>
        <w:t xml:space="preserve">, 34(6), pp. 377-388. doi:10.1136/bmjqs-2024-017183. Available at: </w:t>
      </w:r>
      <w:hyperlink r:id="rId18">
        <w:r w:rsidRPr="006231B9">
          <w:rPr>
            <w:rStyle w:val="Hyperlink"/>
            <w:rFonts w:ascii="Arial" w:hAnsi="Arial" w:cs="Arial"/>
            <w:color w:val="auto"/>
            <w:lang w:eastAsia="en-GB"/>
          </w:rPr>
          <w:t>https://qualitysafety.bmj.com/content/qhc/early/2024/12/28/bmjqs-2024-017183.full.pdf</w:t>
        </w:r>
      </w:hyperlink>
      <w:r w:rsidRPr="006231B9">
        <w:rPr>
          <w:rFonts w:ascii="Arial" w:hAnsi="Arial" w:cs="Arial"/>
          <w:lang w:eastAsia="en-GB"/>
        </w:rPr>
        <w:t xml:space="preserve"> (Accessed: July 27, 2026).</w:t>
      </w:r>
    </w:p>
    <w:p w14:paraId="13BD1BE5"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val="de-DE" w:eastAsia="en-GB"/>
        </w:rPr>
        <w:t xml:space="preserve">Drei, S.M. et al. </w:t>
      </w:r>
      <w:r w:rsidRPr="006231B9">
        <w:rPr>
          <w:rFonts w:ascii="Arial" w:hAnsi="Arial" w:cs="Arial"/>
          <w:lang w:eastAsia="en-GB"/>
        </w:rPr>
        <w:t xml:space="preserve">(2023) “Proposing a novel conceptual model for the medical clinic within a mid-sized hospital through the application of Soft System Methodology (SSM),” </w:t>
      </w:r>
      <w:r w:rsidRPr="006231B9">
        <w:rPr>
          <w:rFonts w:ascii="Arial" w:hAnsi="Arial" w:cs="Arial"/>
          <w:i/>
          <w:lang w:eastAsia="en-GB"/>
        </w:rPr>
        <w:t>Pesquisa Operacional</w:t>
      </w:r>
      <w:r w:rsidRPr="006231B9">
        <w:rPr>
          <w:rFonts w:ascii="Arial" w:hAnsi="Arial" w:cs="Arial"/>
          <w:lang w:eastAsia="en-GB"/>
        </w:rPr>
        <w:t xml:space="preserve">, 43, e275528. doi:10.1590/0101-7438.2023.043.00275528. Available at: </w:t>
      </w:r>
      <w:hyperlink r:id="rId19">
        <w:r w:rsidRPr="006231B9">
          <w:rPr>
            <w:rStyle w:val="Hyperlink"/>
            <w:rFonts w:ascii="Arial" w:hAnsi="Arial" w:cs="Arial"/>
            <w:color w:val="auto"/>
            <w:lang w:eastAsia="en-GB"/>
          </w:rPr>
          <w:t>https://doi.org/10.1590/0101-7438.2023.043.00275528</w:t>
        </w:r>
      </w:hyperlink>
      <w:r w:rsidRPr="006231B9">
        <w:rPr>
          <w:rFonts w:ascii="Arial" w:hAnsi="Arial" w:cs="Arial"/>
          <w:lang w:eastAsia="en-GB"/>
        </w:rPr>
        <w:t xml:space="preserve"> (Accessed: August 5, 2026).</w:t>
      </w:r>
    </w:p>
    <w:p w14:paraId="58E3CF18"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Fournier, P.-L., Moisan, L. and Lagacé, D. (2022) “Seizing the opportunity: the emergence of shared leadership during the deployment of an integrated performance management system,” </w:t>
      </w:r>
      <w:r w:rsidRPr="006231B9">
        <w:rPr>
          <w:rFonts w:ascii="Arial" w:hAnsi="Arial" w:cs="Arial"/>
          <w:i/>
          <w:lang w:eastAsia="en-GB"/>
        </w:rPr>
        <w:t>BMC Health Services Research</w:t>
      </w:r>
      <w:r w:rsidRPr="006231B9">
        <w:rPr>
          <w:rFonts w:ascii="Arial" w:hAnsi="Arial" w:cs="Arial"/>
          <w:lang w:eastAsia="en-GB"/>
        </w:rPr>
        <w:t xml:space="preserve">, 22, 285. doi:10.1186/s12913-022-07690-3. Available at: </w:t>
      </w:r>
      <w:hyperlink r:id="rId20">
        <w:r w:rsidRPr="006231B9">
          <w:rPr>
            <w:rStyle w:val="Hyperlink"/>
            <w:rFonts w:ascii="Arial" w:hAnsi="Arial" w:cs="Arial"/>
            <w:color w:val="auto"/>
            <w:lang w:eastAsia="en-GB"/>
          </w:rPr>
          <w:t>https://pmc.ncbi.nlm.nih.gov/articles/PMC8889630/</w:t>
        </w:r>
      </w:hyperlink>
      <w:r w:rsidRPr="006231B9">
        <w:rPr>
          <w:rFonts w:ascii="Arial" w:hAnsi="Arial" w:cs="Arial"/>
          <w:lang w:eastAsia="en-GB"/>
        </w:rPr>
        <w:t xml:space="preserve"> (Accessed: July 26, 2026).</w:t>
      </w:r>
    </w:p>
    <w:p w14:paraId="368CC0AF"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Francis-Auton, E. et al. (2024) “Four system enablers of large-system transformation in health care: a mixed methods realist evaluation,” </w:t>
      </w:r>
      <w:r w:rsidRPr="006231B9">
        <w:rPr>
          <w:rFonts w:ascii="Arial" w:hAnsi="Arial" w:cs="Arial"/>
          <w:i/>
          <w:lang w:eastAsia="en-GB"/>
        </w:rPr>
        <w:t>The Milbank Quarterly</w:t>
      </w:r>
      <w:r w:rsidRPr="006231B9">
        <w:rPr>
          <w:rFonts w:ascii="Arial" w:hAnsi="Arial" w:cs="Arial"/>
          <w:lang w:eastAsia="en-GB"/>
        </w:rPr>
        <w:t xml:space="preserve">, 102(1), pp. 183-211. doi:10.1111/1468-0009.12684. Available at: </w:t>
      </w:r>
      <w:hyperlink r:id="rId21">
        <w:r w:rsidRPr="006231B9">
          <w:rPr>
            <w:rStyle w:val="Hyperlink"/>
            <w:rFonts w:ascii="Arial" w:hAnsi="Arial" w:cs="Arial"/>
            <w:color w:val="auto"/>
            <w:lang w:eastAsia="en-GB"/>
          </w:rPr>
          <w:t>https://pmc.ncbi.nlm.nih.gov/articles/PMC10938932/</w:t>
        </w:r>
      </w:hyperlink>
      <w:r w:rsidRPr="006231B9">
        <w:rPr>
          <w:rFonts w:ascii="Arial" w:hAnsi="Arial" w:cs="Arial"/>
          <w:lang w:eastAsia="en-GB"/>
        </w:rPr>
        <w:t xml:space="preserve"> (Accessed: July 26, 2026).</w:t>
      </w:r>
    </w:p>
    <w:p w14:paraId="50C8C1CE"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Ghosh, S., Ramamoorthy, L. and Pottakat, B. (2021) “Impact of structured clinical handover protocol on communication and patient satisfaction,” </w:t>
      </w:r>
      <w:r w:rsidRPr="006231B9">
        <w:rPr>
          <w:rFonts w:ascii="Arial" w:hAnsi="Arial" w:cs="Arial"/>
          <w:i/>
          <w:lang w:eastAsia="en-GB"/>
        </w:rPr>
        <w:t>Journal of Patient Experience</w:t>
      </w:r>
      <w:r w:rsidRPr="006231B9">
        <w:rPr>
          <w:rFonts w:ascii="Arial" w:hAnsi="Arial" w:cs="Arial"/>
          <w:lang w:eastAsia="en-GB"/>
        </w:rPr>
        <w:t xml:space="preserve">, 8, 2374373521997733. doi:10.1177/2374373521997733. Available at: </w:t>
      </w:r>
      <w:hyperlink r:id="rId22">
        <w:r w:rsidRPr="006231B9">
          <w:rPr>
            <w:rStyle w:val="Hyperlink"/>
            <w:rFonts w:ascii="Arial" w:hAnsi="Arial" w:cs="Arial"/>
            <w:color w:val="auto"/>
            <w:lang w:eastAsia="en-GB"/>
          </w:rPr>
          <w:t>https://pmc.ncbi.nlm.nih.gov/articles/PMC8205370/</w:t>
        </w:r>
      </w:hyperlink>
      <w:r w:rsidRPr="006231B9">
        <w:rPr>
          <w:rFonts w:ascii="Arial" w:hAnsi="Arial" w:cs="Arial"/>
          <w:lang w:eastAsia="en-GB"/>
        </w:rPr>
        <w:t xml:space="preserve"> (Accessed: August 6, 2026).</w:t>
      </w:r>
    </w:p>
    <w:p w14:paraId="40BFD992"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Hafezi, A. et al. (2022) “The relationship between patient safety culture and patient safety competency with adverse events: a multicenter cross-sectional study,” </w:t>
      </w:r>
      <w:r w:rsidRPr="006231B9">
        <w:rPr>
          <w:rFonts w:ascii="Arial" w:hAnsi="Arial" w:cs="Arial"/>
          <w:i/>
          <w:lang w:eastAsia="en-GB"/>
        </w:rPr>
        <w:t>BMC Nursing</w:t>
      </w:r>
      <w:r w:rsidRPr="006231B9">
        <w:rPr>
          <w:rFonts w:ascii="Arial" w:hAnsi="Arial" w:cs="Arial"/>
          <w:lang w:eastAsia="en-GB"/>
        </w:rPr>
        <w:t xml:space="preserve">, 21, 292. doi:10.1186/s12912-022-01076-w. Available at: </w:t>
      </w:r>
      <w:hyperlink r:id="rId23">
        <w:r w:rsidRPr="006231B9">
          <w:rPr>
            <w:rStyle w:val="Hyperlink"/>
            <w:rFonts w:ascii="Arial" w:hAnsi="Arial" w:cs="Arial"/>
            <w:color w:val="auto"/>
            <w:lang w:eastAsia="en-GB"/>
          </w:rPr>
          <w:t>https://pmc.ncbi.nlm.nih.gov/articles/PMC9628064/</w:t>
        </w:r>
      </w:hyperlink>
      <w:r w:rsidRPr="006231B9">
        <w:rPr>
          <w:rFonts w:ascii="Arial" w:hAnsi="Arial" w:cs="Arial"/>
          <w:lang w:eastAsia="en-GB"/>
        </w:rPr>
        <w:t xml:space="preserve"> (Accessed: July 30, 2026).</w:t>
      </w:r>
    </w:p>
    <w:p w14:paraId="1B0A98CC"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Hooftman, J. et al. (2024) “Common contributing factors of diagnostic error: a retrospective analysis of 109 serious adverse event reports from Dutch hospitals,” </w:t>
      </w:r>
      <w:r w:rsidRPr="006231B9">
        <w:rPr>
          <w:rFonts w:ascii="Arial" w:hAnsi="Arial" w:cs="Arial"/>
          <w:i/>
          <w:lang w:eastAsia="en-GB"/>
        </w:rPr>
        <w:t>BMJ Quality &amp; Safety</w:t>
      </w:r>
      <w:r w:rsidRPr="006231B9">
        <w:rPr>
          <w:rFonts w:ascii="Arial" w:hAnsi="Arial" w:cs="Arial"/>
          <w:lang w:eastAsia="en-GB"/>
        </w:rPr>
        <w:t xml:space="preserve">, 33(10), pp. 642–651. doi:10.1136/bmjqs-2022-015876. Available at: </w:t>
      </w:r>
      <w:hyperlink r:id="rId24">
        <w:r w:rsidRPr="006231B9">
          <w:rPr>
            <w:rStyle w:val="Hyperlink"/>
            <w:rFonts w:ascii="Arial" w:hAnsi="Arial" w:cs="Arial"/>
            <w:color w:val="auto"/>
            <w:lang w:eastAsia="en-GB"/>
          </w:rPr>
          <w:t>https://qualitysafety.bmj.com/content/qhc/33/10/642.full.pdf</w:t>
        </w:r>
      </w:hyperlink>
      <w:r w:rsidRPr="006231B9">
        <w:rPr>
          <w:rFonts w:ascii="Arial" w:hAnsi="Arial" w:cs="Arial"/>
          <w:lang w:eastAsia="en-GB"/>
        </w:rPr>
        <w:t xml:space="preserve"> (Accessed: July 27, 2026).</w:t>
      </w:r>
    </w:p>
    <w:p w14:paraId="00948D06"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Lainidi, O. et al. (2023) “An integrative systematic review of employee silence and voice in healthcare: what are we really measuring?,” </w:t>
      </w:r>
      <w:r w:rsidRPr="006231B9">
        <w:rPr>
          <w:rFonts w:ascii="Arial" w:hAnsi="Arial" w:cs="Arial"/>
          <w:i/>
          <w:lang w:eastAsia="en-GB"/>
        </w:rPr>
        <w:t>Frontiers in Psychiatry</w:t>
      </w:r>
      <w:r w:rsidRPr="006231B9">
        <w:rPr>
          <w:rFonts w:ascii="Arial" w:hAnsi="Arial" w:cs="Arial"/>
          <w:lang w:eastAsia="en-GB"/>
        </w:rPr>
        <w:t xml:space="preserve">, 14, 1111579. doi:10.3389/fpsyt.2023.1111579. Available at: </w:t>
      </w:r>
      <w:hyperlink r:id="rId25">
        <w:r w:rsidRPr="006231B9">
          <w:rPr>
            <w:rStyle w:val="Hyperlink"/>
            <w:rFonts w:ascii="Arial" w:hAnsi="Arial" w:cs="Arial"/>
            <w:color w:val="auto"/>
            <w:lang w:eastAsia="en-GB"/>
          </w:rPr>
          <w:t>https://www.frontiersin.org/journals/psychiatry/articles/10.3389/fpsyt.2023.1111579/full</w:t>
        </w:r>
      </w:hyperlink>
      <w:r w:rsidRPr="006231B9">
        <w:rPr>
          <w:rFonts w:ascii="Arial" w:hAnsi="Arial" w:cs="Arial"/>
          <w:lang w:eastAsia="en-GB"/>
        </w:rPr>
        <w:t xml:space="preserve"> (Accessed: July 30, 2026).</w:t>
      </w:r>
    </w:p>
    <w:p w14:paraId="5DF2DA85"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Office of Inspector General, U.S. Department of Health and Human Services (HHS OIG) (2022) </w:t>
      </w:r>
      <w:r w:rsidRPr="006231B9">
        <w:rPr>
          <w:rFonts w:ascii="Arial" w:hAnsi="Arial" w:cs="Arial"/>
          <w:i/>
          <w:lang w:eastAsia="en-GB"/>
        </w:rPr>
        <w:t>Adverse Events in Hospitals: A Quarter of Medicare Patients Experienced Harm in October 2018</w:t>
      </w:r>
      <w:r w:rsidRPr="006231B9">
        <w:rPr>
          <w:rFonts w:ascii="Arial" w:hAnsi="Arial" w:cs="Arial"/>
          <w:lang w:eastAsia="en-GB"/>
        </w:rPr>
        <w:t xml:space="preserve">. OEI-06-18-00400. Available at: </w:t>
      </w:r>
      <w:hyperlink r:id="rId26">
        <w:r w:rsidRPr="006231B9">
          <w:rPr>
            <w:rStyle w:val="Hyperlink"/>
            <w:rFonts w:ascii="Arial" w:hAnsi="Arial" w:cs="Arial"/>
            <w:color w:val="auto"/>
            <w:lang w:eastAsia="en-GB"/>
          </w:rPr>
          <w:t>https://oig.hhs.gov/reports/all/2022/adverse-events-in-hospitals-a-quarter-of-medicare-patients-experienced-harm-in-october-2018/</w:t>
        </w:r>
      </w:hyperlink>
      <w:r w:rsidRPr="006231B9">
        <w:rPr>
          <w:rFonts w:ascii="Arial" w:hAnsi="Arial" w:cs="Arial"/>
          <w:lang w:eastAsia="en-GB"/>
        </w:rPr>
        <w:t xml:space="preserve"> (Accessed: July 27, 2026).</w:t>
      </w:r>
    </w:p>
    <w:p w14:paraId="48B61B20"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Office of Inspector General, U.S. Department of Health and Human Services (HHS OIG) (2025) </w:t>
      </w:r>
      <w:r w:rsidRPr="006231B9">
        <w:rPr>
          <w:rFonts w:ascii="Arial" w:hAnsi="Arial" w:cs="Arial"/>
          <w:i/>
          <w:lang w:eastAsia="en-GB"/>
        </w:rPr>
        <w:t>Hospitals Did Not Capture Half of Patient Harm Events, Limiting Information Needed to Make Care Safer</w:t>
      </w:r>
      <w:r w:rsidRPr="006231B9">
        <w:rPr>
          <w:rFonts w:ascii="Arial" w:hAnsi="Arial" w:cs="Arial"/>
          <w:lang w:eastAsia="en-GB"/>
        </w:rPr>
        <w:t xml:space="preserve">. OEI-06-18-00401. Available at: </w:t>
      </w:r>
      <w:hyperlink r:id="rId27">
        <w:r w:rsidRPr="006231B9">
          <w:rPr>
            <w:rStyle w:val="Hyperlink"/>
            <w:rFonts w:ascii="Arial" w:hAnsi="Arial" w:cs="Arial"/>
            <w:color w:val="auto"/>
            <w:lang w:eastAsia="en-GB"/>
          </w:rPr>
          <w:t>https://oig.hhs.gov/documents/evaluation/10840/OEI-06-18-00401.pdf</w:t>
        </w:r>
      </w:hyperlink>
      <w:r w:rsidRPr="006231B9">
        <w:rPr>
          <w:rFonts w:ascii="Arial" w:hAnsi="Arial" w:cs="Arial"/>
          <w:lang w:eastAsia="en-GB"/>
        </w:rPr>
        <w:t xml:space="preserve"> (Accessed: July 28, 2026).</w:t>
      </w:r>
    </w:p>
    <w:p w14:paraId="0D3B74C4"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Olsen, S.L. et al. (2023) “Reduction in omission events after implementing a Rapid Response System: a mortality review in a department of gastrointestinal surgery,” </w:t>
      </w:r>
      <w:r w:rsidRPr="006231B9">
        <w:rPr>
          <w:rFonts w:ascii="Arial" w:hAnsi="Arial" w:cs="Arial"/>
          <w:i/>
          <w:lang w:eastAsia="en-GB"/>
        </w:rPr>
        <w:t>BMC Health Services Research</w:t>
      </w:r>
      <w:r w:rsidRPr="006231B9">
        <w:rPr>
          <w:rFonts w:ascii="Arial" w:hAnsi="Arial" w:cs="Arial"/>
          <w:lang w:eastAsia="en-GB"/>
        </w:rPr>
        <w:t xml:space="preserve">, 23, 179. doi:10.1186/s12913-023-09159-3. Available at: </w:t>
      </w:r>
      <w:hyperlink r:id="rId28">
        <w:r w:rsidRPr="006231B9">
          <w:rPr>
            <w:rStyle w:val="Hyperlink"/>
            <w:rFonts w:ascii="Arial" w:hAnsi="Arial" w:cs="Arial"/>
            <w:color w:val="auto"/>
            <w:lang w:eastAsia="en-GB"/>
          </w:rPr>
          <w:t>https://pmc.ncbi.nlm.nih.gov/articles/PMC9945730/</w:t>
        </w:r>
      </w:hyperlink>
      <w:r w:rsidRPr="006231B9">
        <w:rPr>
          <w:rFonts w:ascii="Arial" w:hAnsi="Arial" w:cs="Arial"/>
          <w:lang w:eastAsia="en-GB"/>
        </w:rPr>
        <w:t xml:space="preserve"> (Accessed: July 31, 2026).</w:t>
      </w:r>
    </w:p>
    <w:p w14:paraId="3CFB4A63"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Pareja-Rossell, C. et al. (2024) “Patient safety reporting and learning system of Catalonia (SNiSP Cat): a health policy initiative to enhance culture, leadership and professional engagement,” </w:t>
      </w:r>
      <w:r w:rsidRPr="006231B9">
        <w:rPr>
          <w:rFonts w:ascii="Arial" w:hAnsi="Arial" w:cs="Arial"/>
          <w:i/>
          <w:lang w:eastAsia="en-GB"/>
        </w:rPr>
        <w:t>BMJ Open Quality</w:t>
      </w:r>
      <w:r w:rsidRPr="006231B9">
        <w:rPr>
          <w:rFonts w:ascii="Arial" w:hAnsi="Arial" w:cs="Arial"/>
          <w:lang w:eastAsia="en-GB"/>
        </w:rPr>
        <w:t xml:space="preserve">, 13(3), e002610. doi:10.1136/bmjoq-2023-002610. Available at: </w:t>
      </w:r>
      <w:hyperlink r:id="rId29">
        <w:r w:rsidRPr="006231B9">
          <w:rPr>
            <w:rStyle w:val="Hyperlink"/>
            <w:rFonts w:ascii="Arial" w:hAnsi="Arial" w:cs="Arial"/>
            <w:color w:val="auto"/>
            <w:lang w:eastAsia="en-GB"/>
          </w:rPr>
          <w:t>https://pmc.ncbi.nlm.nih.gov/articles/PMC11409368/</w:t>
        </w:r>
      </w:hyperlink>
      <w:r w:rsidRPr="006231B9">
        <w:rPr>
          <w:rFonts w:ascii="Arial" w:hAnsi="Arial" w:cs="Arial"/>
          <w:lang w:eastAsia="en-GB"/>
        </w:rPr>
        <w:t xml:space="preserve"> (Accessed: August 7, 2026).</w:t>
      </w:r>
    </w:p>
    <w:p w14:paraId="0F6180E0"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Patient Safety Movement Foundation (n.d.) </w:t>
      </w:r>
      <w:r w:rsidRPr="006231B9">
        <w:rPr>
          <w:rFonts w:ascii="Arial" w:hAnsi="Arial" w:cs="Arial"/>
          <w:i/>
          <w:lang w:eastAsia="en-GB"/>
        </w:rPr>
        <w:t>Lewis Blackman</w:t>
      </w:r>
      <w:r w:rsidRPr="006231B9">
        <w:rPr>
          <w:rFonts w:ascii="Arial" w:hAnsi="Arial" w:cs="Arial"/>
          <w:lang w:eastAsia="en-GB"/>
        </w:rPr>
        <w:t xml:space="preserve">. Available at: </w:t>
      </w:r>
      <w:hyperlink r:id="rId30">
        <w:r w:rsidRPr="006231B9">
          <w:rPr>
            <w:rStyle w:val="Hyperlink"/>
            <w:rFonts w:ascii="Arial" w:hAnsi="Arial" w:cs="Arial"/>
            <w:color w:val="auto"/>
            <w:lang w:eastAsia="en-GB"/>
          </w:rPr>
          <w:t>https://psmf.org/story/lewis-blackman/</w:t>
        </w:r>
      </w:hyperlink>
      <w:r w:rsidRPr="006231B9">
        <w:rPr>
          <w:rFonts w:ascii="Arial" w:hAnsi="Arial" w:cs="Arial"/>
          <w:lang w:eastAsia="en-GB"/>
        </w:rPr>
        <w:t xml:space="preserve"> (Accessed: July 25, 2026).</w:t>
      </w:r>
    </w:p>
    <w:p w14:paraId="2A99BABD"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Powell, C. et al. (2024) “Emotional intelligence training among the healthcare workforce: a systematic review and meta-analysis,” </w:t>
      </w:r>
      <w:r w:rsidRPr="006231B9">
        <w:rPr>
          <w:rFonts w:ascii="Arial" w:hAnsi="Arial" w:cs="Arial"/>
          <w:i/>
          <w:lang w:eastAsia="en-GB"/>
        </w:rPr>
        <w:t>Frontiers in Psychology</w:t>
      </w:r>
      <w:r w:rsidRPr="006231B9">
        <w:rPr>
          <w:rFonts w:ascii="Arial" w:hAnsi="Arial" w:cs="Arial"/>
          <w:lang w:eastAsia="en-GB"/>
        </w:rPr>
        <w:t xml:space="preserve">, 15, 1437035. doi:10.3389/fpsyg.2024.1437035. Available at: </w:t>
      </w:r>
      <w:hyperlink r:id="rId31">
        <w:r w:rsidRPr="006231B9">
          <w:rPr>
            <w:rStyle w:val="Hyperlink"/>
            <w:rFonts w:ascii="Arial" w:hAnsi="Arial" w:cs="Arial"/>
            <w:color w:val="auto"/>
            <w:lang w:eastAsia="en-GB"/>
          </w:rPr>
          <w:t>https://www.frontiersin.org/journals/psychology/articles/10.3389/fpsyg.2024.1437035/full</w:t>
        </w:r>
      </w:hyperlink>
      <w:r w:rsidRPr="006231B9">
        <w:rPr>
          <w:rFonts w:ascii="Arial" w:hAnsi="Arial" w:cs="Arial"/>
          <w:lang w:eastAsia="en-GB"/>
        </w:rPr>
        <w:t xml:space="preserve"> (Accessed: August 2, 2026).</w:t>
      </w:r>
    </w:p>
    <w:p w14:paraId="669DA253"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Restivo, V. et al. (2022) “Leadership effectiveness in healthcare settings: a systematic review and meta-analysis of cross-sectional and before-after studies,” </w:t>
      </w:r>
      <w:r w:rsidRPr="006231B9">
        <w:rPr>
          <w:rFonts w:ascii="Arial" w:hAnsi="Arial" w:cs="Arial"/>
          <w:i/>
          <w:lang w:eastAsia="en-GB"/>
        </w:rPr>
        <w:t>International Journal of Environmental Research and Public Health</w:t>
      </w:r>
      <w:r w:rsidRPr="006231B9">
        <w:rPr>
          <w:rFonts w:ascii="Arial" w:hAnsi="Arial" w:cs="Arial"/>
          <w:lang w:eastAsia="en-GB"/>
        </w:rPr>
        <w:t xml:space="preserve">, 19(17), 10995. doi:10.3390/ijerph191710995. Available at: </w:t>
      </w:r>
      <w:hyperlink r:id="rId32">
        <w:r w:rsidRPr="006231B9">
          <w:rPr>
            <w:rStyle w:val="Hyperlink"/>
            <w:rFonts w:ascii="Arial" w:hAnsi="Arial" w:cs="Arial"/>
            <w:color w:val="auto"/>
            <w:lang w:eastAsia="en-GB"/>
          </w:rPr>
          <w:t>https://pmc.ncbi.nlm.nih.gov/articles/PMC9518077/</w:t>
        </w:r>
      </w:hyperlink>
      <w:r w:rsidRPr="006231B9">
        <w:rPr>
          <w:rFonts w:ascii="Arial" w:hAnsi="Arial" w:cs="Arial"/>
          <w:lang w:eastAsia="en-GB"/>
        </w:rPr>
        <w:t xml:space="preserve"> (Accessed: July 26, 2026).</w:t>
      </w:r>
    </w:p>
    <w:p w14:paraId="486936CC"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Sadegh Tabrizi, J., Azami Aghdash, S. and Nouri, M. (2021) “Countries' experiences in reforming hospital administration structure based on the Parker and Harding model: a systematic review study,” </w:t>
      </w:r>
      <w:r w:rsidRPr="006231B9">
        <w:rPr>
          <w:rFonts w:ascii="Arial" w:hAnsi="Arial" w:cs="Arial"/>
          <w:i/>
          <w:lang w:eastAsia="en-GB"/>
        </w:rPr>
        <w:t>Journal of Education and Health Promotion</w:t>
      </w:r>
      <w:r w:rsidRPr="006231B9">
        <w:rPr>
          <w:rFonts w:ascii="Arial" w:hAnsi="Arial" w:cs="Arial"/>
          <w:lang w:eastAsia="en-GB"/>
        </w:rPr>
        <w:t xml:space="preserve">, 10, 315. doi:10.4103/jehp.jehp_1649_20. Available at: </w:t>
      </w:r>
      <w:hyperlink r:id="rId33">
        <w:r w:rsidRPr="006231B9">
          <w:rPr>
            <w:rStyle w:val="Hyperlink"/>
            <w:rFonts w:ascii="Arial" w:hAnsi="Arial" w:cs="Arial"/>
            <w:color w:val="auto"/>
            <w:lang w:eastAsia="en-GB"/>
          </w:rPr>
          <w:t>https://pmc.ncbi.nlm.nih.gov/articles/PMC8459866/</w:t>
        </w:r>
      </w:hyperlink>
      <w:r w:rsidRPr="006231B9">
        <w:rPr>
          <w:rFonts w:ascii="Arial" w:hAnsi="Arial" w:cs="Arial"/>
          <w:lang w:eastAsia="en-GB"/>
        </w:rPr>
        <w:t xml:space="preserve"> (Accessed: July 25, 2026).</w:t>
      </w:r>
    </w:p>
    <w:p w14:paraId="0768187D"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Santhosh, L. et al. (2023) </w:t>
      </w:r>
      <w:r w:rsidRPr="006231B9">
        <w:rPr>
          <w:rFonts w:ascii="Arial" w:hAnsi="Arial" w:cs="Arial"/>
          <w:i/>
          <w:lang w:eastAsia="en-GB"/>
        </w:rPr>
        <w:t>Diagnostic Safety Across Transitions of Care Throughout the Healthcare System: Current State and a Call to Action</w:t>
      </w:r>
      <w:r w:rsidRPr="006231B9">
        <w:rPr>
          <w:rFonts w:ascii="Arial" w:hAnsi="Arial" w:cs="Arial"/>
          <w:lang w:eastAsia="en-GB"/>
        </w:rPr>
        <w:t xml:space="preserve">. Rockville, MD: Agency for Healthcare Research and Quality. AHRQ Publication No. 23-0040-1-EF. Available at: </w:t>
      </w:r>
      <w:hyperlink r:id="rId34">
        <w:r w:rsidRPr="006231B9">
          <w:rPr>
            <w:rStyle w:val="Hyperlink"/>
            <w:rFonts w:ascii="Arial" w:hAnsi="Arial" w:cs="Arial"/>
            <w:color w:val="auto"/>
            <w:lang w:eastAsia="en-GB"/>
          </w:rPr>
          <w:t>https://www.ahrq.gov/diagnostic-safety/resources/issue-briefs/dxsafety-care-transitions.html</w:t>
        </w:r>
      </w:hyperlink>
      <w:r w:rsidRPr="006231B9">
        <w:rPr>
          <w:rFonts w:ascii="Arial" w:hAnsi="Arial" w:cs="Arial"/>
          <w:lang w:eastAsia="en-GB"/>
        </w:rPr>
        <w:t xml:space="preserve"> (Accessed: August 6, 2026).</w:t>
      </w:r>
    </w:p>
    <w:p w14:paraId="3F8027DC"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Smith, D. et al. (2022) “Selecting intervention content to target barriers and enablers of recognition and response to deteriorating patients: an online nominal group study,” </w:t>
      </w:r>
      <w:r w:rsidRPr="006231B9">
        <w:rPr>
          <w:rFonts w:ascii="Arial" w:hAnsi="Arial" w:cs="Arial"/>
          <w:i/>
          <w:lang w:eastAsia="en-GB"/>
        </w:rPr>
        <w:t>BMC Health Services Research</w:t>
      </w:r>
      <w:r w:rsidRPr="006231B9">
        <w:rPr>
          <w:rFonts w:ascii="Arial" w:hAnsi="Arial" w:cs="Arial"/>
          <w:lang w:eastAsia="en-GB"/>
        </w:rPr>
        <w:t xml:space="preserve">, 22, 766. doi:10.1186/s12913-022-08128-6. Available at: </w:t>
      </w:r>
      <w:hyperlink r:id="rId35">
        <w:r w:rsidRPr="006231B9">
          <w:rPr>
            <w:rStyle w:val="Hyperlink"/>
            <w:rFonts w:ascii="Arial" w:hAnsi="Arial" w:cs="Arial"/>
            <w:color w:val="auto"/>
            <w:lang w:eastAsia="en-GB"/>
          </w:rPr>
          <w:t>https://pmc.ncbi.nlm.nih.gov/articles/PMC9186287/</w:t>
        </w:r>
      </w:hyperlink>
      <w:r w:rsidRPr="006231B9">
        <w:rPr>
          <w:rFonts w:ascii="Arial" w:hAnsi="Arial" w:cs="Arial"/>
          <w:lang w:eastAsia="en-GB"/>
        </w:rPr>
        <w:t xml:space="preserve"> (Accessed: July 28, 2026).</w:t>
      </w:r>
    </w:p>
    <w:p w14:paraId="32860275"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South Carolina General Assembly (2005) </w:t>
      </w:r>
      <w:r w:rsidRPr="006231B9">
        <w:rPr>
          <w:rFonts w:ascii="Arial" w:hAnsi="Arial" w:cs="Arial"/>
          <w:i/>
          <w:lang w:eastAsia="en-GB"/>
        </w:rPr>
        <w:t>Lewis Blackman Hospital Patient Safety Act, Act No. 146 (H.3832), 116th Session</w:t>
      </w:r>
      <w:r w:rsidRPr="006231B9">
        <w:rPr>
          <w:rFonts w:ascii="Arial" w:hAnsi="Arial" w:cs="Arial"/>
          <w:lang w:eastAsia="en-GB"/>
        </w:rPr>
        <w:t xml:space="preserve">. Available at: </w:t>
      </w:r>
      <w:hyperlink r:id="rId36">
        <w:r w:rsidRPr="006231B9">
          <w:rPr>
            <w:rStyle w:val="Hyperlink"/>
            <w:rFonts w:ascii="Arial" w:hAnsi="Arial" w:cs="Arial"/>
            <w:color w:val="auto"/>
            <w:lang w:eastAsia="en-GB"/>
          </w:rPr>
          <w:t>https://www.scstatehouse.gov/sess116_2005-2006/bills/3832.htm</w:t>
        </w:r>
      </w:hyperlink>
      <w:r w:rsidRPr="006231B9">
        <w:rPr>
          <w:rFonts w:ascii="Arial" w:hAnsi="Arial" w:cs="Arial"/>
          <w:lang w:eastAsia="en-GB"/>
        </w:rPr>
        <w:t xml:space="preserve"> (Accessed: July 29, 2026).</w:t>
      </w:r>
    </w:p>
    <w:p w14:paraId="5A190CAF"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Subbe, C. et al. (2023) “Value of improving patient safety: health economic considerations for rapid response systems - a rapid review of the literature and expert round table,” </w:t>
      </w:r>
      <w:r w:rsidRPr="006231B9">
        <w:rPr>
          <w:rFonts w:ascii="Arial" w:hAnsi="Arial" w:cs="Arial"/>
          <w:i/>
          <w:lang w:eastAsia="en-GB"/>
        </w:rPr>
        <w:t>BMJ Open</w:t>
      </w:r>
      <w:r w:rsidRPr="006231B9">
        <w:rPr>
          <w:rFonts w:ascii="Arial" w:hAnsi="Arial" w:cs="Arial"/>
          <w:lang w:eastAsia="en-GB"/>
        </w:rPr>
        <w:t xml:space="preserve">, 13, e065819. doi:10.1136/bmjopen-2022-065819. Available at: </w:t>
      </w:r>
      <w:hyperlink r:id="rId37">
        <w:r w:rsidRPr="006231B9">
          <w:rPr>
            <w:rStyle w:val="Hyperlink"/>
            <w:rFonts w:ascii="Arial" w:hAnsi="Arial" w:cs="Arial"/>
            <w:color w:val="auto"/>
            <w:lang w:eastAsia="en-GB"/>
          </w:rPr>
          <w:t>https://bmjopen.bmj.com/content/13/4/e065819</w:t>
        </w:r>
      </w:hyperlink>
      <w:r w:rsidRPr="006231B9">
        <w:rPr>
          <w:rFonts w:ascii="Arial" w:hAnsi="Arial" w:cs="Arial"/>
          <w:lang w:eastAsia="en-GB"/>
        </w:rPr>
        <w:t xml:space="preserve"> (Accessed: August 8, 2026).</w:t>
      </w:r>
    </w:p>
    <w:p w14:paraId="0E0868AC"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Toren, O. et al. (2022) “Improving patient safety in general hospitals using structured handoffs: outcomes from a national project,” </w:t>
      </w:r>
      <w:r w:rsidRPr="006231B9">
        <w:rPr>
          <w:rFonts w:ascii="Arial" w:hAnsi="Arial" w:cs="Arial"/>
          <w:i/>
          <w:lang w:eastAsia="en-GB"/>
        </w:rPr>
        <w:t>Frontiers in Public Health</w:t>
      </w:r>
      <w:r w:rsidRPr="006231B9">
        <w:rPr>
          <w:rFonts w:ascii="Arial" w:hAnsi="Arial" w:cs="Arial"/>
          <w:lang w:eastAsia="en-GB"/>
        </w:rPr>
        <w:t xml:space="preserve">, 10, 777678. doi:10.3389/fpubh.2022.777678. Available at: </w:t>
      </w:r>
      <w:hyperlink r:id="rId38">
        <w:r w:rsidRPr="006231B9">
          <w:rPr>
            <w:rStyle w:val="Hyperlink"/>
            <w:rFonts w:ascii="Arial" w:hAnsi="Arial" w:cs="Arial"/>
            <w:color w:val="auto"/>
            <w:lang w:eastAsia="en-GB"/>
          </w:rPr>
          <w:t>https://pmc.ncbi.nlm.nih.gov/articles/PMC8965813/</w:t>
        </w:r>
      </w:hyperlink>
      <w:r w:rsidRPr="006231B9">
        <w:rPr>
          <w:rFonts w:ascii="Arial" w:hAnsi="Arial" w:cs="Arial"/>
          <w:lang w:eastAsia="en-GB"/>
        </w:rPr>
        <w:t xml:space="preserve"> (Accessed: August 6, 2026).</w:t>
      </w:r>
    </w:p>
    <w:p w14:paraId="73A452D1"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val="de-DE" w:eastAsia="en-GB"/>
        </w:rPr>
        <w:t xml:space="preserve">Tyler, E.R. et al. </w:t>
      </w:r>
      <w:r w:rsidRPr="006231B9">
        <w:rPr>
          <w:rFonts w:ascii="Arial" w:hAnsi="Arial" w:cs="Arial"/>
          <w:lang w:eastAsia="en-GB"/>
        </w:rPr>
        <w:t xml:space="preserve">(2024) </w:t>
      </w:r>
      <w:r w:rsidRPr="006231B9">
        <w:rPr>
          <w:rFonts w:ascii="Arial" w:hAnsi="Arial" w:cs="Arial"/>
          <w:i/>
          <w:lang w:eastAsia="en-GB"/>
        </w:rPr>
        <w:t>Surveys on Patient Safety Culture (SOPS) Hospital Survey 2.0: 2024 User Database Report</w:t>
      </w:r>
      <w:r w:rsidRPr="006231B9">
        <w:rPr>
          <w:rFonts w:ascii="Arial" w:hAnsi="Arial" w:cs="Arial"/>
          <w:lang w:eastAsia="en-GB"/>
        </w:rPr>
        <w:t xml:space="preserve">. Rockville, MD: Agency for Healthcare Research and Quality. AHRQ Publication No. 25-0006. Available at: </w:t>
      </w:r>
      <w:hyperlink r:id="rId39">
        <w:r w:rsidRPr="006231B9">
          <w:rPr>
            <w:rStyle w:val="Hyperlink"/>
            <w:rFonts w:ascii="Arial" w:hAnsi="Arial" w:cs="Arial"/>
            <w:color w:val="auto"/>
            <w:lang w:eastAsia="en-GB"/>
          </w:rPr>
          <w:t>https://www.ahrq.gov/sites/default/files/wysiwyg/sops/databases/hospital/2024-hospital-database-report-ptI.pdf</w:t>
        </w:r>
      </w:hyperlink>
      <w:r w:rsidRPr="006231B9">
        <w:rPr>
          <w:rFonts w:ascii="Arial" w:hAnsi="Arial" w:cs="Arial"/>
          <w:lang w:eastAsia="en-GB"/>
        </w:rPr>
        <w:t xml:space="preserve"> (Accessed: July 28, 2026).</w:t>
      </w:r>
    </w:p>
    <w:p w14:paraId="020A0EF2"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Wang, X. et al. (2024) “Situational leadership theory in nursing management: a scoping review,” </w:t>
      </w:r>
      <w:r w:rsidRPr="006231B9">
        <w:rPr>
          <w:rFonts w:ascii="Arial" w:hAnsi="Arial" w:cs="Arial"/>
          <w:i/>
          <w:lang w:eastAsia="en-GB"/>
        </w:rPr>
        <w:t>BMC Nursing</w:t>
      </w:r>
      <w:r w:rsidRPr="006231B9">
        <w:rPr>
          <w:rFonts w:ascii="Arial" w:hAnsi="Arial" w:cs="Arial"/>
          <w:lang w:eastAsia="en-GB"/>
        </w:rPr>
        <w:t xml:space="preserve">, 23, 930. doi:10.1186/s12912-024-02582-9. Available at: </w:t>
      </w:r>
      <w:hyperlink r:id="rId40">
        <w:r w:rsidRPr="006231B9">
          <w:rPr>
            <w:rStyle w:val="Hyperlink"/>
            <w:rFonts w:ascii="Arial" w:hAnsi="Arial" w:cs="Arial"/>
            <w:color w:val="auto"/>
            <w:lang w:eastAsia="en-GB"/>
          </w:rPr>
          <w:t>https://pmc.ncbi.nlm.nih.gov/articles/PMC11660562/</w:t>
        </w:r>
      </w:hyperlink>
      <w:r w:rsidRPr="006231B9">
        <w:rPr>
          <w:rFonts w:ascii="Arial" w:hAnsi="Arial" w:cs="Arial"/>
          <w:lang w:eastAsia="en-GB"/>
        </w:rPr>
        <w:t xml:space="preserve"> (Accessed: July 26, 2026).</w:t>
      </w:r>
    </w:p>
    <w:p w14:paraId="56EC067F"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Weiss, M., Morrison, E.W. and Szyld, D. (2023) “I like what you are saying, but only if I feel safe: psychological safety moderates the relationship between voice and perceived contribution to healthcare team effectiveness,” </w:t>
      </w:r>
      <w:r w:rsidRPr="006231B9">
        <w:rPr>
          <w:rFonts w:ascii="Arial" w:hAnsi="Arial" w:cs="Arial"/>
          <w:i/>
          <w:lang w:eastAsia="en-GB"/>
        </w:rPr>
        <w:t>Frontiers in Psychology</w:t>
      </w:r>
      <w:r w:rsidRPr="006231B9">
        <w:rPr>
          <w:rFonts w:ascii="Arial" w:hAnsi="Arial" w:cs="Arial"/>
          <w:lang w:eastAsia="en-GB"/>
        </w:rPr>
        <w:t xml:space="preserve">, 14, 1129359. doi:10.3389/fpsyg.2023.1129359. Available at: </w:t>
      </w:r>
      <w:hyperlink r:id="rId41">
        <w:r w:rsidRPr="006231B9">
          <w:rPr>
            <w:rStyle w:val="Hyperlink"/>
            <w:rFonts w:ascii="Arial" w:hAnsi="Arial" w:cs="Arial"/>
            <w:color w:val="auto"/>
            <w:lang w:eastAsia="en-GB"/>
          </w:rPr>
          <w:t>https://www.frontiersin.org/journals/psychology/articles/10.3389/fpsyg.2023.1129359/full</w:t>
        </w:r>
      </w:hyperlink>
      <w:r w:rsidRPr="006231B9">
        <w:rPr>
          <w:rFonts w:ascii="Arial" w:hAnsi="Arial" w:cs="Arial"/>
          <w:lang w:eastAsia="en-GB"/>
        </w:rPr>
        <w:t xml:space="preserve"> (Accessed: July 30, 2026).</w:t>
      </w:r>
    </w:p>
    <w:p w14:paraId="37C212E7"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World Health Organization (WHO) (2021) </w:t>
      </w:r>
      <w:r w:rsidRPr="006231B9">
        <w:rPr>
          <w:rFonts w:ascii="Arial" w:hAnsi="Arial" w:cs="Arial"/>
          <w:i/>
          <w:lang w:eastAsia="en-GB"/>
        </w:rPr>
        <w:t>Global Patient Safety Action Plan 2021-2030: Towards Eliminating Avoidable Harm in Health Care</w:t>
      </w:r>
      <w:r w:rsidRPr="006231B9">
        <w:rPr>
          <w:rFonts w:ascii="Arial" w:hAnsi="Arial" w:cs="Arial"/>
          <w:lang w:eastAsia="en-GB"/>
        </w:rPr>
        <w:t xml:space="preserve">. Geneva: WHO. Available at: </w:t>
      </w:r>
      <w:hyperlink r:id="rId42">
        <w:r w:rsidRPr="006231B9">
          <w:rPr>
            <w:rStyle w:val="Hyperlink"/>
            <w:rFonts w:ascii="Arial" w:hAnsi="Arial" w:cs="Arial"/>
            <w:color w:val="auto"/>
            <w:lang w:eastAsia="en-GB"/>
          </w:rPr>
          <w:t>https://iris.who.int/server/api/core/bitstreams/a28c34c0-089c-4f5d-a0b1-5d9c35a3cd67/content</w:t>
        </w:r>
      </w:hyperlink>
      <w:r w:rsidRPr="006231B9">
        <w:rPr>
          <w:rFonts w:ascii="Arial" w:hAnsi="Arial" w:cs="Arial"/>
          <w:lang w:eastAsia="en-GB"/>
        </w:rPr>
        <w:t xml:space="preserve"> (Accessed: July 25, 2026).</w:t>
      </w:r>
    </w:p>
    <w:p w14:paraId="2B5BED74"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World Health Organization (WHO) (2023) </w:t>
      </w:r>
      <w:r w:rsidRPr="006231B9">
        <w:rPr>
          <w:rFonts w:ascii="Arial" w:hAnsi="Arial" w:cs="Arial"/>
          <w:i/>
          <w:lang w:eastAsia="en-GB"/>
        </w:rPr>
        <w:t>Patient safety</w:t>
      </w:r>
      <w:r w:rsidRPr="006231B9">
        <w:rPr>
          <w:rFonts w:ascii="Arial" w:hAnsi="Arial" w:cs="Arial"/>
          <w:lang w:eastAsia="en-GB"/>
        </w:rPr>
        <w:t xml:space="preserve">. Available at: </w:t>
      </w:r>
      <w:hyperlink r:id="rId43">
        <w:r w:rsidRPr="006231B9">
          <w:rPr>
            <w:rStyle w:val="Hyperlink"/>
            <w:rFonts w:ascii="Arial" w:hAnsi="Arial" w:cs="Arial"/>
            <w:color w:val="auto"/>
            <w:lang w:eastAsia="en-GB"/>
          </w:rPr>
          <w:t>https://www.who.int/news-room/fact-sheets/detail/patient-safety</w:t>
        </w:r>
      </w:hyperlink>
      <w:r w:rsidRPr="006231B9">
        <w:rPr>
          <w:rFonts w:ascii="Arial" w:hAnsi="Arial" w:cs="Arial"/>
          <w:lang w:eastAsia="en-GB"/>
        </w:rPr>
        <w:t xml:space="preserve"> (Accessed: July 27, 2026).</w:t>
      </w:r>
    </w:p>
    <w:p w14:paraId="00B14433"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eastAsia="en-GB"/>
        </w:rPr>
        <w:t xml:space="preserve">World Health Organization (WHO) (2024) </w:t>
      </w:r>
      <w:r w:rsidRPr="006231B9">
        <w:rPr>
          <w:rFonts w:ascii="Arial" w:hAnsi="Arial" w:cs="Arial"/>
          <w:i/>
          <w:lang w:eastAsia="en-GB"/>
        </w:rPr>
        <w:t>Patient Safety Rights Charter</w:t>
      </w:r>
      <w:r w:rsidRPr="006231B9">
        <w:rPr>
          <w:rFonts w:ascii="Arial" w:hAnsi="Arial" w:cs="Arial"/>
          <w:lang w:eastAsia="en-GB"/>
        </w:rPr>
        <w:t xml:space="preserve">. Geneva: WHO. Available at: </w:t>
      </w:r>
      <w:hyperlink r:id="rId44">
        <w:r w:rsidRPr="006231B9">
          <w:rPr>
            <w:rStyle w:val="Hyperlink"/>
            <w:rFonts w:ascii="Arial" w:hAnsi="Arial" w:cs="Arial"/>
            <w:color w:val="auto"/>
            <w:lang w:eastAsia="en-GB"/>
          </w:rPr>
          <w:t>https://iris.who.int/server/api/core/bitstreams/a48952b5-c8d5-4842-9e68-1ef966ffba85/content</w:t>
        </w:r>
      </w:hyperlink>
      <w:r w:rsidRPr="006231B9">
        <w:rPr>
          <w:rFonts w:ascii="Arial" w:hAnsi="Arial" w:cs="Arial"/>
          <w:lang w:eastAsia="en-GB"/>
        </w:rPr>
        <w:t xml:space="preserve"> (Accessed: August 9, 2026).</w:t>
      </w:r>
    </w:p>
    <w:p w14:paraId="2B920FD3" w14:textId="77777777" w:rsidR="00AE1E63" w:rsidRPr="006231B9" w:rsidRDefault="00AE1E63" w:rsidP="006231B9">
      <w:pPr>
        <w:spacing w:before="120" w:after="120" w:line="360" w:lineRule="auto"/>
        <w:contextualSpacing/>
        <w:rPr>
          <w:rFonts w:ascii="Arial" w:hAnsi="Arial" w:cs="Arial"/>
          <w:lang w:eastAsia="en-GB"/>
        </w:rPr>
      </w:pPr>
      <w:r w:rsidRPr="006231B9">
        <w:rPr>
          <w:rFonts w:ascii="Arial" w:hAnsi="Arial" w:cs="Arial"/>
          <w:lang w:val="de-DE" w:eastAsia="en-GB"/>
        </w:rPr>
        <w:t xml:space="preserve">Ystaas, L.M.K. et al. </w:t>
      </w:r>
      <w:r w:rsidRPr="006231B9">
        <w:rPr>
          <w:rFonts w:ascii="Arial" w:hAnsi="Arial" w:cs="Arial"/>
          <w:lang w:eastAsia="en-GB"/>
        </w:rPr>
        <w:t xml:space="preserve">(2023) “The impact of transformational leadership in the nursing work environment and patients' outcomes: a systematic review,” </w:t>
      </w:r>
      <w:r w:rsidRPr="006231B9">
        <w:rPr>
          <w:rFonts w:ascii="Arial" w:hAnsi="Arial" w:cs="Arial"/>
          <w:i/>
          <w:lang w:eastAsia="en-GB"/>
        </w:rPr>
        <w:t>Nursing Reports</w:t>
      </w:r>
      <w:r w:rsidRPr="006231B9">
        <w:rPr>
          <w:rFonts w:ascii="Arial" w:hAnsi="Arial" w:cs="Arial"/>
          <w:lang w:eastAsia="en-GB"/>
        </w:rPr>
        <w:t xml:space="preserve">, 13(3), pp. 1271-1290. doi:10.3390/nursrep13030108. Available at: </w:t>
      </w:r>
      <w:hyperlink r:id="rId45">
        <w:r w:rsidRPr="006231B9">
          <w:rPr>
            <w:rStyle w:val="Hyperlink"/>
            <w:rFonts w:ascii="Arial" w:hAnsi="Arial" w:cs="Arial"/>
            <w:color w:val="auto"/>
            <w:lang w:eastAsia="en-GB"/>
          </w:rPr>
          <w:t>https://pmc.ncbi.nlm.nih.gov/articles/PMC10537672/</w:t>
        </w:r>
      </w:hyperlink>
      <w:r w:rsidRPr="006231B9">
        <w:rPr>
          <w:rFonts w:ascii="Arial" w:hAnsi="Arial" w:cs="Arial"/>
          <w:lang w:eastAsia="en-GB"/>
        </w:rPr>
        <w:t xml:space="preserve"> (Accessed: July 26, 2026).</w:t>
      </w:r>
    </w:p>
    <w:p w14:paraId="392DB3E1" w14:textId="77777777" w:rsidR="002A18A3" w:rsidRPr="006231B9" w:rsidRDefault="002A18A3" w:rsidP="006231B9">
      <w:pPr>
        <w:spacing w:before="120" w:after="120" w:line="360" w:lineRule="auto"/>
        <w:contextualSpacing/>
        <w:rPr>
          <w:rFonts w:ascii="Arial" w:hAnsi="Arial" w:cs="Arial"/>
          <w:lang w:eastAsia="en-GB"/>
        </w:rPr>
      </w:pPr>
    </w:p>
    <w:sectPr w:rsidR="002A18A3" w:rsidRPr="006231B9" w:rsidSect="00FD2AFD">
      <w:footerReference w:type="default" r:id="rId4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AD1870" w14:textId="77777777" w:rsidR="001A0F8F" w:rsidRDefault="001A0F8F">
      <w:pPr>
        <w:spacing w:after="0" w:line="240" w:lineRule="auto"/>
      </w:pPr>
      <w:r>
        <w:separator/>
      </w:r>
    </w:p>
  </w:endnote>
  <w:endnote w:type="continuationSeparator" w:id="0">
    <w:p w14:paraId="33301215" w14:textId="77777777" w:rsidR="001A0F8F" w:rsidRDefault="001A0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327237"/>
      <w:docPartObj>
        <w:docPartGallery w:val="Page Numbers (Bottom of Page)"/>
        <w:docPartUnique/>
      </w:docPartObj>
    </w:sdtPr>
    <w:sdtEndPr/>
    <w:sdtContent>
      <w:p w14:paraId="1BBCBD51" w14:textId="77777777" w:rsidR="00885D2F" w:rsidRDefault="00A9508B">
        <w:pPr>
          <w:pStyle w:val="Footer"/>
        </w:pPr>
        <w:r>
          <w:rPr>
            <w:noProof/>
          </w:rPr>
          <mc:AlternateContent>
            <mc:Choice Requires="wps">
              <w:drawing>
                <wp:anchor distT="0" distB="0" distL="114300" distR="114300" simplePos="0" relativeHeight="251659264" behindDoc="0" locked="0" layoutInCell="1" allowOverlap="1" wp14:anchorId="56ADF89E">
                  <wp:simplePos x="0" y="0"/>
                  <wp:positionH relativeFrom="margin">
                    <wp:align>center</wp:align>
                  </wp:positionH>
                  <wp:positionV relativeFrom="bottomMargin">
                    <wp:align>center</wp:align>
                  </wp:positionV>
                  <wp:extent cx="573405" cy="238760"/>
                  <wp:effectExtent l="19050" t="19050" r="4445" b="8890"/>
                  <wp:wrapNone/>
                  <wp:docPr id="369420705"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3405" cy="238760"/>
                          </a:xfrm>
                          <a:prstGeom prst="bracketPair">
                            <a:avLst>
                              <a:gd name="adj" fmla="val 16667"/>
                            </a:avLst>
                          </a:prstGeom>
                          <a:solidFill>
                            <a:srgbClr val="FFFFFF"/>
                          </a:solidFill>
                          <a:ln w="28575">
                            <a:solidFill>
                              <a:srgbClr val="808080"/>
                            </a:solidFill>
                            <a:round/>
                            <a:headEnd/>
                            <a:tailEnd/>
                          </a:ln>
                        </wps:spPr>
                        <wps:txbx>
                          <w:txbxContent>
                            <w:p w14:paraId="6BD80487" w14:textId="77777777" w:rsidR="00AA4910" w:rsidRDefault="00A9508B">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56ADF89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2" o:spid="_x0000_s1026" type="#_x0000_t185" style="position:absolute;margin-left:0;margin-top:0;width:45.15pt;height:18.8pt;z-index:251659264;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" filled="t" strokecolor="gray" strokeweight="2.25pt">
                  <v:path arrowok="t"/>
                  <v:textbox inset=",0,,0">
                    <w:txbxContent>
                      <w:p w14:paraId="6BD80487" w14:textId="77777777" w:rsidR="00AA4910" w:rsidRDefault="00A9508B">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6B27AB00">
                  <wp:simplePos x="0" y="0"/>
                  <wp:positionH relativeFrom="margin">
                    <wp:align>center</wp:align>
                  </wp:positionH>
                  <wp:positionV relativeFrom="bottomMargin">
                    <wp:align>center</wp:align>
                  </wp:positionV>
                  <wp:extent cx="5518150" cy="0"/>
                  <wp:effectExtent l="0" t="0" r="0" b="0"/>
                  <wp:wrapNone/>
                  <wp:docPr id="217266328"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33EB0D7" id="_x0000_t32" coordsize="21600,21600" o:spt="32" o:oned="t" path="m,l21600,21600e" filled="f">
                  <v:path arrowok="t" fillok="f" o:connecttype="none"/>
                  <o:lock v:ext="edit" shapetype="t"/>
                </v:shapetype>
                <v:shape id="AutoShape 21" o:spid="_x0000_s1026" type="#_x0000_t32" style="position:absolute;margin-left:0;margin-top:0;width:434.5pt;height:0;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" strokecolor="gray" strokeweight="1pt">
                  <o:lock v:ext="edit" shapetype="f"/>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24842" w14:textId="77777777" w:rsidR="001A0F8F" w:rsidRDefault="001A0F8F">
      <w:pPr>
        <w:spacing w:after="0" w:line="240" w:lineRule="auto"/>
      </w:pPr>
      <w:r>
        <w:separator/>
      </w:r>
    </w:p>
  </w:footnote>
  <w:footnote w:type="continuationSeparator" w:id="0">
    <w:p w14:paraId="02F192BC" w14:textId="77777777" w:rsidR="001A0F8F" w:rsidRDefault="001A0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A0B06"/>
    <w:multiLevelType w:val="hybridMultilevel"/>
    <w:tmpl w:val="23A27712"/>
    <w:lvl w:ilvl="0" w:tplc="0F3A6F42">
      <w:start w:val="1"/>
      <w:numFmt w:val="bullet"/>
      <w:lvlText w:val=""/>
      <w:lvlJc w:val="left"/>
      <w:pPr>
        <w:ind w:left="720" w:hanging="360"/>
      </w:pPr>
      <w:rPr>
        <w:rFonts w:ascii="Symbol" w:hAnsi="Symbol" w:hint="default"/>
      </w:rPr>
    </w:lvl>
    <w:lvl w:ilvl="1" w:tplc="DA38150A" w:tentative="1">
      <w:start w:val="1"/>
      <w:numFmt w:val="bullet"/>
      <w:lvlText w:val="o"/>
      <w:lvlJc w:val="left"/>
      <w:pPr>
        <w:ind w:left="1440" w:hanging="360"/>
      </w:pPr>
      <w:rPr>
        <w:rFonts w:ascii="Courier New" w:hAnsi="Courier New" w:cs="Courier New" w:hint="default"/>
      </w:rPr>
    </w:lvl>
    <w:lvl w:ilvl="2" w:tplc="8C72973C" w:tentative="1">
      <w:start w:val="1"/>
      <w:numFmt w:val="bullet"/>
      <w:lvlText w:val=""/>
      <w:lvlJc w:val="left"/>
      <w:pPr>
        <w:ind w:left="2160" w:hanging="360"/>
      </w:pPr>
      <w:rPr>
        <w:rFonts w:ascii="Wingdings" w:hAnsi="Wingdings" w:hint="default"/>
      </w:rPr>
    </w:lvl>
    <w:lvl w:ilvl="3" w:tplc="78E8C1F4" w:tentative="1">
      <w:start w:val="1"/>
      <w:numFmt w:val="bullet"/>
      <w:lvlText w:val=""/>
      <w:lvlJc w:val="left"/>
      <w:pPr>
        <w:ind w:left="2880" w:hanging="360"/>
      </w:pPr>
      <w:rPr>
        <w:rFonts w:ascii="Symbol" w:hAnsi="Symbol" w:hint="default"/>
      </w:rPr>
    </w:lvl>
    <w:lvl w:ilvl="4" w:tplc="1E38AD76" w:tentative="1">
      <w:start w:val="1"/>
      <w:numFmt w:val="bullet"/>
      <w:lvlText w:val="o"/>
      <w:lvlJc w:val="left"/>
      <w:pPr>
        <w:ind w:left="3600" w:hanging="360"/>
      </w:pPr>
      <w:rPr>
        <w:rFonts w:ascii="Courier New" w:hAnsi="Courier New" w:cs="Courier New" w:hint="default"/>
      </w:rPr>
    </w:lvl>
    <w:lvl w:ilvl="5" w:tplc="32FAF730" w:tentative="1">
      <w:start w:val="1"/>
      <w:numFmt w:val="bullet"/>
      <w:lvlText w:val=""/>
      <w:lvlJc w:val="left"/>
      <w:pPr>
        <w:ind w:left="4320" w:hanging="360"/>
      </w:pPr>
      <w:rPr>
        <w:rFonts w:ascii="Wingdings" w:hAnsi="Wingdings" w:hint="default"/>
      </w:rPr>
    </w:lvl>
    <w:lvl w:ilvl="6" w:tplc="8E54BEDA" w:tentative="1">
      <w:start w:val="1"/>
      <w:numFmt w:val="bullet"/>
      <w:lvlText w:val=""/>
      <w:lvlJc w:val="left"/>
      <w:pPr>
        <w:ind w:left="5040" w:hanging="360"/>
      </w:pPr>
      <w:rPr>
        <w:rFonts w:ascii="Symbol" w:hAnsi="Symbol" w:hint="default"/>
      </w:rPr>
    </w:lvl>
    <w:lvl w:ilvl="7" w:tplc="58E6EF08" w:tentative="1">
      <w:start w:val="1"/>
      <w:numFmt w:val="bullet"/>
      <w:lvlText w:val="o"/>
      <w:lvlJc w:val="left"/>
      <w:pPr>
        <w:ind w:left="5760" w:hanging="360"/>
      </w:pPr>
      <w:rPr>
        <w:rFonts w:ascii="Courier New" w:hAnsi="Courier New" w:cs="Courier New" w:hint="default"/>
      </w:rPr>
    </w:lvl>
    <w:lvl w:ilvl="8" w:tplc="CCF0C08A" w:tentative="1">
      <w:start w:val="1"/>
      <w:numFmt w:val="bullet"/>
      <w:lvlText w:val=""/>
      <w:lvlJc w:val="left"/>
      <w:pPr>
        <w:ind w:left="6480" w:hanging="360"/>
      </w:pPr>
      <w:rPr>
        <w:rFonts w:ascii="Wingdings" w:hAnsi="Wingdings" w:hint="default"/>
      </w:rPr>
    </w:lvl>
  </w:abstractNum>
  <w:abstractNum w:abstractNumId="1" w15:restartNumberingAfterBreak="0">
    <w:nsid w:val="03422DE3"/>
    <w:multiLevelType w:val="hybridMultilevel"/>
    <w:tmpl w:val="40B26AFA"/>
    <w:lvl w:ilvl="0" w:tplc="96FA8C38">
      <w:start w:val="1"/>
      <w:numFmt w:val="bullet"/>
      <w:lvlText w:val=""/>
      <w:lvlJc w:val="left"/>
      <w:pPr>
        <w:ind w:left="720" w:hanging="360"/>
      </w:pPr>
      <w:rPr>
        <w:rFonts w:ascii="Symbol" w:hAnsi="Symbol" w:hint="default"/>
      </w:rPr>
    </w:lvl>
    <w:lvl w:ilvl="1" w:tplc="DB0ABBF6" w:tentative="1">
      <w:start w:val="1"/>
      <w:numFmt w:val="bullet"/>
      <w:lvlText w:val="o"/>
      <w:lvlJc w:val="left"/>
      <w:pPr>
        <w:ind w:left="1440" w:hanging="360"/>
      </w:pPr>
      <w:rPr>
        <w:rFonts w:ascii="Courier New" w:hAnsi="Courier New" w:cs="Courier New" w:hint="default"/>
      </w:rPr>
    </w:lvl>
    <w:lvl w:ilvl="2" w:tplc="6D1A1844" w:tentative="1">
      <w:start w:val="1"/>
      <w:numFmt w:val="bullet"/>
      <w:lvlText w:val=""/>
      <w:lvlJc w:val="left"/>
      <w:pPr>
        <w:ind w:left="2160" w:hanging="360"/>
      </w:pPr>
      <w:rPr>
        <w:rFonts w:ascii="Wingdings" w:hAnsi="Wingdings" w:hint="default"/>
      </w:rPr>
    </w:lvl>
    <w:lvl w:ilvl="3" w:tplc="32B60130" w:tentative="1">
      <w:start w:val="1"/>
      <w:numFmt w:val="bullet"/>
      <w:lvlText w:val=""/>
      <w:lvlJc w:val="left"/>
      <w:pPr>
        <w:ind w:left="2880" w:hanging="360"/>
      </w:pPr>
      <w:rPr>
        <w:rFonts w:ascii="Symbol" w:hAnsi="Symbol" w:hint="default"/>
      </w:rPr>
    </w:lvl>
    <w:lvl w:ilvl="4" w:tplc="E9620AC8" w:tentative="1">
      <w:start w:val="1"/>
      <w:numFmt w:val="bullet"/>
      <w:lvlText w:val="o"/>
      <w:lvlJc w:val="left"/>
      <w:pPr>
        <w:ind w:left="3600" w:hanging="360"/>
      </w:pPr>
      <w:rPr>
        <w:rFonts w:ascii="Courier New" w:hAnsi="Courier New" w:cs="Courier New" w:hint="default"/>
      </w:rPr>
    </w:lvl>
    <w:lvl w:ilvl="5" w:tplc="F25654B0" w:tentative="1">
      <w:start w:val="1"/>
      <w:numFmt w:val="bullet"/>
      <w:lvlText w:val=""/>
      <w:lvlJc w:val="left"/>
      <w:pPr>
        <w:ind w:left="4320" w:hanging="360"/>
      </w:pPr>
      <w:rPr>
        <w:rFonts w:ascii="Wingdings" w:hAnsi="Wingdings" w:hint="default"/>
      </w:rPr>
    </w:lvl>
    <w:lvl w:ilvl="6" w:tplc="3CF4B0A4" w:tentative="1">
      <w:start w:val="1"/>
      <w:numFmt w:val="bullet"/>
      <w:lvlText w:val=""/>
      <w:lvlJc w:val="left"/>
      <w:pPr>
        <w:ind w:left="5040" w:hanging="360"/>
      </w:pPr>
      <w:rPr>
        <w:rFonts w:ascii="Symbol" w:hAnsi="Symbol" w:hint="default"/>
      </w:rPr>
    </w:lvl>
    <w:lvl w:ilvl="7" w:tplc="03E01300" w:tentative="1">
      <w:start w:val="1"/>
      <w:numFmt w:val="bullet"/>
      <w:lvlText w:val="o"/>
      <w:lvlJc w:val="left"/>
      <w:pPr>
        <w:ind w:left="5760" w:hanging="360"/>
      </w:pPr>
      <w:rPr>
        <w:rFonts w:ascii="Courier New" w:hAnsi="Courier New" w:cs="Courier New" w:hint="default"/>
      </w:rPr>
    </w:lvl>
    <w:lvl w:ilvl="8" w:tplc="626E9D82" w:tentative="1">
      <w:start w:val="1"/>
      <w:numFmt w:val="bullet"/>
      <w:lvlText w:val=""/>
      <w:lvlJc w:val="left"/>
      <w:pPr>
        <w:ind w:left="6480" w:hanging="360"/>
      </w:pPr>
      <w:rPr>
        <w:rFonts w:ascii="Wingdings" w:hAnsi="Wingdings" w:hint="default"/>
      </w:rPr>
    </w:lvl>
  </w:abstractNum>
  <w:abstractNum w:abstractNumId="2" w15:restartNumberingAfterBreak="0">
    <w:nsid w:val="0536109B"/>
    <w:multiLevelType w:val="multilevel"/>
    <w:tmpl w:val="7F1CE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56E2C"/>
    <w:multiLevelType w:val="hybridMultilevel"/>
    <w:tmpl w:val="A1F0F808"/>
    <w:lvl w:ilvl="0" w:tplc="1E9EE5C0">
      <w:start w:val="1"/>
      <w:numFmt w:val="bullet"/>
      <w:lvlText w:val=""/>
      <w:lvlJc w:val="left"/>
      <w:pPr>
        <w:ind w:left="720" w:hanging="360"/>
      </w:pPr>
      <w:rPr>
        <w:rFonts w:ascii="Symbol" w:hAnsi="Symbol" w:hint="default"/>
      </w:rPr>
    </w:lvl>
    <w:lvl w:ilvl="1" w:tplc="BB3C9C8C" w:tentative="1">
      <w:start w:val="1"/>
      <w:numFmt w:val="bullet"/>
      <w:lvlText w:val="o"/>
      <w:lvlJc w:val="left"/>
      <w:pPr>
        <w:ind w:left="1440" w:hanging="360"/>
      </w:pPr>
      <w:rPr>
        <w:rFonts w:ascii="Courier New" w:hAnsi="Courier New" w:cs="Courier New" w:hint="default"/>
      </w:rPr>
    </w:lvl>
    <w:lvl w:ilvl="2" w:tplc="3244A1BE" w:tentative="1">
      <w:start w:val="1"/>
      <w:numFmt w:val="bullet"/>
      <w:lvlText w:val=""/>
      <w:lvlJc w:val="left"/>
      <w:pPr>
        <w:ind w:left="2160" w:hanging="360"/>
      </w:pPr>
      <w:rPr>
        <w:rFonts w:ascii="Wingdings" w:hAnsi="Wingdings" w:hint="default"/>
      </w:rPr>
    </w:lvl>
    <w:lvl w:ilvl="3" w:tplc="62E454EA" w:tentative="1">
      <w:start w:val="1"/>
      <w:numFmt w:val="bullet"/>
      <w:lvlText w:val=""/>
      <w:lvlJc w:val="left"/>
      <w:pPr>
        <w:ind w:left="2880" w:hanging="360"/>
      </w:pPr>
      <w:rPr>
        <w:rFonts w:ascii="Symbol" w:hAnsi="Symbol" w:hint="default"/>
      </w:rPr>
    </w:lvl>
    <w:lvl w:ilvl="4" w:tplc="039AA090" w:tentative="1">
      <w:start w:val="1"/>
      <w:numFmt w:val="bullet"/>
      <w:lvlText w:val="o"/>
      <w:lvlJc w:val="left"/>
      <w:pPr>
        <w:ind w:left="3600" w:hanging="360"/>
      </w:pPr>
      <w:rPr>
        <w:rFonts w:ascii="Courier New" w:hAnsi="Courier New" w:cs="Courier New" w:hint="default"/>
      </w:rPr>
    </w:lvl>
    <w:lvl w:ilvl="5" w:tplc="1B46A2E2" w:tentative="1">
      <w:start w:val="1"/>
      <w:numFmt w:val="bullet"/>
      <w:lvlText w:val=""/>
      <w:lvlJc w:val="left"/>
      <w:pPr>
        <w:ind w:left="4320" w:hanging="360"/>
      </w:pPr>
      <w:rPr>
        <w:rFonts w:ascii="Wingdings" w:hAnsi="Wingdings" w:hint="default"/>
      </w:rPr>
    </w:lvl>
    <w:lvl w:ilvl="6" w:tplc="5F5E3678" w:tentative="1">
      <w:start w:val="1"/>
      <w:numFmt w:val="bullet"/>
      <w:lvlText w:val=""/>
      <w:lvlJc w:val="left"/>
      <w:pPr>
        <w:ind w:left="5040" w:hanging="360"/>
      </w:pPr>
      <w:rPr>
        <w:rFonts w:ascii="Symbol" w:hAnsi="Symbol" w:hint="default"/>
      </w:rPr>
    </w:lvl>
    <w:lvl w:ilvl="7" w:tplc="1C507EF0" w:tentative="1">
      <w:start w:val="1"/>
      <w:numFmt w:val="bullet"/>
      <w:lvlText w:val="o"/>
      <w:lvlJc w:val="left"/>
      <w:pPr>
        <w:ind w:left="5760" w:hanging="360"/>
      </w:pPr>
      <w:rPr>
        <w:rFonts w:ascii="Courier New" w:hAnsi="Courier New" w:cs="Courier New" w:hint="default"/>
      </w:rPr>
    </w:lvl>
    <w:lvl w:ilvl="8" w:tplc="1E68BD00" w:tentative="1">
      <w:start w:val="1"/>
      <w:numFmt w:val="bullet"/>
      <w:lvlText w:val=""/>
      <w:lvlJc w:val="left"/>
      <w:pPr>
        <w:ind w:left="6480" w:hanging="360"/>
      </w:pPr>
      <w:rPr>
        <w:rFonts w:ascii="Wingdings" w:hAnsi="Wingdings" w:hint="default"/>
      </w:rPr>
    </w:lvl>
  </w:abstractNum>
  <w:abstractNum w:abstractNumId="4" w15:restartNumberingAfterBreak="0">
    <w:nsid w:val="149D0958"/>
    <w:multiLevelType w:val="multilevel"/>
    <w:tmpl w:val="43C2F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3827AA"/>
    <w:multiLevelType w:val="multilevel"/>
    <w:tmpl w:val="C1FA1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580170"/>
    <w:multiLevelType w:val="multilevel"/>
    <w:tmpl w:val="CC16EE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AC2DC0"/>
    <w:multiLevelType w:val="hybridMultilevel"/>
    <w:tmpl w:val="F8462A0E"/>
    <w:lvl w:ilvl="0" w:tplc="41F83FA2">
      <w:start w:val="1"/>
      <w:numFmt w:val="decimal"/>
      <w:lvlText w:val="%1."/>
      <w:lvlJc w:val="left"/>
      <w:pPr>
        <w:ind w:left="720" w:hanging="360"/>
      </w:pPr>
      <w:rPr>
        <w:rFonts w:hint="default"/>
      </w:rPr>
    </w:lvl>
    <w:lvl w:ilvl="1" w:tplc="AD064CBA" w:tentative="1">
      <w:start w:val="1"/>
      <w:numFmt w:val="lowerLetter"/>
      <w:lvlText w:val="%2."/>
      <w:lvlJc w:val="left"/>
      <w:pPr>
        <w:ind w:left="1440" w:hanging="360"/>
      </w:pPr>
    </w:lvl>
    <w:lvl w:ilvl="2" w:tplc="FAB0F090" w:tentative="1">
      <w:start w:val="1"/>
      <w:numFmt w:val="lowerRoman"/>
      <w:lvlText w:val="%3."/>
      <w:lvlJc w:val="right"/>
      <w:pPr>
        <w:ind w:left="2160" w:hanging="180"/>
      </w:pPr>
    </w:lvl>
    <w:lvl w:ilvl="3" w:tplc="65003962" w:tentative="1">
      <w:start w:val="1"/>
      <w:numFmt w:val="decimal"/>
      <w:lvlText w:val="%4."/>
      <w:lvlJc w:val="left"/>
      <w:pPr>
        <w:ind w:left="2880" w:hanging="360"/>
      </w:pPr>
    </w:lvl>
    <w:lvl w:ilvl="4" w:tplc="C1AC90C2" w:tentative="1">
      <w:start w:val="1"/>
      <w:numFmt w:val="lowerLetter"/>
      <w:lvlText w:val="%5."/>
      <w:lvlJc w:val="left"/>
      <w:pPr>
        <w:ind w:left="3600" w:hanging="360"/>
      </w:pPr>
    </w:lvl>
    <w:lvl w:ilvl="5" w:tplc="FBB63552" w:tentative="1">
      <w:start w:val="1"/>
      <w:numFmt w:val="lowerRoman"/>
      <w:lvlText w:val="%6."/>
      <w:lvlJc w:val="right"/>
      <w:pPr>
        <w:ind w:left="4320" w:hanging="180"/>
      </w:pPr>
    </w:lvl>
    <w:lvl w:ilvl="6" w:tplc="F8A0B6B4" w:tentative="1">
      <w:start w:val="1"/>
      <w:numFmt w:val="decimal"/>
      <w:lvlText w:val="%7."/>
      <w:lvlJc w:val="left"/>
      <w:pPr>
        <w:ind w:left="5040" w:hanging="360"/>
      </w:pPr>
    </w:lvl>
    <w:lvl w:ilvl="7" w:tplc="90C452A4" w:tentative="1">
      <w:start w:val="1"/>
      <w:numFmt w:val="lowerLetter"/>
      <w:lvlText w:val="%8."/>
      <w:lvlJc w:val="left"/>
      <w:pPr>
        <w:ind w:left="5760" w:hanging="360"/>
      </w:pPr>
    </w:lvl>
    <w:lvl w:ilvl="8" w:tplc="E8A48672" w:tentative="1">
      <w:start w:val="1"/>
      <w:numFmt w:val="lowerRoman"/>
      <w:lvlText w:val="%9."/>
      <w:lvlJc w:val="right"/>
      <w:pPr>
        <w:ind w:left="6480" w:hanging="180"/>
      </w:pPr>
    </w:lvl>
  </w:abstractNum>
  <w:abstractNum w:abstractNumId="8" w15:restartNumberingAfterBreak="0">
    <w:nsid w:val="21AD15EB"/>
    <w:multiLevelType w:val="hybridMultilevel"/>
    <w:tmpl w:val="24B0B83A"/>
    <w:lvl w:ilvl="0" w:tplc="B3382038">
      <w:start w:val="1"/>
      <w:numFmt w:val="bullet"/>
      <w:lvlText w:val=""/>
      <w:lvlJc w:val="left"/>
      <w:pPr>
        <w:ind w:left="720" w:hanging="360"/>
      </w:pPr>
      <w:rPr>
        <w:rFonts w:ascii="Symbol" w:hAnsi="Symbol" w:hint="default"/>
      </w:rPr>
    </w:lvl>
    <w:lvl w:ilvl="1" w:tplc="7C4834FA" w:tentative="1">
      <w:start w:val="1"/>
      <w:numFmt w:val="bullet"/>
      <w:lvlText w:val="o"/>
      <w:lvlJc w:val="left"/>
      <w:pPr>
        <w:ind w:left="1440" w:hanging="360"/>
      </w:pPr>
      <w:rPr>
        <w:rFonts w:ascii="Courier New" w:hAnsi="Courier New" w:cs="Courier New" w:hint="default"/>
      </w:rPr>
    </w:lvl>
    <w:lvl w:ilvl="2" w:tplc="DC6EE33A" w:tentative="1">
      <w:start w:val="1"/>
      <w:numFmt w:val="bullet"/>
      <w:lvlText w:val=""/>
      <w:lvlJc w:val="left"/>
      <w:pPr>
        <w:ind w:left="2160" w:hanging="360"/>
      </w:pPr>
      <w:rPr>
        <w:rFonts w:ascii="Wingdings" w:hAnsi="Wingdings" w:hint="default"/>
      </w:rPr>
    </w:lvl>
    <w:lvl w:ilvl="3" w:tplc="C2D4FA68" w:tentative="1">
      <w:start w:val="1"/>
      <w:numFmt w:val="bullet"/>
      <w:lvlText w:val=""/>
      <w:lvlJc w:val="left"/>
      <w:pPr>
        <w:ind w:left="2880" w:hanging="360"/>
      </w:pPr>
      <w:rPr>
        <w:rFonts w:ascii="Symbol" w:hAnsi="Symbol" w:hint="default"/>
      </w:rPr>
    </w:lvl>
    <w:lvl w:ilvl="4" w:tplc="08983282" w:tentative="1">
      <w:start w:val="1"/>
      <w:numFmt w:val="bullet"/>
      <w:lvlText w:val="o"/>
      <w:lvlJc w:val="left"/>
      <w:pPr>
        <w:ind w:left="3600" w:hanging="360"/>
      </w:pPr>
      <w:rPr>
        <w:rFonts w:ascii="Courier New" w:hAnsi="Courier New" w:cs="Courier New" w:hint="default"/>
      </w:rPr>
    </w:lvl>
    <w:lvl w:ilvl="5" w:tplc="322C110E" w:tentative="1">
      <w:start w:val="1"/>
      <w:numFmt w:val="bullet"/>
      <w:lvlText w:val=""/>
      <w:lvlJc w:val="left"/>
      <w:pPr>
        <w:ind w:left="4320" w:hanging="360"/>
      </w:pPr>
      <w:rPr>
        <w:rFonts w:ascii="Wingdings" w:hAnsi="Wingdings" w:hint="default"/>
      </w:rPr>
    </w:lvl>
    <w:lvl w:ilvl="6" w:tplc="C9D68CE6" w:tentative="1">
      <w:start w:val="1"/>
      <w:numFmt w:val="bullet"/>
      <w:lvlText w:val=""/>
      <w:lvlJc w:val="left"/>
      <w:pPr>
        <w:ind w:left="5040" w:hanging="360"/>
      </w:pPr>
      <w:rPr>
        <w:rFonts w:ascii="Symbol" w:hAnsi="Symbol" w:hint="default"/>
      </w:rPr>
    </w:lvl>
    <w:lvl w:ilvl="7" w:tplc="F378028C" w:tentative="1">
      <w:start w:val="1"/>
      <w:numFmt w:val="bullet"/>
      <w:lvlText w:val="o"/>
      <w:lvlJc w:val="left"/>
      <w:pPr>
        <w:ind w:left="5760" w:hanging="360"/>
      </w:pPr>
      <w:rPr>
        <w:rFonts w:ascii="Courier New" w:hAnsi="Courier New" w:cs="Courier New" w:hint="default"/>
      </w:rPr>
    </w:lvl>
    <w:lvl w:ilvl="8" w:tplc="FE9C61C6" w:tentative="1">
      <w:start w:val="1"/>
      <w:numFmt w:val="bullet"/>
      <w:lvlText w:val=""/>
      <w:lvlJc w:val="left"/>
      <w:pPr>
        <w:ind w:left="6480" w:hanging="360"/>
      </w:pPr>
      <w:rPr>
        <w:rFonts w:ascii="Wingdings" w:hAnsi="Wingdings" w:hint="default"/>
      </w:rPr>
    </w:lvl>
  </w:abstractNum>
  <w:abstractNum w:abstractNumId="9" w15:restartNumberingAfterBreak="0">
    <w:nsid w:val="22042D4E"/>
    <w:multiLevelType w:val="hybridMultilevel"/>
    <w:tmpl w:val="AC34CBDA"/>
    <w:lvl w:ilvl="0" w:tplc="DB1678BE">
      <w:start w:val="1"/>
      <w:numFmt w:val="bullet"/>
      <w:lvlText w:val=""/>
      <w:lvlJc w:val="left"/>
      <w:pPr>
        <w:ind w:left="1080" w:hanging="360"/>
      </w:pPr>
      <w:rPr>
        <w:rFonts w:ascii="Symbol" w:hAnsi="Symbol" w:hint="default"/>
      </w:rPr>
    </w:lvl>
    <w:lvl w:ilvl="1" w:tplc="AED23126" w:tentative="1">
      <w:start w:val="1"/>
      <w:numFmt w:val="bullet"/>
      <w:lvlText w:val="o"/>
      <w:lvlJc w:val="left"/>
      <w:pPr>
        <w:ind w:left="1800" w:hanging="360"/>
      </w:pPr>
      <w:rPr>
        <w:rFonts w:ascii="Courier New" w:hAnsi="Courier New" w:cs="Courier New" w:hint="default"/>
      </w:rPr>
    </w:lvl>
    <w:lvl w:ilvl="2" w:tplc="EE76AAAE" w:tentative="1">
      <w:start w:val="1"/>
      <w:numFmt w:val="bullet"/>
      <w:lvlText w:val=""/>
      <w:lvlJc w:val="left"/>
      <w:pPr>
        <w:ind w:left="2520" w:hanging="360"/>
      </w:pPr>
      <w:rPr>
        <w:rFonts w:ascii="Wingdings" w:hAnsi="Wingdings" w:hint="default"/>
      </w:rPr>
    </w:lvl>
    <w:lvl w:ilvl="3" w:tplc="6478B7B6" w:tentative="1">
      <w:start w:val="1"/>
      <w:numFmt w:val="bullet"/>
      <w:lvlText w:val=""/>
      <w:lvlJc w:val="left"/>
      <w:pPr>
        <w:ind w:left="3240" w:hanging="360"/>
      </w:pPr>
      <w:rPr>
        <w:rFonts w:ascii="Symbol" w:hAnsi="Symbol" w:hint="default"/>
      </w:rPr>
    </w:lvl>
    <w:lvl w:ilvl="4" w:tplc="3E800290" w:tentative="1">
      <w:start w:val="1"/>
      <w:numFmt w:val="bullet"/>
      <w:lvlText w:val="o"/>
      <w:lvlJc w:val="left"/>
      <w:pPr>
        <w:ind w:left="3960" w:hanging="360"/>
      </w:pPr>
      <w:rPr>
        <w:rFonts w:ascii="Courier New" w:hAnsi="Courier New" w:cs="Courier New" w:hint="default"/>
      </w:rPr>
    </w:lvl>
    <w:lvl w:ilvl="5" w:tplc="9EB05D66" w:tentative="1">
      <w:start w:val="1"/>
      <w:numFmt w:val="bullet"/>
      <w:lvlText w:val=""/>
      <w:lvlJc w:val="left"/>
      <w:pPr>
        <w:ind w:left="4680" w:hanging="360"/>
      </w:pPr>
      <w:rPr>
        <w:rFonts w:ascii="Wingdings" w:hAnsi="Wingdings" w:hint="default"/>
      </w:rPr>
    </w:lvl>
    <w:lvl w:ilvl="6" w:tplc="8D3A89AA" w:tentative="1">
      <w:start w:val="1"/>
      <w:numFmt w:val="bullet"/>
      <w:lvlText w:val=""/>
      <w:lvlJc w:val="left"/>
      <w:pPr>
        <w:ind w:left="5400" w:hanging="360"/>
      </w:pPr>
      <w:rPr>
        <w:rFonts w:ascii="Symbol" w:hAnsi="Symbol" w:hint="default"/>
      </w:rPr>
    </w:lvl>
    <w:lvl w:ilvl="7" w:tplc="DBAA869E" w:tentative="1">
      <w:start w:val="1"/>
      <w:numFmt w:val="bullet"/>
      <w:lvlText w:val="o"/>
      <w:lvlJc w:val="left"/>
      <w:pPr>
        <w:ind w:left="6120" w:hanging="360"/>
      </w:pPr>
      <w:rPr>
        <w:rFonts w:ascii="Courier New" w:hAnsi="Courier New" w:cs="Courier New" w:hint="default"/>
      </w:rPr>
    </w:lvl>
    <w:lvl w:ilvl="8" w:tplc="DE4EE23A" w:tentative="1">
      <w:start w:val="1"/>
      <w:numFmt w:val="bullet"/>
      <w:lvlText w:val=""/>
      <w:lvlJc w:val="left"/>
      <w:pPr>
        <w:ind w:left="6840" w:hanging="360"/>
      </w:pPr>
      <w:rPr>
        <w:rFonts w:ascii="Wingdings" w:hAnsi="Wingdings" w:hint="default"/>
      </w:rPr>
    </w:lvl>
  </w:abstractNum>
  <w:abstractNum w:abstractNumId="10" w15:restartNumberingAfterBreak="0">
    <w:nsid w:val="27D250C2"/>
    <w:multiLevelType w:val="hybridMultilevel"/>
    <w:tmpl w:val="BC8E124C"/>
    <w:lvl w:ilvl="0" w:tplc="B0844B4E">
      <w:start w:val="1"/>
      <w:numFmt w:val="bullet"/>
      <w:lvlText w:val=""/>
      <w:lvlJc w:val="left"/>
      <w:pPr>
        <w:ind w:left="720" w:hanging="360"/>
      </w:pPr>
      <w:rPr>
        <w:rFonts w:ascii="Symbol" w:hAnsi="Symbol" w:hint="default"/>
      </w:rPr>
    </w:lvl>
    <w:lvl w:ilvl="1" w:tplc="778EF4F0" w:tentative="1">
      <w:start w:val="1"/>
      <w:numFmt w:val="bullet"/>
      <w:lvlText w:val="o"/>
      <w:lvlJc w:val="left"/>
      <w:pPr>
        <w:ind w:left="1440" w:hanging="360"/>
      </w:pPr>
      <w:rPr>
        <w:rFonts w:ascii="Courier New" w:hAnsi="Courier New" w:cs="Courier New" w:hint="default"/>
      </w:rPr>
    </w:lvl>
    <w:lvl w:ilvl="2" w:tplc="40321A04" w:tentative="1">
      <w:start w:val="1"/>
      <w:numFmt w:val="bullet"/>
      <w:lvlText w:val=""/>
      <w:lvlJc w:val="left"/>
      <w:pPr>
        <w:ind w:left="2160" w:hanging="360"/>
      </w:pPr>
      <w:rPr>
        <w:rFonts w:ascii="Wingdings" w:hAnsi="Wingdings" w:hint="default"/>
      </w:rPr>
    </w:lvl>
    <w:lvl w:ilvl="3" w:tplc="60F05224" w:tentative="1">
      <w:start w:val="1"/>
      <w:numFmt w:val="bullet"/>
      <w:lvlText w:val=""/>
      <w:lvlJc w:val="left"/>
      <w:pPr>
        <w:ind w:left="2880" w:hanging="360"/>
      </w:pPr>
      <w:rPr>
        <w:rFonts w:ascii="Symbol" w:hAnsi="Symbol" w:hint="default"/>
      </w:rPr>
    </w:lvl>
    <w:lvl w:ilvl="4" w:tplc="813E86A6" w:tentative="1">
      <w:start w:val="1"/>
      <w:numFmt w:val="bullet"/>
      <w:lvlText w:val="o"/>
      <w:lvlJc w:val="left"/>
      <w:pPr>
        <w:ind w:left="3600" w:hanging="360"/>
      </w:pPr>
      <w:rPr>
        <w:rFonts w:ascii="Courier New" w:hAnsi="Courier New" w:cs="Courier New" w:hint="default"/>
      </w:rPr>
    </w:lvl>
    <w:lvl w:ilvl="5" w:tplc="275A1264" w:tentative="1">
      <w:start w:val="1"/>
      <w:numFmt w:val="bullet"/>
      <w:lvlText w:val=""/>
      <w:lvlJc w:val="left"/>
      <w:pPr>
        <w:ind w:left="4320" w:hanging="360"/>
      </w:pPr>
      <w:rPr>
        <w:rFonts w:ascii="Wingdings" w:hAnsi="Wingdings" w:hint="default"/>
      </w:rPr>
    </w:lvl>
    <w:lvl w:ilvl="6" w:tplc="FBA4487E" w:tentative="1">
      <w:start w:val="1"/>
      <w:numFmt w:val="bullet"/>
      <w:lvlText w:val=""/>
      <w:lvlJc w:val="left"/>
      <w:pPr>
        <w:ind w:left="5040" w:hanging="360"/>
      </w:pPr>
      <w:rPr>
        <w:rFonts w:ascii="Symbol" w:hAnsi="Symbol" w:hint="default"/>
      </w:rPr>
    </w:lvl>
    <w:lvl w:ilvl="7" w:tplc="72D6E76E" w:tentative="1">
      <w:start w:val="1"/>
      <w:numFmt w:val="bullet"/>
      <w:lvlText w:val="o"/>
      <w:lvlJc w:val="left"/>
      <w:pPr>
        <w:ind w:left="5760" w:hanging="360"/>
      </w:pPr>
      <w:rPr>
        <w:rFonts w:ascii="Courier New" w:hAnsi="Courier New" w:cs="Courier New" w:hint="default"/>
      </w:rPr>
    </w:lvl>
    <w:lvl w:ilvl="8" w:tplc="FC2EF33C" w:tentative="1">
      <w:start w:val="1"/>
      <w:numFmt w:val="bullet"/>
      <w:lvlText w:val=""/>
      <w:lvlJc w:val="left"/>
      <w:pPr>
        <w:ind w:left="6480" w:hanging="360"/>
      </w:pPr>
      <w:rPr>
        <w:rFonts w:ascii="Wingdings" w:hAnsi="Wingdings" w:hint="default"/>
      </w:rPr>
    </w:lvl>
  </w:abstractNum>
  <w:abstractNum w:abstractNumId="11" w15:restartNumberingAfterBreak="0">
    <w:nsid w:val="35E56094"/>
    <w:multiLevelType w:val="hybridMultilevel"/>
    <w:tmpl w:val="C05C0016"/>
    <w:lvl w:ilvl="0" w:tplc="59FC8C44">
      <w:start w:val="1"/>
      <w:numFmt w:val="bullet"/>
      <w:lvlText w:val=""/>
      <w:lvlJc w:val="left"/>
      <w:pPr>
        <w:ind w:left="720" w:hanging="360"/>
      </w:pPr>
      <w:rPr>
        <w:rFonts w:ascii="Symbol" w:hAnsi="Symbol" w:hint="default"/>
      </w:rPr>
    </w:lvl>
    <w:lvl w:ilvl="1" w:tplc="866EB98C" w:tentative="1">
      <w:start w:val="1"/>
      <w:numFmt w:val="bullet"/>
      <w:lvlText w:val="o"/>
      <w:lvlJc w:val="left"/>
      <w:pPr>
        <w:ind w:left="1440" w:hanging="360"/>
      </w:pPr>
      <w:rPr>
        <w:rFonts w:ascii="Courier New" w:hAnsi="Courier New" w:cs="Courier New" w:hint="default"/>
      </w:rPr>
    </w:lvl>
    <w:lvl w:ilvl="2" w:tplc="B3648B90" w:tentative="1">
      <w:start w:val="1"/>
      <w:numFmt w:val="bullet"/>
      <w:lvlText w:val=""/>
      <w:lvlJc w:val="left"/>
      <w:pPr>
        <w:ind w:left="2160" w:hanging="360"/>
      </w:pPr>
      <w:rPr>
        <w:rFonts w:ascii="Wingdings" w:hAnsi="Wingdings" w:hint="default"/>
      </w:rPr>
    </w:lvl>
    <w:lvl w:ilvl="3" w:tplc="86D4101C" w:tentative="1">
      <w:start w:val="1"/>
      <w:numFmt w:val="bullet"/>
      <w:lvlText w:val=""/>
      <w:lvlJc w:val="left"/>
      <w:pPr>
        <w:ind w:left="2880" w:hanging="360"/>
      </w:pPr>
      <w:rPr>
        <w:rFonts w:ascii="Symbol" w:hAnsi="Symbol" w:hint="default"/>
      </w:rPr>
    </w:lvl>
    <w:lvl w:ilvl="4" w:tplc="54CC6CCE" w:tentative="1">
      <w:start w:val="1"/>
      <w:numFmt w:val="bullet"/>
      <w:lvlText w:val="o"/>
      <w:lvlJc w:val="left"/>
      <w:pPr>
        <w:ind w:left="3600" w:hanging="360"/>
      </w:pPr>
      <w:rPr>
        <w:rFonts w:ascii="Courier New" w:hAnsi="Courier New" w:cs="Courier New" w:hint="default"/>
      </w:rPr>
    </w:lvl>
    <w:lvl w:ilvl="5" w:tplc="A8D43F34" w:tentative="1">
      <w:start w:val="1"/>
      <w:numFmt w:val="bullet"/>
      <w:lvlText w:val=""/>
      <w:lvlJc w:val="left"/>
      <w:pPr>
        <w:ind w:left="4320" w:hanging="360"/>
      </w:pPr>
      <w:rPr>
        <w:rFonts w:ascii="Wingdings" w:hAnsi="Wingdings" w:hint="default"/>
      </w:rPr>
    </w:lvl>
    <w:lvl w:ilvl="6" w:tplc="05A87EF8" w:tentative="1">
      <w:start w:val="1"/>
      <w:numFmt w:val="bullet"/>
      <w:lvlText w:val=""/>
      <w:lvlJc w:val="left"/>
      <w:pPr>
        <w:ind w:left="5040" w:hanging="360"/>
      </w:pPr>
      <w:rPr>
        <w:rFonts w:ascii="Symbol" w:hAnsi="Symbol" w:hint="default"/>
      </w:rPr>
    </w:lvl>
    <w:lvl w:ilvl="7" w:tplc="722ED8C4" w:tentative="1">
      <w:start w:val="1"/>
      <w:numFmt w:val="bullet"/>
      <w:lvlText w:val="o"/>
      <w:lvlJc w:val="left"/>
      <w:pPr>
        <w:ind w:left="5760" w:hanging="360"/>
      </w:pPr>
      <w:rPr>
        <w:rFonts w:ascii="Courier New" w:hAnsi="Courier New" w:cs="Courier New" w:hint="default"/>
      </w:rPr>
    </w:lvl>
    <w:lvl w:ilvl="8" w:tplc="5304133E" w:tentative="1">
      <w:start w:val="1"/>
      <w:numFmt w:val="bullet"/>
      <w:lvlText w:val=""/>
      <w:lvlJc w:val="left"/>
      <w:pPr>
        <w:ind w:left="6480" w:hanging="360"/>
      </w:pPr>
      <w:rPr>
        <w:rFonts w:ascii="Wingdings" w:hAnsi="Wingdings" w:hint="default"/>
      </w:rPr>
    </w:lvl>
  </w:abstractNum>
  <w:abstractNum w:abstractNumId="12" w15:restartNumberingAfterBreak="0">
    <w:nsid w:val="38334D7E"/>
    <w:multiLevelType w:val="hybridMultilevel"/>
    <w:tmpl w:val="1FC8A1E8"/>
    <w:lvl w:ilvl="0" w:tplc="50E8662C">
      <w:start w:val="1"/>
      <w:numFmt w:val="bullet"/>
      <w:lvlText w:val=""/>
      <w:lvlJc w:val="left"/>
      <w:pPr>
        <w:ind w:left="720" w:hanging="360"/>
      </w:pPr>
      <w:rPr>
        <w:rFonts w:ascii="Symbol" w:hAnsi="Symbol" w:hint="default"/>
      </w:rPr>
    </w:lvl>
    <w:lvl w:ilvl="1" w:tplc="0CEE6660" w:tentative="1">
      <w:start w:val="1"/>
      <w:numFmt w:val="bullet"/>
      <w:lvlText w:val="o"/>
      <w:lvlJc w:val="left"/>
      <w:pPr>
        <w:ind w:left="1440" w:hanging="360"/>
      </w:pPr>
      <w:rPr>
        <w:rFonts w:ascii="Courier New" w:hAnsi="Courier New" w:cs="Courier New" w:hint="default"/>
      </w:rPr>
    </w:lvl>
    <w:lvl w:ilvl="2" w:tplc="FD3C9B20" w:tentative="1">
      <w:start w:val="1"/>
      <w:numFmt w:val="bullet"/>
      <w:lvlText w:val=""/>
      <w:lvlJc w:val="left"/>
      <w:pPr>
        <w:ind w:left="2160" w:hanging="360"/>
      </w:pPr>
      <w:rPr>
        <w:rFonts w:ascii="Wingdings" w:hAnsi="Wingdings" w:hint="default"/>
      </w:rPr>
    </w:lvl>
    <w:lvl w:ilvl="3" w:tplc="AB8EE2C4" w:tentative="1">
      <w:start w:val="1"/>
      <w:numFmt w:val="bullet"/>
      <w:lvlText w:val=""/>
      <w:lvlJc w:val="left"/>
      <w:pPr>
        <w:ind w:left="2880" w:hanging="360"/>
      </w:pPr>
      <w:rPr>
        <w:rFonts w:ascii="Symbol" w:hAnsi="Symbol" w:hint="default"/>
      </w:rPr>
    </w:lvl>
    <w:lvl w:ilvl="4" w:tplc="18025DB2" w:tentative="1">
      <w:start w:val="1"/>
      <w:numFmt w:val="bullet"/>
      <w:lvlText w:val="o"/>
      <w:lvlJc w:val="left"/>
      <w:pPr>
        <w:ind w:left="3600" w:hanging="360"/>
      </w:pPr>
      <w:rPr>
        <w:rFonts w:ascii="Courier New" w:hAnsi="Courier New" w:cs="Courier New" w:hint="default"/>
      </w:rPr>
    </w:lvl>
    <w:lvl w:ilvl="5" w:tplc="D526C0F2" w:tentative="1">
      <w:start w:val="1"/>
      <w:numFmt w:val="bullet"/>
      <w:lvlText w:val=""/>
      <w:lvlJc w:val="left"/>
      <w:pPr>
        <w:ind w:left="4320" w:hanging="360"/>
      </w:pPr>
      <w:rPr>
        <w:rFonts w:ascii="Wingdings" w:hAnsi="Wingdings" w:hint="default"/>
      </w:rPr>
    </w:lvl>
    <w:lvl w:ilvl="6" w:tplc="822660FA" w:tentative="1">
      <w:start w:val="1"/>
      <w:numFmt w:val="bullet"/>
      <w:lvlText w:val=""/>
      <w:lvlJc w:val="left"/>
      <w:pPr>
        <w:ind w:left="5040" w:hanging="360"/>
      </w:pPr>
      <w:rPr>
        <w:rFonts w:ascii="Symbol" w:hAnsi="Symbol" w:hint="default"/>
      </w:rPr>
    </w:lvl>
    <w:lvl w:ilvl="7" w:tplc="AFC4914E" w:tentative="1">
      <w:start w:val="1"/>
      <w:numFmt w:val="bullet"/>
      <w:lvlText w:val="o"/>
      <w:lvlJc w:val="left"/>
      <w:pPr>
        <w:ind w:left="5760" w:hanging="360"/>
      </w:pPr>
      <w:rPr>
        <w:rFonts w:ascii="Courier New" w:hAnsi="Courier New" w:cs="Courier New" w:hint="default"/>
      </w:rPr>
    </w:lvl>
    <w:lvl w:ilvl="8" w:tplc="01A6C09E" w:tentative="1">
      <w:start w:val="1"/>
      <w:numFmt w:val="bullet"/>
      <w:lvlText w:val=""/>
      <w:lvlJc w:val="left"/>
      <w:pPr>
        <w:ind w:left="6480" w:hanging="360"/>
      </w:pPr>
      <w:rPr>
        <w:rFonts w:ascii="Wingdings" w:hAnsi="Wingdings" w:hint="default"/>
      </w:rPr>
    </w:lvl>
  </w:abstractNum>
  <w:abstractNum w:abstractNumId="13" w15:restartNumberingAfterBreak="0">
    <w:nsid w:val="3A076191"/>
    <w:multiLevelType w:val="hybridMultilevel"/>
    <w:tmpl w:val="949ED79A"/>
    <w:lvl w:ilvl="0" w:tplc="950C736E">
      <w:start w:val="1"/>
      <w:numFmt w:val="bullet"/>
      <w:lvlText w:val=""/>
      <w:lvlJc w:val="left"/>
      <w:pPr>
        <w:ind w:left="720" w:hanging="360"/>
      </w:pPr>
      <w:rPr>
        <w:rFonts w:ascii="Symbol" w:hAnsi="Symbol" w:hint="default"/>
      </w:rPr>
    </w:lvl>
    <w:lvl w:ilvl="1" w:tplc="B5A86450" w:tentative="1">
      <w:start w:val="1"/>
      <w:numFmt w:val="bullet"/>
      <w:lvlText w:val="o"/>
      <w:lvlJc w:val="left"/>
      <w:pPr>
        <w:ind w:left="1440" w:hanging="360"/>
      </w:pPr>
      <w:rPr>
        <w:rFonts w:ascii="Courier New" w:hAnsi="Courier New" w:cs="Courier New" w:hint="default"/>
      </w:rPr>
    </w:lvl>
    <w:lvl w:ilvl="2" w:tplc="EEAC011C" w:tentative="1">
      <w:start w:val="1"/>
      <w:numFmt w:val="bullet"/>
      <w:lvlText w:val=""/>
      <w:lvlJc w:val="left"/>
      <w:pPr>
        <w:ind w:left="2160" w:hanging="360"/>
      </w:pPr>
      <w:rPr>
        <w:rFonts w:ascii="Wingdings" w:hAnsi="Wingdings" w:hint="default"/>
      </w:rPr>
    </w:lvl>
    <w:lvl w:ilvl="3" w:tplc="E7626188" w:tentative="1">
      <w:start w:val="1"/>
      <w:numFmt w:val="bullet"/>
      <w:lvlText w:val=""/>
      <w:lvlJc w:val="left"/>
      <w:pPr>
        <w:ind w:left="2880" w:hanging="360"/>
      </w:pPr>
      <w:rPr>
        <w:rFonts w:ascii="Symbol" w:hAnsi="Symbol" w:hint="default"/>
      </w:rPr>
    </w:lvl>
    <w:lvl w:ilvl="4" w:tplc="2D72BA12" w:tentative="1">
      <w:start w:val="1"/>
      <w:numFmt w:val="bullet"/>
      <w:lvlText w:val="o"/>
      <w:lvlJc w:val="left"/>
      <w:pPr>
        <w:ind w:left="3600" w:hanging="360"/>
      </w:pPr>
      <w:rPr>
        <w:rFonts w:ascii="Courier New" w:hAnsi="Courier New" w:cs="Courier New" w:hint="default"/>
      </w:rPr>
    </w:lvl>
    <w:lvl w:ilvl="5" w:tplc="E5D269E8" w:tentative="1">
      <w:start w:val="1"/>
      <w:numFmt w:val="bullet"/>
      <w:lvlText w:val=""/>
      <w:lvlJc w:val="left"/>
      <w:pPr>
        <w:ind w:left="4320" w:hanging="360"/>
      </w:pPr>
      <w:rPr>
        <w:rFonts w:ascii="Wingdings" w:hAnsi="Wingdings" w:hint="default"/>
      </w:rPr>
    </w:lvl>
    <w:lvl w:ilvl="6" w:tplc="846C9814" w:tentative="1">
      <w:start w:val="1"/>
      <w:numFmt w:val="bullet"/>
      <w:lvlText w:val=""/>
      <w:lvlJc w:val="left"/>
      <w:pPr>
        <w:ind w:left="5040" w:hanging="360"/>
      </w:pPr>
      <w:rPr>
        <w:rFonts w:ascii="Symbol" w:hAnsi="Symbol" w:hint="default"/>
      </w:rPr>
    </w:lvl>
    <w:lvl w:ilvl="7" w:tplc="D910FE94" w:tentative="1">
      <w:start w:val="1"/>
      <w:numFmt w:val="bullet"/>
      <w:lvlText w:val="o"/>
      <w:lvlJc w:val="left"/>
      <w:pPr>
        <w:ind w:left="5760" w:hanging="360"/>
      </w:pPr>
      <w:rPr>
        <w:rFonts w:ascii="Courier New" w:hAnsi="Courier New" w:cs="Courier New" w:hint="default"/>
      </w:rPr>
    </w:lvl>
    <w:lvl w:ilvl="8" w:tplc="364C795A" w:tentative="1">
      <w:start w:val="1"/>
      <w:numFmt w:val="bullet"/>
      <w:lvlText w:val=""/>
      <w:lvlJc w:val="left"/>
      <w:pPr>
        <w:ind w:left="6480" w:hanging="360"/>
      </w:pPr>
      <w:rPr>
        <w:rFonts w:ascii="Wingdings" w:hAnsi="Wingdings" w:hint="default"/>
      </w:rPr>
    </w:lvl>
  </w:abstractNum>
  <w:abstractNum w:abstractNumId="14" w15:restartNumberingAfterBreak="0">
    <w:nsid w:val="3B277B03"/>
    <w:multiLevelType w:val="multilevel"/>
    <w:tmpl w:val="F3580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5002BF"/>
    <w:multiLevelType w:val="multilevel"/>
    <w:tmpl w:val="EF761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CE67F6"/>
    <w:multiLevelType w:val="multilevel"/>
    <w:tmpl w:val="3EB06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3B593B"/>
    <w:multiLevelType w:val="hybridMultilevel"/>
    <w:tmpl w:val="DCC63FF8"/>
    <w:lvl w:ilvl="0" w:tplc="F1E0CF54">
      <w:start w:val="1"/>
      <w:numFmt w:val="bullet"/>
      <w:lvlText w:val=""/>
      <w:lvlJc w:val="left"/>
      <w:pPr>
        <w:ind w:left="720" w:hanging="360"/>
      </w:pPr>
      <w:rPr>
        <w:rFonts w:ascii="Symbol" w:hAnsi="Symbol" w:hint="default"/>
      </w:rPr>
    </w:lvl>
    <w:lvl w:ilvl="1" w:tplc="875E9CEE" w:tentative="1">
      <w:start w:val="1"/>
      <w:numFmt w:val="bullet"/>
      <w:lvlText w:val="o"/>
      <w:lvlJc w:val="left"/>
      <w:pPr>
        <w:ind w:left="1440" w:hanging="360"/>
      </w:pPr>
      <w:rPr>
        <w:rFonts w:ascii="Courier New" w:hAnsi="Courier New" w:cs="Courier New" w:hint="default"/>
      </w:rPr>
    </w:lvl>
    <w:lvl w:ilvl="2" w:tplc="BE7AF4A0" w:tentative="1">
      <w:start w:val="1"/>
      <w:numFmt w:val="bullet"/>
      <w:lvlText w:val=""/>
      <w:lvlJc w:val="left"/>
      <w:pPr>
        <w:ind w:left="2160" w:hanging="360"/>
      </w:pPr>
      <w:rPr>
        <w:rFonts w:ascii="Wingdings" w:hAnsi="Wingdings" w:hint="default"/>
      </w:rPr>
    </w:lvl>
    <w:lvl w:ilvl="3" w:tplc="6A2CB92E" w:tentative="1">
      <w:start w:val="1"/>
      <w:numFmt w:val="bullet"/>
      <w:lvlText w:val=""/>
      <w:lvlJc w:val="left"/>
      <w:pPr>
        <w:ind w:left="2880" w:hanging="360"/>
      </w:pPr>
      <w:rPr>
        <w:rFonts w:ascii="Symbol" w:hAnsi="Symbol" w:hint="default"/>
      </w:rPr>
    </w:lvl>
    <w:lvl w:ilvl="4" w:tplc="AD78510A" w:tentative="1">
      <w:start w:val="1"/>
      <w:numFmt w:val="bullet"/>
      <w:lvlText w:val="o"/>
      <w:lvlJc w:val="left"/>
      <w:pPr>
        <w:ind w:left="3600" w:hanging="360"/>
      </w:pPr>
      <w:rPr>
        <w:rFonts w:ascii="Courier New" w:hAnsi="Courier New" w:cs="Courier New" w:hint="default"/>
      </w:rPr>
    </w:lvl>
    <w:lvl w:ilvl="5" w:tplc="6994F4D2" w:tentative="1">
      <w:start w:val="1"/>
      <w:numFmt w:val="bullet"/>
      <w:lvlText w:val=""/>
      <w:lvlJc w:val="left"/>
      <w:pPr>
        <w:ind w:left="4320" w:hanging="360"/>
      </w:pPr>
      <w:rPr>
        <w:rFonts w:ascii="Wingdings" w:hAnsi="Wingdings" w:hint="default"/>
      </w:rPr>
    </w:lvl>
    <w:lvl w:ilvl="6" w:tplc="D764D8DC" w:tentative="1">
      <w:start w:val="1"/>
      <w:numFmt w:val="bullet"/>
      <w:lvlText w:val=""/>
      <w:lvlJc w:val="left"/>
      <w:pPr>
        <w:ind w:left="5040" w:hanging="360"/>
      </w:pPr>
      <w:rPr>
        <w:rFonts w:ascii="Symbol" w:hAnsi="Symbol" w:hint="default"/>
      </w:rPr>
    </w:lvl>
    <w:lvl w:ilvl="7" w:tplc="2CDC3C8E" w:tentative="1">
      <w:start w:val="1"/>
      <w:numFmt w:val="bullet"/>
      <w:lvlText w:val="o"/>
      <w:lvlJc w:val="left"/>
      <w:pPr>
        <w:ind w:left="5760" w:hanging="360"/>
      </w:pPr>
      <w:rPr>
        <w:rFonts w:ascii="Courier New" w:hAnsi="Courier New" w:cs="Courier New" w:hint="default"/>
      </w:rPr>
    </w:lvl>
    <w:lvl w:ilvl="8" w:tplc="5C56B5DA" w:tentative="1">
      <w:start w:val="1"/>
      <w:numFmt w:val="bullet"/>
      <w:lvlText w:val=""/>
      <w:lvlJc w:val="left"/>
      <w:pPr>
        <w:ind w:left="6480" w:hanging="360"/>
      </w:pPr>
      <w:rPr>
        <w:rFonts w:ascii="Wingdings" w:hAnsi="Wingdings" w:hint="default"/>
      </w:rPr>
    </w:lvl>
  </w:abstractNum>
  <w:abstractNum w:abstractNumId="18" w15:restartNumberingAfterBreak="0">
    <w:nsid w:val="4B897F9D"/>
    <w:multiLevelType w:val="multilevel"/>
    <w:tmpl w:val="E6F87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A9220A"/>
    <w:multiLevelType w:val="hybridMultilevel"/>
    <w:tmpl w:val="1E7033FA"/>
    <w:lvl w:ilvl="0" w:tplc="042C6DE4">
      <w:start w:val="1"/>
      <w:numFmt w:val="bullet"/>
      <w:lvlText w:val=""/>
      <w:lvlJc w:val="left"/>
      <w:pPr>
        <w:ind w:left="720" w:hanging="360"/>
      </w:pPr>
      <w:rPr>
        <w:rFonts w:ascii="Symbol" w:hAnsi="Symbol" w:hint="default"/>
      </w:rPr>
    </w:lvl>
    <w:lvl w:ilvl="1" w:tplc="303612F2" w:tentative="1">
      <w:start w:val="1"/>
      <w:numFmt w:val="bullet"/>
      <w:lvlText w:val="o"/>
      <w:lvlJc w:val="left"/>
      <w:pPr>
        <w:ind w:left="1440" w:hanging="360"/>
      </w:pPr>
      <w:rPr>
        <w:rFonts w:ascii="Courier New" w:hAnsi="Courier New" w:cs="Courier New" w:hint="default"/>
      </w:rPr>
    </w:lvl>
    <w:lvl w:ilvl="2" w:tplc="561A8A22" w:tentative="1">
      <w:start w:val="1"/>
      <w:numFmt w:val="bullet"/>
      <w:lvlText w:val=""/>
      <w:lvlJc w:val="left"/>
      <w:pPr>
        <w:ind w:left="2160" w:hanging="360"/>
      </w:pPr>
      <w:rPr>
        <w:rFonts w:ascii="Wingdings" w:hAnsi="Wingdings" w:hint="default"/>
      </w:rPr>
    </w:lvl>
    <w:lvl w:ilvl="3" w:tplc="B2948D3E" w:tentative="1">
      <w:start w:val="1"/>
      <w:numFmt w:val="bullet"/>
      <w:lvlText w:val=""/>
      <w:lvlJc w:val="left"/>
      <w:pPr>
        <w:ind w:left="2880" w:hanging="360"/>
      </w:pPr>
      <w:rPr>
        <w:rFonts w:ascii="Symbol" w:hAnsi="Symbol" w:hint="default"/>
      </w:rPr>
    </w:lvl>
    <w:lvl w:ilvl="4" w:tplc="0A082BB8" w:tentative="1">
      <w:start w:val="1"/>
      <w:numFmt w:val="bullet"/>
      <w:lvlText w:val="o"/>
      <w:lvlJc w:val="left"/>
      <w:pPr>
        <w:ind w:left="3600" w:hanging="360"/>
      </w:pPr>
      <w:rPr>
        <w:rFonts w:ascii="Courier New" w:hAnsi="Courier New" w:cs="Courier New" w:hint="default"/>
      </w:rPr>
    </w:lvl>
    <w:lvl w:ilvl="5" w:tplc="A5F08F82" w:tentative="1">
      <w:start w:val="1"/>
      <w:numFmt w:val="bullet"/>
      <w:lvlText w:val=""/>
      <w:lvlJc w:val="left"/>
      <w:pPr>
        <w:ind w:left="4320" w:hanging="360"/>
      </w:pPr>
      <w:rPr>
        <w:rFonts w:ascii="Wingdings" w:hAnsi="Wingdings" w:hint="default"/>
      </w:rPr>
    </w:lvl>
    <w:lvl w:ilvl="6" w:tplc="EAC07CC6" w:tentative="1">
      <w:start w:val="1"/>
      <w:numFmt w:val="bullet"/>
      <w:lvlText w:val=""/>
      <w:lvlJc w:val="left"/>
      <w:pPr>
        <w:ind w:left="5040" w:hanging="360"/>
      </w:pPr>
      <w:rPr>
        <w:rFonts w:ascii="Symbol" w:hAnsi="Symbol" w:hint="default"/>
      </w:rPr>
    </w:lvl>
    <w:lvl w:ilvl="7" w:tplc="3B9413FA" w:tentative="1">
      <w:start w:val="1"/>
      <w:numFmt w:val="bullet"/>
      <w:lvlText w:val="o"/>
      <w:lvlJc w:val="left"/>
      <w:pPr>
        <w:ind w:left="5760" w:hanging="360"/>
      </w:pPr>
      <w:rPr>
        <w:rFonts w:ascii="Courier New" w:hAnsi="Courier New" w:cs="Courier New" w:hint="default"/>
      </w:rPr>
    </w:lvl>
    <w:lvl w:ilvl="8" w:tplc="DA64C112" w:tentative="1">
      <w:start w:val="1"/>
      <w:numFmt w:val="bullet"/>
      <w:lvlText w:val=""/>
      <w:lvlJc w:val="left"/>
      <w:pPr>
        <w:ind w:left="6480" w:hanging="360"/>
      </w:pPr>
      <w:rPr>
        <w:rFonts w:ascii="Wingdings" w:hAnsi="Wingdings" w:hint="default"/>
      </w:rPr>
    </w:lvl>
  </w:abstractNum>
  <w:abstractNum w:abstractNumId="20" w15:restartNumberingAfterBreak="0">
    <w:nsid w:val="539B30EC"/>
    <w:multiLevelType w:val="multilevel"/>
    <w:tmpl w:val="0820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6D772B"/>
    <w:multiLevelType w:val="multilevel"/>
    <w:tmpl w:val="00761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827CBB"/>
    <w:multiLevelType w:val="multilevel"/>
    <w:tmpl w:val="B99C1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114D21"/>
    <w:multiLevelType w:val="multilevel"/>
    <w:tmpl w:val="52C26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C62E39"/>
    <w:multiLevelType w:val="hybridMultilevel"/>
    <w:tmpl w:val="E9FAE3F8"/>
    <w:lvl w:ilvl="0" w:tplc="B9B02A5A">
      <w:start w:val="1"/>
      <w:numFmt w:val="bullet"/>
      <w:lvlText w:val=""/>
      <w:lvlJc w:val="left"/>
      <w:pPr>
        <w:ind w:left="720" w:hanging="360"/>
      </w:pPr>
      <w:rPr>
        <w:rFonts w:ascii="Symbol" w:hAnsi="Symbol" w:hint="default"/>
      </w:rPr>
    </w:lvl>
    <w:lvl w:ilvl="1" w:tplc="43160F78" w:tentative="1">
      <w:start w:val="1"/>
      <w:numFmt w:val="bullet"/>
      <w:lvlText w:val="o"/>
      <w:lvlJc w:val="left"/>
      <w:pPr>
        <w:ind w:left="1440" w:hanging="360"/>
      </w:pPr>
      <w:rPr>
        <w:rFonts w:ascii="Courier New" w:hAnsi="Courier New" w:cs="Courier New" w:hint="default"/>
      </w:rPr>
    </w:lvl>
    <w:lvl w:ilvl="2" w:tplc="E342DFF0" w:tentative="1">
      <w:start w:val="1"/>
      <w:numFmt w:val="bullet"/>
      <w:lvlText w:val=""/>
      <w:lvlJc w:val="left"/>
      <w:pPr>
        <w:ind w:left="2160" w:hanging="360"/>
      </w:pPr>
      <w:rPr>
        <w:rFonts w:ascii="Wingdings" w:hAnsi="Wingdings" w:hint="default"/>
      </w:rPr>
    </w:lvl>
    <w:lvl w:ilvl="3" w:tplc="9F02B332" w:tentative="1">
      <w:start w:val="1"/>
      <w:numFmt w:val="bullet"/>
      <w:lvlText w:val=""/>
      <w:lvlJc w:val="left"/>
      <w:pPr>
        <w:ind w:left="2880" w:hanging="360"/>
      </w:pPr>
      <w:rPr>
        <w:rFonts w:ascii="Symbol" w:hAnsi="Symbol" w:hint="default"/>
      </w:rPr>
    </w:lvl>
    <w:lvl w:ilvl="4" w:tplc="229E69F4" w:tentative="1">
      <w:start w:val="1"/>
      <w:numFmt w:val="bullet"/>
      <w:lvlText w:val="o"/>
      <w:lvlJc w:val="left"/>
      <w:pPr>
        <w:ind w:left="3600" w:hanging="360"/>
      </w:pPr>
      <w:rPr>
        <w:rFonts w:ascii="Courier New" w:hAnsi="Courier New" w:cs="Courier New" w:hint="default"/>
      </w:rPr>
    </w:lvl>
    <w:lvl w:ilvl="5" w:tplc="159C8512" w:tentative="1">
      <w:start w:val="1"/>
      <w:numFmt w:val="bullet"/>
      <w:lvlText w:val=""/>
      <w:lvlJc w:val="left"/>
      <w:pPr>
        <w:ind w:left="4320" w:hanging="360"/>
      </w:pPr>
      <w:rPr>
        <w:rFonts w:ascii="Wingdings" w:hAnsi="Wingdings" w:hint="default"/>
      </w:rPr>
    </w:lvl>
    <w:lvl w:ilvl="6" w:tplc="911AFA3A" w:tentative="1">
      <w:start w:val="1"/>
      <w:numFmt w:val="bullet"/>
      <w:lvlText w:val=""/>
      <w:lvlJc w:val="left"/>
      <w:pPr>
        <w:ind w:left="5040" w:hanging="360"/>
      </w:pPr>
      <w:rPr>
        <w:rFonts w:ascii="Symbol" w:hAnsi="Symbol" w:hint="default"/>
      </w:rPr>
    </w:lvl>
    <w:lvl w:ilvl="7" w:tplc="341EE52A" w:tentative="1">
      <w:start w:val="1"/>
      <w:numFmt w:val="bullet"/>
      <w:lvlText w:val="o"/>
      <w:lvlJc w:val="left"/>
      <w:pPr>
        <w:ind w:left="5760" w:hanging="360"/>
      </w:pPr>
      <w:rPr>
        <w:rFonts w:ascii="Courier New" w:hAnsi="Courier New" w:cs="Courier New" w:hint="default"/>
      </w:rPr>
    </w:lvl>
    <w:lvl w:ilvl="8" w:tplc="150816A8" w:tentative="1">
      <w:start w:val="1"/>
      <w:numFmt w:val="bullet"/>
      <w:lvlText w:val=""/>
      <w:lvlJc w:val="left"/>
      <w:pPr>
        <w:ind w:left="6480" w:hanging="360"/>
      </w:pPr>
      <w:rPr>
        <w:rFonts w:ascii="Wingdings" w:hAnsi="Wingdings" w:hint="default"/>
      </w:rPr>
    </w:lvl>
  </w:abstractNum>
  <w:abstractNum w:abstractNumId="25" w15:restartNumberingAfterBreak="0">
    <w:nsid w:val="60735D95"/>
    <w:multiLevelType w:val="multilevel"/>
    <w:tmpl w:val="C344B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7503BB"/>
    <w:multiLevelType w:val="hybridMultilevel"/>
    <w:tmpl w:val="6B981D46"/>
    <w:lvl w:ilvl="0" w:tplc="20BC31E6">
      <w:start w:val="1"/>
      <w:numFmt w:val="lowerLetter"/>
      <w:lvlText w:val="%1."/>
      <w:lvlJc w:val="left"/>
      <w:pPr>
        <w:ind w:left="1080" w:hanging="360"/>
      </w:pPr>
      <w:rPr>
        <w:rFonts w:hint="default"/>
      </w:rPr>
    </w:lvl>
    <w:lvl w:ilvl="1" w:tplc="B79C59E4" w:tentative="1">
      <w:start w:val="1"/>
      <w:numFmt w:val="lowerLetter"/>
      <w:lvlText w:val="%2."/>
      <w:lvlJc w:val="left"/>
      <w:pPr>
        <w:ind w:left="1800" w:hanging="360"/>
      </w:pPr>
    </w:lvl>
    <w:lvl w:ilvl="2" w:tplc="0E286E54" w:tentative="1">
      <w:start w:val="1"/>
      <w:numFmt w:val="lowerRoman"/>
      <w:lvlText w:val="%3."/>
      <w:lvlJc w:val="right"/>
      <w:pPr>
        <w:ind w:left="2520" w:hanging="180"/>
      </w:pPr>
    </w:lvl>
    <w:lvl w:ilvl="3" w:tplc="24065E3C" w:tentative="1">
      <w:start w:val="1"/>
      <w:numFmt w:val="decimal"/>
      <w:lvlText w:val="%4."/>
      <w:lvlJc w:val="left"/>
      <w:pPr>
        <w:ind w:left="3240" w:hanging="360"/>
      </w:pPr>
    </w:lvl>
    <w:lvl w:ilvl="4" w:tplc="9302385C" w:tentative="1">
      <w:start w:val="1"/>
      <w:numFmt w:val="lowerLetter"/>
      <w:lvlText w:val="%5."/>
      <w:lvlJc w:val="left"/>
      <w:pPr>
        <w:ind w:left="3960" w:hanging="360"/>
      </w:pPr>
    </w:lvl>
    <w:lvl w:ilvl="5" w:tplc="79B21BFA" w:tentative="1">
      <w:start w:val="1"/>
      <w:numFmt w:val="lowerRoman"/>
      <w:lvlText w:val="%6."/>
      <w:lvlJc w:val="right"/>
      <w:pPr>
        <w:ind w:left="4680" w:hanging="180"/>
      </w:pPr>
    </w:lvl>
    <w:lvl w:ilvl="6" w:tplc="C4CAED82" w:tentative="1">
      <w:start w:val="1"/>
      <w:numFmt w:val="decimal"/>
      <w:lvlText w:val="%7."/>
      <w:lvlJc w:val="left"/>
      <w:pPr>
        <w:ind w:left="5400" w:hanging="360"/>
      </w:pPr>
    </w:lvl>
    <w:lvl w:ilvl="7" w:tplc="15D60E3C" w:tentative="1">
      <w:start w:val="1"/>
      <w:numFmt w:val="lowerLetter"/>
      <w:lvlText w:val="%8."/>
      <w:lvlJc w:val="left"/>
      <w:pPr>
        <w:ind w:left="6120" w:hanging="360"/>
      </w:pPr>
    </w:lvl>
    <w:lvl w:ilvl="8" w:tplc="8F16E3C6" w:tentative="1">
      <w:start w:val="1"/>
      <w:numFmt w:val="lowerRoman"/>
      <w:lvlText w:val="%9."/>
      <w:lvlJc w:val="right"/>
      <w:pPr>
        <w:ind w:left="6840" w:hanging="180"/>
      </w:pPr>
    </w:lvl>
  </w:abstractNum>
  <w:abstractNum w:abstractNumId="27" w15:restartNumberingAfterBreak="0">
    <w:nsid w:val="716750DF"/>
    <w:multiLevelType w:val="hybridMultilevel"/>
    <w:tmpl w:val="74C88100"/>
    <w:lvl w:ilvl="0" w:tplc="C6F8AFF4">
      <w:start w:val="1"/>
      <w:numFmt w:val="bullet"/>
      <w:lvlText w:val=""/>
      <w:lvlJc w:val="left"/>
      <w:pPr>
        <w:ind w:left="720" w:hanging="360"/>
      </w:pPr>
      <w:rPr>
        <w:rFonts w:ascii="Symbol" w:hAnsi="Symbol" w:hint="default"/>
      </w:rPr>
    </w:lvl>
    <w:lvl w:ilvl="1" w:tplc="C45440BA" w:tentative="1">
      <w:start w:val="1"/>
      <w:numFmt w:val="bullet"/>
      <w:lvlText w:val="o"/>
      <w:lvlJc w:val="left"/>
      <w:pPr>
        <w:ind w:left="1440" w:hanging="360"/>
      </w:pPr>
      <w:rPr>
        <w:rFonts w:ascii="Courier New" w:hAnsi="Courier New" w:cs="Courier New" w:hint="default"/>
      </w:rPr>
    </w:lvl>
    <w:lvl w:ilvl="2" w:tplc="A5925888" w:tentative="1">
      <w:start w:val="1"/>
      <w:numFmt w:val="bullet"/>
      <w:lvlText w:val=""/>
      <w:lvlJc w:val="left"/>
      <w:pPr>
        <w:ind w:left="2160" w:hanging="360"/>
      </w:pPr>
      <w:rPr>
        <w:rFonts w:ascii="Wingdings" w:hAnsi="Wingdings" w:hint="default"/>
      </w:rPr>
    </w:lvl>
    <w:lvl w:ilvl="3" w:tplc="B0228280" w:tentative="1">
      <w:start w:val="1"/>
      <w:numFmt w:val="bullet"/>
      <w:lvlText w:val=""/>
      <w:lvlJc w:val="left"/>
      <w:pPr>
        <w:ind w:left="2880" w:hanging="360"/>
      </w:pPr>
      <w:rPr>
        <w:rFonts w:ascii="Symbol" w:hAnsi="Symbol" w:hint="default"/>
      </w:rPr>
    </w:lvl>
    <w:lvl w:ilvl="4" w:tplc="0DE21556" w:tentative="1">
      <w:start w:val="1"/>
      <w:numFmt w:val="bullet"/>
      <w:lvlText w:val="o"/>
      <w:lvlJc w:val="left"/>
      <w:pPr>
        <w:ind w:left="3600" w:hanging="360"/>
      </w:pPr>
      <w:rPr>
        <w:rFonts w:ascii="Courier New" w:hAnsi="Courier New" w:cs="Courier New" w:hint="default"/>
      </w:rPr>
    </w:lvl>
    <w:lvl w:ilvl="5" w:tplc="F6C8E418" w:tentative="1">
      <w:start w:val="1"/>
      <w:numFmt w:val="bullet"/>
      <w:lvlText w:val=""/>
      <w:lvlJc w:val="left"/>
      <w:pPr>
        <w:ind w:left="4320" w:hanging="360"/>
      </w:pPr>
      <w:rPr>
        <w:rFonts w:ascii="Wingdings" w:hAnsi="Wingdings" w:hint="default"/>
      </w:rPr>
    </w:lvl>
    <w:lvl w:ilvl="6" w:tplc="ED7C6CD8" w:tentative="1">
      <w:start w:val="1"/>
      <w:numFmt w:val="bullet"/>
      <w:lvlText w:val=""/>
      <w:lvlJc w:val="left"/>
      <w:pPr>
        <w:ind w:left="5040" w:hanging="360"/>
      </w:pPr>
      <w:rPr>
        <w:rFonts w:ascii="Symbol" w:hAnsi="Symbol" w:hint="default"/>
      </w:rPr>
    </w:lvl>
    <w:lvl w:ilvl="7" w:tplc="F326BC74" w:tentative="1">
      <w:start w:val="1"/>
      <w:numFmt w:val="bullet"/>
      <w:lvlText w:val="o"/>
      <w:lvlJc w:val="left"/>
      <w:pPr>
        <w:ind w:left="5760" w:hanging="360"/>
      </w:pPr>
      <w:rPr>
        <w:rFonts w:ascii="Courier New" w:hAnsi="Courier New" w:cs="Courier New" w:hint="default"/>
      </w:rPr>
    </w:lvl>
    <w:lvl w:ilvl="8" w:tplc="51708E2E" w:tentative="1">
      <w:start w:val="1"/>
      <w:numFmt w:val="bullet"/>
      <w:lvlText w:val=""/>
      <w:lvlJc w:val="left"/>
      <w:pPr>
        <w:ind w:left="6480" w:hanging="360"/>
      </w:pPr>
      <w:rPr>
        <w:rFonts w:ascii="Wingdings" w:hAnsi="Wingdings" w:hint="default"/>
      </w:rPr>
    </w:lvl>
  </w:abstractNum>
  <w:abstractNum w:abstractNumId="28" w15:restartNumberingAfterBreak="0">
    <w:nsid w:val="793121EC"/>
    <w:multiLevelType w:val="hybridMultilevel"/>
    <w:tmpl w:val="02A605EC"/>
    <w:lvl w:ilvl="0" w:tplc="1F6E13AA">
      <w:start w:val="1"/>
      <w:numFmt w:val="bullet"/>
      <w:lvlText w:val=""/>
      <w:lvlJc w:val="left"/>
      <w:pPr>
        <w:ind w:left="720" w:hanging="360"/>
      </w:pPr>
      <w:rPr>
        <w:rFonts w:ascii="Symbol" w:hAnsi="Symbol" w:hint="default"/>
      </w:rPr>
    </w:lvl>
    <w:lvl w:ilvl="1" w:tplc="E90CEDAC" w:tentative="1">
      <w:start w:val="1"/>
      <w:numFmt w:val="bullet"/>
      <w:lvlText w:val="o"/>
      <w:lvlJc w:val="left"/>
      <w:pPr>
        <w:ind w:left="1440" w:hanging="360"/>
      </w:pPr>
      <w:rPr>
        <w:rFonts w:ascii="Courier New" w:hAnsi="Courier New" w:cs="Courier New" w:hint="default"/>
      </w:rPr>
    </w:lvl>
    <w:lvl w:ilvl="2" w:tplc="8D766C5C" w:tentative="1">
      <w:start w:val="1"/>
      <w:numFmt w:val="bullet"/>
      <w:lvlText w:val=""/>
      <w:lvlJc w:val="left"/>
      <w:pPr>
        <w:ind w:left="2160" w:hanging="360"/>
      </w:pPr>
      <w:rPr>
        <w:rFonts w:ascii="Wingdings" w:hAnsi="Wingdings" w:hint="default"/>
      </w:rPr>
    </w:lvl>
    <w:lvl w:ilvl="3" w:tplc="6F80F578" w:tentative="1">
      <w:start w:val="1"/>
      <w:numFmt w:val="bullet"/>
      <w:lvlText w:val=""/>
      <w:lvlJc w:val="left"/>
      <w:pPr>
        <w:ind w:left="2880" w:hanging="360"/>
      </w:pPr>
      <w:rPr>
        <w:rFonts w:ascii="Symbol" w:hAnsi="Symbol" w:hint="default"/>
      </w:rPr>
    </w:lvl>
    <w:lvl w:ilvl="4" w:tplc="BCB86968" w:tentative="1">
      <w:start w:val="1"/>
      <w:numFmt w:val="bullet"/>
      <w:lvlText w:val="o"/>
      <w:lvlJc w:val="left"/>
      <w:pPr>
        <w:ind w:left="3600" w:hanging="360"/>
      </w:pPr>
      <w:rPr>
        <w:rFonts w:ascii="Courier New" w:hAnsi="Courier New" w:cs="Courier New" w:hint="default"/>
      </w:rPr>
    </w:lvl>
    <w:lvl w:ilvl="5" w:tplc="381E4874" w:tentative="1">
      <w:start w:val="1"/>
      <w:numFmt w:val="bullet"/>
      <w:lvlText w:val=""/>
      <w:lvlJc w:val="left"/>
      <w:pPr>
        <w:ind w:left="4320" w:hanging="360"/>
      </w:pPr>
      <w:rPr>
        <w:rFonts w:ascii="Wingdings" w:hAnsi="Wingdings" w:hint="default"/>
      </w:rPr>
    </w:lvl>
    <w:lvl w:ilvl="6" w:tplc="FBB29442" w:tentative="1">
      <w:start w:val="1"/>
      <w:numFmt w:val="bullet"/>
      <w:lvlText w:val=""/>
      <w:lvlJc w:val="left"/>
      <w:pPr>
        <w:ind w:left="5040" w:hanging="360"/>
      </w:pPr>
      <w:rPr>
        <w:rFonts w:ascii="Symbol" w:hAnsi="Symbol" w:hint="default"/>
      </w:rPr>
    </w:lvl>
    <w:lvl w:ilvl="7" w:tplc="15EC85EE" w:tentative="1">
      <w:start w:val="1"/>
      <w:numFmt w:val="bullet"/>
      <w:lvlText w:val="o"/>
      <w:lvlJc w:val="left"/>
      <w:pPr>
        <w:ind w:left="5760" w:hanging="360"/>
      </w:pPr>
      <w:rPr>
        <w:rFonts w:ascii="Courier New" w:hAnsi="Courier New" w:cs="Courier New" w:hint="default"/>
      </w:rPr>
    </w:lvl>
    <w:lvl w:ilvl="8" w:tplc="749C2608" w:tentative="1">
      <w:start w:val="1"/>
      <w:numFmt w:val="bullet"/>
      <w:lvlText w:val=""/>
      <w:lvlJc w:val="left"/>
      <w:pPr>
        <w:ind w:left="6480" w:hanging="360"/>
      </w:pPr>
      <w:rPr>
        <w:rFonts w:ascii="Wingdings" w:hAnsi="Wingdings" w:hint="default"/>
      </w:rPr>
    </w:lvl>
  </w:abstractNum>
  <w:abstractNum w:abstractNumId="29" w15:restartNumberingAfterBreak="0">
    <w:nsid w:val="7C5C21B3"/>
    <w:multiLevelType w:val="hybridMultilevel"/>
    <w:tmpl w:val="2A3C910E"/>
    <w:lvl w:ilvl="0" w:tplc="DCFC6116">
      <w:start w:val="1"/>
      <w:numFmt w:val="bullet"/>
      <w:lvlText w:val=""/>
      <w:lvlJc w:val="left"/>
      <w:pPr>
        <w:ind w:left="720" w:hanging="360"/>
      </w:pPr>
      <w:rPr>
        <w:rFonts w:ascii="Symbol" w:hAnsi="Symbol" w:hint="default"/>
      </w:rPr>
    </w:lvl>
    <w:lvl w:ilvl="1" w:tplc="09BE0DB0" w:tentative="1">
      <w:start w:val="1"/>
      <w:numFmt w:val="bullet"/>
      <w:lvlText w:val="o"/>
      <w:lvlJc w:val="left"/>
      <w:pPr>
        <w:ind w:left="1440" w:hanging="360"/>
      </w:pPr>
      <w:rPr>
        <w:rFonts w:ascii="Courier New" w:hAnsi="Courier New" w:cs="Courier New" w:hint="default"/>
      </w:rPr>
    </w:lvl>
    <w:lvl w:ilvl="2" w:tplc="5ABE88DA" w:tentative="1">
      <w:start w:val="1"/>
      <w:numFmt w:val="bullet"/>
      <w:lvlText w:val=""/>
      <w:lvlJc w:val="left"/>
      <w:pPr>
        <w:ind w:left="2160" w:hanging="360"/>
      </w:pPr>
      <w:rPr>
        <w:rFonts w:ascii="Wingdings" w:hAnsi="Wingdings" w:hint="default"/>
      </w:rPr>
    </w:lvl>
    <w:lvl w:ilvl="3" w:tplc="9080EA4A" w:tentative="1">
      <w:start w:val="1"/>
      <w:numFmt w:val="bullet"/>
      <w:lvlText w:val=""/>
      <w:lvlJc w:val="left"/>
      <w:pPr>
        <w:ind w:left="2880" w:hanging="360"/>
      </w:pPr>
      <w:rPr>
        <w:rFonts w:ascii="Symbol" w:hAnsi="Symbol" w:hint="default"/>
      </w:rPr>
    </w:lvl>
    <w:lvl w:ilvl="4" w:tplc="A9CA5F78" w:tentative="1">
      <w:start w:val="1"/>
      <w:numFmt w:val="bullet"/>
      <w:lvlText w:val="o"/>
      <w:lvlJc w:val="left"/>
      <w:pPr>
        <w:ind w:left="3600" w:hanging="360"/>
      </w:pPr>
      <w:rPr>
        <w:rFonts w:ascii="Courier New" w:hAnsi="Courier New" w:cs="Courier New" w:hint="default"/>
      </w:rPr>
    </w:lvl>
    <w:lvl w:ilvl="5" w:tplc="EF38F144" w:tentative="1">
      <w:start w:val="1"/>
      <w:numFmt w:val="bullet"/>
      <w:lvlText w:val=""/>
      <w:lvlJc w:val="left"/>
      <w:pPr>
        <w:ind w:left="4320" w:hanging="360"/>
      </w:pPr>
      <w:rPr>
        <w:rFonts w:ascii="Wingdings" w:hAnsi="Wingdings" w:hint="default"/>
      </w:rPr>
    </w:lvl>
    <w:lvl w:ilvl="6" w:tplc="6DE67856" w:tentative="1">
      <w:start w:val="1"/>
      <w:numFmt w:val="bullet"/>
      <w:lvlText w:val=""/>
      <w:lvlJc w:val="left"/>
      <w:pPr>
        <w:ind w:left="5040" w:hanging="360"/>
      </w:pPr>
      <w:rPr>
        <w:rFonts w:ascii="Symbol" w:hAnsi="Symbol" w:hint="default"/>
      </w:rPr>
    </w:lvl>
    <w:lvl w:ilvl="7" w:tplc="E27E9D80" w:tentative="1">
      <w:start w:val="1"/>
      <w:numFmt w:val="bullet"/>
      <w:lvlText w:val="o"/>
      <w:lvlJc w:val="left"/>
      <w:pPr>
        <w:ind w:left="5760" w:hanging="360"/>
      </w:pPr>
      <w:rPr>
        <w:rFonts w:ascii="Courier New" w:hAnsi="Courier New" w:cs="Courier New" w:hint="default"/>
      </w:rPr>
    </w:lvl>
    <w:lvl w:ilvl="8" w:tplc="C0762670" w:tentative="1">
      <w:start w:val="1"/>
      <w:numFmt w:val="bullet"/>
      <w:lvlText w:val=""/>
      <w:lvlJc w:val="left"/>
      <w:pPr>
        <w:ind w:left="6480" w:hanging="360"/>
      </w:pPr>
      <w:rPr>
        <w:rFonts w:ascii="Wingdings" w:hAnsi="Wingdings" w:hint="default"/>
      </w:rPr>
    </w:lvl>
  </w:abstractNum>
  <w:abstractNum w:abstractNumId="30" w15:restartNumberingAfterBreak="0">
    <w:nsid w:val="7C8B2DC6"/>
    <w:multiLevelType w:val="hybridMultilevel"/>
    <w:tmpl w:val="F2FEBA4A"/>
    <w:lvl w:ilvl="0" w:tplc="B69AC27E">
      <w:start w:val="1"/>
      <w:numFmt w:val="decimal"/>
      <w:lvlText w:val="%1."/>
      <w:lvlJc w:val="left"/>
      <w:pPr>
        <w:ind w:left="720" w:hanging="360"/>
      </w:pPr>
      <w:rPr>
        <w:rFonts w:hint="default"/>
      </w:rPr>
    </w:lvl>
    <w:lvl w:ilvl="1" w:tplc="159C8872" w:tentative="1">
      <w:start w:val="1"/>
      <w:numFmt w:val="lowerLetter"/>
      <w:lvlText w:val="%2."/>
      <w:lvlJc w:val="left"/>
      <w:pPr>
        <w:ind w:left="1440" w:hanging="360"/>
      </w:pPr>
    </w:lvl>
    <w:lvl w:ilvl="2" w:tplc="FBA0C7CA" w:tentative="1">
      <w:start w:val="1"/>
      <w:numFmt w:val="lowerRoman"/>
      <w:lvlText w:val="%3."/>
      <w:lvlJc w:val="right"/>
      <w:pPr>
        <w:ind w:left="2160" w:hanging="180"/>
      </w:pPr>
    </w:lvl>
    <w:lvl w:ilvl="3" w:tplc="0F467394" w:tentative="1">
      <w:start w:val="1"/>
      <w:numFmt w:val="decimal"/>
      <w:lvlText w:val="%4."/>
      <w:lvlJc w:val="left"/>
      <w:pPr>
        <w:ind w:left="2880" w:hanging="360"/>
      </w:pPr>
    </w:lvl>
    <w:lvl w:ilvl="4" w:tplc="79FAEA36" w:tentative="1">
      <w:start w:val="1"/>
      <w:numFmt w:val="lowerLetter"/>
      <w:lvlText w:val="%5."/>
      <w:lvlJc w:val="left"/>
      <w:pPr>
        <w:ind w:left="3600" w:hanging="360"/>
      </w:pPr>
    </w:lvl>
    <w:lvl w:ilvl="5" w:tplc="C73E11C6" w:tentative="1">
      <w:start w:val="1"/>
      <w:numFmt w:val="lowerRoman"/>
      <w:lvlText w:val="%6."/>
      <w:lvlJc w:val="right"/>
      <w:pPr>
        <w:ind w:left="4320" w:hanging="180"/>
      </w:pPr>
    </w:lvl>
    <w:lvl w:ilvl="6" w:tplc="4B14B1BE" w:tentative="1">
      <w:start w:val="1"/>
      <w:numFmt w:val="decimal"/>
      <w:lvlText w:val="%7."/>
      <w:lvlJc w:val="left"/>
      <w:pPr>
        <w:ind w:left="5040" w:hanging="360"/>
      </w:pPr>
    </w:lvl>
    <w:lvl w:ilvl="7" w:tplc="510E1E9E" w:tentative="1">
      <w:start w:val="1"/>
      <w:numFmt w:val="lowerLetter"/>
      <w:lvlText w:val="%8."/>
      <w:lvlJc w:val="left"/>
      <w:pPr>
        <w:ind w:left="5760" w:hanging="360"/>
      </w:pPr>
    </w:lvl>
    <w:lvl w:ilvl="8" w:tplc="0164A5B8" w:tentative="1">
      <w:start w:val="1"/>
      <w:numFmt w:val="lowerRoman"/>
      <w:lvlText w:val="%9."/>
      <w:lvlJc w:val="right"/>
      <w:pPr>
        <w:ind w:left="6480" w:hanging="180"/>
      </w:pPr>
    </w:lvl>
  </w:abstractNum>
  <w:abstractNum w:abstractNumId="31" w15:restartNumberingAfterBreak="0">
    <w:nsid w:val="7E025B78"/>
    <w:multiLevelType w:val="hybridMultilevel"/>
    <w:tmpl w:val="845A05B0"/>
    <w:lvl w:ilvl="0" w:tplc="671862C2">
      <w:start w:val="1"/>
      <w:numFmt w:val="bullet"/>
      <w:lvlText w:val=""/>
      <w:lvlJc w:val="left"/>
      <w:pPr>
        <w:ind w:left="720" w:hanging="360"/>
      </w:pPr>
      <w:rPr>
        <w:rFonts w:ascii="Symbol" w:hAnsi="Symbol" w:hint="default"/>
      </w:rPr>
    </w:lvl>
    <w:lvl w:ilvl="1" w:tplc="18A00956" w:tentative="1">
      <w:start w:val="1"/>
      <w:numFmt w:val="bullet"/>
      <w:lvlText w:val="o"/>
      <w:lvlJc w:val="left"/>
      <w:pPr>
        <w:ind w:left="1440" w:hanging="360"/>
      </w:pPr>
      <w:rPr>
        <w:rFonts w:ascii="Courier New" w:hAnsi="Courier New" w:cs="Courier New" w:hint="default"/>
      </w:rPr>
    </w:lvl>
    <w:lvl w:ilvl="2" w:tplc="75EC79A8" w:tentative="1">
      <w:start w:val="1"/>
      <w:numFmt w:val="bullet"/>
      <w:lvlText w:val=""/>
      <w:lvlJc w:val="left"/>
      <w:pPr>
        <w:ind w:left="2160" w:hanging="360"/>
      </w:pPr>
      <w:rPr>
        <w:rFonts w:ascii="Wingdings" w:hAnsi="Wingdings" w:hint="default"/>
      </w:rPr>
    </w:lvl>
    <w:lvl w:ilvl="3" w:tplc="9E66237E" w:tentative="1">
      <w:start w:val="1"/>
      <w:numFmt w:val="bullet"/>
      <w:lvlText w:val=""/>
      <w:lvlJc w:val="left"/>
      <w:pPr>
        <w:ind w:left="2880" w:hanging="360"/>
      </w:pPr>
      <w:rPr>
        <w:rFonts w:ascii="Symbol" w:hAnsi="Symbol" w:hint="default"/>
      </w:rPr>
    </w:lvl>
    <w:lvl w:ilvl="4" w:tplc="1A56C0F0" w:tentative="1">
      <w:start w:val="1"/>
      <w:numFmt w:val="bullet"/>
      <w:lvlText w:val="o"/>
      <w:lvlJc w:val="left"/>
      <w:pPr>
        <w:ind w:left="3600" w:hanging="360"/>
      </w:pPr>
      <w:rPr>
        <w:rFonts w:ascii="Courier New" w:hAnsi="Courier New" w:cs="Courier New" w:hint="default"/>
      </w:rPr>
    </w:lvl>
    <w:lvl w:ilvl="5" w:tplc="4502BEEA" w:tentative="1">
      <w:start w:val="1"/>
      <w:numFmt w:val="bullet"/>
      <w:lvlText w:val=""/>
      <w:lvlJc w:val="left"/>
      <w:pPr>
        <w:ind w:left="4320" w:hanging="360"/>
      </w:pPr>
      <w:rPr>
        <w:rFonts w:ascii="Wingdings" w:hAnsi="Wingdings" w:hint="default"/>
      </w:rPr>
    </w:lvl>
    <w:lvl w:ilvl="6" w:tplc="9D22A036" w:tentative="1">
      <w:start w:val="1"/>
      <w:numFmt w:val="bullet"/>
      <w:lvlText w:val=""/>
      <w:lvlJc w:val="left"/>
      <w:pPr>
        <w:ind w:left="5040" w:hanging="360"/>
      </w:pPr>
      <w:rPr>
        <w:rFonts w:ascii="Symbol" w:hAnsi="Symbol" w:hint="default"/>
      </w:rPr>
    </w:lvl>
    <w:lvl w:ilvl="7" w:tplc="CC28A0B8" w:tentative="1">
      <w:start w:val="1"/>
      <w:numFmt w:val="bullet"/>
      <w:lvlText w:val="o"/>
      <w:lvlJc w:val="left"/>
      <w:pPr>
        <w:ind w:left="5760" w:hanging="360"/>
      </w:pPr>
      <w:rPr>
        <w:rFonts w:ascii="Courier New" w:hAnsi="Courier New" w:cs="Courier New" w:hint="default"/>
      </w:rPr>
    </w:lvl>
    <w:lvl w:ilvl="8" w:tplc="50E251FA" w:tentative="1">
      <w:start w:val="1"/>
      <w:numFmt w:val="bullet"/>
      <w:lvlText w:val=""/>
      <w:lvlJc w:val="left"/>
      <w:pPr>
        <w:ind w:left="6480" w:hanging="360"/>
      </w:pPr>
      <w:rPr>
        <w:rFonts w:ascii="Wingdings" w:hAnsi="Wingdings" w:hint="default"/>
      </w:rPr>
    </w:lvl>
  </w:abstractNum>
  <w:num w:numId="1" w16cid:durableId="785001517">
    <w:abstractNumId w:val="14"/>
  </w:num>
  <w:num w:numId="2" w16cid:durableId="1137451200">
    <w:abstractNumId w:val="12"/>
  </w:num>
  <w:num w:numId="3" w16cid:durableId="299843119">
    <w:abstractNumId w:val="1"/>
  </w:num>
  <w:num w:numId="4" w16cid:durableId="1863979323">
    <w:abstractNumId w:val="10"/>
  </w:num>
  <w:num w:numId="5" w16cid:durableId="1828859852">
    <w:abstractNumId w:val="27"/>
  </w:num>
  <w:num w:numId="6" w16cid:durableId="1855345104">
    <w:abstractNumId w:val="24"/>
  </w:num>
  <w:num w:numId="7" w16cid:durableId="1800563591">
    <w:abstractNumId w:val="29"/>
  </w:num>
  <w:num w:numId="8" w16cid:durableId="1940484905">
    <w:abstractNumId w:val="31"/>
  </w:num>
  <w:num w:numId="9" w16cid:durableId="1666737320">
    <w:abstractNumId w:val="13"/>
  </w:num>
  <w:num w:numId="10" w16cid:durableId="1358460499">
    <w:abstractNumId w:val="0"/>
  </w:num>
  <w:num w:numId="11" w16cid:durableId="672562733">
    <w:abstractNumId w:val="7"/>
  </w:num>
  <w:num w:numId="12" w16cid:durableId="2119787885">
    <w:abstractNumId w:val="2"/>
  </w:num>
  <w:num w:numId="13" w16cid:durableId="1478181598">
    <w:abstractNumId w:val="21"/>
  </w:num>
  <w:num w:numId="14" w16cid:durableId="613632013">
    <w:abstractNumId w:val="25"/>
  </w:num>
  <w:num w:numId="15" w16cid:durableId="1708792840">
    <w:abstractNumId w:val="15"/>
  </w:num>
  <w:num w:numId="16" w16cid:durableId="1456411862">
    <w:abstractNumId w:val="4"/>
  </w:num>
  <w:num w:numId="17" w16cid:durableId="1555391657">
    <w:abstractNumId w:val="28"/>
  </w:num>
  <w:num w:numId="18" w16cid:durableId="1659771595">
    <w:abstractNumId w:val="8"/>
  </w:num>
  <w:num w:numId="19" w16cid:durableId="2026439462">
    <w:abstractNumId w:val="3"/>
  </w:num>
  <w:num w:numId="20" w16cid:durableId="1060178548">
    <w:abstractNumId w:val="11"/>
  </w:num>
  <w:num w:numId="21" w16cid:durableId="1608734912">
    <w:abstractNumId w:val="30"/>
  </w:num>
  <w:num w:numId="22" w16cid:durableId="1990596135">
    <w:abstractNumId w:val="5"/>
  </w:num>
  <w:num w:numId="23" w16cid:durableId="441455519">
    <w:abstractNumId w:val="22"/>
  </w:num>
  <w:num w:numId="24" w16cid:durableId="1899389807">
    <w:abstractNumId w:val="20"/>
  </w:num>
  <w:num w:numId="25" w16cid:durableId="1922829084">
    <w:abstractNumId w:val="6"/>
  </w:num>
  <w:num w:numId="26" w16cid:durableId="1840777539">
    <w:abstractNumId w:val="23"/>
  </w:num>
  <w:num w:numId="27" w16cid:durableId="1924603825">
    <w:abstractNumId w:val="26"/>
  </w:num>
  <w:num w:numId="28" w16cid:durableId="141049939">
    <w:abstractNumId w:val="16"/>
  </w:num>
  <w:num w:numId="29" w16cid:durableId="1840382519">
    <w:abstractNumId w:val="18"/>
  </w:num>
  <w:num w:numId="30" w16cid:durableId="523321740">
    <w:abstractNumId w:val="19"/>
  </w:num>
  <w:num w:numId="31" w16cid:durableId="1216549801">
    <w:abstractNumId w:val="17"/>
  </w:num>
  <w:num w:numId="32" w16cid:durableId="18313680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3076"/>
    <o:shapelayout v:ext="edit">
      <o:rules v:ext="edit">
        <o:r id="V:Rule2"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538"/>
    <w:rsid w:val="00003177"/>
    <w:rsid w:val="00003849"/>
    <w:rsid w:val="0000715B"/>
    <w:rsid w:val="000302A0"/>
    <w:rsid w:val="00067B50"/>
    <w:rsid w:val="000745B9"/>
    <w:rsid w:val="00077313"/>
    <w:rsid w:val="00094E87"/>
    <w:rsid w:val="000A05AD"/>
    <w:rsid w:val="000A73FB"/>
    <w:rsid w:val="000B0931"/>
    <w:rsid w:val="000B28FA"/>
    <w:rsid w:val="000B4CDA"/>
    <w:rsid w:val="000E129E"/>
    <w:rsid w:val="000E23E0"/>
    <w:rsid w:val="000E4C02"/>
    <w:rsid w:val="000E4EF5"/>
    <w:rsid w:val="000F6C90"/>
    <w:rsid w:val="00102683"/>
    <w:rsid w:val="00107721"/>
    <w:rsid w:val="00113176"/>
    <w:rsid w:val="001237C1"/>
    <w:rsid w:val="00140DCF"/>
    <w:rsid w:val="00152CD0"/>
    <w:rsid w:val="00196805"/>
    <w:rsid w:val="001A0F8F"/>
    <w:rsid w:val="001A35B4"/>
    <w:rsid w:val="001B338A"/>
    <w:rsid w:val="001D1C4D"/>
    <w:rsid w:val="001F1E7C"/>
    <w:rsid w:val="001F2E6A"/>
    <w:rsid w:val="0020643D"/>
    <w:rsid w:val="0021348A"/>
    <w:rsid w:val="00216E81"/>
    <w:rsid w:val="00223496"/>
    <w:rsid w:val="00230E76"/>
    <w:rsid w:val="00233E79"/>
    <w:rsid w:val="00277A1B"/>
    <w:rsid w:val="00290D49"/>
    <w:rsid w:val="002A18A3"/>
    <w:rsid w:val="002B1D11"/>
    <w:rsid w:val="002D5B51"/>
    <w:rsid w:val="002F069B"/>
    <w:rsid w:val="002F1045"/>
    <w:rsid w:val="002F23EC"/>
    <w:rsid w:val="00302399"/>
    <w:rsid w:val="00304E4B"/>
    <w:rsid w:val="00315413"/>
    <w:rsid w:val="0032387C"/>
    <w:rsid w:val="003301DE"/>
    <w:rsid w:val="00332700"/>
    <w:rsid w:val="003428DC"/>
    <w:rsid w:val="00353F26"/>
    <w:rsid w:val="00357867"/>
    <w:rsid w:val="00370D4D"/>
    <w:rsid w:val="003A7CF1"/>
    <w:rsid w:val="003B02D0"/>
    <w:rsid w:val="003C3638"/>
    <w:rsid w:val="003D2143"/>
    <w:rsid w:val="003D51C3"/>
    <w:rsid w:val="003D532A"/>
    <w:rsid w:val="003E569F"/>
    <w:rsid w:val="003E6C5F"/>
    <w:rsid w:val="00405C9E"/>
    <w:rsid w:val="004433DB"/>
    <w:rsid w:val="004444AB"/>
    <w:rsid w:val="00444F54"/>
    <w:rsid w:val="00447125"/>
    <w:rsid w:val="00460448"/>
    <w:rsid w:val="004674CB"/>
    <w:rsid w:val="00467DDA"/>
    <w:rsid w:val="004917A3"/>
    <w:rsid w:val="004A25E1"/>
    <w:rsid w:val="004B7250"/>
    <w:rsid w:val="004D1271"/>
    <w:rsid w:val="004D5A5A"/>
    <w:rsid w:val="004D5CFF"/>
    <w:rsid w:val="004E1997"/>
    <w:rsid w:val="004E57E8"/>
    <w:rsid w:val="004E74C2"/>
    <w:rsid w:val="004E7648"/>
    <w:rsid w:val="004F56A4"/>
    <w:rsid w:val="00500B65"/>
    <w:rsid w:val="005257A5"/>
    <w:rsid w:val="005302A6"/>
    <w:rsid w:val="00542D42"/>
    <w:rsid w:val="005430EB"/>
    <w:rsid w:val="0055369A"/>
    <w:rsid w:val="00560CEF"/>
    <w:rsid w:val="00563C8F"/>
    <w:rsid w:val="005913B7"/>
    <w:rsid w:val="00592B1C"/>
    <w:rsid w:val="00592B56"/>
    <w:rsid w:val="005A1239"/>
    <w:rsid w:val="005B1E8C"/>
    <w:rsid w:val="005C67D5"/>
    <w:rsid w:val="005F34EF"/>
    <w:rsid w:val="006231B9"/>
    <w:rsid w:val="006278D2"/>
    <w:rsid w:val="00635FBE"/>
    <w:rsid w:val="006369CF"/>
    <w:rsid w:val="0065036F"/>
    <w:rsid w:val="00653140"/>
    <w:rsid w:val="00657A5E"/>
    <w:rsid w:val="00666D72"/>
    <w:rsid w:val="00667F59"/>
    <w:rsid w:val="00672C7A"/>
    <w:rsid w:val="0067549D"/>
    <w:rsid w:val="00684D95"/>
    <w:rsid w:val="006862A6"/>
    <w:rsid w:val="00696800"/>
    <w:rsid w:val="006B6D1B"/>
    <w:rsid w:val="006C6D5F"/>
    <w:rsid w:val="006D0C85"/>
    <w:rsid w:val="006D5253"/>
    <w:rsid w:val="006E1C7E"/>
    <w:rsid w:val="006E35DE"/>
    <w:rsid w:val="006E67CB"/>
    <w:rsid w:val="00701863"/>
    <w:rsid w:val="00706FA5"/>
    <w:rsid w:val="00723C46"/>
    <w:rsid w:val="007418AE"/>
    <w:rsid w:val="00753A94"/>
    <w:rsid w:val="00754991"/>
    <w:rsid w:val="00760A35"/>
    <w:rsid w:val="0076405A"/>
    <w:rsid w:val="007871C1"/>
    <w:rsid w:val="00792227"/>
    <w:rsid w:val="00797345"/>
    <w:rsid w:val="007B181B"/>
    <w:rsid w:val="007B249A"/>
    <w:rsid w:val="007B59ED"/>
    <w:rsid w:val="007E4AEF"/>
    <w:rsid w:val="007E5AD8"/>
    <w:rsid w:val="00800611"/>
    <w:rsid w:val="008032DC"/>
    <w:rsid w:val="00815D96"/>
    <w:rsid w:val="008203ED"/>
    <w:rsid w:val="008233CE"/>
    <w:rsid w:val="00827E65"/>
    <w:rsid w:val="008431BB"/>
    <w:rsid w:val="00874D93"/>
    <w:rsid w:val="00880407"/>
    <w:rsid w:val="00885D2F"/>
    <w:rsid w:val="00887870"/>
    <w:rsid w:val="008A303B"/>
    <w:rsid w:val="008A3CD6"/>
    <w:rsid w:val="008B4360"/>
    <w:rsid w:val="008B7E9F"/>
    <w:rsid w:val="008D36F1"/>
    <w:rsid w:val="008F08B8"/>
    <w:rsid w:val="00907CC6"/>
    <w:rsid w:val="00910F9D"/>
    <w:rsid w:val="00912B37"/>
    <w:rsid w:val="00915077"/>
    <w:rsid w:val="009154E4"/>
    <w:rsid w:val="009268E7"/>
    <w:rsid w:val="009317CB"/>
    <w:rsid w:val="00933908"/>
    <w:rsid w:val="009408B0"/>
    <w:rsid w:val="009454D9"/>
    <w:rsid w:val="00945B83"/>
    <w:rsid w:val="00950A75"/>
    <w:rsid w:val="00961C0C"/>
    <w:rsid w:val="009634DE"/>
    <w:rsid w:val="00963E08"/>
    <w:rsid w:val="00970502"/>
    <w:rsid w:val="00975020"/>
    <w:rsid w:val="00977E72"/>
    <w:rsid w:val="009817BB"/>
    <w:rsid w:val="009A215C"/>
    <w:rsid w:val="009A4DBC"/>
    <w:rsid w:val="009B05D9"/>
    <w:rsid w:val="009D5EA1"/>
    <w:rsid w:val="00A11897"/>
    <w:rsid w:val="00A24E5C"/>
    <w:rsid w:val="00A45647"/>
    <w:rsid w:val="00A74F44"/>
    <w:rsid w:val="00A7565D"/>
    <w:rsid w:val="00A87EB3"/>
    <w:rsid w:val="00A9508B"/>
    <w:rsid w:val="00AA000C"/>
    <w:rsid w:val="00AA4910"/>
    <w:rsid w:val="00AC670B"/>
    <w:rsid w:val="00AD4987"/>
    <w:rsid w:val="00AD7E5F"/>
    <w:rsid w:val="00AE1E63"/>
    <w:rsid w:val="00AF5790"/>
    <w:rsid w:val="00AF76D8"/>
    <w:rsid w:val="00B1284C"/>
    <w:rsid w:val="00B24034"/>
    <w:rsid w:val="00B24117"/>
    <w:rsid w:val="00B44F4A"/>
    <w:rsid w:val="00B45F73"/>
    <w:rsid w:val="00B5349B"/>
    <w:rsid w:val="00B57598"/>
    <w:rsid w:val="00B61F5B"/>
    <w:rsid w:val="00B727D6"/>
    <w:rsid w:val="00B76B37"/>
    <w:rsid w:val="00B90718"/>
    <w:rsid w:val="00BA00FB"/>
    <w:rsid w:val="00BA066E"/>
    <w:rsid w:val="00BC5EA5"/>
    <w:rsid w:val="00BD2681"/>
    <w:rsid w:val="00BD288D"/>
    <w:rsid w:val="00BD6325"/>
    <w:rsid w:val="00BE228D"/>
    <w:rsid w:val="00BE67D1"/>
    <w:rsid w:val="00BF0E0F"/>
    <w:rsid w:val="00C1029F"/>
    <w:rsid w:val="00C123E6"/>
    <w:rsid w:val="00C1609F"/>
    <w:rsid w:val="00C1778F"/>
    <w:rsid w:val="00C17F2D"/>
    <w:rsid w:val="00C22258"/>
    <w:rsid w:val="00C44DF5"/>
    <w:rsid w:val="00C45678"/>
    <w:rsid w:val="00C5363B"/>
    <w:rsid w:val="00C54712"/>
    <w:rsid w:val="00C61705"/>
    <w:rsid w:val="00C61A12"/>
    <w:rsid w:val="00C67018"/>
    <w:rsid w:val="00C752E8"/>
    <w:rsid w:val="00C83368"/>
    <w:rsid w:val="00C87837"/>
    <w:rsid w:val="00CA0C1F"/>
    <w:rsid w:val="00CA7606"/>
    <w:rsid w:val="00CB08EF"/>
    <w:rsid w:val="00CB3036"/>
    <w:rsid w:val="00CC1810"/>
    <w:rsid w:val="00CC2F76"/>
    <w:rsid w:val="00CD25D9"/>
    <w:rsid w:val="00CD292F"/>
    <w:rsid w:val="00CD770F"/>
    <w:rsid w:val="00CE6BCA"/>
    <w:rsid w:val="00D27B88"/>
    <w:rsid w:val="00D55045"/>
    <w:rsid w:val="00D57F92"/>
    <w:rsid w:val="00D7068A"/>
    <w:rsid w:val="00DC6DC7"/>
    <w:rsid w:val="00DD4D30"/>
    <w:rsid w:val="00DE59FF"/>
    <w:rsid w:val="00DF3538"/>
    <w:rsid w:val="00E02C0E"/>
    <w:rsid w:val="00E35D10"/>
    <w:rsid w:val="00E44F13"/>
    <w:rsid w:val="00E55D52"/>
    <w:rsid w:val="00E7007A"/>
    <w:rsid w:val="00E727A3"/>
    <w:rsid w:val="00E87652"/>
    <w:rsid w:val="00E924A7"/>
    <w:rsid w:val="00EA55C8"/>
    <w:rsid w:val="00EE4A08"/>
    <w:rsid w:val="00EF1F71"/>
    <w:rsid w:val="00EF3ACF"/>
    <w:rsid w:val="00EF5E7C"/>
    <w:rsid w:val="00F2152B"/>
    <w:rsid w:val="00F4014D"/>
    <w:rsid w:val="00F44122"/>
    <w:rsid w:val="00F555F8"/>
    <w:rsid w:val="00F61CFB"/>
    <w:rsid w:val="00F67519"/>
    <w:rsid w:val="00F84843"/>
    <w:rsid w:val="00F9283F"/>
    <w:rsid w:val="00F9456A"/>
    <w:rsid w:val="00FB344D"/>
    <w:rsid w:val="00FC1F6E"/>
    <w:rsid w:val="00FD2AFD"/>
    <w:rsid w:val="00FD7BF0"/>
    <w:rsid w:val="00FE7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6"/>
    <o:shapelayout v:ext="edit">
      <o:idmap v:ext="edit" data="2"/>
    </o:shapelayout>
  </w:shapeDefaults>
  <w:decimalSymbol w:val="."/>
  <w:listSeparator w:val=","/>
  <w14:docId w14:val="3ABAEEE2"/>
  <w15:docId w15:val="{F26CB4CB-C953-4193-BC3B-4B5D183D5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D30"/>
    <w:rPr>
      <w:lang w:val="en-US"/>
    </w:rPr>
  </w:style>
  <w:style w:type="paragraph" w:styleId="Heading1">
    <w:name w:val="heading 1"/>
    <w:basedOn w:val="Normal"/>
    <w:next w:val="Normal"/>
    <w:link w:val="Heading1Char"/>
    <w:autoRedefine/>
    <w:uiPriority w:val="9"/>
    <w:qFormat/>
    <w:rsid w:val="00563C8F"/>
    <w:pPr>
      <w:keepNext/>
      <w:keepLines/>
      <w:spacing w:before="120" w:after="120" w:line="360" w:lineRule="auto"/>
      <w:contextualSpacing/>
      <w:outlineLvl w:val="0"/>
    </w:pPr>
    <w:rPr>
      <w:rFonts w:ascii="Arial" w:eastAsia="Times New Roman" w:hAnsi="Arial" w:cs="Arial"/>
      <w:b/>
      <w:bCs/>
      <w:sz w:val="24"/>
      <w:szCs w:val="24"/>
      <w:lang w:eastAsia="en-GB"/>
    </w:rPr>
  </w:style>
  <w:style w:type="paragraph" w:styleId="Heading2">
    <w:name w:val="heading 2"/>
    <w:basedOn w:val="Normal"/>
    <w:next w:val="Normal"/>
    <w:link w:val="Heading2Char"/>
    <w:autoRedefine/>
    <w:uiPriority w:val="9"/>
    <w:unhideWhenUsed/>
    <w:qFormat/>
    <w:rsid w:val="000E4C02"/>
    <w:pPr>
      <w:keepNext/>
      <w:keepLines/>
      <w:spacing w:before="40" w:after="0"/>
      <w:outlineLvl w:val="1"/>
    </w:pPr>
    <w:rPr>
      <w:rFonts w:ascii="Arial" w:eastAsiaTheme="majorEastAsia" w:hAnsi="Arial" w:cstheme="majorBidi"/>
      <w:b/>
      <w:sz w:val="24"/>
      <w:szCs w:val="26"/>
      <w:lang w:eastAsia="en-GB"/>
    </w:rPr>
  </w:style>
  <w:style w:type="paragraph" w:styleId="Heading3">
    <w:name w:val="heading 3"/>
    <w:basedOn w:val="Normal"/>
    <w:next w:val="Normal"/>
    <w:link w:val="Heading3Char"/>
    <w:autoRedefine/>
    <w:uiPriority w:val="9"/>
    <w:unhideWhenUsed/>
    <w:qFormat/>
    <w:rsid w:val="0076405A"/>
    <w:pPr>
      <w:keepNext/>
      <w:keepLines/>
      <w:spacing w:before="120" w:after="120" w:line="360" w:lineRule="auto"/>
      <w:contextualSpacing/>
      <w:outlineLvl w:val="2"/>
    </w:pPr>
    <w:rPr>
      <w:rFonts w:ascii="Arial" w:eastAsiaTheme="majorEastAsia" w:hAnsi="Arial" w:cs="Arial"/>
      <w:b/>
      <w:i/>
      <w:sz w:val="24"/>
      <w:szCs w:val="24"/>
    </w:rPr>
  </w:style>
  <w:style w:type="paragraph" w:styleId="Heading4">
    <w:name w:val="heading 4"/>
    <w:basedOn w:val="Normal"/>
    <w:next w:val="Normal"/>
    <w:link w:val="Heading4Char"/>
    <w:uiPriority w:val="9"/>
    <w:unhideWhenUsed/>
    <w:qFormat/>
    <w:rsid w:val="00667F59"/>
    <w:pPr>
      <w:keepNext/>
      <w:keepLines/>
      <w:spacing w:before="40" w:after="0"/>
      <w:outlineLvl w:val="3"/>
    </w:pPr>
    <w:rPr>
      <w:rFonts w:ascii="Arial" w:eastAsiaTheme="majorEastAsia" w:hAnsi="Arial" w:cstheme="majorBidi"/>
      <w:i/>
      <w:iCs/>
      <w:color w:val="2F5496" w:themeColor="accent1" w:themeShade="BF"/>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DF353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F3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538"/>
    <w:rPr>
      <w:lang w:val="en-US"/>
    </w:rPr>
  </w:style>
  <w:style w:type="paragraph" w:styleId="Footer">
    <w:name w:val="footer"/>
    <w:basedOn w:val="Normal"/>
    <w:link w:val="FooterChar"/>
    <w:uiPriority w:val="99"/>
    <w:unhideWhenUsed/>
    <w:rsid w:val="00DF3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538"/>
    <w:rPr>
      <w:lang w:val="en-US"/>
    </w:rPr>
  </w:style>
  <w:style w:type="character" w:styleId="Hyperlink">
    <w:name w:val="Hyperlink"/>
    <w:basedOn w:val="DefaultParagraphFont"/>
    <w:uiPriority w:val="99"/>
    <w:unhideWhenUsed/>
    <w:rsid w:val="009A4DBC"/>
    <w:rPr>
      <w:color w:val="0563C1" w:themeColor="hyperlink"/>
      <w:u w:val="single"/>
    </w:rPr>
  </w:style>
  <w:style w:type="character" w:customStyle="1" w:styleId="UnresolvedMention1">
    <w:name w:val="Unresolved Mention1"/>
    <w:basedOn w:val="DefaultParagraphFont"/>
    <w:uiPriority w:val="99"/>
    <w:semiHidden/>
    <w:unhideWhenUsed/>
    <w:rsid w:val="009A4DBC"/>
    <w:rPr>
      <w:color w:val="605E5C"/>
      <w:shd w:val="clear" w:color="auto" w:fill="E1DFDD"/>
    </w:rPr>
  </w:style>
  <w:style w:type="character" w:styleId="FollowedHyperlink">
    <w:name w:val="FollowedHyperlink"/>
    <w:basedOn w:val="DefaultParagraphFont"/>
    <w:uiPriority w:val="99"/>
    <w:semiHidden/>
    <w:unhideWhenUsed/>
    <w:rsid w:val="009A215C"/>
    <w:rPr>
      <w:color w:val="954F72" w:themeColor="followedHyperlink"/>
      <w:u w:val="single"/>
    </w:rPr>
  </w:style>
  <w:style w:type="paragraph" w:styleId="ListParagraph">
    <w:name w:val="List Paragraph"/>
    <w:basedOn w:val="Normal"/>
    <w:uiPriority w:val="34"/>
    <w:qFormat/>
    <w:rsid w:val="00DD4D30"/>
    <w:pPr>
      <w:ind w:left="720"/>
      <w:contextualSpacing/>
    </w:pPr>
  </w:style>
  <w:style w:type="character" w:customStyle="1" w:styleId="Heading1Char">
    <w:name w:val="Heading 1 Char"/>
    <w:basedOn w:val="DefaultParagraphFont"/>
    <w:link w:val="Heading1"/>
    <w:uiPriority w:val="9"/>
    <w:rsid w:val="00563C8F"/>
    <w:rPr>
      <w:rFonts w:ascii="Arial" w:eastAsia="Times New Roman" w:hAnsi="Arial" w:cs="Arial"/>
      <w:b/>
      <w:bCs/>
      <w:sz w:val="24"/>
      <w:szCs w:val="24"/>
      <w:lang w:val="en-US" w:eastAsia="en-GB"/>
    </w:rPr>
  </w:style>
  <w:style w:type="character" w:customStyle="1" w:styleId="Heading2Char">
    <w:name w:val="Heading 2 Char"/>
    <w:basedOn w:val="DefaultParagraphFont"/>
    <w:link w:val="Heading2"/>
    <w:uiPriority w:val="9"/>
    <w:rsid w:val="000E4C02"/>
    <w:rPr>
      <w:rFonts w:ascii="Arial" w:eastAsiaTheme="majorEastAsia" w:hAnsi="Arial" w:cstheme="majorBidi"/>
      <w:b/>
      <w:sz w:val="24"/>
      <w:szCs w:val="26"/>
      <w:lang w:val="en-US" w:eastAsia="en-GB"/>
    </w:rPr>
  </w:style>
  <w:style w:type="paragraph" w:styleId="Title">
    <w:name w:val="Title"/>
    <w:basedOn w:val="Normal"/>
    <w:next w:val="Normal"/>
    <w:link w:val="TitleChar"/>
    <w:autoRedefine/>
    <w:uiPriority w:val="10"/>
    <w:qFormat/>
    <w:rsid w:val="00FD2AFD"/>
    <w:pPr>
      <w:spacing w:after="0" w:line="240" w:lineRule="auto"/>
      <w:contextualSpacing/>
    </w:pPr>
    <w:rPr>
      <w:rFonts w:ascii="Arial" w:eastAsiaTheme="majorEastAsia" w:hAnsi="Arial" w:cstheme="majorBidi"/>
      <w:b/>
      <w:i/>
      <w:spacing w:val="-10"/>
      <w:kern w:val="28"/>
      <w:sz w:val="24"/>
      <w:szCs w:val="56"/>
    </w:rPr>
  </w:style>
  <w:style w:type="character" w:customStyle="1" w:styleId="TitleChar">
    <w:name w:val="Title Char"/>
    <w:basedOn w:val="DefaultParagraphFont"/>
    <w:link w:val="Title"/>
    <w:uiPriority w:val="10"/>
    <w:rsid w:val="00FD2AFD"/>
    <w:rPr>
      <w:rFonts w:ascii="Arial" w:eastAsiaTheme="majorEastAsia" w:hAnsi="Arial" w:cstheme="majorBidi"/>
      <w:b/>
      <w:i/>
      <w:spacing w:val="-10"/>
      <w:kern w:val="28"/>
      <w:sz w:val="24"/>
      <w:szCs w:val="56"/>
      <w:lang w:val="en-US"/>
    </w:rPr>
  </w:style>
  <w:style w:type="paragraph" w:styleId="Subtitle">
    <w:name w:val="Subtitle"/>
    <w:basedOn w:val="Normal"/>
    <w:next w:val="Normal"/>
    <w:link w:val="SubtitleChar"/>
    <w:autoRedefine/>
    <w:uiPriority w:val="11"/>
    <w:qFormat/>
    <w:rsid w:val="00FD2AFD"/>
    <w:pPr>
      <w:numPr>
        <w:ilvl w:val="1"/>
      </w:numPr>
    </w:pPr>
    <w:rPr>
      <w:rFonts w:ascii="Arial" w:eastAsiaTheme="minorEastAsia" w:hAnsi="Arial"/>
      <w:i/>
      <w:spacing w:val="15"/>
      <w:sz w:val="24"/>
    </w:rPr>
  </w:style>
  <w:style w:type="character" w:customStyle="1" w:styleId="SubtitleChar">
    <w:name w:val="Subtitle Char"/>
    <w:basedOn w:val="DefaultParagraphFont"/>
    <w:link w:val="Subtitle"/>
    <w:uiPriority w:val="11"/>
    <w:rsid w:val="00FD2AFD"/>
    <w:rPr>
      <w:rFonts w:ascii="Arial" w:eastAsiaTheme="minorEastAsia" w:hAnsi="Arial"/>
      <w:i/>
      <w:spacing w:val="15"/>
      <w:sz w:val="24"/>
      <w:lang w:val="en-US"/>
    </w:rPr>
  </w:style>
  <w:style w:type="paragraph" w:styleId="NormalWeb">
    <w:name w:val="Normal (Web)"/>
    <w:basedOn w:val="Normal"/>
    <w:uiPriority w:val="99"/>
    <w:semiHidden/>
    <w:unhideWhenUsed/>
    <w:rsid w:val="00094E87"/>
    <w:rPr>
      <w:rFonts w:ascii="Times New Roman" w:hAnsi="Times New Roman" w:cs="Times New Roman"/>
      <w:sz w:val="24"/>
      <w:szCs w:val="24"/>
    </w:rPr>
  </w:style>
  <w:style w:type="table" w:styleId="TableGrid">
    <w:name w:val="Table Grid"/>
    <w:basedOn w:val="TableNormal"/>
    <w:uiPriority w:val="39"/>
    <w:rsid w:val="00963E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6405A"/>
    <w:rPr>
      <w:rFonts w:ascii="Arial" w:eastAsiaTheme="majorEastAsia" w:hAnsi="Arial" w:cs="Arial"/>
      <w:b/>
      <w:i/>
      <w:sz w:val="24"/>
      <w:szCs w:val="24"/>
      <w:lang w:val="en-US"/>
    </w:rPr>
  </w:style>
  <w:style w:type="character" w:customStyle="1" w:styleId="Heading4Char">
    <w:name w:val="Heading 4 Char"/>
    <w:basedOn w:val="DefaultParagraphFont"/>
    <w:link w:val="Heading4"/>
    <w:uiPriority w:val="9"/>
    <w:rsid w:val="00667F59"/>
    <w:rPr>
      <w:rFonts w:ascii="Arial" w:eastAsiaTheme="majorEastAsia" w:hAnsi="Arial" w:cstheme="majorBidi"/>
      <w:i/>
      <w:iCs/>
      <w:color w:val="2F5496" w:themeColor="accent1" w:themeShade="BF"/>
      <w:sz w:val="24"/>
      <w:u w:val="single"/>
      <w:lang w:val="en-US"/>
    </w:rPr>
  </w:style>
  <w:style w:type="paragraph" w:styleId="TOCHeading">
    <w:name w:val="TOC Heading"/>
    <w:basedOn w:val="Heading1"/>
    <w:next w:val="Normal"/>
    <w:uiPriority w:val="39"/>
    <w:unhideWhenUsed/>
    <w:qFormat/>
    <w:rsid w:val="0076405A"/>
    <w:pPr>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76405A"/>
    <w:pPr>
      <w:spacing w:after="100"/>
    </w:pPr>
  </w:style>
  <w:style w:type="paragraph" w:styleId="TOC2">
    <w:name w:val="toc 2"/>
    <w:basedOn w:val="Normal"/>
    <w:next w:val="Normal"/>
    <w:autoRedefine/>
    <w:uiPriority w:val="39"/>
    <w:unhideWhenUsed/>
    <w:rsid w:val="0076405A"/>
    <w:pPr>
      <w:spacing w:after="100"/>
      <w:ind w:left="220"/>
    </w:pPr>
  </w:style>
  <w:style w:type="paragraph" w:styleId="TOC3">
    <w:name w:val="toc 3"/>
    <w:basedOn w:val="Normal"/>
    <w:next w:val="Normal"/>
    <w:autoRedefine/>
    <w:uiPriority w:val="39"/>
    <w:unhideWhenUsed/>
    <w:rsid w:val="0076405A"/>
    <w:pPr>
      <w:spacing w:after="100"/>
      <w:ind w:left="440"/>
    </w:pPr>
  </w:style>
  <w:style w:type="paragraph" w:styleId="TableofFigures">
    <w:name w:val="table of figures"/>
    <w:basedOn w:val="Normal"/>
    <w:next w:val="Normal"/>
    <w:uiPriority w:val="99"/>
    <w:unhideWhenUsed/>
    <w:rsid w:val="006E67CB"/>
    <w:pPr>
      <w:spacing w:after="0"/>
    </w:pPr>
  </w:style>
  <w:style w:type="character" w:customStyle="1" w:styleId="UnresolvedMention2">
    <w:name w:val="Unresolved Mention2"/>
    <w:basedOn w:val="DefaultParagraphFont"/>
    <w:uiPriority w:val="99"/>
    <w:semiHidden/>
    <w:unhideWhenUsed/>
    <w:rsid w:val="00CA0C1F"/>
    <w:rPr>
      <w:color w:val="605E5C"/>
      <w:shd w:val="clear" w:color="auto" w:fill="E1DFDD"/>
    </w:rPr>
  </w:style>
  <w:style w:type="character" w:styleId="UnresolvedMention">
    <w:name w:val="Unresolved Mention"/>
    <w:basedOn w:val="DefaultParagraphFont"/>
    <w:uiPriority w:val="99"/>
    <w:semiHidden/>
    <w:unhideWhenUsed/>
    <w:rsid w:val="00945B83"/>
    <w:rPr>
      <w:color w:val="605E5C"/>
      <w:shd w:val="clear" w:color="auto" w:fill="E1DFDD"/>
    </w:rPr>
  </w:style>
  <w:style w:type="table" w:styleId="GridTable4-Accent5">
    <w:name w:val="Grid Table 4 Accent 5"/>
    <w:basedOn w:val="TableNormal"/>
    <w:uiPriority w:val="49"/>
    <w:rsid w:val="00353F2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7335408">
      <w:bodyDiv w:val="1"/>
      <w:marLeft w:val="0"/>
      <w:marRight w:val="0"/>
      <w:marTop w:val="0"/>
      <w:marBottom w:val="0"/>
      <w:divBdr>
        <w:top w:val="none" w:sz="0" w:space="0" w:color="auto"/>
        <w:left w:val="none" w:sz="0" w:space="0" w:color="auto"/>
        <w:bottom w:val="none" w:sz="0" w:space="0" w:color="auto"/>
        <w:right w:val="none" w:sz="0" w:space="0" w:color="auto"/>
      </w:divBdr>
      <w:divsChild>
        <w:div w:id="1899591918">
          <w:marLeft w:val="-72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link.springer.com/article/10.1186/s12913-019-4508-0" TargetMode="External" /><Relationship Id="rId18" Type="http://schemas.openxmlformats.org/officeDocument/2006/relationships/hyperlink" Target="https://qualitysafety.bmj.com/content/qhc/early/2024/12/28/bmjqs-2024-017183.full.pdf" TargetMode="External" /><Relationship Id="rId26" Type="http://schemas.openxmlformats.org/officeDocument/2006/relationships/hyperlink" Target="https://oig.hhs.gov/reports/all/2022/adverse-events-in-hospitals-a-quarter-of-medicare-patients-experienced-harm-in-october-2018/" TargetMode="External" /><Relationship Id="rId39" Type="http://schemas.openxmlformats.org/officeDocument/2006/relationships/hyperlink" Target="https://www.ahrq.gov/sites/default/files/wysiwyg/sops/databases/hospital/2024-hospital-database-report-ptI.pdf" TargetMode="External" /><Relationship Id="rId3" Type="http://schemas.openxmlformats.org/officeDocument/2006/relationships/styles" Target="styles.xml" /><Relationship Id="rId21" Type="http://schemas.openxmlformats.org/officeDocument/2006/relationships/hyperlink" Target="https://pmc.ncbi.nlm.nih.gov/articles/PMC10938932/" TargetMode="External" /><Relationship Id="rId34" Type="http://schemas.openxmlformats.org/officeDocument/2006/relationships/hyperlink" Target="https://www.ahrq.gov/diagnostic-safety/resources/issue-briefs/dxsafety-care-transitions.html" TargetMode="External" /><Relationship Id="rId42" Type="http://schemas.openxmlformats.org/officeDocument/2006/relationships/hyperlink" Target="https://iris.who.int/server/api/core/bitstreams/a28c34c0-089c-4f5d-a0b1-5d9c35a3cd67/content" TargetMode="External" /><Relationship Id="rId47"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link.springer.com/article/10.1186/s12912-025-04263-7" TargetMode="External" /><Relationship Id="rId17" Type="http://schemas.openxmlformats.org/officeDocument/2006/relationships/hyperlink" Target="https://pmc.ncbi.nlm.nih.gov/articles/PMC10123717/" TargetMode="External" /><Relationship Id="rId25" Type="http://schemas.openxmlformats.org/officeDocument/2006/relationships/hyperlink" Target="https://www.frontiersin.org/journals/psychiatry/articles/10.3389/fpsyt.2023.1111579/full" TargetMode="External" /><Relationship Id="rId33" Type="http://schemas.openxmlformats.org/officeDocument/2006/relationships/hyperlink" Target="https://pmc.ncbi.nlm.nih.gov/articles/PMC8459866/" TargetMode="External" /><Relationship Id="rId38" Type="http://schemas.openxmlformats.org/officeDocument/2006/relationships/hyperlink" Target="https://pmc.ncbi.nlm.nih.gov/articles/PMC8965813/" TargetMode="External" /><Relationship Id="rId46"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pmc.ncbi.nlm.nih.gov/articles/PMC6995183/" TargetMode="External" /><Relationship Id="rId20" Type="http://schemas.openxmlformats.org/officeDocument/2006/relationships/hyperlink" Target="https://pmc.ncbi.nlm.nih.gov/articles/PMC8889630/" TargetMode="External" /><Relationship Id="rId29" Type="http://schemas.openxmlformats.org/officeDocument/2006/relationships/hyperlink" Target="https://pmc.ncbi.nlm.nih.gov/articles/PMC11409368/" TargetMode="External" /><Relationship Id="rId41" Type="http://schemas.openxmlformats.org/officeDocument/2006/relationships/hyperlink" Target="https://www.frontiersin.org/journals/psychology/articles/10.3389/fpsyg.2023.1129359/full"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hrq.gov/diagnostic-safety/resources/issue-briefs/dxsafety-psychological-safety.html" TargetMode="External" /><Relationship Id="rId24" Type="http://schemas.openxmlformats.org/officeDocument/2006/relationships/hyperlink" Target="https://qualitysafety.bmj.com/content/qhc/33/10/642.full.pdf" TargetMode="External" /><Relationship Id="rId32" Type="http://schemas.openxmlformats.org/officeDocument/2006/relationships/hyperlink" Target="https://pmc.ncbi.nlm.nih.gov/articles/PMC9518077/" TargetMode="External" /><Relationship Id="rId37" Type="http://schemas.openxmlformats.org/officeDocument/2006/relationships/hyperlink" Target="https://bmjopen.bmj.com/content/13/4/e065819" TargetMode="External" /><Relationship Id="rId40" Type="http://schemas.openxmlformats.org/officeDocument/2006/relationships/hyperlink" Target="https://pmc.ncbi.nlm.nih.gov/articles/PMC11660562/" TargetMode="External" /><Relationship Id="rId45" Type="http://schemas.openxmlformats.org/officeDocument/2006/relationships/hyperlink" Target="https://pmc.ncbi.nlm.nih.gov/articles/PMC10537672/" TargetMode="External" /><Relationship Id="rId5" Type="http://schemas.openxmlformats.org/officeDocument/2006/relationships/webSettings" Target="webSettings.xml" /><Relationship Id="rId15" Type="http://schemas.openxmlformats.org/officeDocument/2006/relationships/hyperlink" Target="https://www.frontiersin.org/journals/digital-health/articles/10.3389/fdgth.2022.843747/full" TargetMode="External" /><Relationship Id="rId23" Type="http://schemas.openxmlformats.org/officeDocument/2006/relationships/hyperlink" Target="https://pmc.ncbi.nlm.nih.gov/articles/PMC9628064/" TargetMode="External" /><Relationship Id="rId28" Type="http://schemas.openxmlformats.org/officeDocument/2006/relationships/hyperlink" Target="https://pmc.ncbi.nlm.nih.gov/articles/PMC9945730/" TargetMode="External" /><Relationship Id="rId36" Type="http://schemas.openxmlformats.org/officeDocument/2006/relationships/hyperlink" Target="https://www.scstatehouse.gov/sess116_2005-2006/bills/3832.htm" TargetMode="External" /><Relationship Id="rId10" Type="http://schemas.openxmlformats.org/officeDocument/2006/relationships/hyperlink" Target="https://hsrc.himmelfarb.gwu.edu/son_nurs_facpubs/36/" TargetMode="External" /><Relationship Id="rId19" Type="http://schemas.openxmlformats.org/officeDocument/2006/relationships/hyperlink" Target="https://doi.org/10.1590/0101-7438.2023.043.00275528" TargetMode="External" /><Relationship Id="rId31" Type="http://schemas.openxmlformats.org/officeDocument/2006/relationships/hyperlink" Target="https://www.frontiersin.org/journals/psychology/articles/10.3389/fpsyg.2024.1437035/full" TargetMode="External" /><Relationship Id="rId44" Type="http://schemas.openxmlformats.org/officeDocument/2006/relationships/hyperlink" Target="https://iris.who.int/server/api/core/bitstreams/a48952b5-c8d5-4842-9e68-1ef966ffba85/content"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ellcomeopenresearch.org/articles/7-137" TargetMode="External" /><Relationship Id="rId22" Type="http://schemas.openxmlformats.org/officeDocument/2006/relationships/hyperlink" Target="https://pmc.ncbi.nlm.nih.gov/articles/PMC8205370/" TargetMode="External" /><Relationship Id="rId27" Type="http://schemas.openxmlformats.org/officeDocument/2006/relationships/hyperlink" Target="https://oig.hhs.gov/documents/evaluation/10840/OEI-06-18-00401.pdf" TargetMode="External" /><Relationship Id="rId30" Type="http://schemas.openxmlformats.org/officeDocument/2006/relationships/hyperlink" Target="https://psmf.org/story/lewis-blackman/" TargetMode="External" /><Relationship Id="rId35" Type="http://schemas.openxmlformats.org/officeDocument/2006/relationships/hyperlink" Target="https://pmc.ncbi.nlm.nih.gov/articles/PMC9186287/" TargetMode="External" /><Relationship Id="rId43" Type="http://schemas.openxmlformats.org/officeDocument/2006/relationships/hyperlink" Target="https://www.who.int/news-room/fact-sheets/detail/patient-safety" TargetMode="External" /><Relationship Id="rId4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719FFE-D3AD-4AD8-8D28-7DEE84BF38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7920</Words>
  <Characters>45145</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SRIKARI MUKKA</cp:lastModifiedBy>
  <cp:revision>2</cp:revision>
  <dcterms:created xsi:type="dcterms:W3CDTF">2026-08-11T09:35:00Z</dcterms:created>
  <dcterms:modified xsi:type="dcterms:W3CDTF">2026-08-11T09:35:00Z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b186ce9e-fdfd-43d1-b9ed-1fe60abecb5a</vt:lpwstr>
  </property>
</Properties>
</file>