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D4FE2" w14:textId="77777777" w:rsidR="00442C71" w:rsidRDefault="00D2316F" w:rsidP="00BA08B9">
      <w:pPr>
        <w:spacing w:line="360" w:lineRule="auto"/>
        <w:jc w:val="both"/>
        <w:rPr>
          <w:rFonts w:ascii="Arial" w:hAnsi="Arial" w:cs="Arial"/>
          <w:sz w:val="24"/>
          <w:szCs w:val="24"/>
        </w:rPr>
      </w:pPr>
      <w:r w:rsidRPr="00BA08B9">
        <w:rPr>
          <w:rFonts w:ascii="Arial" w:hAnsi="Arial" w:cs="Arial"/>
          <w:sz w:val="24"/>
          <w:szCs w:val="24"/>
        </w:rPr>
        <w:t>The Nexus of ESG Commitment, Student Internship Opportunities, and Industry Competitiveness</w:t>
      </w:r>
    </w:p>
    <w:sdt>
      <w:sdtPr>
        <w:rPr>
          <w:rFonts w:asciiTheme="minorHAnsi" w:eastAsiaTheme="minorHAnsi" w:hAnsiTheme="minorHAnsi" w:cstheme="minorBidi"/>
          <w:color w:val="auto"/>
          <w:kern w:val="2"/>
          <w:sz w:val="22"/>
          <w:szCs w:val="22"/>
          <w:lang w:val="en-GB"/>
          <w14:ligatures w14:val="standardContextual"/>
        </w:rPr>
        <w:id w:val="-883257238"/>
        <w:docPartObj>
          <w:docPartGallery w:val="Table of Contents"/>
          <w:docPartUnique/>
        </w:docPartObj>
      </w:sdtPr>
      <w:sdtEndPr>
        <w:rPr>
          <w:b/>
          <w:bCs/>
          <w:noProof/>
        </w:rPr>
      </w:sdtEndPr>
      <w:sdtContent>
        <w:p w14:paraId="30C57A8F" w14:textId="05CCA216" w:rsidR="00BA08B9" w:rsidRDefault="00BA08B9">
          <w:pPr>
            <w:pStyle w:val="TOCHeading"/>
          </w:pPr>
          <w:r>
            <w:t>Table of Contents</w:t>
          </w:r>
        </w:p>
        <w:p w14:paraId="69351F9F" w14:textId="6439C1CC" w:rsidR="00B814FB" w:rsidRDefault="00BA08B9">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52178719" w:history="1">
            <w:r w:rsidR="00B814FB" w:rsidRPr="00A71409">
              <w:rPr>
                <w:rStyle w:val="Hyperlink"/>
                <w:rFonts w:ascii="Arial" w:hAnsi="Arial" w:cs="Arial"/>
                <w:b/>
                <w:bCs/>
                <w:noProof/>
              </w:rPr>
              <w:t>1. Introduction</w:t>
            </w:r>
            <w:r w:rsidR="00B814FB">
              <w:rPr>
                <w:noProof/>
                <w:webHidden/>
              </w:rPr>
              <w:tab/>
            </w:r>
            <w:r w:rsidR="00B814FB">
              <w:rPr>
                <w:noProof/>
                <w:webHidden/>
              </w:rPr>
              <w:fldChar w:fldCharType="begin"/>
            </w:r>
            <w:r w:rsidR="00B814FB">
              <w:rPr>
                <w:noProof/>
                <w:webHidden/>
              </w:rPr>
              <w:instrText xml:space="preserve"> PAGEREF _Toc152178719 \h </w:instrText>
            </w:r>
            <w:r w:rsidR="00B814FB">
              <w:rPr>
                <w:noProof/>
                <w:webHidden/>
              </w:rPr>
            </w:r>
            <w:r w:rsidR="00B814FB">
              <w:rPr>
                <w:noProof/>
                <w:webHidden/>
              </w:rPr>
              <w:fldChar w:fldCharType="separate"/>
            </w:r>
            <w:r w:rsidR="00B814FB">
              <w:rPr>
                <w:noProof/>
                <w:webHidden/>
              </w:rPr>
              <w:t>2</w:t>
            </w:r>
            <w:r w:rsidR="00B814FB">
              <w:rPr>
                <w:noProof/>
                <w:webHidden/>
              </w:rPr>
              <w:fldChar w:fldCharType="end"/>
            </w:r>
          </w:hyperlink>
        </w:p>
        <w:p w14:paraId="360B14F1" w14:textId="45108518" w:rsidR="00B814FB" w:rsidRDefault="00B814FB">
          <w:pPr>
            <w:pStyle w:val="TOC1"/>
            <w:tabs>
              <w:tab w:val="right" w:leader="dot" w:pos="9016"/>
            </w:tabs>
            <w:rPr>
              <w:rFonts w:eastAsiaTheme="minorEastAsia"/>
              <w:noProof/>
              <w:lang w:val="en-IN" w:eastAsia="en-IN"/>
            </w:rPr>
          </w:pPr>
          <w:hyperlink w:anchor="_Toc152178720" w:history="1">
            <w:r w:rsidRPr="00A71409">
              <w:rPr>
                <w:rStyle w:val="Hyperlink"/>
                <w:rFonts w:ascii="Arial" w:hAnsi="Arial" w:cs="Arial"/>
                <w:b/>
                <w:bCs/>
                <w:noProof/>
              </w:rPr>
              <w:t>2. Methodology</w:t>
            </w:r>
            <w:r>
              <w:rPr>
                <w:noProof/>
                <w:webHidden/>
              </w:rPr>
              <w:tab/>
            </w:r>
            <w:r>
              <w:rPr>
                <w:noProof/>
                <w:webHidden/>
              </w:rPr>
              <w:fldChar w:fldCharType="begin"/>
            </w:r>
            <w:r>
              <w:rPr>
                <w:noProof/>
                <w:webHidden/>
              </w:rPr>
              <w:instrText xml:space="preserve"> PAGEREF _Toc152178720 \h </w:instrText>
            </w:r>
            <w:r>
              <w:rPr>
                <w:noProof/>
                <w:webHidden/>
              </w:rPr>
            </w:r>
            <w:r>
              <w:rPr>
                <w:noProof/>
                <w:webHidden/>
              </w:rPr>
              <w:fldChar w:fldCharType="separate"/>
            </w:r>
            <w:r>
              <w:rPr>
                <w:noProof/>
                <w:webHidden/>
              </w:rPr>
              <w:t>2</w:t>
            </w:r>
            <w:r>
              <w:rPr>
                <w:noProof/>
                <w:webHidden/>
              </w:rPr>
              <w:fldChar w:fldCharType="end"/>
            </w:r>
          </w:hyperlink>
        </w:p>
        <w:p w14:paraId="622F36E4" w14:textId="14F3FA3A" w:rsidR="00B814FB" w:rsidRDefault="00B814FB">
          <w:pPr>
            <w:pStyle w:val="TOC2"/>
            <w:tabs>
              <w:tab w:val="right" w:leader="dot" w:pos="9016"/>
            </w:tabs>
            <w:rPr>
              <w:rFonts w:eastAsiaTheme="minorEastAsia"/>
              <w:noProof/>
              <w:lang w:val="en-IN" w:eastAsia="en-IN"/>
            </w:rPr>
          </w:pPr>
          <w:hyperlink w:anchor="_Toc152178721" w:history="1">
            <w:r w:rsidRPr="00A71409">
              <w:rPr>
                <w:rStyle w:val="Hyperlink"/>
                <w:rFonts w:ascii="Arial" w:hAnsi="Arial" w:cs="Arial"/>
                <w:b/>
                <w:bCs/>
                <w:noProof/>
              </w:rPr>
              <w:t>2.1 Research Design</w:t>
            </w:r>
            <w:r>
              <w:rPr>
                <w:noProof/>
                <w:webHidden/>
              </w:rPr>
              <w:tab/>
            </w:r>
            <w:r>
              <w:rPr>
                <w:noProof/>
                <w:webHidden/>
              </w:rPr>
              <w:fldChar w:fldCharType="begin"/>
            </w:r>
            <w:r>
              <w:rPr>
                <w:noProof/>
                <w:webHidden/>
              </w:rPr>
              <w:instrText xml:space="preserve"> PAGEREF _Toc152178721 \h </w:instrText>
            </w:r>
            <w:r>
              <w:rPr>
                <w:noProof/>
                <w:webHidden/>
              </w:rPr>
            </w:r>
            <w:r>
              <w:rPr>
                <w:noProof/>
                <w:webHidden/>
              </w:rPr>
              <w:fldChar w:fldCharType="separate"/>
            </w:r>
            <w:r>
              <w:rPr>
                <w:noProof/>
                <w:webHidden/>
              </w:rPr>
              <w:t>2</w:t>
            </w:r>
            <w:r>
              <w:rPr>
                <w:noProof/>
                <w:webHidden/>
              </w:rPr>
              <w:fldChar w:fldCharType="end"/>
            </w:r>
          </w:hyperlink>
        </w:p>
        <w:p w14:paraId="4859C4C2" w14:textId="6AA99B22" w:rsidR="00B814FB" w:rsidRDefault="00B814FB">
          <w:pPr>
            <w:pStyle w:val="TOC2"/>
            <w:tabs>
              <w:tab w:val="right" w:leader="dot" w:pos="9016"/>
            </w:tabs>
            <w:rPr>
              <w:rFonts w:eastAsiaTheme="minorEastAsia"/>
              <w:noProof/>
              <w:lang w:val="en-IN" w:eastAsia="en-IN"/>
            </w:rPr>
          </w:pPr>
          <w:hyperlink w:anchor="_Toc152178722" w:history="1">
            <w:r w:rsidRPr="00A71409">
              <w:rPr>
                <w:rStyle w:val="Hyperlink"/>
                <w:rFonts w:ascii="Arial" w:hAnsi="Arial" w:cs="Arial"/>
                <w:b/>
                <w:bCs/>
                <w:noProof/>
              </w:rPr>
              <w:t>2.2 Data Collection Methods</w:t>
            </w:r>
            <w:r>
              <w:rPr>
                <w:noProof/>
                <w:webHidden/>
              </w:rPr>
              <w:tab/>
            </w:r>
            <w:r>
              <w:rPr>
                <w:noProof/>
                <w:webHidden/>
              </w:rPr>
              <w:fldChar w:fldCharType="begin"/>
            </w:r>
            <w:r>
              <w:rPr>
                <w:noProof/>
                <w:webHidden/>
              </w:rPr>
              <w:instrText xml:space="preserve"> PAGEREF _Toc152178722 \h </w:instrText>
            </w:r>
            <w:r>
              <w:rPr>
                <w:noProof/>
                <w:webHidden/>
              </w:rPr>
            </w:r>
            <w:r>
              <w:rPr>
                <w:noProof/>
                <w:webHidden/>
              </w:rPr>
              <w:fldChar w:fldCharType="separate"/>
            </w:r>
            <w:r>
              <w:rPr>
                <w:noProof/>
                <w:webHidden/>
              </w:rPr>
              <w:t>2</w:t>
            </w:r>
            <w:r>
              <w:rPr>
                <w:noProof/>
                <w:webHidden/>
              </w:rPr>
              <w:fldChar w:fldCharType="end"/>
            </w:r>
          </w:hyperlink>
        </w:p>
        <w:p w14:paraId="36DE30F3" w14:textId="2DD46378" w:rsidR="00B814FB" w:rsidRDefault="00B814FB">
          <w:pPr>
            <w:pStyle w:val="TOC2"/>
            <w:tabs>
              <w:tab w:val="right" w:leader="dot" w:pos="9016"/>
            </w:tabs>
            <w:rPr>
              <w:rFonts w:eastAsiaTheme="minorEastAsia"/>
              <w:noProof/>
              <w:lang w:val="en-IN" w:eastAsia="en-IN"/>
            </w:rPr>
          </w:pPr>
          <w:hyperlink w:anchor="_Toc152178723" w:history="1">
            <w:r w:rsidRPr="00A71409">
              <w:rPr>
                <w:rStyle w:val="Hyperlink"/>
                <w:rFonts w:ascii="Arial" w:hAnsi="Arial" w:cs="Arial"/>
                <w:b/>
                <w:bCs/>
                <w:noProof/>
              </w:rPr>
              <w:t>2.3 Data Analysis Techniques</w:t>
            </w:r>
            <w:r>
              <w:rPr>
                <w:noProof/>
                <w:webHidden/>
              </w:rPr>
              <w:tab/>
            </w:r>
            <w:r>
              <w:rPr>
                <w:noProof/>
                <w:webHidden/>
              </w:rPr>
              <w:fldChar w:fldCharType="begin"/>
            </w:r>
            <w:r>
              <w:rPr>
                <w:noProof/>
                <w:webHidden/>
              </w:rPr>
              <w:instrText xml:space="preserve"> PAGEREF _Toc152178723 \h </w:instrText>
            </w:r>
            <w:r>
              <w:rPr>
                <w:noProof/>
                <w:webHidden/>
              </w:rPr>
            </w:r>
            <w:r>
              <w:rPr>
                <w:noProof/>
                <w:webHidden/>
              </w:rPr>
              <w:fldChar w:fldCharType="separate"/>
            </w:r>
            <w:r>
              <w:rPr>
                <w:noProof/>
                <w:webHidden/>
              </w:rPr>
              <w:t>3</w:t>
            </w:r>
            <w:r>
              <w:rPr>
                <w:noProof/>
                <w:webHidden/>
              </w:rPr>
              <w:fldChar w:fldCharType="end"/>
            </w:r>
          </w:hyperlink>
        </w:p>
        <w:p w14:paraId="0508B864" w14:textId="067FF084" w:rsidR="00B814FB" w:rsidRDefault="00B814FB">
          <w:pPr>
            <w:pStyle w:val="TOC2"/>
            <w:tabs>
              <w:tab w:val="right" w:leader="dot" w:pos="9016"/>
            </w:tabs>
            <w:rPr>
              <w:rFonts w:eastAsiaTheme="minorEastAsia"/>
              <w:noProof/>
              <w:lang w:val="en-IN" w:eastAsia="en-IN"/>
            </w:rPr>
          </w:pPr>
          <w:hyperlink w:anchor="_Toc152178724" w:history="1">
            <w:r w:rsidRPr="00A71409">
              <w:rPr>
                <w:rStyle w:val="Hyperlink"/>
                <w:rFonts w:ascii="Arial" w:hAnsi="Arial" w:cs="Arial"/>
                <w:b/>
                <w:bCs/>
                <w:noProof/>
              </w:rPr>
              <w:t>2.4 Sampling Strategy</w:t>
            </w:r>
            <w:r>
              <w:rPr>
                <w:noProof/>
                <w:webHidden/>
              </w:rPr>
              <w:tab/>
            </w:r>
            <w:r>
              <w:rPr>
                <w:noProof/>
                <w:webHidden/>
              </w:rPr>
              <w:fldChar w:fldCharType="begin"/>
            </w:r>
            <w:r>
              <w:rPr>
                <w:noProof/>
                <w:webHidden/>
              </w:rPr>
              <w:instrText xml:space="preserve"> PAGEREF _Toc152178724 \h </w:instrText>
            </w:r>
            <w:r>
              <w:rPr>
                <w:noProof/>
                <w:webHidden/>
              </w:rPr>
            </w:r>
            <w:r>
              <w:rPr>
                <w:noProof/>
                <w:webHidden/>
              </w:rPr>
              <w:fldChar w:fldCharType="separate"/>
            </w:r>
            <w:r>
              <w:rPr>
                <w:noProof/>
                <w:webHidden/>
              </w:rPr>
              <w:t>3</w:t>
            </w:r>
            <w:r>
              <w:rPr>
                <w:noProof/>
                <w:webHidden/>
              </w:rPr>
              <w:fldChar w:fldCharType="end"/>
            </w:r>
          </w:hyperlink>
        </w:p>
        <w:p w14:paraId="3A968D33" w14:textId="311802C3" w:rsidR="00B814FB" w:rsidRDefault="00B814FB">
          <w:pPr>
            <w:pStyle w:val="TOC2"/>
            <w:tabs>
              <w:tab w:val="right" w:leader="dot" w:pos="9016"/>
            </w:tabs>
            <w:rPr>
              <w:rFonts w:eastAsiaTheme="minorEastAsia"/>
              <w:noProof/>
              <w:lang w:val="en-IN" w:eastAsia="en-IN"/>
            </w:rPr>
          </w:pPr>
          <w:hyperlink w:anchor="_Toc152178725" w:history="1">
            <w:r w:rsidRPr="00A71409">
              <w:rPr>
                <w:rStyle w:val="Hyperlink"/>
                <w:rFonts w:ascii="Arial" w:hAnsi="Arial" w:cs="Arial"/>
                <w:b/>
                <w:bCs/>
                <w:noProof/>
              </w:rPr>
              <w:t>2.5 Ethical Considerations</w:t>
            </w:r>
            <w:r>
              <w:rPr>
                <w:noProof/>
                <w:webHidden/>
              </w:rPr>
              <w:tab/>
            </w:r>
            <w:r>
              <w:rPr>
                <w:noProof/>
                <w:webHidden/>
              </w:rPr>
              <w:fldChar w:fldCharType="begin"/>
            </w:r>
            <w:r>
              <w:rPr>
                <w:noProof/>
                <w:webHidden/>
              </w:rPr>
              <w:instrText xml:space="preserve"> PAGEREF _Toc152178725 \h </w:instrText>
            </w:r>
            <w:r>
              <w:rPr>
                <w:noProof/>
                <w:webHidden/>
              </w:rPr>
            </w:r>
            <w:r>
              <w:rPr>
                <w:noProof/>
                <w:webHidden/>
              </w:rPr>
              <w:fldChar w:fldCharType="separate"/>
            </w:r>
            <w:r>
              <w:rPr>
                <w:noProof/>
                <w:webHidden/>
              </w:rPr>
              <w:t>3</w:t>
            </w:r>
            <w:r>
              <w:rPr>
                <w:noProof/>
                <w:webHidden/>
              </w:rPr>
              <w:fldChar w:fldCharType="end"/>
            </w:r>
          </w:hyperlink>
        </w:p>
        <w:p w14:paraId="3CB3B232" w14:textId="0DEEE28B" w:rsidR="00B814FB" w:rsidRDefault="00B814FB">
          <w:pPr>
            <w:pStyle w:val="TOC1"/>
            <w:tabs>
              <w:tab w:val="right" w:leader="dot" w:pos="9016"/>
            </w:tabs>
            <w:rPr>
              <w:rFonts w:eastAsiaTheme="minorEastAsia"/>
              <w:noProof/>
              <w:lang w:val="en-IN" w:eastAsia="en-IN"/>
            </w:rPr>
          </w:pPr>
          <w:hyperlink w:anchor="_Toc152178726" w:history="1">
            <w:r w:rsidRPr="00A71409">
              <w:rPr>
                <w:rStyle w:val="Hyperlink"/>
                <w:rFonts w:ascii="Arial" w:hAnsi="Arial" w:cs="Arial"/>
                <w:b/>
                <w:bCs/>
                <w:noProof/>
              </w:rPr>
              <w:t>3. Aims and Objectives</w:t>
            </w:r>
            <w:r>
              <w:rPr>
                <w:noProof/>
                <w:webHidden/>
              </w:rPr>
              <w:tab/>
            </w:r>
            <w:r>
              <w:rPr>
                <w:noProof/>
                <w:webHidden/>
              </w:rPr>
              <w:fldChar w:fldCharType="begin"/>
            </w:r>
            <w:r>
              <w:rPr>
                <w:noProof/>
                <w:webHidden/>
              </w:rPr>
              <w:instrText xml:space="preserve"> PAGEREF _Toc152178726 \h </w:instrText>
            </w:r>
            <w:r>
              <w:rPr>
                <w:noProof/>
                <w:webHidden/>
              </w:rPr>
            </w:r>
            <w:r>
              <w:rPr>
                <w:noProof/>
                <w:webHidden/>
              </w:rPr>
              <w:fldChar w:fldCharType="separate"/>
            </w:r>
            <w:r>
              <w:rPr>
                <w:noProof/>
                <w:webHidden/>
              </w:rPr>
              <w:t>4</w:t>
            </w:r>
            <w:r>
              <w:rPr>
                <w:noProof/>
                <w:webHidden/>
              </w:rPr>
              <w:fldChar w:fldCharType="end"/>
            </w:r>
          </w:hyperlink>
        </w:p>
        <w:p w14:paraId="54C80BBE" w14:textId="1967FBBB" w:rsidR="00B814FB" w:rsidRDefault="00B814FB">
          <w:pPr>
            <w:pStyle w:val="TOC1"/>
            <w:tabs>
              <w:tab w:val="right" w:leader="dot" w:pos="9016"/>
            </w:tabs>
            <w:rPr>
              <w:rFonts w:eastAsiaTheme="minorEastAsia"/>
              <w:noProof/>
              <w:lang w:val="en-IN" w:eastAsia="en-IN"/>
            </w:rPr>
          </w:pPr>
          <w:hyperlink w:anchor="_Toc152178727" w:history="1">
            <w:r w:rsidRPr="00A71409">
              <w:rPr>
                <w:rStyle w:val="Hyperlink"/>
                <w:rFonts w:ascii="Arial" w:hAnsi="Arial" w:cs="Arial"/>
                <w:b/>
                <w:bCs/>
                <w:noProof/>
              </w:rPr>
              <w:t>4. Literature Review</w:t>
            </w:r>
            <w:r>
              <w:rPr>
                <w:noProof/>
                <w:webHidden/>
              </w:rPr>
              <w:tab/>
            </w:r>
            <w:r>
              <w:rPr>
                <w:noProof/>
                <w:webHidden/>
              </w:rPr>
              <w:fldChar w:fldCharType="begin"/>
            </w:r>
            <w:r>
              <w:rPr>
                <w:noProof/>
                <w:webHidden/>
              </w:rPr>
              <w:instrText xml:space="preserve"> PAGEREF _Toc152178727 \h </w:instrText>
            </w:r>
            <w:r>
              <w:rPr>
                <w:noProof/>
                <w:webHidden/>
              </w:rPr>
            </w:r>
            <w:r>
              <w:rPr>
                <w:noProof/>
                <w:webHidden/>
              </w:rPr>
              <w:fldChar w:fldCharType="separate"/>
            </w:r>
            <w:r>
              <w:rPr>
                <w:noProof/>
                <w:webHidden/>
              </w:rPr>
              <w:t>5</w:t>
            </w:r>
            <w:r>
              <w:rPr>
                <w:noProof/>
                <w:webHidden/>
              </w:rPr>
              <w:fldChar w:fldCharType="end"/>
            </w:r>
          </w:hyperlink>
        </w:p>
        <w:p w14:paraId="1977613A" w14:textId="02FAC9FE" w:rsidR="00B814FB" w:rsidRDefault="00B814FB">
          <w:pPr>
            <w:pStyle w:val="TOC2"/>
            <w:tabs>
              <w:tab w:val="right" w:leader="dot" w:pos="9016"/>
            </w:tabs>
            <w:rPr>
              <w:rFonts w:eastAsiaTheme="minorEastAsia"/>
              <w:noProof/>
              <w:lang w:val="en-IN" w:eastAsia="en-IN"/>
            </w:rPr>
          </w:pPr>
          <w:hyperlink w:anchor="_Toc152178728" w:history="1">
            <w:r w:rsidRPr="00A71409">
              <w:rPr>
                <w:rStyle w:val="Hyperlink"/>
                <w:rFonts w:ascii="Arial" w:hAnsi="Arial" w:cs="Arial"/>
                <w:b/>
                <w:bCs/>
                <w:noProof/>
              </w:rPr>
              <w:t>4.1 ESG and the ESG Environment</w:t>
            </w:r>
            <w:r>
              <w:rPr>
                <w:noProof/>
                <w:webHidden/>
              </w:rPr>
              <w:tab/>
            </w:r>
            <w:r>
              <w:rPr>
                <w:noProof/>
                <w:webHidden/>
              </w:rPr>
              <w:fldChar w:fldCharType="begin"/>
            </w:r>
            <w:r>
              <w:rPr>
                <w:noProof/>
                <w:webHidden/>
              </w:rPr>
              <w:instrText xml:space="preserve"> PAGEREF _Toc152178728 \h </w:instrText>
            </w:r>
            <w:r>
              <w:rPr>
                <w:noProof/>
                <w:webHidden/>
              </w:rPr>
            </w:r>
            <w:r>
              <w:rPr>
                <w:noProof/>
                <w:webHidden/>
              </w:rPr>
              <w:fldChar w:fldCharType="separate"/>
            </w:r>
            <w:r>
              <w:rPr>
                <w:noProof/>
                <w:webHidden/>
              </w:rPr>
              <w:t>5</w:t>
            </w:r>
            <w:r>
              <w:rPr>
                <w:noProof/>
                <w:webHidden/>
              </w:rPr>
              <w:fldChar w:fldCharType="end"/>
            </w:r>
          </w:hyperlink>
        </w:p>
        <w:p w14:paraId="13D9A273" w14:textId="52087716" w:rsidR="00B814FB" w:rsidRDefault="00B814FB">
          <w:pPr>
            <w:pStyle w:val="TOC2"/>
            <w:tabs>
              <w:tab w:val="right" w:leader="dot" w:pos="9016"/>
            </w:tabs>
            <w:rPr>
              <w:rFonts w:eastAsiaTheme="minorEastAsia"/>
              <w:noProof/>
              <w:lang w:val="en-IN" w:eastAsia="en-IN"/>
            </w:rPr>
          </w:pPr>
          <w:hyperlink w:anchor="_Toc152178729" w:history="1">
            <w:r w:rsidRPr="00A71409">
              <w:rPr>
                <w:rStyle w:val="Hyperlink"/>
                <w:rFonts w:ascii="Arial" w:hAnsi="Arial" w:cs="Arial"/>
                <w:b/>
                <w:bCs/>
                <w:noProof/>
              </w:rPr>
              <w:t>4.2 Student Internships</w:t>
            </w:r>
            <w:r>
              <w:rPr>
                <w:noProof/>
                <w:webHidden/>
              </w:rPr>
              <w:tab/>
            </w:r>
            <w:r>
              <w:rPr>
                <w:noProof/>
                <w:webHidden/>
              </w:rPr>
              <w:fldChar w:fldCharType="begin"/>
            </w:r>
            <w:r>
              <w:rPr>
                <w:noProof/>
                <w:webHidden/>
              </w:rPr>
              <w:instrText xml:space="preserve"> PAGEREF _Toc152178729 \h </w:instrText>
            </w:r>
            <w:r>
              <w:rPr>
                <w:noProof/>
                <w:webHidden/>
              </w:rPr>
            </w:r>
            <w:r>
              <w:rPr>
                <w:noProof/>
                <w:webHidden/>
              </w:rPr>
              <w:fldChar w:fldCharType="separate"/>
            </w:r>
            <w:r>
              <w:rPr>
                <w:noProof/>
                <w:webHidden/>
              </w:rPr>
              <w:t>6</w:t>
            </w:r>
            <w:r>
              <w:rPr>
                <w:noProof/>
                <w:webHidden/>
              </w:rPr>
              <w:fldChar w:fldCharType="end"/>
            </w:r>
          </w:hyperlink>
        </w:p>
        <w:p w14:paraId="1F39C7FB" w14:textId="1116AB3D" w:rsidR="00B814FB" w:rsidRDefault="00B814FB">
          <w:pPr>
            <w:pStyle w:val="TOC2"/>
            <w:tabs>
              <w:tab w:val="right" w:leader="dot" w:pos="9016"/>
            </w:tabs>
            <w:rPr>
              <w:rFonts w:eastAsiaTheme="minorEastAsia"/>
              <w:noProof/>
              <w:lang w:val="en-IN" w:eastAsia="en-IN"/>
            </w:rPr>
          </w:pPr>
          <w:hyperlink w:anchor="_Toc152178730" w:history="1">
            <w:r w:rsidRPr="00A71409">
              <w:rPr>
                <w:rStyle w:val="Hyperlink"/>
                <w:rFonts w:ascii="Arial" w:hAnsi="Arial" w:cs="Arial"/>
                <w:b/>
                <w:bCs/>
                <w:noProof/>
              </w:rPr>
              <w:t>4.3 ESG and Student Internships</w:t>
            </w:r>
            <w:r>
              <w:rPr>
                <w:noProof/>
                <w:webHidden/>
              </w:rPr>
              <w:tab/>
            </w:r>
            <w:r>
              <w:rPr>
                <w:noProof/>
                <w:webHidden/>
              </w:rPr>
              <w:fldChar w:fldCharType="begin"/>
            </w:r>
            <w:r>
              <w:rPr>
                <w:noProof/>
                <w:webHidden/>
              </w:rPr>
              <w:instrText xml:space="preserve"> PAGEREF _Toc152178730 \h </w:instrText>
            </w:r>
            <w:r>
              <w:rPr>
                <w:noProof/>
                <w:webHidden/>
              </w:rPr>
            </w:r>
            <w:r>
              <w:rPr>
                <w:noProof/>
                <w:webHidden/>
              </w:rPr>
              <w:fldChar w:fldCharType="separate"/>
            </w:r>
            <w:r>
              <w:rPr>
                <w:noProof/>
                <w:webHidden/>
              </w:rPr>
              <w:t>7</w:t>
            </w:r>
            <w:r>
              <w:rPr>
                <w:noProof/>
                <w:webHidden/>
              </w:rPr>
              <w:fldChar w:fldCharType="end"/>
            </w:r>
          </w:hyperlink>
        </w:p>
        <w:p w14:paraId="06B9B67D" w14:textId="7302636F" w:rsidR="00B814FB" w:rsidRDefault="00B814FB">
          <w:pPr>
            <w:pStyle w:val="TOC2"/>
            <w:tabs>
              <w:tab w:val="right" w:leader="dot" w:pos="9016"/>
            </w:tabs>
            <w:rPr>
              <w:rFonts w:eastAsiaTheme="minorEastAsia"/>
              <w:noProof/>
              <w:lang w:val="en-IN" w:eastAsia="en-IN"/>
            </w:rPr>
          </w:pPr>
          <w:hyperlink w:anchor="_Toc152178731" w:history="1">
            <w:r w:rsidRPr="00A71409">
              <w:rPr>
                <w:rStyle w:val="Hyperlink"/>
                <w:rFonts w:ascii="Arial" w:hAnsi="Arial" w:cs="Arial"/>
                <w:b/>
                <w:bCs/>
                <w:noProof/>
              </w:rPr>
              <w:t>4.4 ESG Metrics and Industry Competitiveness</w:t>
            </w:r>
            <w:r>
              <w:rPr>
                <w:noProof/>
                <w:webHidden/>
              </w:rPr>
              <w:tab/>
            </w:r>
            <w:r>
              <w:rPr>
                <w:noProof/>
                <w:webHidden/>
              </w:rPr>
              <w:fldChar w:fldCharType="begin"/>
            </w:r>
            <w:r>
              <w:rPr>
                <w:noProof/>
                <w:webHidden/>
              </w:rPr>
              <w:instrText xml:space="preserve"> PAGEREF _Toc152178731 \h </w:instrText>
            </w:r>
            <w:r>
              <w:rPr>
                <w:noProof/>
                <w:webHidden/>
              </w:rPr>
            </w:r>
            <w:r>
              <w:rPr>
                <w:noProof/>
                <w:webHidden/>
              </w:rPr>
              <w:fldChar w:fldCharType="separate"/>
            </w:r>
            <w:r>
              <w:rPr>
                <w:noProof/>
                <w:webHidden/>
              </w:rPr>
              <w:t>8</w:t>
            </w:r>
            <w:r>
              <w:rPr>
                <w:noProof/>
                <w:webHidden/>
              </w:rPr>
              <w:fldChar w:fldCharType="end"/>
            </w:r>
          </w:hyperlink>
        </w:p>
        <w:p w14:paraId="1D9A85C5" w14:textId="7F32D15A" w:rsidR="00B814FB" w:rsidRDefault="00B814FB">
          <w:pPr>
            <w:pStyle w:val="TOC1"/>
            <w:tabs>
              <w:tab w:val="right" w:leader="dot" w:pos="9016"/>
            </w:tabs>
            <w:rPr>
              <w:rFonts w:eastAsiaTheme="minorEastAsia"/>
              <w:noProof/>
              <w:lang w:val="en-IN" w:eastAsia="en-IN"/>
            </w:rPr>
          </w:pPr>
          <w:hyperlink w:anchor="_Toc152178732" w:history="1">
            <w:r w:rsidRPr="00A71409">
              <w:rPr>
                <w:rStyle w:val="Hyperlink"/>
                <w:rFonts w:ascii="Arial" w:hAnsi="Arial" w:cs="Arial"/>
                <w:b/>
                <w:bCs/>
                <w:noProof/>
              </w:rPr>
              <w:t>5. Limitations</w:t>
            </w:r>
            <w:r>
              <w:rPr>
                <w:noProof/>
                <w:webHidden/>
              </w:rPr>
              <w:tab/>
            </w:r>
            <w:r>
              <w:rPr>
                <w:noProof/>
                <w:webHidden/>
              </w:rPr>
              <w:fldChar w:fldCharType="begin"/>
            </w:r>
            <w:r>
              <w:rPr>
                <w:noProof/>
                <w:webHidden/>
              </w:rPr>
              <w:instrText xml:space="preserve"> PAGEREF _Toc152178732 \h </w:instrText>
            </w:r>
            <w:r>
              <w:rPr>
                <w:noProof/>
                <w:webHidden/>
              </w:rPr>
            </w:r>
            <w:r>
              <w:rPr>
                <w:noProof/>
                <w:webHidden/>
              </w:rPr>
              <w:fldChar w:fldCharType="separate"/>
            </w:r>
            <w:r>
              <w:rPr>
                <w:noProof/>
                <w:webHidden/>
              </w:rPr>
              <w:t>8</w:t>
            </w:r>
            <w:r>
              <w:rPr>
                <w:noProof/>
                <w:webHidden/>
              </w:rPr>
              <w:fldChar w:fldCharType="end"/>
            </w:r>
          </w:hyperlink>
        </w:p>
        <w:p w14:paraId="4C0A9E6C" w14:textId="6B5EC46B" w:rsidR="00B814FB" w:rsidRDefault="00B814FB">
          <w:pPr>
            <w:pStyle w:val="TOC1"/>
            <w:tabs>
              <w:tab w:val="right" w:leader="dot" w:pos="9016"/>
            </w:tabs>
            <w:rPr>
              <w:rFonts w:eastAsiaTheme="minorEastAsia"/>
              <w:noProof/>
              <w:lang w:val="en-IN" w:eastAsia="en-IN"/>
            </w:rPr>
          </w:pPr>
          <w:hyperlink w:anchor="_Toc152178733" w:history="1">
            <w:r w:rsidRPr="00A71409">
              <w:rPr>
                <w:rStyle w:val="Hyperlink"/>
                <w:rFonts w:ascii="Arial" w:hAnsi="Arial" w:cs="Arial"/>
                <w:b/>
                <w:bCs/>
                <w:noProof/>
              </w:rPr>
              <w:t>6. Time Frame</w:t>
            </w:r>
            <w:r>
              <w:rPr>
                <w:noProof/>
                <w:webHidden/>
              </w:rPr>
              <w:tab/>
            </w:r>
            <w:r>
              <w:rPr>
                <w:noProof/>
                <w:webHidden/>
              </w:rPr>
              <w:fldChar w:fldCharType="begin"/>
            </w:r>
            <w:r>
              <w:rPr>
                <w:noProof/>
                <w:webHidden/>
              </w:rPr>
              <w:instrText xml:space="preserve"> PAGEREF _Toc152178733 \h </w:instrText>
            </w:r>
            <w:r>
              <w:rPr>
                <w:noProof/>
                <w:webHidden/>
              </w:rPr>
            </w:r>
            <w:r>
              <w:rPr>
                <w:noProof/>
                <w:webHidden/>
              </w:rPr>
              <w:fldChar w:fldCharType="separate"/>
            </w:r>
            <w:r>
              <w:rPr>
                <w:noProof/>
                <w:webHidden/>
              </w:rPr>
              <w:t>9</w:t>
            </w:r>
            <w:r>
              <w:rPr>
                <w:noProof/>
                <w:webHidden/>
              </w:rPr>
              <w:fldChar w:fldCharType="end"/>
            </w:r>
          </w:hyperlink>
        </w:p>
        <w:p w14:paraId="4E6C767E" w14:textId="16C9471A" w:rsidR="00B814FB" w:rsidRDefault="00B814FB">
          <w:pPr>
            <w:pStyle w:val="TOC1"/>
            <w:tabs>
              <w:tab w:val="right" w:leader="dot" w:pos="9016"/>
            </w:tabs>
            <w:rPr>
              <w:rFonts w:eastAsiaTheme="minorEastAsia"/>
              <w:noProof/>
              <w:lang w:val="en-IN" w:eastAsia="en-IN"/>
            </w:rPr>
          </w:pPr>
          <w:hyperlink w:anchor="_Toc152178734" w:history="1">
            <w:r w:rsidRPr="00A71409">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_Toc152178734 \h </w:instrText>
            </w:r>
            <w:r>
              <w:rPr>
                <w:noProof/>
                <w:webHidden/>
              </w:rPr>
            </w:r>
            <w:r>
              <w:rPr>
                <w:noProof/>
                <w:webHidden/>
              </w:rPr>
              <w:fldChar w:fldCharType="separate"/>
            </w:r>
            <w:r>
              <w:rPr>
                <w:noProof/>
                <w:webHidden/>
              </w:rPr>
              <w:t>10</w:t>
            </w:r>
            <w:r>
              <w:rPr>
                <w:noProof/>
                <w:webHidden/>
              </w:rPr>
              <w:fldChar w:fldCharType="end"/>
            </w:r>
          </w:hyperlink>
        </w:p>
        <w:p w14:paraId="320A90C6" w14:textId="62C98553" w:rsidR="00B814FB" w:rsidRDefault="00B814FB">
          <w:pPr>
            <w:pStyle w:val="TOC1"/>
            <w:tabs>
              <w:tab w:val="right" w:leader="dot" w:pos="9016"/>
            </w:tabs>
            <w:rPr>
              <w:rFonts w:eastAsiaTheme="minorEastAsia"/>
              <w:noProof/>
              <w:lang w:val="en-IN" w:eastAsia="en-IN"/>
            </w:rPr>
          </w:pPr>
          <w:hyperlink w:anchor="_Toc152178735" w:history="1">
            <w:r w:rsidRPr="00A7140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_Toc152178735 \h </w:instrText>
            </w:r>
            <w:r>
              <w:rPr>
                <w:noProof/>
                <w:webHidden/>
              </w:rPr>
            </w:r>
            <w:r>
              <w:rPr>
                <w:noProof/>
                <w:webHidden/>
              </w:rPr>
              <w:fldChar w:fldCharType="separate"/>
            </w:r>
            <w:r>
              <w:rPr>
                <w:noProof/>
                <w:webHidden/>
              </w:rPr>
              <w:t>11</w:t>
            </w:r>
            <w:r>
              <w:rPr>
                <w:noProof/>
                <w:webHidden/>
              </w:rPr>
              <w:fldChar w:fldCharType="end"/>
            </w:r>
          </w:hyperlink>
        </w:p>
        <w:p w14:paraId="22FB8F13" w14:textId="5A60BCF7" w:rsidR="00BA08B9" w:rsidRDefault="00BA08B9">
          <w:r>
            <w:rPr>
              <w:b/>
              <w:bCs/>
              <w:noProof/>
            </w:rPr>
            <w:fldChar w:fldCharType="end"/>
          </w:r>
        </w:p>
      </w:sdtContent>
    </w:sdt>
    <w:p w14:paraId="59381E0F" w14:textId="77777777" w:rsidR="00BA08B9" w:rsidRDefault="00BA08B9" w:rsidP="00BA08B9">
      <w:pPr>
        <w:spacing w:line="360" w:lineRule="auto"/>
        <w:jc w:val="both"/>
        <w:rPr>
          <w:rFonts w:ascii="Arial" w:hAnsi="Arial" w:cs="Arial"/>
          <w:sz w:val="24"/>
          <w:szCs w:val="24"/>
        </w:rPr>
      </w:pPr>
    </w:p>
    <w:p w14:paraId="1C6E810A" w14:textId="77777777" w:rsidR="00BA08B9" w:rsidRDefault="00BA08B9" w:rsidP="00BA08B9">
      <w:pPr>
        <w:spacing w:line="360" w:lineRule="auto"/>
        <w:jc w:val="both"/>
        <w:rPr>
          <w:rFonts w:ascii="Arial" w:hAnsi="Arial" w:cs="Arial"/>
          <w:sz w:val="24"/>
          <w:szCs w:val="24"/>
        </w:rPr>
      </w:pPr>
    </w:p>
    <w:p w14:paraId="32F9A644" w14:textId="77777777" w:rsidR="00BA08B9" w:rsidRDefault="00BA08B9" w:rsidP="00BA08B9">
      <w:pPr>
        <w:spacing w:line="360" w:lineRule="auto"/>
        <w:jc w:val="both"/>
        <w:rPr>
          <w:rFonts w:ascii="Arial" w:hAnsi="Arial" w:cs="Arial"/>
          <w:sz w:val="24"/>
          <w:szCs w:val="24"/>
        </w:rPr>
      </w:pPr>
    </w:p>
    <w:p w14:paraId="769DE01A" w14:textId="77777777" w:rsidR="00BA08B9" w:rsidRDefault="00BA08B9" w:rsidP="00BA08B9">
      <w:pPr>
        <w:spacing w:line="360" w:lineRule="auto"/>
        <w:jc w:val="both"/>
        <w:rPr>
          <w:rFonts w:ascii="Arial" w:hAnsi="Arial" w:cs="Arial"/>
          <w:sz w:val="24"/>
          <w:szCs w:val="24"/>
        </w:rPr>
      </w:pPr>
    </w:p>
    <w:p w14:paraId="4D13840C" w14:textId="77777777" w:rsidR="00BA08B9" w:rsidRDefault="00BA08B9" w:rsidP="00BA08B9">
      <w:pPr>
        <w:spacing w:line="360" w:lineRule="auto"/>
        <w:jc w:val="both"/>
        <w:rPr>
          <w:rFonts w:ascii="Arial" w:hAnsi="Arial" w:cs="Arial"/>
          <w:sz w:val="24"/>
          <w:szCs w:val="24"/>
        </w:rPr>
      </w:pPr>
    </w:p>
    <w:p w14:paraId="560737F9" w14:textId="77777777" w:rsidR="00BA08B9" w:rsidRDefault="00BA08B9" w:rsidP="00BA08B9">
      <w:pPr>
        <w:spacing w:line="360" w:lineRule="auto"/>
        <w:jc w:val="both"/>
        <w:rPr>
          <w:rFonts w:ascii="Arial" w:hAnsi="Arial" w:cs="Arial"/>
          <w:sz w:val="24"/>
          <w:szCs w:val="24"/>
        </w:rPr>
      </w:pPr>
    </w:p>
    <w:p w14:paraId="06BB260D" w14:textId="77777777" w:rsidR="00BA08B9" w:rsidRDefault="00BA08B9" w:rsidP="00BA08B9">
      <w:pPr>
        <w:spacing w:line="360" w:lineRule="auto"/>
        <w:jc w:val="both"/>
        <w:rPr>
          <w:rFonts w:ascii="Arial" w:hAnsi="Arial" w:cs="Arial"/>
          <w:sz w:val="24"/>
          <w:szCs w:val="24"/>
        </w:rPr>
      </w:pPr>
    </w:p>
    <w:p w14:paraId="37BF404D" w14:textId="77777777" w:rsidR="00BA08B9" w:rsidRPr="00BA08B9" w:rsidRDefault="00BA08B9" w:rsidP="00BA08B9">
      <w:pPr>
        <w:spacing w:line="360" w:lineRule="auto"/>
        <w:jc w:val="both"/>
        <w:rPr>
          <w:rFonts w:ascii="Arial" w:hAnsi="Arial" w:cs="Arial"/>
          <w:sz w:val="24"/>
          <w:szCs w:val="24"/>
        </w:rPr>
      </w:pPr>
    </w:p>
    <w:p w14:paraId="2C9F24C0" w14:textId="73EFFEC6" w:rsidR="00D2316F" w:rsidRPr="00BA08B9" w:rsidRDefault="00D2316F" w:rsidP="00BA08B9">
      <w:pPr>
        <w:pStyle w:val="Heading1"/>
        <w:spacing w:line="360" w:lineRule="auto"/>
        <w:jc w:val="both"/>
        <w:rPr>
          <w:rFonts w:ascii="Arial" w:hAnsi="Arial" w:cs="Arial"/>
          <w:b/>
          <w:bCs/>
          <w:sz w:val="24"/>
          <w:szCs w:val="24"/>
        </w:rPr>
      </w:pPr>
      <w:bookmarkStart w:id="0" w:name="_Toc152178719"/>
      <w:r w:rsidRPr="00BA08B9">
        <w:rPr>
          <w:rFonts w:ascii="Arial" w:hAnsi="Arial" w:cs="Arial"/>
          <w:b/>
          <w:bCs/>
          <w:sz w:val="24"/>
          <w:szCs w:val="24"/>
        </w:rPr>
        <w:lastRenderedPageBreak/>
        <w:t>1. Introduction</w:t>
      </w:r>
      <w:bookmarkEnd w:id="0"/>
    </w:p>
    <w:p w14:paraId="4EA9EBC9" w14:textId="4A32DF66" w:rsidR="00D2316F" w:rsidRPr="00BA08B9" w:rsidRDefault="00D2316F" w:rsidP="00BA08B9">
      <w:pPr>
        <w:pStyle w:val="NormalWeb"/>
        <w:spacing w:line="360" w:lineRule="auto"/>
        <w:jc w:val="both"/>
        <w:rPr>
          <w:rFonts w:ascii="Arial" w:hAnsi="Arial" w:cs="Arial"/>
        </w:rPr>
      </w:pPr>
      <w:r w:rsidRPr="00BA08B9">
        <w:rPr>
          <w:rFonts w:ascii="Arial" w:hAnsi="Arial" w:cs="Arial"/>
        </w:rPr>
        <w:t>In the contemporary global business landscape, the adoption of Environmental, Social, and Governance (ESG) principles has evolved from a corporate choice to a strategic imperative. By probing how industry ESG commitment influences the nature and impact of student internships, this study aims to illuminate the nuanced ways in which sustainability-oriented experiential learning influences students' perceptions, decision-making, and career aspirations. This multifaceted analysis will delve into not only the practical implications of ESG integration within industries but also the profound educational and developmental dimensions for students entering the workforce. Furthermore, we will scrutinize the evolving role of educational institutions in fostering ESG education, assessing how they contribute to preparing students for internships in the sustainability and responsibility-focused corporate landscape.</w:t>
      </w:r>
    </w:p>
    <w:p w14:paraId="7051ACEB" w14:textId="00D822CA" w:rsidR="00D2316F" w:rsidRPr="00BA08B9" w:rsidRDefault="00D2316F" w:rsidP="00BA08B9">
      <w:pPr>
        <w:pStyle w:val="Heading1"/>
        <w:spacing w:line="360" w:lineRule="auto"/>
        <w:jc w:val="both"/>
        <w:rPr>
          <w:rFonts w:ascii="Arial" w:hAnsi="Arial" w:cs="Arial"/>
          <w:b/>
          <w:bCs/>
          <w:sz w:val="24"/>
          <w:szCs w:val="24"/>
        </w:rPr>
      </w:pPr>
      <w:bookmarkStart w:id="1" w:name="_Toc152178720"/>
      <w:r w:rsidRPr="00BA08B9">
        <w:rPr>
          <w:rFonts w:ascii="Arial" w:hAnsi="Arial" w:cs="Arial"/>
          <w:b/>
          <w:bCs/>
          <w:sz w:val="24"/>
          <w:szCs w:val="24"/>
        </w:rPr>
        <w:t>2. Methodology</w:t>
      </w:r>
      <w:bookmarkEnd w:id="1"/>
    </w:p>
    <w:p w14:paraId="0863A50B" w14:textId="40C62ADE" w:rsidR="00D2316F" w:rsidRPr="00BA08B9" w:rsidRDefault="00D2316F" w:rsidP="00BA08B9">
      <w:pPr>
        <w:pStyle w:val="Heading2"/>
        <w:spacing w:line="360" w:lineRule="auto"/>
        <w:jc w:val="both"/>
        <w:rPr>
          <w:rFonts w:ascii="Arial" w:hAnsi="Arial" w:cs="Arial"/>
          <w:b/>
          <w:bCs/>
          <w:sz w:val="24"/>
          <w:szCs w:val="24"/>
        </w:rPr>
      </w:pPr>
      <w:bookmarkStart w:id="2" w:name="_Toc152178721"/>
      <w:r w:rsidRPr="00BA08B9">
        <w:rPr>
          <w:rFonts w:ascii="Arial" w:hAnsi="Arial" w:cs="Arial"/>
          <w:b/>
          <w:bCs/>
          <w:sz w:val="24"/>
          <w:szCs w:val="24"/>
        </w:rPr>
        <w:t>2.1 Research Design</w:t>
      </w:r>
      <w:bookmarkEnd w:id="2"/>
    </w:p>
    <w:p w14:paraId="29489744" w14:textId="52411AA9" w:rsidR="00D2316F" w:rsidRPr="00BA08B9" w:rsidRDefault="00D2316F" w:rsidP="0078008F">
      <w:pPr>
        <w:pStyle w:val="NormalWeb"/>
        <w:spacing w:line="360" w:lineRule="auto"/>
        <w:jc w:val="both"/>
        <w:rPr>
          <w:rFonts w:ascii="Arial" w:hAnsi="Arial" w:cs="Arial"/>
        </w:rPr>
      </w:pPr>
      <w:r w:rsidRPr="00BA08B9">
        <w:rPr>
          <w:rFonts w:ascii="Arial" w:hAnsi="Arial" w:cs="Arial"/>
        </w:rPr>
        <w:t xml:space="preserve">This study will employ a </w:t>
      </w:r>
      <w:r w:rsidR="00CB1C75">
        <w:rPr>
          <w:rFonts w:ascii="Arial" w:hAnsi="Arial" w:cs="Arial"/>
        </w:rPr>
        <w:t>quantitative</w:t>
      </w:r>
      <w:r w:rsidRPr="00BA08B9">
        <w:rPr>
          <w:rFonts w:ascii="Arial" w:hAnsi="Arial" w:cs="Arial"/>
        </w:rPr>
        <w:t xml:space="preserve"> research design to comprehensively examine the nexus of ESG commitment, student internship opportunities, and industry competitiveness. These questions will be strategically designed to elicit rich and in-depth responses from participants. By allowing participants to express their thoughts, experiences, and perspectives in their own words, this component aims to capture nuanced insights into the complex relationships between ESG, student internships, and industry competitiveness.</w:t>
      </w:r>
      <w:r w:rsidR="00BA08B9">
        <w:rPr>
          <w:rFonts w:ascii="Arial" w:hAnsi="Arial" w:cs="Arial"/>
        </w:rPr>
        <w:t xml:space="preserve"> </w:t>
      </w:r>
    </w:p>
    <w:p w14:paraId="71BF393C" w14:textId="016A5B10" w:rsidR="00D2316F" w:rsidRPr="00BA08B9" w:rsidRDefault="00D2316F" w:rsidP="00BA08B9">
      <w:pPr>
        <w:pStyle w:val="Heading2"/>
        <w:spacing w:line="360" w:lineRule="auto"/>
        <w:jc w:val="both"/>
        <w:rPr>
          <w:rFonts w:ascii="Arial" w:hAnsi="Arial" w:cs="Arial"/>
          <w:b/>
          <w:bCs/>
          <w:sz w:val="24"/>
          <w:szCs w:val="24"/>
        </w:rPr>
      </w:pPr>
      <w:bookmarkStart w:id="3" w:name="_Toc152178722"/>
      <w:r w:rsidRPr="00BA08B9">
        <w:rPr>
          <w:rFonts w:ascii="Arial" w:hAnsi="Arial" w:cs="Arial"/>
          <w:b/>
          <w:bCs/>
          <w:sz w:val="24"/>
          <w:szCs w:val="24"/>
        </w:rPr>
        <w:t>2.2 Data Collection Methods</w:t>
      </w:r>
      <w:bookmarkEnd w:id="3"/>
    </w:p>
    <w:p w14:paraId="59DE93CD" w14:textId="41CC32B2" w:rsidR="00D2316F" w:rsidRPr="00BA08B9" w:rsidRDefault="00D2316F" w:rsidP="00BA08B9">
      <w:pPr>
        <w:pStyle w:val="NormalWeb"/>
        <w:spacing w:line="360" w:lineRule="auto"/>
        <w:jc w:val="both"/>
        <w:rPr>
          <w:rFonts w:ascii="Arial" w:hAnsi="Arial" w:cs="Arial"/>
        </w:rPr>
      </w:pPr>
      <w:r w:rsidRPr="00BA08B9">
        <w:rPr>
          <w:rFonts w:ascii="Arial" w:hAnsi="Arial" w:cs="Arial"/>
        </w:rPr>
        <w:t xml:space="preserve">Data for this study will be collected through Microsoft Forms surveys administered to students. The survey instrument, a pivotal component of the data collection process, has been meticulously designed to capture a wide range of insights related to ESG commitment, student internship experiences, and industry competitiveness. </w:t>
      </w:r>
    </w:p>
    <w:p w14:paraId="0686E890" w14:textId="66AF9986" w:rsidR="00D2316F" w:rsidRPr="00BA08B9" w:rsidRDefault="00D2316F" w:rsidP="00BA08B9">
      <w:pPr>
        <w:pStyle w:val="NormalWeb"/>
        <w:spacing w:line="360" w:lineRule="auto"/>
        <w:jc w:val="both"/>
        <w:rPr>
          <w:rFonts w:ascii="Arial" w:hAnsi="Arial" w:cs="Arial"/>
        </w:rPr>
      </w:pPr>
      <w:r w:rsidRPr="00BA08B9">
        <w:rPr>
          <w:rFonts w:ascii="Arial" w:hAnsi="Arial" w:cs="Arial"/>
        </w:rPr>
        <w:t xml:space="preserve">The survey instrument's design encompasses a dual approach to data collection. Qualitative open-ended questions have been strategically included to elicit rich and in-depth responses from the participants. By providing students with the opportunity to </w:t>
      </w:r>
      <w:r w:rsidRPr="00BA08B9">
        <w:rPr>
          <w:rFonts w:ascii="Arial" w:hAnsi="Arial" w:cs="Arial"/>
        </w:rPr>
        <w:lastRenderedPageBreak/>
        <w:t>express their thoughts, experiences, and perspectives in their own words, this qualitative component aims to capture nuanced insights into the complex relationships between ESG practices, student internships, and industry competitiveness.</w:t>
      </w:r>
    </w:p>
    <w:p w14:paraId="5003B360" w14:textId="28A2C05C" w:rsidR="00D2316F" w:rsidRPr="00BA08B9" w:rsidRDefault="00D2316F" w:rsidP="00BA08B9">
      <w:pPr>
        <w:pStyle w:val="Heading2"/>
        <w:spacing w:line="360" w:lineRule="auto"/>
        <w:jc w:val="both"/>
        <w:rPr>
          <w:rFonts w:ascii="Arial" w:hAnsi="Arial" w:cs="Arial"/>
          <w:b/>
          <w:bCs/>
          <w:sz w:val="24"/>
          <w:szCs w:val="24"/>
        </w:rPr>
      </w:pPr>
      <w:bookmarkStart w:id="4" w:name="_Toc152178723"/>
      <w:r w:rsidRPr="00BA08B9">
        <w:rPr>
          <w:rFonts w:ascii="Arial" w:hAnsi="Arial" w:cs="Arial"/>
          <w:b/>
          <w:bCs/>
          <w:sz w:val="24"/>
          <w:szCs w:val="24"/>
        </w:rPr>
        <w:t>2.3 Data Analysis Techniques</w:t>
      </w:r>
      <w:bookmarkEnd w:id="4"/>
    </w:p>
    <w:p w14:paraId="1CDC269D" w14:textId="682BBBE3" w:rsidR="000B52A5" w:rsidRPr="00BA08B9" w:rsidRDefault="0078008F" w:rsidP="00BA08B9">
      <w:pPr>
        <w:pStyle w:val="NormalWeb"/>
        <w:spacing w:line="360" w:lineRule="auto"/>
        <w:jc w:val="both"/>
        <w:rPr>
          <w:rFonts w:ascii="Arial" w:hAnsi="Arial" w:cs="Arial"/>
        </w:rPr>
      </w:pPr>
      <w:r>
        <w:rPr>
          <w:rFonts w:ascii="Arial" w:hAnsi="Arial" w:cs="Arial"/>
        </w:rPr>
        <w:t>T</w:t>
      </w:r>
      <w:r w:rsidR="000B52A5" w:rsidRPr="00BA08B9">
        <w:rPr>
          <w:rFonts w:ascii="Arial" w:hAnsi="Arial" w:cs="Arial"/>
        </w:rPr>
        <w:t>he quantitative data collected through multiple-choice questions (MCQs) will be subjected to a rigorous statistical analysis. The dataset will be meticulously examined using appropriate statistical tools, with software such as SPSS (Statistical Package for the Social Sciences) serving as the instrumental analytical platform. This step aims to uncover patterns, correlations, and statistical significance within the structured quantitative data. Descriptive statistics will provide a succinct summary of the quantitative data, including measures such as the mean, median, standard deviation, and frequency distributions. These summaries will deliver a clear and concise portrayal of the participants' perspectives on various aspects of ESG commitment, student internships, and industry competitiveness.</w:t>
      </w:r>
    </w:p>
    <w:p w14:paraId="39053807" w14:textId="2579BD05" w:rsidR="00D2316F" w:rsidRPr="00BA08B9" w:rsidRDefault="00D2316F" w:rsidP="00BA08B9">
      <w:pPr>
        <w:pStyle w:val="Heading2"/>
        <w:spacing w:line="360" w:lineRule="auto"/>
        <w:jc w:val="both"/>
        <w:rPr>
          <w:rFonts w:ascii="Arial" w:hAnsi="Arial" w:cs="Arial"/>
          <w:b/>
          <w:bCs/>
          <w:sz w:val="24"/>
          <w:szCs w:val="24"/>
        </w:rPr>
      </w:pPr>
      <w:bookmarkStart w:id="5" w:name="_Toc152178724"/>
      <w:r w:rsidRPr="00BA08B9">
        <w:rPr>
          <w:rFonts w:ascii="Arial" w:hAnsi="Arial" w:cs="Arial"/>
          <w:b/>
          <w:bCs/>
          <w:sz w:val="24"/>
          <w:szCs w:val="24"/>
        </w:rPr>
        <w:t>2.4 Sampling Strategy</w:t>
      </w:r>
      <w:bookmarkEnd w:id="5"/>
    </w:p>
    <w:p w14:paraId="30A38C7D" w14:textId="42C8E969" w:rsidR="000B52A5" w:rsidRPr="00BA08B9" w:rsidRDefault="000B52A5" w:rsidP="00BA08B9">
      <w:pPr>
        <w:pStyle w:val="NormalWeb"/>
        <w:spacing w:line="360" w:lineRule="auto"/>
        <w:jc w:val="both"/>
        <w:rPr>
          <w:rFonts w:ascii="Arial" w:hAnsi="Arial" w:cs="Arial"/>
        </w:rPr>
      </w:pPr>
      <w:r w:rsidRPr="00BA08B9">
        <w:rPr>
          <w:rFonts w:ascii="Arial" w:hAnsi="Arial" w:cs="Arial"/>
        </w:rPr>
        <w:t xml:space="preserve">Purposive sampling, also known as judgmental or selective sampling, will be the primary method used in this study. This sampling technique involves the deliberate and purposeful selection of participants who possess specific characteristics or experiences that are of </w:t>
      </w:r>
      <w:r w:rsidR="00CB1C75" w:rsidRPr="00BA08B9">
        <w:rPr>
          <w:rFonts w:ascii="Arial" w:hAnsi="Arial" w:cs="Arial"/>
        </w:rPr>
        <w:t>relevance</w:t>
      </w:r>
      <w:r w:rsidRPr="00BA08B9">
        <w:rPr>
          <w:rFonts w:ascii="Arial" w:hAnsi="Arial" w:cs="Arial"/>
        </w:rPr>
        <w:t xml:space="preserve"> to the research objectives. In this case, the research seeks to engage students who have completed internships in industries or organizations with a demonstrated commitment to ESG (Environmental, Social, and Governance) practices.</w:t>
      </w:r>
    </w:p>
    <w:p w14:paraId="18432954" w14:textId="2B2596D2" w:rsidR="00D2316F" w:rsidRPr="00BA08B9" w:rsidRDefault="00D2316F" w:rsidP="00BA08B9">
      <w:pPr>
        <w:pStyle w:val="Heading2"/>
        <w:spacing w:line="360" w:lineRule="auto"/>
        <w:jc w:val="both"/>
        <w:rPr>
          <w:rFonts w:ascii="Arial" w:hAnsi="Arial" w:cs="Arial"/>
          <w:b/>
          <w:bCs/>
          <w:sz w:val="24"/>
          <w:szCs w:val="24"/>
        </w:rPr>
      </w:pPr>
      <w:bookmarkStart w:id="6" w:name="_Toc152178725"/>
      <w:r w:rsidRPr="00BA08B9">
        <w:rPr>
          <w:rFonts w:ascii="Arial" w:hAnsi="Arial" w:cs="Arial"/>
          <w:b/>
          <w:bCs/>
          <w:sz w:val="24"/>
          <w:szCs w:val="24"/>
        </w:rPr>
        <w:t>2.5 Ethical Considerations</w:t>
      </w:r>
      <w:bookmarkEnd w:id="6"/>
    </w:p>
    <w:p w14:paraId="1E779332" w14:textId="77777777" w:rsidR="000B52A5" w:rsidRPr="00BA08B9" w:rsidRDefault="000B52A5" w:rsidP="00BA08B9">
      <w:pPr>
        <w:pStyle w:val="NormalWeb"/>
        <w:spacing w:line="360" w:lineRule="auto"/>
        <w:jc w:val="both"/>
        <w:rPr>
          <w:rFonts w:ascii="Arial" w:hAnsi="Arial" w:cs="Arial"/>
        </w:rPr>
      </w:pPr>
      <w:r w:rsidRPr="00BA08B9">
        <w:rPr>
          <w:rFonts w:ascii="Arial" w:hAnsi="Arial" w:cs="Arial"/>
        </w:rPr>
        <w:t xml:space="preserve">In compliance with established ethical guidelines, every participant in the study will be provided with clear, detailed information regarding the research. This information encompasses the study's purpose, the voluntary nature of participation, and the procedures involved. Informed consent will be diligently obtained from each participant, signifying their willingness to partake in the research. It will be explicitly </w:t>
      </w:r>
      <w:r w:rsidRPr="00BA08B9">
        <w:rPr>
          <w:rFonts w:ascii="Arial" w:hAnsi="Arial" w:cs="Arial"/>
        </w:rPr>
        <w:lastRenderedPageBreak/>
        <w:t>conveyed that their decision to participate or withdraw from the study carries no adverse repercussions, and their data will be held in the strictest confidence.</w:t>
      </w:r>
    </w:p>
    <w:p w14:paraId="51F6B411" w14:textId="77777777" w:rsidR="000B52A5" w:rsidRPr="00BA08B9" w:rsidRDefault="000B52A5" w:rsidP="00BA08B9">
      <w:pPr>
        <w:pStyle w:val="NormalWeb"/>
        <w:spacing w:line="360" w:lineRule="auto"/>
        <w:jc w:val="both"/>
        <w:rPr>
          <w:rFonts w:ascii="Arial" w:hAnsi="Arial" w:cs="Arial"/>
        </w:rPr>
      </w:pPr>
      <w:r w:rsidRPr="00BA08B9">
        <w:rPr>
          <w:rFonts w:ascii="Arial" w:hAnsi="Arial" w:cs="Arial"/>
        </w:rPr>
        <w:t>The privacy and anonymity of participants will be rigorously protected throughout the research process. To safeguard confidentiality, any potentially sensitive data, including demographic information and responses to open-ended questions, will be carefully anonymized and kept confidential. This anonymity is crucial in ensuring that participants feel at ease sharing candid and honest responses.</w:t>
      </w:r>
    </w:p>
    <w:p w14:paraId="63954B9D" w14:textId="6A60EB8E" w:rsidR="00D2316F" w:rsidRPr="00BA08B9" w:rsidRDefault="00D2316F" w:rsidP="00BA08B9">
      <w:pPr>
        <w:pStyle w:val="Heading1"/>
        <w:spacing w:line="360" w:lineRule="auto"/>
        <w:jc w:val="both"/>
        <w:rPr>
          <w:rFonts w:ascii="Arial" w:hAnsi="Arial" w:cs="Arial"/>
          <w:b/>
          <w:bCs/>
          <w:sz w:val="24"/>
          <w:szCs w:val="24"/>
        </w:rPr>
      </w:pPr>
      <w:bookmarkStart w:id="7" w:name="_Toc152178726"/>
      <w:r w:rsidRPr="00BA08B9">
        <w:rPr>
          <w:rFonts w:ascii="Arial" w:hAnsi="Arial" w:cs="Arial"/>
          <w:b/>
          <w:bCs/>
          <w:sz w:val="24"/>
          <w:szCs w:val="24"/>
        </w:rPr>
        <w:t>3. Aims and Objectives</w:t>
      </w:r>
      <w:bookmarkEnd w:id="7"/>
    </w:p>
    <w:p w14:paraId="4D0625A0" w14:textId="62DC54FE" w:rsidR="000B52A5" w:rsidRPr="00BA08B9" w:rsidRDefault="000B52A5" w:rsidP="00BA08B9">
      <w:pPr>
        <w:spacing w:line="360" w:lineRule="auto"/>
        <w:jc w:val="both"/>
        <w:rPr>
          <w:rFonts w:ascii="Arial" w:hAnsi="Arial" w:cs="Arial"/>
          <w:b/>
          <w:bCs/>
          <w:sz w:val="24"/>
          <w:szCs w:val="24"/>
        </w:rPr>
      </w:pPr>
      <w:r w:rsidRPr="00BA08B9">
        <w:rPr>
          <w:rFonts w:ascii="Arial" w:hAnsi="Arial" w:cs="Arial"/>
          <w:b/>
          <w:bCs/>
          <w:sz w:val="24"/>
          <w:szCs w:val="24"/>
        </w:rPr>
        <w:t>Research Questions</w:t>
      </w:r>
    </w:p>
    <w:p w14:paraId="4EC7D83D" w14:textId="3A93C053" w:rsidR="000B52A5" w:rsidRPr="000B52A5" w:rsidRDefault="000B52A5" w:rsidP="00BA08B9">
      <w:pPr>
        <w:numPr>
          <w:ilvl w:val="0"/>
          <w:numId w:val="3"/>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0B52A5">
        <w:rPr>
          <w:rFonts w:ascii="Arial" w:eastAsia="Times New Roman" w:hAnsi="Arial" w:cs="Arial"/>
          <w:kern w:val="0"/>
          <w:sz w:val="24"/>
          <w:szCs w:val="24"/>
          <w:lang w:val="en-IN" w:eastAsia="en-IN"/>
          <w14:ligatures w14:val="none"/>
        </w:rPr>
        <w:t>How does a company's ESG commitment influence its decision to offer student internship opportunities?</w:t>
      </w:r>
    </w:p>
    <w:p w14:paraId="63BF6EA8" w14:textId="0439E6A2" w:rsidR="000B52A5" w:rsidRPr="000B52A5" w:rsidRDefault="000B52A5" w:rsidP="00BA08B9">
      <w:pPr>
        <w:numPr>
          <w:ilvl w:val="0"/>
          <w:numId w:val="3"/>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0B52A5">
        <w:rPr>
          <w:rFonts w:ascii="Arial" w:eastAsia="Times New Roman" w:hAnsi="Arial" w:cs="Arial"/>
          <w:kern w:val="0"/>
          <w:sz w:val="24"/>
          <w:szCs w:val="24"/>
          <w:lang w:val="en-IN" w:eastAsia="en-IN"/>
          <w14:ligatures w14:val="none"/>
        </w:rPr>
        <w:t>What are the key success factors and challenges of ESG-oriented student internship programs and their impact on industry competitiveness?</w:t>
      </w:r>
    </w:p>
    <w:p w14:paraId="4204FC59" w14:textId="20AB1BE3" w:rsidR="000B52A5" w:rsidRPr="000B52A5" w:rsidRDefault="000B52A5" w:rsidP="00BA08B9">
      <w:pPr>
        <w:numPr>
          <w:ilvl w:val="0"/>
          <w:numId w:val="3"/>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0B52A5">
        <w:rPr>
          <w:rFonts w:ascii="Arial" w:eastAsia="Times New Roman" w:hAnsi="Arial" w:cs="Arial"/>
          <w:kern w:val="0"/>
          <w:sz w:val="24"/>
          <w:szCs w:val="24"/>
          <w:lang w:val="en-IN" w:eastAsia="en-IN"/>
          <w14:ligatures w14:val="none"/>
        </w:rPr>
        <w:t>How do students perceive ESG-oriented internships and how can their feedback inform industry strategies for enhancing competitiveness?</w:t>
      </w:r>
    </w:p>
    <w:p w14:paraId="5451A997" w14:textId="78C3E314" w:rsidR="000B52A5" w:rsidRPr="00BA08B9" w:rsidRDefault="000B52A5" w:rsidP="00BA08B9">
      <w:pPr>
        <w:numPr>
          <w:ilvl w:val="0"/>
          <w:numId w:val="3"/>
        </w:numPr>
        <w:spacing w:before="100" w:beforeAutospacing="1" w:after="100" w:afterAutospacing="1" w:line="360" w:lineRule="auto"/>
        <w:jc w:val="both"/>
        <w:rPr>
          <w:rFonts w:ascii="Arial" w:eastAsia="Times New Roman" w:hAnsi="Arial" w:cs="Arial"/>
          <w:kern w:val="0"/>
          <w:sz w:val="24"/>
          <w:szCs w:val="24"/>
          <w:lang w:val="en-IN" w:eastAsia="en-IN"/>
          <w14:ligatures w14:val="none"/>
        </w:rPr>
      </w:pPr>
      <w:r w:rsidRPr="000B52A5">
        <w:rPr>
          <w:rFonts w:ascii="Arial" w:eastAsia="Times New Roman" w:hAnsi="Arial" w:cs="Arial"/>
          <w:kern w:val="0"/>
          <w:sz w:val="24"/>
          <w:szCs w:val="24"/>
          <w:lang w:val="en-IN" w:eastAsia="en-IN"/>
          <w14:ligatures w14:val="none"/>
        </w:rPr>
        <w:t>Can ESG-oriented internship programs stimulate innovation within industries and influence long-term market competitiveness?</w:t>
      </w:r>
    </w:p>
    <w:p w14:paraId="1C4F5560" w14:textId="192980DF" w:rsidR="000B52A5" w:rsidRPr="00BA08B9" w:rsidRDefault="000B52A5" w:rsidP="00BA08B9">
      <w:pPr>
        <w:spacing w:before="100" w:beforeAutospacing="1" w:after="100" w:afterAutospacing="1" w:line="360" w:lineRule="auto"/>
        <w:jc w:val="both"/>
        <w:rPr>
          <w:rFonts w:ascii="Arial" w:eastAsia="Times New Roman" w:hAnsi="Arial" w:cs="Arial"/>
          <w:b/>
          <w:bCs/>
          <w:kern w:val="0"/>
          <w:sz w:val="24"/>
          <w:szCs w:val="24"/>
          <w:lang w:val="en-IN" w:eastAsia="en-IN"/>
          <w14:ligatures w14:val="none"/>
        </w:rPr>
      </w:pPr>
      <w:r w:rsidRPr="00BA08B9">
        <w:rPr>
          <w:rFonts w:ascii="Arial" w:eastAsia="Times New Roman" w:hAnsi="Arial" w:cs="Arial"/>
          <w:b/>
          <w:bCs/>
          <w:kern w:val="0"/>
          <w:sz w:val="24"/>
          <w:szCs w:val="24"/>
          <w:lang w:val="en-IN" w:eastAsia="en-IN"/>
          <w14:ligatures w14:val="none"/>
        </w:rPr>
        <w:t>Research Objectives</w:t>
      </w:r>
    </w:p>
    <w:p w14:paraId="4A81B9AF" w14:textId="77777777" w:rsidR="000B52A5" w:rsidRPr="00BA08B9" w:rsidRDefault="000B52A5" w:rsidP="00BA08B9">
      <w:pPr>
        <w:pStyle w:val="NormalWeb"/>
        <w:numPr>
          <w:ilvl w:val="0"/>
          <w:numId w:val="5"/>
        </w:numPr>
        <w:spacing w:line="360" w:lineRule="auto"/>
        <w:jc w:val="both"/>
        <w:rPr>
          <w:rFonts w:ascii="Arial" w:hAnsi="Arial" w:cs="Arial"/>
        </w:rPr>
      </w:pPr>
      <w:r w:rsidRPr="00BA08B9">
        <w:rPr>
          <w:rFonts w:ascii="Arial" w:hAnsi="Arial" w:cs="Arial"/>
        </w:rPr>
        <w:t>To assess the relationship between a company's level of ESG commitment and its propensity to offer student internship opportunities, identifying patterns and motivations behind this decision.</w:t>
      </w:r>
    </w:p>
    <w:p w14:paraId="6DBD463D" w14:textId="77777777" w:rsidR="000B52A5" w:rsidRPr="00BA08B9" w:rsidRDefault="000B52A5" w:rsidP="00BA08B9">
      <w:pPr>
        <w:pStyle w:val="NormalWeb"/>
        <w:numPr>
          <w:ilvl w:val="0"/>
          <w:numId w:val="5"/>
        </w:numPr>
        <w:spacing w:line="360" w:lineRule="auto"/>
        <w:jc w:val="both"/>
        <w:rPr>
          <w:rFonts w:ascii="Arial" w:hAnsi="Arial" w:cs="Arial"/>
        </w:rPr>
      </w:pPr>
      <w:r w:rsidRPr="00BA08B9">
        <w:rPr>
          <w:rFonts w:ascii="Arial" w:hAnsi="Arial" w:cs="Arial"/>
        </w:rPr>
        <w:t xml:space="preserve">To </w:t>
      </w:r>
      <w:proofErr w:type="spellStart"/>
      <w:r w:rsidRPr="00BA08B9">
        <w:rPr>
          <w:rFonts w:ascii="Arial" w:hAnsi="Arial" w:cs="Arial"/>
        </w:rPr>
        <w:t>analyze</w:t>
      </w:r>
      <w:proofErr w:type="spellEnd"/>
      <w:r w:rsidRPr="00BA08B9">
        <w:rPr>
          <w:rFonts w:ascii="Arial" w:hAnsi="Arial" w:cs="Arial"/>
        </w:rPr>
        <w:t xml:space="preserve"> the key success factors and challenges associated with ESG-oriented student internship programs and their effects on industry competitiveness, providing actionable insights for firms aiming to develop or enhance such programs.</w:t>
      </w:r>
    </w:p>
    <w:p w14:paraId="113C7FEF" w14:textId="77777777" w:rsidR="000B52A5" w:rsidRPr="00BA08B9" w:rsidRDefault="000B52A5" w:rsidP="00BA08B9">
      <w:pPr>
        <w:pStyle w:val="NormalWeb"/>
        <w:numPr>
          <w:ilvl w:val="0"/>
          <w:numId w:val="5"/>
        </w:numPr>
        <w:spacing w:line="360" w:lineRule="auto"/>
        <w:jc w:val="both"/>
        <w:rPr>
          <w:rFonts w:ascii="Arial" w:hAnsi="Arial" w:cs="Arial"/>
        </w:rPr>
      </w:pPr>
      <w:r w:rsidRPr="00BA08B9">
        <w:rPr>
          <w:rFonts w:ascii="Arial" w:hAnsi="Arial" w:cs="Arial"/>
        </w:rPr>
        <w:t>To examine the perspectives of students participating in ESG-oriented internship experiences, with a focus on understanding the impact on their skill development, ethical alignment, and long-term career aspirations, to inform strategies for attracting and retaining top talent within industries.</w:t>
      </w:r>
    </w:p>
    <w:p w14:paraId="07D2E03A" w14:textId="3E4B9A6A" w:rsidR="000B52A5" w:rsidRPr="00BA08B9" w:rsidRDefault="000B52A5" w:rsidP="00BA08B9">
      <w:pPr>
        <w:pStyle w:val="NormalWeb"/>
        <w:numPr>
          <w:ilvl w:val="0"/>
          <w:numId w:val="5"/>
        </w:numPr>
        <w:spacing w:line="360" w:lineRule="auto"/>
        <w:jc w:val="both"/>
        <w:rPr>
          <w:rFonts w:ascii="Arial" w:hAnsi="Arial" w:cs="Arial"/>
        </w:rPr>
      </w:pPr>
      <w:r w:rsidRPr="00BA08B9">
        <w:rPr>
          <w:rFonts w:ascii="Arial" w:hAnsi="Arial" w:cs="Arial"/>
        </w:rPr>
        <w:lastRenderedPageBreak/>
        <w:t>To investigate the potential of ESG-oriented internship programs as catalysts for innovation within industries, and their implications for enhancing long-term market competitiveness and sustainability.</w:t>
      </w:r>
    </w:p>
    <w:p w14:paraId="7182A68A" w14:textId="53AF97E0" w:rsidR="00D2316F" w:rsidRPr="00BA08B9" w:rsidRDefault="00D2316F" w:rsidP="00BA08B9">
      <w:pPr>
        <w:pStyle w:val="Heading1"/>
        <w:spacing w:line="360" w:lineRule="auto"/>
        <w:jc w:val="both"/>
        <w:rPr>
          <w:rFonts w:ascii="Arial" w:hAnsi="Arial" w:cs="Arial"/>
          <w:b/>
          <w:bCs/>
          <w:sz w:val="24"/>
          <w:szCs w:val="24"/>
        </w:rPr>
      </w:pPr>
      <w:bookmarkStart w:id="8" w:name="_Toc152178727"/>
      <w:r w:rsidRPr="00BA08B9">
        <w:rPr>
          <w:rFonts w:ascii="Arial" w:hAnsi="Arial" w:cs="Arial"/>
          <w:b/>
          <w:bCs/>
          <w:sz w:val="24"/>
          <w:szCs w:val="24"/>
        </w:rPr>
        <w:t>4. Literature Review</w:t>
      </w:r>
      <w:bookmarkEnd w:id="8"/>
    </w:p>
    <w:p w14:paraId="2B0384E8" w14:textId="4279CA40" w:rsidR="0078008F" w:rsidRPr="00F8388D" w:rsidRDefault="0078008F" w:rsidP="00F8388D">
      <w:pPr>
        <w:pStyle w:val="Heading2"/>
        <w:spacing w:line="360" w:lineRule="auto"/>
        <w:jc w:val="both"/>
        <w:rPr>
          <w:rFonts w:ascii="Arial" w:hAnsi="Arial" w:cs="Arial"/>
          <w:b/>
          <w:bCs/>
          <w:sz w:val="24"/>
          <w:szCs w:val="24"/>
        </w:rPr>
      </w:pPr>
      <w:bookmarkStart w:id="9" w:name="_Toc152178728"/>
      <w:r w:rsidRPr="00F8388D">
        <w:rPr>
          <w:rFonts w:ascii="Arial" w:hAnsi="Arial" w:cs="Arial"/>
          <w:b/>
          <w:bCs/>
          <w:sz w:val="24"/>
          <w:szCs w:val="24"/>
        </w:rPr>
        <w:t>4.1 ESG and the ESG Environment</w:t>
      </w:r>
      <w:bookmarkEnd w:id="9"/>
    </w:p>
    <w:p w14:paraId="71BEA436" w14:textId="3324B0D2" w:rsidR="00F8388D" w:rsidRPr="00F8388D" w:rsidRDefault="00F8388D" w:rsidP="00F8388D">
      <w:pPr>
        <w:pStyle w:val="NormalWeb"/>
        <w:spacing w:line="360" w:lineRule="auto"/>
        <w:jc w:val="both"/>
        <w:rPr>
          <w:rFonts w:ascii="Arial" w:hAnsi="Arial" w:cs="Arial"/>
        </w:rPr>
      </w:pPr>
      <w:r w:rsidRPr="00F8388D">
        <w:rPr>
          <w:rFonts w:ascii="Arial" w:hAnsi="Arial" w:cs="Arial"/>
        </w:rPr>
        <w:t>The incorporation of Environmental, Social, and Governance (ESG) factors has become standard procedure when assessing the ethical and sustainable implications of business operations and investments. ESG comprises an extensive range of elements that are considered by investors and stakeholders in their evaluation of a firm's ethical standing and long-term sustainability. A comprehensive framework for assessing a company's societal and environmental impact is afforded by the interaction of these three dimensions—environmental, social, and governance. The environmental factors encompassed in the ESG framework consist of an organization's resource management practises, ecological impact assessment, and dedication to addressing climate change. The scrutiny of investors regarding a company's endeavours to mitigate environmental damage, adopt sustainable practises, and reduce carbon emissions is on the rise. This may involve adopting renewable energy sources, implementing pollution reduction strategies, and complying with environmental regulations, among other initiatives. The correlation between financial performance and environmental performance is substantiated by a study conducted by Velte (2017), which highlights the significance of environmental factors within the ESG framework.</w:t>
      </w:r>
    </w:p>
    <w:p w14:paraId="20F74B01" w14:textId="13BA452C" w:rsidR="0078008F" w:rsidRPr="00F8388D" w:rsidRDefault="00F8388D" w:rsidP="00F8388D">
      <w:pPr>
        <w:pStyle w:val="NormalWeb"/>
        <w:spacing w:line="360" w:lineRule="auto"/>
        <w:jc w:val="both"/>
        <w:rPr>
          <w:rFonts w:ascii="Arial" w:hAnsi="Arial" w:cs="Arial"/>
        </w:rPr>
      </w:pPr>
      <w:r w:rsidRPr="00F8388D">
        <w:rPr>
          <w:rFonts w:ascii="Arial" w:hAnsi="Arial" w:cs="Arial"/>
        </w:rPr>
        <w:t xml:space="preserve">The social aspects of ESG pertain to the associations an organisation has with its staff, local communities, and the wider society at large. This entails the assessment of labour practises, diversity and inclusion initiatives, community involvement, and the overarching implications for human rights. Companies that actively contribute to social development, cultivate a positive workplace culture, and ensure fair labour practises are of interest to stakeholders. Research findings, including the one presented by Di Miceli Da Silveira (2019), indicate that there exists a positive association between employee satisfaction and corporate performance. This underscores the importance of social factors as viewed through the ESG paradigm. Conversely, governance </w:t>
      </w:r>
      <w:r w:rsidRPr="00F8388D">
        <w:rPr>
          <w:rFonts w:ascii="Arial" w:hAnsi="Arial" w:cs="Arial"/>
        </w:rPr>
        <w:lastRenderedPageBreak/>
        <w:t xml:space="preserve">considerations encompass an evaluation of the internal frameworks, managerial methodologies, and commitment to ethical principles of an organisation. Governance factors comprise the independence and composition of the board, executive compensation, financial reporting transparency, and the organization's overarching dedication to ethical business conduct. Strong governance structures are sought after by investors </w:t>
      </w:r>
      <w:proofErr w:type="gramStart"/>
      <w:r w:rsidRPr="00F8388D">
        <w:rPr>
          <w:rFonts w:ascii="Arial" w:hAnsi="Arial" w:cs="Arial"/>
        </w:rPr>
        <w:t>in order to</w:t>
      </w:r>
      <w:proofErr w:type="gramEnd"/>
      <w:r w:rsidRPr="00F8388D">
        <w:rPr>
          <w:rFonts w:ascii="Arial" w:hAnsi="Arial" w:cs="Arial"/>
        </w:rPr>
        <w:t xml:space="preserve"> reduce the likelihood of fraud, corruption, and unethical conduct. A positive correlation between financial performance and sound governance practises has been found in research by </w:t>
      </w:r>
      <w:r w:rsidR="009011DE" w:rsidRPr="009011DE">
        <w:rPr>
          <w:rFonts w:ascii="Arial" w:hAnsi="Arial" w:cs="Arial"/>
        </w:rPr>
        <w:t>Johnson, Mans-</w:t>
      </w:r>
      <w:proofErr w:type="gramStart"/>
      <w:r w:rsidR="009011DE" w:rsidRPr="009011DE">
        <w:rPr>
          <w:rFonts w:ascii="Arial" w:hAnsi="Arial" w:cs="Arial"/>
        </w:rPr>
        <w:t>Kemp</w:t>
      </w:r>
      <w:proofErr w:type="gramEnd"/>
      <w:r w:rsidR="009011DE" w:rsidRPr="009011DE">
        <w:rPr>
          <w:rFonts w:ascii="Arial" w:hAnsi="Arial" w:cs="Arial"/>
        </w:rPr>
        <w:t xml:space="preserve"> and Erasmus (2019)</w:t>
      </w:r>
      <w:r w:rsidRPr="00F8388D">
        <w:rPr>
          <w:rFonts w:ascii="Arial" w:hAnsi="Arial" w:cs="Arial"/>
        </w:rPr>
        <w:t>, which bolsters the significance of governance within the ESG framework</w:t>
      </w:r>
      <w:r w:rsidR="0078008F" w:rsidRPr="00F8388D">
        <w:rPr>
          <w:rFonts w:ascii="Arial" w:hAnsi="Arial" w:cs="Arial"/>
        </w:rPr>
        <w:t>.</w:t>
      </w:r>
    </w:p>
    <w:p w14:paraId="70BB6A8C" w14:textId="34AC3D62" w:rsidR="00E26CBE" w:rsidRPr="00F8388D" w:rsidRDefault="00E26CBE" w:rsidP="00F8388D">
      <w:pPr>
        <w:pStyle w:val="Heading2"/>
        <w:spacing w:line="360" w:lineRule="auto"/>
        <w:jc w:val="both"/>
        <w:rPr>
          <w:rFonts w:ascii="Arial" w:hAnsi="Arial" w:cs="Arial"/>
          <w:b/>
          <w:bCs/>
          <w:sz w:val="24"/>
          <w:szCs w:val="24"/>
        </w:rPr>
      </w:pPr>
      <w:bookmarkStart w:id="10" w:name="_Toc152178729"/>
      <w:r w:rsidRPr="00F8388D">
        <w:rPr>
          <w:rFonts w:ascii="Arial" w:hAnsi="Arial" w:cs="Arial"/>
          <w:b/>
          <w:bCs/>
          <w:sz w:val="24"/>
          <w:szCs w:val="24"/>
        </w:rPr>
        <w:t>4.2 Student Internships</w:t>
      </w:r>
      <w:bookmarkEnd w:id="10"/>
    </w:p>
    <w:p w14:paraId="4034E08E" w14:textId="5D96540E" w:rsidR="00F8388D" w:rsidRPr="00F8388D" w:rsidRDefault="00F8388D" w:rsidP="00F8388D">
      <w:pPr>
        <w:pStyle w:val="NormalWeb"/>
        <w:spacing w:line="360" w:lineRule="auto"/>
        <w:jc w:val="both"/>
        <w:rPr>
          <w:rFonts w:ascii="Arial" w:hAnsi="Arial" w:cs="Arial"/>
        </w:rPr>
      </w:pPr>
      <w:r w:rsidRPr="00F8388D">
        <w:rPr>
          <w:rFonts w:ascii="Arial" w:hAnsi="Arial" w:cs="Arial"/>
        </w:rPr>
        <w:t xml:space="preserve">Internships for students function as a critical link between theoretical understanding and practical implementation, exerting a profound influence on the academic and vocational growth of participants. As an illustration, a comprehensive investigation was undertaken by </w:t>
      </w:r>
      <w:r w:rsidR="009011DE" w:rsidRPr="009011DE">
        <w:rPr>
          <w:rFonts w:ascii="Arial" w:hAnsi="Arial" w:cs="Arial"/>
        </w:rPr>
        <w:t xml:space="preserve">Binder et al. (2015) </w:t>
      </w:r>
      <w:r w:rsidRPr="00F8388D">
        <w:rPr>
          <w:rFonts w:ascii="Arial" w:hAnsi="Arial" w:cs="Arial"/>
        </w:rPr>
        <w:t>to analyse the impact of internship experiences on the academic achievements of students. The researchers utilised a mixed-methods strategy to collect data from a heterogeneous sample of students spanning various academic disciplines. The results of the study indicated that internship participation was positively correlated with improved academic performance. The interns exhibited enhanced comprehension of theoretical principles, improved capacity for critical analysis, and heightened self-assurance in the application of classroom knowledge to practical situations. This research highlights the reciprocal association between academic and experiential learning, with a particular emphasis on the profound influence that apprenticeships have on the cognitive development of students.</w:t>
      </w:r>
    </w:p>
    <w:p w14:paraId="640C39D8" w14:textId="27B1BBD2" w:rsidR="00E26CBE" w:rsidRPr="00F8388D" w:rsidRDefault="009011DE" w:rsidP="00F8388D">
      <w:pPr>
        <w:pStyle w:val="NormalWeb"/>
        <w:spacing w:line="360" w:lineRule="auto"/>
        <w:jc w:val="both"/>
        <w:rPr>
          <w:rFonts w:ascii="Arial" w:hAnsi="Arial" w:cs="Arial"/>
        </w:rPr>
      </w:pPr>
      <w:r w:rsidRPr="009011DE">
        <w:rPr>
          <w:rFonts w:ascii="Arial" w:hAnsi="Arial" w:cs="Arial"/>
        </w:rPr>
        <w:t xml:space="preserve">Rothman and </w:t>
      </w:r>
      <w:proofErr w:type="spellStart"/>
      <w:r w:rsidRPr="009011DE">
        <w:rPr>
          <w:rFonts w:ascii="Arial" w:hAnsi="Arial" w:cs="Arial"/>
        </w:rPr>
        <w:t>Sisman</w:t>
      </w:r>
      <w:proofErr w:type="spellEnd"/>
      <w:r w:rsidRPr="009011DE">
        <w:rPr>
          <w:rFonts w:ascii="Arial" w:hAnsi="Arial" w:cs="Arial"/>
        </w:rPr>
        <w:t xml:space="preserve"> (2016) </w:t>
      </w:r>
      <w:r w:rsidR="00F8388D" w:rsidRPr="00F8388D">
        <w:rPr>
          <w:rFonts w:ascii="Arial" w:hAnsi="Arial" w:cs="Arial"/>
        </w:rPr>
        <w:t xml:space="preserve">examined the value of student internships from the employer's standpoint, adopting a broader perspective. By means of surveys and interviews conducted with employers representing a wide range of industries, the researchers shed light on the mutual advantages that organisations and students enjoy. The increased employability of interns was underscored by employers, who highlighted their enhanced workplace skills, adaptability, and comprehension of industry dynamics. Additionally, the study emphasised the significant importance of internships in the process of acquiring talent, as numerous companies indicated a predilection for employing individuals who had completed internships in the past. This </w:t>
      </w:r>
      <w:r w:rsidR="00F8388D" w:rsidRPr="00F8388D">
        <w:rPr>
          <w:rFonts w:ascii="Arial" w:hAnsi="Arial" w:cs="Arial"/>
        </w:rPr>
        <w:lastRenderedPageBreak/>
        <w:t>study makes a scholarly contribution by highlighting the interdependent connection between academic institutions and industries through apprenticeships, thereby demonstrating how they function as a constructive conduit connecting academia and the professional realm</w:t>
      </w:r>
      <w:r w:rsidR="00E26CBE" w:rsidRPr="00F8388D">
        <w:rPr>
          <w:rFonts w:ascii="Arial" w:hAnsi="Arial" w:cs="Arial"/>
        </w:rPr>
        <w:t>.</w:t>
      </w:r>
    </w:p>
    <w:p w14:paraId="5317B47C" w14:textId="4EBBAED8" w:rsidR="0078008F" w:rsidRPr="00F8388D" w:rsidRDefault="00E26CBE" w:rsidP="00F8388D">
      <w:pPr>
        <w:pStyle w:val="Heading2"/>
        <w:spacing w:line="360" w:lineRule="auto"/>
        <w:jc w:val="both"/>
        <w:rPr>
          <w:rFonts w:ascii="Arial" w:hAnsi="Arial" w:cs="Arial"/>
          <w:b/>
          <w:bCs/>
          <w:sz w:val="24"/>
          <w:szCs w:val="24"/>
        </w:rPr>
      </w:pPr>
      <w:bookmarkStart w:id="11" w:name="_Toc152178730"/>
      <w:r w:rsidRPr="00F8388D">
        <w:rPr>
          <w:rFonts w:ascii="Arial" w:hAnsi="Arial" w:cs="Arial"/>
          <w:b/>
          <w:bCs/>
          <w:sz w:val="24"/>
          <w:szCs w:val="24"/>
        </w:rPr>
        <w:t>4.3 ESG and Student Internships</w:t>
      </w:r>
      <w:bookmarkEnd w:id="11"/>
    </w:p>
    <w:p w14:paraId="644B6F5A" w14:textId="500609BB" w:rsidR="00F8388D" w:rsidRPr="00F8388D" w:rsidRDefault="00F8388D" w:rsidP="00F8388D">
      <w:pPr>
        <w:pStyle w:val="NormalWeb"/>
        <w:spacing w:line="360" w:lineRule="auto"/>
        <w:jc w:val="both"/>
        <w:rPr>
          <w:rFonts w:ascii="Arial" w:hAnsi="Arial" w:cs="Arial"/>
        </w:rPr>
      </w:pPr>
      <w:r w:rsidRPr="00F8388D">
        <w:rPr>
          <w:rFonts w:ascii="Arial" w:hAnsi="Arial" w:cs="Arial"/>
        </w:rPr>
        <w:t xml:space="preserve">Analogous to the </w:t>
      </w:r>
      <w:r w:rsidR="00CB1C75" w:rsidRPr="00F8388D">
        <w:rPr>
          <w:rFonts w:ascii="Arial" w:hAnsi="Arial" w:cs="Arial"/>
        </w:rPr>
        <w:t>way</w:t>
      </w:r>
      <w:r w:rsidRPr="00F8388D">
        <w:rPr>
          <w:rFonts w:ascii="Arial" w:hAnsi="Arial" w:cs="Arial"/>
        </w:rPr>
        <w:t xml:space="preserve"> ESG evaluates the environmental repercussions, human rights violations, and governance protocols of an organisation, one can employ a comparable framework to comprehend the intricacies of student internship programmes. When analysing the ambient aspect of internships, one must ensure that the learning environment is conducive to success. The research conducted by </w:t>
      </w:r>
      <w:r w:rsidR="009011DE" w:rsidRPr="009011DE">
        <w:rPr>
          <w:rFonts w:ascii="Arial" w:hAnsi="Arial" w:cs="Arial"/>
        </w:rPr>
        <w:t xml:space="preserve">Liu, Xu and Weitz (2011) </w:t>
      </w:r>
      <w:r w:rsidRPr="00F8388D">
        <w:rPr>
          <w:rFonts w:ascii="Arial" w:hAnsi="Arial" w:cs="Arial"/>
        </w:rPr>
        <w:t xml:space="preserve">emphasises the significance of mentorship and an environment that is conducive to learning throughout internships. This draws parallels to the environmental aspect of ESG in corporate environments. This entails furnishing pupils with necessary resources, guidance, and opportunities to enhance their skill set, </w:t>
      </w:r>
      <w:proofErr w:type="gramStart"/>
      <w:r w:rsidRPr="00F8388D">
        <w:rPr>
          <w:rFonts w:ascii="Arial" w:hAnsi="Arial" w:cs="Arial"/>
        </w:rPr>
        <w:t>similar to</w:t>
      </w:r>
      <w:proofErr w:type="gramEnd"/>
      <w:r w:rsidRPr="00F8388D">
        <w:rPr>
          <w:rFonts w:ascii="Arial" w:hAnsi="Arial" w:cs="Arial"/>
        </w:rPr>
        <w:t xml:space="preserve"> how an organisation pledges to minimise its ecological footprint.</w:t>
      </w:r>
    </w:p>
    <w:p w14:paraId="3CFBCE66" w14:textId="621ACF7F" w:rsidR="00F8388D" w:rsidRPr="00F8388D" w:rsidRDefault="00F8388D" w:rsidP="00F8388D">
      <w:pPr>
        <w:pStyle w:val="NormalWeb"/>
        <w:spacing w:line="360" w:lineRule="auto"/>
        <w:jc w:val="both"/>
        <w:rPr>
          <w:rFonts w:ascii="Arial" w:hAnsi="Arial" w:cs="Arial"/>
        </w:rPr>
      </w:pPr>
      <w:r w:rsidRPr="00F8388D">
        <w:rPr>
          <w:rFonts w:ascii="Arial" w:hAnsi="Arial" w:cs="Arial"/>
        </w:rPr>
        <w:t xml:space="preserve">The social dimension of student internships pertains to the networking opportunities and interpersonal facets that these programmes provide. The research of </w:t>
      </w:r>
      <w:r w:rsidR="009011DE" w:rsidRPr="009011DE">
        <w:rPr>
          <w:rFonts w:ascii="Arial" w:hAnsi="Arial" w:cs="Arial"/>
        </w:rPr>
        <w:t xml:space="preserve">Zehr and Korte (2020) </w:t>
      </w:r>
      <w:r w:rsidRPr="00F8388D">
        <w:rPr>
          <w:rFonts w:ascii="Arial" w:hAnsi="Arial" w:cs="Arial"/>
        </w:rPr>
        <w:t>underscores the substantial impact that social interactions have on the personal and professional growth of students throughout their internships. This coincides with the way in which the business community perceives the social aspect of ESG, wherein fostering positive connections with mentors, colleagues, and industry experts is regarded as essential. Furthermore, apprenticeships contribute to the advancement of ESG principles through the promotion of interpersonal development, collaboration, and a sense of community.</w:t>
      </w:r>
    </w:p>
    <w:p w14:paraId="1DCAA1DC" w14:textId="1A1F0D8C" w:rsidR="00E26CBE" w:rsidRPr="00F8388D" w:rsidRDefault="00F8388D" w:rsidP="00F8388D">
      <w:pPr>
        <w:pStyle w:val="NormalWeb"/>
        <w:spacing w:line="360" w:lineRule="auto"/>
        <w:jc w:val="both"/>
        <w:rPr>
          <w:rFonts w:ascii="Arial" w:hAnsi="Arial" w:cs="Arial"/>
        </w:rPr>
      </w:pPr>
      <w:r w:rsidRPr="00F8388D">
        <w:rPr>
          <w:rFonts w:ascii="Arial" w:hAnsi="Arial" w:cs="Arial"/>
        </w:rPr>
        <w:t xml:space="preserve">Governance considerations pertaining to student apprenticeships are preoccupied with the program's efficacy and impartiality. The research of </w:t>
      </w:r>
      <w:r w:rsidR="009011DE" w:rsidRPr="009011DE">
        <w:rPr>
          <w:rFonts w:ascii="Arial" w:hAnsi="Arial" w:cs="Arial"/>
        </w:rPr>
        <w:t xml:space="preserve">Foster and McAdams (2009) </w:t>
      </w:r>
      <w:r w:rsidRPr="00F8388D">
        <w:rPr>
          <w:rFonts w:ascii="Arial" w:hAnsi="Arial" w:cs="Arial"/>
        </w:rPr>
        <w:t xml:space="preserve">emphasises the significance of transparent communication, fair evaluations, and explicit expectations throughout internships. </w:t>
      </w:r>
      <w:proofErr w:type="gramStart"/>
      <w:r w:rsidRPr="00F8388D">
        <w:rPr>
          <w:rFonts w:ascii="Arial" w:hAnsi="Arial" w:cs="Arial"/>
        </w:rPr>
        <w:t>Similar to</w:t>
      </w:r>
      <w:proofErr w:type="gramEnd"/>
      <w:r w:rsidRPr="00F8388D">
        <w:rPr>
          <w:rFonts w:ascii="Arial" w:hAnsi="Arial" w:cs="Arial"/>
        </w:rPr>
        <w:t xml:space="preserve"> the corporate governance aspect of ESG, this governance aspect ensures that students are treated fairly and have a clear understanding of their duties and responsibilities. </w:t>
      </w:r>
      <w:r w:rsidR="009011DE" w:rsidRPr="00F8388D">
        <w:rPr>
          <w:rFonts w:ascii="Arial" w:hAnsi="Arial" w:cs="Arial"/>
        </w:rPr>
        <w:t>Like</w:t>
      </w:r>
      <w:r w:rsidRPr="00F8388D">
        <w:rPr>
          <w:rFonts w:ascii="Arial" w:hAnsi="Arial" w:cs="Arial"/>
        </w:rPr>
        <w:t xml:space="preserve"> how ESG principles steer organisations towards ethical and accountable conduct, the integration </w:t>
      </w:r>
      <w:r w:rsidRPr="00F8388D">
        <w:rPr>
          <w:rFonts w:ascii="Arial" w:hAnsi="Arial" w:cs="Arial"/>
        </w:rPr>
        <w:lastRenderedPageBreak/>
        <w:t>of comparable governance practises within apprenticeships enhances the learning environment by promoting transparency and fairness</w:t>
      </w:r>
      <w:r w:rsidR="00E26CBE" w:rsidRPr="00F8388D">
        <w:rPr>
          <w:rFonts w:ascii="Arial" w:hAnsi="Arial" w:cs="Arial"/>
        </w:rPr>
        <w:t>.</w:t>
      </w:r>
    </w:p>
    <w:p w14:paraId="2CE4FE36" w14:textId="61C40404" w:rsidR="00E26CBE" w:rsidRPr="00F8388D" w:rsidRDefault="00E26CBE" w:rsidP="00F8388D">
      <w:pPr>
        <w:pStyle w:val="Heading2"/>
        <w:spacing w:line="360" w:lineRule="auto"/>
        <w:jc w:val="both"/>
        <w:rPr>
          <w:rFonts w:ascii="Arial" w:hAnsi="Arial" w:cs="Arial"/>
          <w:b/>
          <w:bCs/>
          <w:sz w:val="24"/>
          <w:szCs w:val="24"/>
        </w:rPr>
      </w:pPr>
      <w:bookmarkStart w:id="12" w:name="_Toc152178731"/>
      <w:r w:rsidRPr="00F8388D">
        <w:rPr>
          <w:rFonts w:ascii="Arial" w:hAnsi="Arial" w:cs="Arial"/>
          <w:b/>
          <w:bCs/>
          <w:sz w:val="24"/>
          <w:szCs w:val="24"/>
        </w:rPr>
        <w:t>4.4 ESG Metrics and Industry Competitiveness</w:t>
      </w:r>
      <w:bookmarkEnd w:id="12"/>
    </w:p>
    <w:p w14:paraId="11F067CD" w14:textId="1CE2AB7E" w:rsidR="00F8388D" w:rsidRPr="00F8388D" w:rsidRDefault="00F8388D" w:rsidP="00F8388D">
      <w:pPr>
        <w:pStyle w:val="NormalWeb"/>
        <w:spacing w:line="360" w:lineRule="auto"/>
        <w:jc w:val="both"/>
        <w:rPr>
          <w:rFonts w:ascii="Arial" w:hAnsi="Arial" w:cs="Arial"/>
        </w:rPr>
      </w:pPr>
      <w:r w:rsidRPr="00F8388D">
        <w:rPr>
          <w:rFonts w:ascii="Arial" w:hAnsi="Arial" w:cs="Arial"/>
        </w:rPr>
        <w:t xml:space="preserve">The utilisation of Environmental, Social, and Governance (ESG) metrics for the purpose of evaluating the competitiveness of an industry has received considerable scholarly interest in recent times. Beyond conventional financial metrics, ESG criteria offer a holistic perspective by providing a comprehensive framework for assessing the sustainability and ethical practises of a company. </w:t>
      </w:r>
      <w:r w:rsidR="009011DE" w:rsidRPr="009011DE">
        <w:rPr>
          <w:rFonts w:ascii="Arial" w:hAnsi="Arial" w:cs="Arial"/>
        </w:rPr>
        <w:t xml:space="preserve">Chang and Lee (2022) </w:t>
      </w:r>
      <w:r w:rsidRPr="00F8388D">
        <w:rPr>
          <w:rFonts w:ascii="Arial" w:hAnsi="Arial" w:cs="Arial"/>
        </w:rPr>
        <w:t xml:space="preserve">underscore the significance of ESG factors in the assessment of industry competitiveness in their study. The study emphasises the </w:t>
      </w:r>
      <w:proofErr w:type="gramStart"/>
      <w:r w:rsidRPr="00F8388D">
        <w:rPr>
          <w:rFonts w:ascii="Arial" w:hAnsi="Arial" w:cs="Arial"/>
        </w:rPr>
        <w:t>manner in which</w:t>
      </w:r>
      <w:proofErr w:type="gramEnd"/>
      <w:r w:rsidRPr="00F8388D">
        <w:rPr>
          <w:rFonts w:ascii="Arial" w:hAnsi="Arial" w:cs="Arial"/>
        </w:rPr>
        <w:t xml:space="preserve"> organisations that demonstrate robust environmental, social, and governance (ESG) performance gain a competitive edge by appealing to investors and consumers who place a premium on socially responsible initiatives. </w:t>
      </w:r>
    </w:p>
    <w:p w14:paraId="568DFA72" w14:textId="3FBB67F4" w:rsidR="00E26CBE" w:rsidRPr="00F8388D" w:rsidRDefault="00F8388D" w:rsidP="00F8388D">
      <w:pPr>
        <w:pStyle w:val="NormalWeb"/>
        <w:spacing w:line="360" w:lineRule="auto"/>
        <w:jc w:val="both"/>
        <w:rPr>
          <w:rFonts w:ascii="Arial" w:hAnsi="Arial" w:cs="Arial"/>
        </w:rPr>
      </w:pPr>
      <w:r w:rsidRPr="00F8388D">
        <w:rPr>
          <w:rFonts w:ascii="Arial" w:hAnsi="Arial" w:cs="Arial"/>
        </w:rPr>
        <w:t xml:space="preserve">Sustainability in the industry also necessitates long-term market competitiveness, and ESG metrics have a substantial impact on the development of organisations that aim to achieve lasting success. The correlation between ESG practises and long-term market competitiveness was examined by </w:t>
      </w:r>
      <w:r w:rsidR="009011DE" w:rsidRPr="009011DE">
        <w:rPr>
          <w:rFonts w:ascii="Arial" w:hAnsi="Arial" w:cs="Arial"/>
        </w:rPr>
        <w:t xml:space="preserve">Mohammad and </w:t>
      </w:r>
      <w:proofErr w:type="spellStart"/>
      <w:r w:rsidR="009011DE" w:rsidRPr="009011DE">
        <w:rPr>
          <w:rFonts w:ascii="Arial" w:hAnsi="Arial" w:cs="Arial"/>
        </w:rPr>
        <w:t>Wasiuzzaman</w:t>
      </w:r>
      <w:proofErr w:type="spellEnd"/>
      <w:r w:rsidR="009011DE" w:rsidRPr="009011DE">
        <w:rPr>
          <w:rFonts w:ascii="Arial" w:hAnsi="Arial" w:cs="Arial"/>
        </w:rPr>
        <w:t xml:space="preserve"> (2021)</w:t>
      </w:r>
      <w:r w:rsidRPr="00F8388D">
        <w:rPr>
          <w:rFonts w:ascii="Arial" w:hAnsi="Arial" w:cs="Arial"/>
        </w:rPr>
        <w:t>. The findings of the research demonstrated that organisations that placed ESG factors as a top priority exhibited durability when confronted with market volatility, thereby fostering long-lasting competitive advantages. Through apprenticeships at such progressive organisations, pupils acquire valuable knowledge regarding the ways in which environmental, social, and governance (ESG) practises bolster enduring market competitiveness. This experience significantly influences students' viewpoints regarding the lasting consequences of sustainable business practises within the corporate environment.</w:t>
      </w:r>
    </w:p>
    <w:p w14:paraId="43B24A3D" w14:textId="79DEEBEF" w:rsidR="00D2316F" w:rsidRPr="00BA08B9" w:rsidRDefault="00D2316F" w:rsidP="00BA08B9">
      <w:pPr>
        <w:pStyle w:val="Heading1"/>
        <w:spacing w:line="360" w:lineRule="auto"/>
        <w:jc w:val="both"/>
        <w:rPr>
          <w:rFonts w:ascii="Arial" w:hAnsi="Arial" w:cs="Arial"/>
          <w:b/>
          <w:bCs/>
          <w:sz w:val="24"/>
          <w:szCs w:val="24"/>
        </w:rPr>
      </w:pPr>
      <w:bookmarkStart w:id="13" w:name="_Toc152178732"/>
      <w:r w:rsidRPr="00BA08B9">
        <w:rPr>
          <w:rFonts w:ascii="Arial" w:hAnsi="Arial" w:cs="Arial"/>
          <w:b/>
          <w:bCs/>
          <w:sz w:val="24"/>
          <w:szCs w:val="24"/>
        </w:rPr>
        <w:t>5. Limitations</w:t>
      </w:r>
      <w:bookmarkEnd w:id="13"/>
    </w:p>
    <w:p w14:paraId="22C7006E" w14:textId="77777777" w:rsidR="00BA08B9" w:rsidRPr="00BA08B9" w:rsidRDefault="00BA08B9" w:rsidP="00BA08B9">
      <w:pPr>
        <w:pStyle w:val="NormalWeb"/>
        <w:spacing w:line="360" w:lineRule="auto"/>
        <w:jc w:val="both"/>
        <w:rPr>
          <w:rFonts w:ascii="Arial" w:hAnsi="Arial" w:cs="Arial"/>
        </w:rPr>
      </w:pPr>
      <w:r w:rsidRPr="00BA08B9">
        <w:rPr>
          <w:rFonts w:ascii="Arial" w:hAnsi="Arial" w:cs="Arial"/>
        </w:rPr>
        <w:t xml:space="preserve">One key limitation is associated with data availability and quality. Gathering reliable and comprehensive data related to ESG practices, internship programs, and their impact on industry competitiveness can be a daunting task. Some companies, especially privately held or smaller organizations, may not disclose their ESG efforts </w:t>
      </w:r>
      <w:r w:rsidRPr="00BA08B9">
        <w:rPr>
          <w:rFonts w:ascii="Arial" w:hAnsi="Arial" w:cs="Arial"/>
        </w:rPr>
        <w:lastRenderedPageBreak/>
        <w:t>or internship statistics, leading to potential data gaps. This limitation may constrain the scope and generalizability of the findings.</w:t>
      </w:r>
    </w:p>
    <w:p w14:paraId="47684AC9" w14:textId="77777777" w:rsidR="00BA08B9" w:rsidRDefault="00BA08B9" w:rsidP="00BA08B9">
      <w:pPr>
        <w:pStyle w:val="NormalWeb"/>
        <w:spacing w:line="360" w:lineRule="auto"/>
        <w:jc w:val="both"/>
        <w:rPr>
          <w:rFonts w:ascii="Arial" w:hAnsi="Arial" w:cs="Arial"/>
        </w:rPr>
      </w:pPr>
      <w:r w:rsidRPr="00BA08B9">
        <w:rPr>
          <w:rFonts w:ascii="Arial" w:hAnsi="Arial" w:cs="Arial"/>
        </w:rPr>
        <w:t>Another significant challenge is understanding the causality and direction of effects within this nexus. Establishing whether ESG commitment drives the creation of more internship opportunities, or if internships enhance a company's ESG commitment, poses complexities in establishing definitive cause-and-effect relationships. The interplay of these factors can be intricate and multifaceted, necessitating robust study design to draw meaningful conclusions.</w:t>
      </w:r>
    </w:p>
    <w:p w14:paraId="7D0E834F" w14:textId="11A51204" w:rsidR="00F3584F" w:rsidRDefault="00F3584F" w:rsidP="00F3584F">
      <w:pPr>
        <w:pStyle w:val="Heading1"/>
        <w:spacing w:line="360" w:lineRule="auto"/>
        <w:jc w:val="both"/>
        <w:rPr>
          <w:rFonts w:ascii="Arial" w:hAnsi="Arial" w:cs="Arial"/>
          <w:b/>
          <w:bCs/>
          <w:sz w:val="24"/>
          <w:szCs w:val="24"/>
        </w:rPr>
      </w:pPr>
      <w:bookmarkStart w:id="14" w:name="_Toc152178733"/>
      <w:r>
        <w:rPr>
          <w:rFonts w:ascii="Arial" w:hAnsi="Arial" w:cs="Arial"/>
          <w:b/>
          <w:bCs/>
          <w:sz w:val="24"/>
          <w:szCs w:val="24"/>
        </w:rPr>
        <w:t>6</w:t>
      </w:r>
      <w:r w:rsidRPr="00BA08B9">
        <w:rPr>
          <w:rFonts w:ascii="Arial" w:hAnsi="Arial" w:cs="Arial"/>
          <w:b/>
          <w:bCs/>
          <w:sz w:val="24"/>
          <w:szCs w:val="24"/>
        </w:rPr>
        <w:t xml:space="preserve">. </w:t>
      </w:r>
      <w:r>
        <w:rPr>
          <w:rFonts w:ascii="Arial" w:hAnsi="Arial" w:cs="Arial"/>
          <w:b/>
          <w:bCs/>
          <w:sz w:val="24"/>
          <w:szCs w:val="24"/>
        </w:rPr>
        <w:t>Time Frame</w:t>
      </w:r>
      <w:bookmarkEnd w:id="14"/>
    </w:p>
    <w:p w14:paraId="2D600696" w14:textId="7852F4F8" w:rsidR="00CD47E5" w:rsidRPr="00CD47E5" w:rsidRDefault="00CD47E5" w:rsidP="00CD47E5">
      <w:r w:rsidRPr="00CD47E5">
        <w:rPr>
          <w:rFonts w:ascii="Arial" w:eastAsia="Times New Roman" w:hAnsi="Arial" w:cs="Arial"/>
          <w:kern w:val="0"/>
          <w:sz w:val="24"/>
          <w:szCs w:val="24"/>
          <w:lang w:val="en-IN" w:eastAsia="en-IN"/>
          <w14:ligatures w14:val="none"/>
        </w:rPr>
        <w:t xml:space="preserve">The following Gannt Chart </w:t>
      </w:r>
      <w:proofErr w:type="spellStart"/>
      <w:r w:rsidRPr="00CD47E5">
        <w:rPr>
          <w:rFonts w:ascii="Arial" w:eastAsia="Times New Roman" w:hAnsi="Arial" w:cs="Arial"/>
          <w:kern w:val="0"/>
          <w:sz w:val="24"/>
          <w:szCs w:val="24"/>
          <w:lang w:val="en-IN" w:eastAsia="en-IN"/>
          <w14:ligatures w14:val="none"/>
        </w:rPr>
        <w:t>illustratres</w:t>
      </w:r>
      <w:proofErr w:type="spellEnd"/>
      <w:r w:rsidRPr="00CD47E5">
        <w:rPr>
          <w:rFonts w:ascii="Arial" w:eastAsia="Times New Roman" w:hAnsi="Arial" w:cs="Arial"/>
          <w:kern w:val="0"/>
          <w:sz w:val="24"/>
          <w:szCs w:val="24"/>
          <w:lang w:val="en-IN" w:eastAsia="en-IN"/>
          <w14:ligatures w14:val="none"/>
        </w:rPr>
        <w:t xml:space="preserve"> the timeline of the research:</w:t>
      </w:r>
    </w:p>
    <w:tbl>
      <w:tblPr>
        <w:tblW w:w="9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4"/>
        <w:gridCol w:w="749"/>
        <w:gridCol w:w="820"/>
        <w:gridCol w:w="820"/>
        <w:gridCol w:w="820"/>
        <w:gridCol w:w="1008"/>
        <w:gridCol w:w="991"/>
        <w:gridCol w:w="1093"/>
        <w:gridCol w:w="1093"/>
      </w:tblGrid>
      <w:tr w:rsidR="00CD47E5" w:rsidRPr="00CD47E5" w14:paraId="2FFCF633" w14:textId="77777777" w:rsidTr="00CD47E5">
        <w:trPr>
          <w:trHeight w:val="609"/>
        </w:trPr>
        <w:tc>
          <w:tcPr>
            <w:tcW w:w="1694" w:type="dxa"/>
            <w:shd w:val="clear" w:color="auto" w:fill="auto"/>
            <w:vAlign w:val="bottom"/>
            <w:hideMark/>
          </w:tcPr>
          <w:p w14:paraId="50E60A06"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Task</w:t>
            </w:r>
          </w:p>
        </w:tc>
        <w:tc>
          <w:tcPr>
            <w:tcW w:w="749" w:type="dxa"/>
            <w:shd w:val="clear" w:color="auto" w:fill="auto"/>
            <w:vAlign w:val="bottom"/>
            <w:hideMark/>
          </w:tcPr>
          <w:p w14:paraId="241B610C"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1-2</w:t>
            </w:r>
          </w:p>
        </w:tc>
        <w:tc>
          <w:tcPr>
            <w:tcW w:w="820" w:type="dxa"/>
            <w:shd w:val="clear" w:color="auto" w:fill="auto"/>
            <w:vAlign w:val="bottom"/>
            <w:hideMark/>
          </w:tcPr>
          <w:p w14:paraId="4966CD2B"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3-4</w:t>
            </w:r>
          </w:p>
        </w:tc>
        <w:tc>
          <w:tcPr>
            <w:tcW w:w="820" w:type="dxa"/>
            <w:shd w:val="clear" w:color="auto" w:fill="auto"/>
            <w:vAlign w:val="bottom"/>
            <w:hideMark/>
          </w:tcPr>
          <w:p w14:paraId="07D9D33A"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5-6</w:t>
            </w:r>
          </w:p>
        </w:tc>
        <w:tc>
          <w:tcPr>
            <w:tcW w:w="820" w:type="dxa"/>
            <w:shd w:val="clear" w:color="auto" w:fill="auto"/>
            <w:vAlign w:val="bottom"/>
            <w:hideMark/>
          </w:tcPr>
          <w:p w14:paraId="4A88FB10"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7-8</w:t>
            </w:r>
          </w:p>
        </w:tc>
        <w:tc>
          <w:tcPr>
            <w:tcW w:w="1008" w:type="dxa"/>
            <w:shd w:val="clear" w:color="auto" w:fill="auto"/>
            <w:vAlign w:val="bottom"/>
            <w:hideMark/>
          </w:tcPr>
          <w:p w14:paraId="041467FD"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9-10</w:t>
            </w:r>
          </w:p>
        </w:tc>
        <w:tc>
          <w:tcPr>
            <w:tcW w:w="991" w:type="dxa"/>
            <w:shd w:val="clear" w:color="auto" w:fill="auto"/>
            <w:vAlign w:val="bottom"/>
            <w:hideMark/>
          </w:tcPr>
          <w:p w14:paraId="1DE5F9DA"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11-12</w:t>
            </w:r>
          </w:p>
        </w:tc>
        <w:tc>
          <w:tcPr>
            <w:tcW w:w="1093" w:type="dxa"/>
            <w:shd w:val="clear" w:color="auto" w:fill="auto"/>
            <w:vAlign w:val="bottom"/>
            <w:hideMark/>
          </w:tcPr>
          <w:p w14:paraId="1AAEE8BA"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13-14</w:t>
            </w:r>
          </w:p>
        </w:tc>
        <w:tc>
          <w:tcPr>
            <w:tcW w:w="1093" w:type="dxa"/>
            <w:shd w:val="clear" w:color="auto" w:fill="auto"/>
            <w:vAlign w:val="bottom"/>
            <w:hideMark/>
          </w:tcPr>
          <w:p w14:paraId="4322FAD1" w14:textId="77777777" w:rsidR="00CD47E5" w:rsidRPr="00CD47E5" w:rsidRDefault="00CD47E5" w:rsidP="00CD47E5">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15-16</w:t>
            </w:r>
          </w:p>
        </w:tc>
      </w:tr>
      <w:tr w:rsidR="00CD47E5" w:rsidRPr="00CD47E5" w14:paraId="4B8508E8" w14:textId="77777777" w:rsidTr="00CD47E5">
        <w:trPr>
          <w:trHeight w:val="1828"/>
        </w:trPr>
        <w:tc>
          <w:tcPr>
            <w:tcW w:w="1694" w:type="dxa"/>
            <w:shd w:val="clear" w:color="auto" w:fill="auto"/>
            <w:vAlign w:val="center"/>
            <w:hideMark/>
          </w:tcPr>
          <w:p w14:paraId="167DC6F1"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Project Planning and Proposal Refinement</w:t>
            </w:r>
          </w:p>
        </w:tc>
        <w:tc>
          <w:tcPr>
            <w:tcW w:w="749" w:type="dxa"/>
            <w:shd w:val="clear" w:color="000000" w:fill="FFFF00"/>
            <w:vAlign w:val="bottom"/>
            <w:hideMark/>
          </w:tcPr>
          <w:p w14:paraId="7245B8CE"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820" w:type="dxa"/>
            <w:shd w:val="clear" w:color="auto" w:fill="auto"/>
            <w:vAlign w:val="bottom"/>
            <w:hideMark/>
          </w:tcPr>
          <w:p w14:paraId="77CFABF2"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75045F84"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43D14DDA"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4FA48A9F"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7666DB36"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62F4A492"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5E5A5BEA"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r>
      <w:tr w:rsidR="00CD47E5" w:rsidRPr="00CD47E5" w14:paraId="31AD4D3A" w14:textId="77777777" w:rsidTr="00CD47E5">
        <w:trPr>
          <w:trHeight w:val="609"/>
        </w:trPr>
        <w:tc>
          <w:tcPr>
            <w:tcW w:w="1694" w:type="dxa"/>
            <w:shd w:val="clear" w:color="auto" w:fill="auto"/>
            <w:vAlign w:val="center"/>
            <w:hideMark/>
          </w:tcPr>
          <w:p w14:paraId="49B39182"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Literature Review</w:t>
            </w:r>
          </w:p>
        </w:tc>
        <w:tc>
          <w:tcPr>
            <w:tcW w:w="749" w:type="dxa"/>
            <w:shd w:val="clear" w:color="auto" w:fill="auto"/>
            <w:vAlign w:val="bottom"/>
            <w:hideMark/>
          </w:tcPr>
          <w:p w14:paraId="08E21148"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000000" w:fill="FFFF00"/>
            <w:vAlign w:val="bottom"/>
            <w:hideMark/>
          </w:tcPr>
          <w:p w14:paraId="63BD9D98"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820" w:type="dxa"/>
            <w:shd w:val="clear" w:color="auto" w:fill="auto"/>
            <w:vAlign w:val="bottom"/>
            <w:hideMark/>
          </w:tcPr>
          <w:p w14:paraId="7C53B106"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31BB2718"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73D79D8E"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31C4489F"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5222D54D"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1D5DC723"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r>
      <w:tr w:rsidR="00CD47E5" w:rsidRPr="00CD47E5" w14:paraId="50848A5C" w14:textId="77777777" w:rsidTr="00CD47E5">
        <w:trPr>
          <w:trHeight w:val="609"/>
        </w:trPr>
        <w:tc>
          <w:tcPr>
            <w:tcW w:w="1694" w:type="dxa"/>
            <w:shd w:val="clear" w:color="auto" w:fill="auto"/>
            <w:vAlign w:val="center"/>
            <w:hideMark/>
          </w:tcPr>
          <w:p w14:paraId="607876CC"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Methodology</w:t>
            </w:r>
          </w:p>
        </w:tc>
        <w:tc>
          <w:tcPr>
            <w:tcW w:w="749" w:type="dxa"/>
            <w:shd w:val="clear" w:color="auto" w:fill="auto"/>
            <w:vAlign w:val="bottom"/>
            <w:hideMark/>
          </w:tcPr>
          <w:p w14:paraId="087249F4"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238BC0F4"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000000" w:fill="FFFF00"/>
            <w:vAlign w:val="bottom"/>
            <w:hideMark/>
          </w:tcPr>
          <w:p w14:paraId="437603AB"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820" w:type="dxa"/>
            <w:shd w:val="clear" w:color="auto" w:fill="auto"/>
            <w:vAlign w:val="bottom"/>
            <w:hideMark/>
          </w:tcPr>
          <w:p w14:paraId="21778559"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1008" w:type="dxa"/>
            <w:shd w:val="clear" w:color="auto" w:fill="auto"/>
            <w:vAlign w:val="bottom"/>
            <w:hideMark/>
          </w:tcPr>
          <w:p w14:paraId="01437317"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13A2DEF9"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6A50B0FA"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34A246D8"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r>
      <w:tr w:rsidR="00CD47E5" w:rsidRPr="00CD47E5" w14:paraId="72A28E0A" w14:textId="77777777" w:rsidTr="00CD47E5">
        <w:trPr>
          <w:trHeight w:val="914"/>
        </w:trPr>
        <w:tc>
          <w:tcPr>
            <w:tcW w:w="1694" w:type="dxa"/>
            <w:shd w:val="clear" w:color="auto" w:fill="auto"/>
            <w:vAlign w:val="center"/>
            <w:hideMark/>
          </w:tcPr>
          <w:p w14:paraId="07BCC69D"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Data Collection</w:t>
            </w:r>
          </w:p>
        </w:tc>
        <w:tc>
          <w:tcPr>
            <w:tcW w:w="749" w:type="dxa"/>
            <w:shd w:val="clear" w:color="auto" w:fill="auto"/>
            <w:vAlign w:val="bottom"/>
            <w:hideMark/>
          </w:tcPr>
          <w:p w14:paraId="701C2AAE"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039E5784"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6C9011A2"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000000" w:fill="FFFF00"/>
            <w:vAlign w:val="bottom"/>
            <w:hideMark/>
          </w:tcPr>
          <w:p w14:paraId="6E0153E8"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1008" w:type="dxa"/>
            <w:shd w:val="clear" w:color="auto" w:fill="auto"/>
            <w:vAlign w:val="bottom"/>
            <w:hideMark/>
          </w:tcPr>
          <w:p w14:paraId="43FCE663"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991" w:type="dxa"/>
            <w:shd w:val="clear" w:color="auto" w:fill="auto"/>
            <w:vAlign w:val="bottom"/>
            <w:hideMark/>
          </w:tcPr>
          <w:p w14:paraId="581F4E96"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4416BC8A"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374BD120"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r>
      <w:tr w:rsidR="00CD47E5" w:rsidRPr="00CD47E5" w14:paraId="4CD40548" w14:textId="77777777" w:rsidTr="00CD47E5">
        <w:trPr>
          <w:trHeight w:val="914"/>
        </w:trPr>
        <w:tc>
          <w:tcPr>
            <w:tcW w:w="1694" w:type="dxa"/>
            <w:shd w:val="clear" w:color="auto" w:fill="auto"/>
            <w:vAlign w:val="center"/>
            <w:hideMark/>
          </w:tcPr>
          <w:p w14:paraId="61301888"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In-Depth Data Analysis</w:t>
            </w:r>
          </w:p>
        </w:tc>
        <w:tc>
          <w:tcPr>
            <w:tcW w:w="749" w:type="dxa"/>
            <w:shd w:val="clear" w:color="auto" w:fill="auto"/>
            <w:vAlign w:val="bottom"/>
            <w:hideMark/>
          </w:tcPr>
          <w:p w14:paraId="0D29FFD6"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1F4873D6"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399089F9"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7909D5E4"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08" w:type="dxa"/>
            <w:shd w:val="clear" w:color="000000" w:fill="FFFF00"/>
            <w:vAlign w:val="bottom"/>
            <w:hideMark/>
          </w:tcPr>
          <w:p w14:paraId="095F9420"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991" w:type="dxa"/>
            <w:shd w:val="clear" w:color="auto" w:fill="auto"/>
            <w:vAlign w:val="bottom"/>
            <w:hideMark/>
          </w:tcPr>
          <w:p w14:paraId="32C252B0"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1093" w:type="dxa"/>
            <w:shd w:val="clear" w:color="auto" w:fill="auto"/>
            <w:vAlign w:val="bottom"/>
            <w:hideMark/>
          </w:tcPr>
          <w:p w14:paraId="63EAF337"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4781778C"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r>
      <w:tr w:rsidR="00CD47E5" w:rsidRPr="00CD47E5" w14:paraId="2D511424" w14:textId="77777777" w:rsidTr="00CD47E5">
        <w:trPr>
          <w:trHeight w:val="914"/>
        </w:trPr>
        <w:tc>
          <w:tcPr>
            <w:tcW w:w="1694" w:type="dxa"/>
            <w:shd w:val="clear" w:color="auto" w:fill="auto"/>
            <w:vAlign w:val="center"/>
            <w:hideMark/>
          </w:tcPr>
          <w:p w14:paraId="7CDB89AC"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Qualitative Data Analysis</w:t>
            </w:r>
          </w:p>
        </w:tc>
        <w:tc>
          <w:tcPr>
            <w:tcW w:w="749" w:type="dxa"/>
            <w:shd w:val="clear" w:color="auto" w:fill="auto"/>
            <w:vAlign w:val="bottom"/>
            <w:hideMark/>
          </w:tcPr>
          <w:p w14:paraId="0D3D889E"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0CAED611"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2A56F44A"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64E67181"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779D4BA9"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991" w:type="dxa"/>
            <w:shd w:val="clear" w:color="000000" w:fill="FFFF00"/>
            <w:vAlign w:val="bottom"/>
            <w:hideMark/>
          </w:tcPr>
          <w:p w14:paraId="686C7E84"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1093" w:type="dxa"/>
            <w:shd w:val="clear" w:color="auto" w:fill="auto"/>
            <w:vAlign w:val="bottom"/>
            <w:hideMark/>
          </w:tcPr>
          <w:p w14:paraId="253E6BFD"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1093" w:type="dxa"/>
            <w:shd w:val="clear" w:color="auto" w:fill="auto"/>
            <w:vAlign w:val="bottom"/>
            <w:hideMark/>
          </w:tcPr>
          <w:p w14:paraId="66C1A12C"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r>
      <w:tr w:rsidR="00CD47E5" w:rsidRPr="00CD47E5" w14:paraId="23287DF4" w14:textId="77777777" w:rsidTr="00CD47E5">
        <w:trPr>
          <w:trHeight w:val="1218"/>
        </w:trPr>
        <w:tc>
          <w:tcPr>
            <w:tcW w:w="1694" w:type="dxa"/>
            <w:shd w:val="clear" w:color="auto" w:fill="auto"/>
            <w:vAlign w:val="center"/>
            <w:hideMark/>
          </w:tcPr>
          <w:p w14:paraId="1A7E65EC"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Discussion and Conclusion</w:t>
            </w:r>
          </w:p>
        </w:tc>
        <w:tc>
          <w:tcPr>
            <w:tcW w:w="749" w:type="dxa"/>
            <w:shd w:val="clear" w:color="auto" w:fill="auto"/>
            <w:vAlign w:val="bottom"/>
            <w:hideMark/>
          </w:tcPr>
          <w:p w14:paraId="7E18D517"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19B3C2B4"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204123DF"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7E09E97D"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5D4F6B8D"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4ADDE5E6"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000000" w:fill="FFFF00"/>
            <w:vAlign w:val="bottom"/>
            <w:hideMark/>
          </w:tcPr>
          <w:p w14:paraId="3DC9950D"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1093" w:type="dxa"/>
            <w:shd w:val="clear" w:color="auto" w:fill="auto"/>
            <w:vAlign w:val="bottom"/>
            <w:hideMark/>
          </w:tcPr>
          <w:p w14:paraId="7967EE28"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r>
      <w:tr w:rsidR="00CD47E5" w:rsidRPr="00CD47E5" w14:paraId="000CFCA8" w14:textId="77777777" w:rsidTr="00CD47E5">
        <w:trPr>
          <w:trHeight w:val="914"/>
        </w:trPr>
        <w:tc>
          <w:tcPr>
            <w:tcW w:w="1694" w:type="dxa"/>
            <w:shd w:val="clear" w:color="auto" w:fill="auto"/>
            <w:vAlign w:val="center"/>
            <w:hideMark/>
          </w:tcPr>
          <w:p w14:paraId="6374B236"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Finalize and Review</w:t>
            </w:r>
          </w:p>
        </w:tc>
        <w:tc>
          <w:tcPr>
            <w:tcW w:w="749" w:type="dxa"/>
            <w:shd w:val="clear" w:color="auto" w:fill="auto"/>
            <w:vAlign w:val="bottom"/>
            <w:hideMark/>
          </w:tcPr>
          <w:p w14:paraId="0EE5A0C8"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1A55BFFF"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66B35AF9"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09B5EB49"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2310076B"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38F95AAE"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511891A3" w14:textId="77777777" w:rsidR="00CD47E5" w:rsidRPr="00CD47E5" w:rsidRDefault="00CD47E5" w:rsidP="00CD47E5">
            <w:pPr>
              <w:spacing w:after="0" w:line="240" w:lineRule="auto"/>
              <w:rPr>
                <w:rFonts w:ascii="Arial" w:eastAsia="Times New Roman" w:hAnsi="Arial" w:cs="Arial"/>
                <w:kern w:val="0"/>
                <w:sz w:val="20"/>
                <w:szCs w:val="20"/>
                <w:lang w:val="en-IN" w:eastAsia="en-IN"/>
                <w14:ligatures w14:val="none"/>
              </w:rPr>
            </w:pPr>
          </w:p>
        </w:tc>
        <w:tc>
          <w:tcPr>
            <w:tcW w:w="1093" w:type="dxa"/>
            <w:shd w:val="clear" w:color="000000" w:fill="FFFF00"/>
            <w:vAlign w:val="bottom"/>
            <w:hideMark/>
          </w:tcPr>
          <w:p w14:paraId="3697FE8B" w14:textId="77777777" w:rsidR="00CD47E5" w:rsidRPr="00CD47E5" w:rsidRDefault="00CD47E5" w:rsidP="00CD47E5">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r>
    </w:tbl>
    <w:p w14:paraId="18F42D19" w14:textId="5968D700" w:rsidR="00F3584F" w:rsidRPr="00BA08B9" w:rsidRDefault="00F3584F" w:rsidP="00BA08B9">
      <w:pPr>
        <w:pStyle w:val="NormalWeb"/>
        <w:spacing w:line="360" w:lineRule="auto"/>
        <w:jc w:val="both"/>
        <w:rPr>
          <w:rFonts w:ascii="Arial" w:hAnsi="Arial" w:cs="Arial"/>
        </w:rPr>
      </w:pPr>
    </w:p>
    <w:p w14:paraId="33C96CC2" w14:textId="0E77628B" w:rsidR="00D2316F" w:rsidRPr="00BA08B9" w:rsidRDefault="00F3584F" w:rsidP="00BA08B9">
      <w:pPr>
        <w:pStyle w:val="Heading1"/>
        <w:spacing w:line="360" w:lineRule="auto"/>
        <w:jc w:val="both"/>
        <w:rPr>
          <w:rFonts w:ascii="Arial" w:hAnsi="Arial" w:cs="Arial"/>
          <w:b/>
          <w:bCs/>
          <w:sz w:val="24"/>
          <w:szCs w:val="24"/>
        </w:rPr>
      </w:pPr>
      <w:bookmarkStart w:id="15" w:name="_Toc152178734"/>
      <w:r>
        <w:rPr>
          <w:rFonts w:ascii="Arial" w:hAnsi="Arial" w:cs="Arial"/>
          <w:b/>
          <w:bCs/>
          <w:sz w:val="24"/>
          <w:szCs w:val="24"/>
        </w:rPr>
        <w:lastRenderedPageBreak/>
        <w:t>7</w:t>
      </w:r>
      <w:r w:rsidR="00D2316F" w:rsidRPr="00BA08B9">
        <w:rPr>
          <w:rFonts w:ascii="Arial" w:hAnsi="Arial" w:cs="Arial"/>
          <w:b/>
          <w:bCs/>
          <w:sz w:val="24"/>
          <w:szCs w:val="24"/>
        </w:rPr>
        <w:t>. Conclusion</w:t>
      </w:r>
      <w:bookmarkEnd w:id="15"/>
    </w:p>
    <w:p w14:paraId="034A8720" w14:textId="795EE5D5" w:rsidR="00BA08B9" w:rsidRDefault="00BA08B9" w:rsidP="00BA08B9">
      <w:pPr>
        <w:spacing w:line="360" w:lineRule="auto"/>
        <w:jc w:val="both"/>
        <w:rPr>
          <w:rFonts w:ascii="Arial" w:hAnsi="Arial" w:cs="Arial"/>
          <w:sz w:val="24"/>
          <w:szCs w:val="24"/>
        </w:rPr>
      </w:pPr>
      <w:r w:rsidRPr="00BA08B9">
        <w:rPr>
          <w:rFonts w:ascii="Arial" w:hAnsi="Arial" w:cs="Arial"/>
          <w:sz w:val="24"/>
          <w:szCs w:val="24"/>
        </w:rPr>
        <w:t>In this research proposal, we have outlined the framework for investigating the complex interplay between Environmental, Social, and Governance (ESG) commitment, student internships, and industry competitiveness. This proposal serves as a foundational guide for our forthcoming dissertation, where we will delve into the details of this multifaceted relationship. Our dissertation will serve as a comprehensive resource for stakeholders interested in the dynamic nexus of ESG commitment, student internships, and their influence on industry dynamics.</w:t>
      </w:r>
    </w:p>
    <w:p w14:paraId="57808983" w14:textId="77777777" w:rsidR="00BA08B9" w:rsidRDefault="00BA08B9" w:rsidP="00BA08B9">
      <w:pPr>
        <w:spacing w:line="360" w:lineRule="auto"/>
        <w:jc w:val="both"/>
        <w:rPr>
          <w:rFonts w:ascii="Arial" w:hAnsi="Arial" w:cs="Arial"/>
          <w:sz w:val="24"/>
          <w:szCs w:val="24"/>
        </w:rPr>
      </w:pPr>
    </w:p>
    <w:p w14:paraId="27D4543E" w14:textId="77777777" w:rsidR="009011DE" w:rsidRDefault="009011DE" w:rsidP="00BA08B9">
      <w:pPr>
        <w:spacing w:line="360" w:lineRule="auto"/>
        <w:jc w:val="both"/>
        <w:rPr>
          <w:rFonts w:ascii="Arial" w:hAnsi="Arial" w:cs="Arial"/>
          <w:sz w:val="24"/>
          <w:szCs w:val="24"/>
        </w:rPr>
      </w:pPr>
    </w:p>
    <w:p w14:paraId="6AB15D93" w14:textId="77777777" w:rsidR="009011DE" w:rsidRDefault="009011DE" w:rsidP="00BA08B9">
      <w:pPr>
        <w:spacing w:line="360" w:lineRule="auto"/>
        <w:jc w:val="both"/>
        <w:rPr>
          <w:rFonts w:ascii="Arial" w:hAnsi="Arial" w:cs="Arial"/>
          <w:sz w:val="24"/>
          <w:szCs w:val="24"/>
        </w:rPr>
      </w:pPr>
    </w:p>
    <w:p w14:paraId="57858B15" w14:textId="77777777" w:rsidR="009011DE" w:rsidRDefault="009011DE" w:rsidP="00BA08B9">
      <w:pPr>
        <w:spacing w:line="360" w:lineRule="auto"/>
        <w:jc w:val="both"/>
        <w:rPr>
          <w:rFonts w:ascii="Arial" w:hAnsi="Arial" w:cs="Arial"/>
          <w:sz w:val="24"/>
          <w:szCs w:val="24"/>
        </w:rPr>
      </w:pPr>
    </w:p>
    <w:p w14:paraId="6BDA7CEE" w14:textId="77777777" w:rsidR="009011DE" w:rsidRDefault="009011DE" w:rsidP="00BA08B9">
      <w:pPr>
        <w:spacing w:line="360" w:lineRule="auto"/>
        <w:jc w:val="both"/>
        <w:rPr>
          <w:rFonts w:ascii="Arial" w:hAnsi="Arial" w:cs="Arial"/>
          <w:sz w:val="24"/>
          <w:szCs w:val="24"/>
        </w:rPr>
      </w:pPr>
    </w:p>
    <w:p w14:paraId="0D59B0C2" w14:textId="77777777" w:rsidR="00CB1C75" w:rsidRDefault="00CB1C75" w:rsidP="00BA08B9">
      <w:pPr>
        <w:spacing w:line="360" w:lineRule="auto"/>
        <w:jc w:val="both"/>
        <w:rPr>
          <w:rFonts w:ascii="Arial" w:hAnsi="Arial" w:cs="Arial"/>
          <w:sz w:val="24"/>
          <w:szCs w:val="24"/>
        </w:rPr>
      </w:pPr>
    </w:p>
    <w:p w14:paraId="4437329C" w14:textId="77777777" w:rsidR="00F377B9" w:rsidRDefault="00F377B9" w:rsidP="00BA08B9">
      <w:pPr>
        <w:spacing w:line="360" w:lineRule="auto"/>
        <w:jc w:val="both"/>
        <w:rPr>
          <w:rFonts w:ascii="Arial" w:hAnsi="Arial" w:cs="Arial"/>
          <w:sz w:val="24"/>
          <w:szCs w:val="24"/>
        </w:rPr>
      </w:pPr>
    </w:p>
    <w:p w14:paraId="72FB0038" w14:textId="77777777" w:rsidR="00F377B9" w:rsidRDefault="00F377B9" w:rsidP="00BA08B9">
      <w:pPr>
        <w:spacing w:line="360" w:lineRule="auto"/>
        <w:jc w:val="both"/>
        <w:rPr>
          <w:rFonts w:ascii="Arial" w:hAnsi="Arial" w:cs="Arial"/>
          <w:sz w:val="24"/>
          <w:szCs w:val="24"/>
        </w:rPr>
      </w:pPr>
    </w:p>
    <w:p w14:paraId="33371307" w14:textId="77777777" w:rsidR="00F377B9" w:rsidRDefault="00F377B9" w:rsidP="00BA08B9">
      <w:pPr>
        <w:spacing w:line="360" w:lineRule="auto"/>
        <w:jc w:val="both"/>
        <w:rPr>
          <w:rFonts w:ascii="Arial" w:hAnsi="Arial" w:cs="Arial"/>
          <w:sz w:val="24"/>
          <w:szCs w:val="24"/>
        </w:rPr>
      </w:pPr>
    </w:p>
    <w:p w14:paraId="07D3C558" w14:textId="77777777" w:rsidR="00F377B9" w:rsidRDefault="00F377B9" w:rsidP="00BA08B9">
      <w:pPr>
        <w:spacing w:line="360" w:lineRule="auto"/>
        <w:jc w:val="both"/>
        <w:rPr>
          <w:rFonts w:ascii="Arial" w:hAnsi="Arial" w:cs="Arial"/>
          <w:sz w:val="24"/>
          <w:szCs w:val="24"/>
        </w:rPr>
      </w:pPr>
    </w:p>
    <w:p w14:paraId="428C7AFE" w14:textId="77777777" w:rsidR="00F377B9" w:rsidRDefault="00F377B9" w:rsidP="00BA08B9">
      <w:pPr>
        <w:spacing w:line="360" w:lineRule="auto"/>
        <w:jc w:val="both"/>
        <w:rPr>
          <w:rFonts w:ascii="Arial" w:hAnsi="Arial" w:cs="Arial"/>
          <w:sz w:val="24"/>
          <w:szCs w:val="24"/>
        </w:rPr>
      </w:pPr>
    </w:p>
    <w:p w14:paraId="08D208E4" w14:textId="77777777" w:rsidR="00F377B9" w:rsidRDefault="00F377B9" w:rsidP="00BA08B9">
      <w:pPr>
        <w:spacing w:line="360" w:lineRule="auto"/>
        <w:jc w:val="both"/>
        <w:rPr>
          <w:rFonts w:ascii="Arial" w:hAnsi="Arial" w:cs="Arial"/>
          <w:sz w:val="24"/>
          <w:szCs w:val="24"/>
        </w:rPr>
      </w:pPr>
    </w:p>
    <w:p w14:paraId="6473550D" w14:textId="77777777" w:rsidR="00F377B9" w:rsidRDefault="00F377B9" w:rsidP="00BA08B9">
      <w:pPr>
        <w:spacing w:line="360" w:lineRule="auto"/>
        <w:jc w:val="both"/>
        <w:rPr>
          <w:rFonts w:ascii="Arial" w:hAnsi="Arial" w:cs="Arial"/>
          <w:sz w:val="24"/>
          <w:szCs w:val="24"/>
        </w:rPr>
      </w:pPr>
    </w:p>
    <w:p w14:paraId="2D4236F9" w14:textId="77777777" w:rsidR="00CB1C75" w:rsidRDefault="00CB1C75" w:rsidP="00BA08B9">
      <w:pPr>
        <w:spacing w:line="360" w:lineRule="auto"/>
        <w:jc w:val="both"/>
        <w:rPr>
          <w:rFonts w:ascii="Arial" w:hAnsi="Arial" w:cs="Arial"/>
          <w:sz w:val="24"/>
          <w:szCs w:val="24"/>
        </w:rPr>
      </w:pPr>
    </w:p>
    <w:p w14:paraId="3CDAF599" w14:textId="77777777" w:rsidR="00CB1C75" w:rsidRDefault="00CB1C75" w:rsidP="00BA08B9">
      <w:pPr>
        <w:spacing w:line="360" w:lineRule="auto"/>
        <w:jc w:val="both"/>
        <w:rPr>
          <w:rFonts w:ascii="Arial" w:hAnsi="Arial" w:cs="Arial"/>
          <w:sz w:val="24"/>
          <w:szCs w:val="24"/>
        </w:rPr>
      </w:pPr>
    </w:p>
    <w:p w14:paraId="27EC7322" w14:textId="77777777" w:rsidR="00CB1C75" w:rsidRPr="00BA08B9" w:rsidRDefault="00CB1C75" w:rsidP="00BA08B9">
      <w:pPr>
        <w:spacing w:line="360" w:lineRule="auto"/>
        <w:jc w:val="both"/>
        <w:rPr>
          <w:rFonts w:ascii="Arial" w:hAnsi="Arial" w:cs="Arial"/>
          <w:sz w:val="24"/>
          <w:szCs w:val="24"/>
        </w:rPr>
      </w:pPr>
    </w:p>
    <w:p w14:paraId="714E3FA1" w14:textId="6F180D1A" w:rsidR="00D2316F" w:rsidRDefault="00D2316F" w:rsidP="00BA08B9">
      <w:pPr>
        <w:pStyle w:val="Heading1"/>
        <w:spacing w:line="360" w:lineRule="auto"/>
        <w:jc w:val="both"/>
        <w:rPr>
          <w:rFonts w:ascii="Arial" w:hAnsi="Arial" w:cs="Arial"/>
          <w:b/>
          <w:bCs/>
          <w:sz w:val="24"/>
          <w:szCs w:val="24"/>
        </w:rPr>
      </w:pPr>
      <w:bookmarkStart w:id="16" w:name="_Toc152178735"/>
      <w:r w:rsidRPr="00BA08B9">
        <w:rPr>
          <w:rFonts w:ascii="Arial" w:hAnsi="Arial" w:cs="Arial"/>
          <w:b/>
          <w:bCs/>
          <w:sz w:val="24"/>
          <w:szCs w:val="24"/>
        </w:rPr>
        <w:lastRenderedPageBreak/>
        <w:t>References</w:t>
      </w:r>
      <w:bookmarkEnd w:id="16"/>
    </w:p>
    <w:p w14:paraId="622E9514" w14:textId="77777777" w:rsidR="009011DE" w:rsidRPr="008067E1" w:rsidRDefault="009011DE" w:rsidP="00D04DBE">
      <w:pPr>
        <w:spacing w:after="240" w:line="360" w:lineRule="auto"/>
        <w:rPr>
          <w:rFonts w:ascii="Arial" w:eastAsia="Times New Roman" w:hAnsi="Arial" w:cs="Arial"/>
          <w:color w:val="000000" w:themeColor="text1"/>
          <w:kern w:val="0"/>
          <w:sz w:val="24"/>
          <w:szCs w:val="24"/>
          <w:lang w:val="en-IN" w:eastAsia="en-IN"/>
          <w14:ligatures w14:val="none"/>
        </w:rPr>
      </w:pPr>
      <w:r w:rsidRPr="008067E1">
        <w:rPr>
          <w:rFonts w:ascii="Arial" w:eastAsia="Times New Roman" w:hAnsi="Arial" w:cs="Arial"/>
          <w:color w:val="000000" w:themeColor="text1"/>
          <w:kern w:val="0"/>
          <w:sz w:val="24"/>
          <w:szCs w:val="24"/>
          <w:lang w:val="en-IN" w:eastAsia="en-IN"/>
          <w14:ligatures w14:val="none"/>
        </w:rPr>
        <w:t xml:space="preserve">Amboy-Biller, L.R. (2022) </w:t>
      </w:r>
      <w:r w:rsidRPr="008067E1">
        <w:rPr>
          <w:rFonts w:ascii="Arial" w:eastAsia="Times New Roman" w:hAnsi="Arial" w:cs="Arial"/>
          <w:i/>
          <w:iCs/>
          <w:color w:val="000000" w:themeColor="text1"/>
          <w:kern w:val="0"/>
          <w:sz w:val="24"/>
          <w:szCs w:val="24"/>
          <w:lang w:val="en-IN" w:eastAsia="en-IN"/>
          <w14:ligatures w14:val="none"/>
        </w:rPr>
        <w:t>Bridging the Gap between Academia and Industry: A Program Evaluation on University-Industry Collaboration</w:t>
      </w:r>
      <w:r w:rsidRPr="008067E1">
        <w:rPr>
          <w:rFonts w:ascii="Arial" w:eastAsia="Times New Roman" w:hAnsi="Arial" w:cs="Arial"/>
          <w:color w:val="000000" w:themeColor="text1"/>
          <w:kern w:val="0"/>
          <w:sz w:val="24"/>
          <w:szCs w:val="24"/>
          <w:lang w:val="en-IN" w:eastAsia="en-IN"/>
          <w14:ligatures w14:val="none"/>
        </w:rPr>
        <w:t xml:space="preserve"> (Doctoral dissertation, University of South Florida).</w:t>
      </w:r>
    </w:p>
    <w:p w14:paraId="301A0C04"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r w:rsidRPr="008067E1">
        <w:rPr>
          <w:rFonts w:ascii="Arial" w:hAnsi="Arial" w:cs="Arial"/>
          <w:color w:val="000000" w:themeColor="text1"/>
        </w:rPr>
        <w:t xml:space="preserve">Baid, V. and Jayaraman, V. (2022) 'Amplifying and promoting the “S” in ESG investing: the case for social responsibility in supply chain financing,' </w:t>
      </w:r>
      <w:r w:rsidRPr="008067E1">
        <w:rPr>
          <w:rFonts w:ascii="Arial" w:hAnsi="Arial" w:cs="Arial"/>
          <w:i/>
          <w:iCs/>
          <w:color w:val="000000" w:themeColor="text1"/>
        </w:rPr>
        <w:t>Managerial Finance</w:t>
      </w:r>
      <w:r w:rsidRPr="008067E1">
        <w:rPr>
          <w:rFonts w:ascii="Arial" w:hAnsi="Arial" w:cs="Arial"/>
          <w:color w:val="000000" w:themeColor="text1"/>
        </w:rPr>
        <w:t>, 48(8), pp. 1279–1297. https://doi.org/10.1108/mf-12-2021-0588.</w:t>
      </w:r>
    </w:p>
    <w:p w14:paraId="724BB092"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Binder, J.F. </w:t>
      </w:r>
      <w:r>
        <w:rPr>
          <w:rFonts w:ascii="Arial" w:hAnsi="Arial" w:cs="Arial"/>
          <w:i/>
          <w:iCs/>
        </w:rPr>
        <w:t>et al.</w:t>
      </w:r>
      <w:r>
        <w:rPr>
          <w:rFonts w:ascii="Arial" w:hAnsi="Arial" w:cs="Arial"/>
        </w:rPr>
        <w:t xml:space="preserve"> (2015) 'The academic value of internships: Benefits across disciplines and student backgrounds,' </w:t>
      </w:r>
      <w:r>
        <w:rPr>
          <w:rFonts w:ascii="Arial" w:hAnsi="Arial" w:cs="Arial"/>
          <w:i/>
          <w:iCs/>
        </w:rPr>
        <w:t>Contemporary Educational Psychology</w:t>
      </w:r>
      <w:r>
        <w:rPr>
          <w:rFonts w:ascii="Arial" w:hAnsi="Arial" w:cs="Arial"/>
        </w:rPr>
        <w:t>, 41, pp. 73–82. https://doi.org/10.1016/j.cedpsych.2014.12.001.</w:t>
      </w:r>
    </w:p>
    <w:p w14:paraId="5CC1B6F1"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Chang, </w:t>
      </w:r>
      <w:proofErr w:type="gramStart"/>
      <w:r>
        <w:rPr>
          <w:rFonts w:ascii="Arial" w:hAnsi="Arial" w:cs="Arial"/>
        </w:rPr>
        <w:t>Y.</w:t>
      </w:r>
      <w:proofErr w:type="gramEnd"/>
      <w:r>
        <w:rPr>
          <w:rFonts w:ascii="Arial" w:hAnsi="Arial" w:cs="Arial"/>
        </w:rPr>
        <w:t xml:space="preserve"> and Lee, B.H. (2022) 'The Impact of ESG activities on firm Value: Multi-Level Analysis of Industrial Characteristics,' </w:t>
      </w:r>
      <w:r>
        <w:rPr>
          <w:rFonts w:ascii="Arial" w:hAnsi="Arial" w:cs="Arial"/>
          <w:i/>
          <w:iCs/>
        </w:rPr>
        <w:t>Sustainability</w:t>
      </w:r>
      <w:r>
        <w:rPr>
          <w:rFonts w:ascii="Arial" w:hAnsi="Arial" w:cs="Arial"/>
        </w:rPr>
        <w:t>, 14(21), p. 14444. https://doi.org/10.3390/su142114444.</w:t>
      </w:r>
    </w:p>
    <w:p w14:paraId="0E941698"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r w:rsidRPr="008067E1">
        <w:rPr>
          <w:rFonts w:ascii="Arial" w:hAnsi="Arial" w:cs="Arial"/>
          <w:color w:val="000000" w:themeColor="text1"/>
        </w:rPr>
        <w:t xml:space="preserve">Christina, G. and Gürsoy, D. (2009) 'How to help your graduates secure better jobs? An industry perspective,' </w:t>
      </w:r>
      <w:r w:rsidRPr="008067E1">
        <w:rPr>
          <w:rFonts w:ascii="Arial" w:hAnsi="Arial" w:cs="Arial"/>
          <w:i/>
          <w:iCs/>
          <w:color w:val="000000" w:themeColor="text1"/>
        </w:rPr>
        <w:t>International Journal of Contemporary Hospitality Management</w:t>
      </w:r>
      <w:r w:rsidRPr="008067E1">
        <w:rPr>
          <w:rFonts w:ascii="Arial" w:hAnsi="Arial" w:cs="Arial"/>
          <w:color w:val="000000" w:themeColor="text1"/>
        </w:rPr>
        <w:t>, 21(3), pp. 308–322. https://doi.org/10.1108/09596110910948314.</w:t>
      </w:r>
    </w:p>
    <w:p w14:paraId="62336CEE" w14:textId="77777777" w:rsidR="009011DE" w:rsidRPr="008067E1" w:rsidRDefault="009011DE" w:rsidP="00D04DBE">
      <w:pPr>
        <w:spacing w:after="240" w:line="360" w:lineRule="auto"/>
        <w:rPr>
          <w:rFonts w:ascii="Arial" w:hAnsi="Arial" w:cs="Arial"/>
          <w:color w:val="000000" w:themeColor="text1"/>
          <w:sz w:val="24"/>
          <w:szCs w:val="24"/>
        </w:rPr>
      </w:pPr>
      <w:r w:rsidRPr="008067E1">
        <w:rPr>
          <w:rFonts w:ascii="Arial" w:hAnsi="Arial" w:cs="Arial"/>
          <w:color w:val="000000" w:themeColor="text1"/>
          <w:sz w:val="24"/>
          <w:szCs w:val="24"/>
        </w:rPr>
        <w:t xml:space="preserve">Coelho, G.D.S. (2023) </w:t>
      </w:r>
      <w:r w:rsidRPr="008067E1">
        <w:rPr>
          <w:rFonts w:ascii="Arial" w:hAnsi="Arial" w:cs="Arial"/>
          <w:i/>
          <w:iCs/>
          <w:color w:val="000000" w:themeColor="text1"/>
          <w:sz w:val="24"/>
          <w:szCs w:val="24"/>
        </w:rPr>
        <w:t>ESG is in the eye of the beholder</w:t>
      </w:r>
      <w:r w:rsidRPr="008067E1">
        <w:rPr>
          <w:rFonts w:ascii="Arial" w:hAnsi="Arial" w:cs="Arial"/>
          <w:color w:val="000000" w:themeColor="text1"/>
          <w:sz w:val="24"/>
          <w:szCs w:val="24"/>
        </w:rPr>
        <w:t xml:space="preserve"> (Doctoral dissertation). </w:t>
      </w:r>
      <w:hyperlink r:id="rId8" w:history="1">
        <w:r w:rsidRPr="008067E1">
          <w:rPr>
            <w:rStyle w:val="Hyperlink"/>
            <w:rFonts w:ascii="Arial" w:hAnsi="Arial" w:cs="Arial"/>
            <w:color w:val="000000" w:themeColor="text1"/>
            <w:sz w:val="24"/>
            <w:szCs w:val="24"/>
          </w:rPr>
          <w:t>https://run.unl.pt/handle/10362/148926</w:t>
        </w:r>
      </w:hyperlink>
    </w:p>
    <w:p w14:paraId="69E6CAA3"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Di Miceli Da Silveira, A. (2019) 'The employee is always right: employee satisfaction and corporate performance in Brazil,' </w:t>
      </w:r>
      <w:r>
        <w:rPr>
          <w:rFonts w:ascii="Arial" w:hAnsi="Arial" w:cs="Arial"/>
          <w:i/>
          <w:iCs/>
        </w:rPr>
        <w:t xml:space="preserve">RAC: </w:t>
      </w:r>
      <w:proofErr w:type="spellStart"/>
      <w:r>
        <w:rPr>
          <w:rFonts w:ascii="Arial" w:hAnsi="Arial" w:cs="Arial"/>
          <w:i/>
          <w:iCs/>
        </w:rPr>
        <w:t>Revista</w:t>
      </w:r>
      <w:proofErr w:type="spellEnd"/>
      <w:r>
        <w:rPr>
          <w:rFonts w:ascii="Arial" w:hAnsi="Arial" w:cs="Arial"/>
          <w:i/>
          <w:iCs/>
        </w:rPr>
        <w:t xml:space="preserve"> De </w:t>
      </w:r>
      <w:proofErr w:type="spellStart"/>
      <w:r>
        <w:rPr>
          <w:rFonts w:ascii="Arial" w:hAnsi="Arial" w:cs="Arial"/>
          <w:i/>
          <w:iCs/>
        </w:rPr>
        <w:t>Administração</w:t>
      </w:r>
      <w:proofErr w:type="spellEnd"/>
      <w:r>
        <w:rPr>
          <w:rFonts w:ascii="Arial" w:hAnsi="Arial" w:cs="Arial"/>
          <w:i/>
          <w:iCs/>
        </w:rPr>
        <w:t xml:space="preserve"> </w:t>
      </w:r>
      <w:proofErr w:type="spellStart"/>
      <w:r>
        <w:rPr>
          <w:rFonts w:ascii="Arial" w:hAnsi="Arial" w:cs="Arial"/>
          <w:i/>
          <w:iCs/>
        </w:rPr>
        <w:t>Contemporânea</w:t>
      </w:r>
      <w:proofErr w:type="spellEnd"/>
      <w:r>
        <w:rPr>
          <w:rFonts w:ascii="Arial" w:hAnsi="Arial" w:cs="Arial"/>
        </w:rPr>
        <w:t>, 23(6), pp. 739–764. https://doi.org/10.1590/1982-7849rac2019190224.</w:t>
      </w:r>
    </w:p>
    <w:p w14:paraId="55F8C9CC"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Foster, V. and McAdams, C.R. (2009) 'A framework for creating a climate of transparency for professional performance assessment: Fostering student investment in gatekeeping,' </w:t>
      </w:r>
      <w:proofErr w:type="spellStart"/>
      <w:r>
        <w:rPr>
          <w:rFonts w:ascii="Arial" w:hAnsi="Arial" w:cs="Arial"/>
          <w:i/>
          <w:iCs/>
        </w:rPr>
        <w:t>Counselor</w:t>
      </w:r>
      <w:proofErr w:type="spellEnd"/>
      <w:r>
        <w:rPr>
          <w:rFonts w:ascii="Arial" w:hAnsi="Arial" w:cs="Arial"/>
          <w:i/>
          <w:iCs/>
        </w:rPr>
        <w:t xml:space="preserve"> Education and Supervision</w:t>
      </w:r>
      <w:r>
        <w:rPr>
          <w:rFonts w:ascii="Arial" w:hAnsi="Arial" w:cs="Arial"/>
        </w:rPr>
        <w:t>, 48(4), pp. 271–284. https://doi.org/10.1002/j.1556-6978.2009.tb00080.x.</w:t>
      </w:r>
    </w:p>
    <w:p w14:paraId="4462773E"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r w:rsidRPr="008067E1">
        <w:rPr>
          <w:rFonts w:ascii="Arial" w:hAnsi="Arial" w:cs="Arial"/>
          <w:color w:val="000000" w:themeColor="text1"/>
        </w:rPr>
        <w:t>Garcia, A.S., Mendes</w:t>
      </w:r>
      <w:r w:rsidRPr="008067E1">
        <w:rPr>
          <w:rFonts w:ascii="Cambria Math" w:hAnsi="Cambria Math" w:cs="Cambria Math"/>
          <w:color w:val="000000" w:themeColor="text1"/>
        </w:rPr>
        <w:t>‐</w:t>
      </w:r>
      <w:r w:rsidRPr="008067E1">
        <w:rPr>
          <w:rFonts w:ascii="Arial" w:hAnsi="Arial" w:cs="Arial"/>
          <w:color w:val="000000" w:themeColor="text1"/>
        </w:rPr>
        <w:t>Da</w:t>
      </w:r>
      <w:r w:rsidRPr="008067E1">
        <w:rPr>
          <w:rFonts w:ascii="Cambria Math" w:hAnsi="Cambria Math" w:cs="Cambria Math"/>
          <w:color w:val="000000" w:themeColor="text1"/>
        </w:rPr>
        <w:t>‐</w:t>
      </w:r>
      <w:r w:rsidRPr="008067E1">
        <w:rPr>
          <w:rFonts w:ascii="Arial" w:hAnsi="Arial" w:cs="Arial"/>
          <w:color w:val="000000" w:themeColor="text1"/>
        </w:rPr>
        <w:t xml:space="preserve">Silva, W. and Orsato, R.J. (2017) 'Sensitive industries produce better ESG performance: Evidence from emerging markets,' </w:t>
      </w:r>
      <w:r w:rsidRPr="008067E1">
        <w:rPr>
          <w:rFonts w:ascii="Arial" w:hAnsi="Arial" w:cs="Arial"/>
          <w:i/>
          <w:iCs/>
          <w:color w:val="000000" w:themeColor="text1"/>
        </w:rPr>
        <w:t>Journal of Cleaner Production</w:t>
      </w:r>
      <w:r w:rsidRPr="008067E1">
        <w:rPr>
          <w:rFonts w:ascii="Arial" w:hAnsi="Arial" w:cs="Arial"/>
          <w:color w:val="000000" w:themeColor="text1"/>
        </w:rPr>
        <w:t>, 150, pp. 135–147. https://doi.org/10.1016/j.jclepro.2017.02.180.</w:t>
      </w:r>
    </w:p>
    <w:p w14:paraId="10856117"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r w:rsidRPr="008067E1">
        <w:rPr>
          <w:rFonts w:ascii="Arial" w:hAnsi="Arial" w:cs="Arial"/>
          <w:color w:val="000000" w:themeColor="text1"/>
        </w:rPr>
        <w:lastRenderedPageBreak/>
        <w:t xml:space="preserve">Gary, S.N. (2018) 'Best interests in the long term: fiduciary duties and ESG integration,' </w:t>
      </w:r>
      <w:r w:rsidRPr="008067E1">
        <w:rPr>
          <w:rFonts w:ascii="Arial" w:hAnsi="Arial" w:cs="Arial"/>
          <w:i/>
          <w:iCs/>
          <w:color w:val="000000" w:themeColor="text1"/>
        </w:rPr>
        <w:t>Social Science Research Network</w:t>
      </w:r>
      <w:r w:rsidRPr="008067E1">
        <w:rPr>
          <w:rFonts w:ascii="Arial" w:hAnsi="Arial" w:cs="Arial"/>
          <w:color w:val="000000" w:themeColor="text1"/>
        </w:rPr>
        <w:t xml:space="preserve"> [Preprint]. https://doi.org/10.2139/ssrn.3149856.</w:t>
      </w:r>
    </w:p>
    <w:p w14:paraId="67EA617B" w14:textId="77777777" w:rsidR="009011DE" w:rsidRPr="008067E1" w:rsidRDefault="009011DE" w:rsidP="00D04DBE">
      <w:pPr>
        <w:spacing w:after="240" w:line="360" w:lineRule="auto"/>
        <w:rPr>
          <w:rFonts w:ascii="Arial" w:eastAsia="Times New Roman" w:hAnsi="Arial" w:cs="Arial"/>
          <w:color w:val="000000" w:themeColor="text1"/>
          <w:kern w:val="0"/>
          <w:sz w:val="24"/>
          <w:szCs w:val="24"/>
          <w:lang w:val="en-IN" w:eastAsia="en-IN"/>
          <w14:ligatures w14:val="none"/>
        </w:rPr>
      </w:pPr>
      <w:proofErr w:type="spellStart"/>
      <w:r w:rsidRPr="008067E1">
        <w:rPr>
          <w:rFonts w:ascii="Arial" w:eastAsia="Times New Roman" w:hAnsi="Arial" w:cs="Arial"/>
          <w:color w:val="000000" w:themeColor="text1"/>
          <w:kern w:val="0"/>
          <w:sz w:val="24"/>
          <w:szCs w:val="24"/>
          <w:lang w:val="en-IN" w:eastAsia="en-IN"/>
          <w14:ligatures w14:val="none"/>
        </w:rPr>
        <w:t>Herji</w:t>
      </w:r>
      <w:proofErr w:type="spellEnd"/>
      <w:r w:rsidRPr="008067E1">
        <w:rPr>
          <w:rFonts w:ascii="Arial" w:eastAsia="Times New Roman" w:hAnsi="Arial" w:cs="Arial"/>
          <w:color w:val="000000" w:themeColor="text1"/>
          <w:kern w:val="0"/>
          <w:sz w:val="24"/>
          <w:szCs w:val="24"/>
          <w:lang w:val="en-IN" w:eastAsia="en-IN"/>
          <w14:ligatures w14:val="none"/>
        </w:rPr>
        <w:t xml:space="preserve">, N.A. (2018) </w:t>
      </w:r>
      <w:r w:rsidRPr="008067E1">
        <w:rPr>
          <w:rFonts w:ascii="Arial" w:eastAsia="Times New Roman" w:hAnsi="Arial" w:cs="Arial"/>
          <w:i/>
          <w:iCs/>
          <w:color w:val="000000" w:themeColor="text1"/>
          <w:kern w:val="0"/>
          <w:sz w:val="24"/>
          <w:szCs w:val="24"/>
          <w:lang w:val="en-IN" w:eastAsia="en-IN"/>
          <w14:ligatures w14:val="none"/>
        </w:rPr>
        <w:t>How can CSR activities at Mercer’s Lisbon office increase employee motivation?</w:t>
      </w:r>
      <w:r w:rsidRPr="008067E1">
        <w:rPr>
          <w:rFonts w:ascii="Arial" w:eastAsia="Times New Roman" w:hAnsi="Arial" w:cs="Arial"/>
          <w:color w:val="000000" w:themeColor="text1"/>
          <w:kern w:val="0"/>
          <w:sz w:val="24"/>
          <w:szCs w:val="24"/>
          <w:lang w:val="en-IN" w:eastAsia="en-IN"/>
          <w14:ligatures w14:val="none"/>
        </w:rPr>
        <w:t xml:space="preserve"> (Doctoral dissertation).</w:t>
      </w:r>
    </w:p>
    <w:p w14:paraId="25AA9961"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Johnson, R.B., Mans-Kemp, </w:t>
      </w:r>
      <w:proofErr w:type="gramStart"/>
      <w:r>
        <w:rPr>
          <w:rFonts w:ascii="Arial" w:hAnsi="Arial" w:cs="Arial"/>
        </w:rPr>
        <w:t>N.</w:t>
      </w:r>
      <w:proofErr w:type="gramEnd"/>
      <w:r>
        <w:rPr>
          <w:rFonts w:ascii="Arial" w:hAnsi="Arial" w:cs="Arial"/>
        </w:rPr>
        <w:t xml:space="preserve"> and Erasmus, P.D. (2019) 'Assessing the business case for environmental, social and corporate governance practices in South Africa,' </w:t>
      </w:r>
      <w:r>
        <w:rPr>
          <w:rFonts w:ascii="Arial" w:hAnsi="Arial" w:cs="Arial"/>
          <w:i/>
          <w:iCs/>
        </w:rPr>
        <w:t>South African Journal of Economic and Management Sciences</w:t>
      </w:r>
      <w:r>
        <w:rPr>
          <w:rFonts w:ascii="Arial" w:hAnsi="Arial" w:cs="Arial"/>
        </w:rPr>
        <w:t>, 22(1). https://doi.org/10.4102/sajems.v22i1.2727.</w:t>
      </w:r>
    </w:p>
    <w:p w14:paraId="1CCAF515" w14:textId="77777777" w:rsidR="009011DE" w:rsidRPr="008067E1" w:rsidRDefault="009011DE" w:rsidP="00D04DBE">
      <w:pPr>
        <w:spacing w:after="240" w:line="360" w:lineRule="auto"/>
        <w:rPr>
          <w:rFonts w:ascii="Arial" w:eastAsia="Times New Roman" w:hAnsi="Arial" w:cs="Arial"/>
          <w:color w:val="000000" w:themeColor="text1"/>
          <w:kern w:val="0"/>
          <w:sz w:val="24"/>
          <w:szCs w:val="24"/>
          <w:lang w:val="en-IN" w:eastAsia="en-IN"/>
          <w14:ligatures w14:val="none"/>
        </w:rPr>
      </w:pPr>
      <w:proofErr w:type="spellStart"/>
      <w:r w:rsidRPr="008067E1">
        <w:rPr>
          <w:rFonts w:ascii="Arial" w:eastAsia="Times New Roman" w:hAnsi="Arial" w:cs="Arial"/>
          <w:color w:val="000000" w:themeColor="text1"/>
          <w:kern w:val="0"/>
          <w:sz w:val="24"/>
          <w:szCs w:val="24"/>
          <w:lang w:val="en-IN" w:eastAsia="en-IN"/>
          <w14:ligatures w14:val="none"/>
        </w:rPr>
        <w:t>Kaprawi</w:t>
      </w:r>
      <w:proofErr w:type="spellEnd"/>
      <w:r w:rsidRPr="008067E1">
        <w:rPr>
          <w:rFonts w:ascii="Arial" w:eastAsia="Times New Roman" w:hAnsi="Arial" w:cs="Arial"/>
          <w:color w:val="000000" w:themeColor="text1"/>
          <w:kern w:val="0"/>
          <w:sz w:val="24"/>
          <w:szCs w:val="24"/>
          <w:lang w:val="en-IN" w:eastAsia="en-IN"/>
          <w14:ligatures w14:val="none"/>
        </w:rPr>
        <w:t xml:space="preserve">, N., Rasi, R.Z., </w:t>
      </w:r>
      <w:proofErr w:type="spellStart"/>
      <w:r w:rsidRPr="008067E1">
        <w:rPr>
          <w:rFonts w:ascii="Arial" w:eastAsia="Times New Roman" w:hAnsi="Arial" w:cs="Arial"/>
          <w:color w:val="000000" w:themeColor="text1"/>
          <w:kern w:val="0"/>
          <w:sz w:val="24"/>
          <w:szCs w:val="24"/>
          <w:lang w:val="en-IN" w:eastAsia="en-IN"/>
          <w14:ligatures w14:val="none"/>
        </w:rPr>
        <w:t>SpÃ</w:t>
      </w:r>
      <w:proofErr w:type="spellEnd"/>
      <w:r w:rsidRPr="008067E1">
        <w:rPr>
          <w:rFonts w:ascii="Arial" w:eastAsia="Times New Roman" w:hAnsi="Arial" w:cs="Arial"/>
          <w:color w:val="000000" w:themeColor="text1"/>
          <w:kern w:val="0"/>
          <w:sz w:val="24"/>
          <w:szCs w:val="24"/>
          <w:lang w:val="en-IN" w:eastAsia="en-IN"/>
          <w14:ligatures w14:val="none"/>
        </w:rPr>
        <w:t xml:space="preserve">, G., Ismail, A. and </w:t>
      </w:r>
      <w:proofErr w:type="spellStart"/>
      <w:r w:rsidRPr="008067E1">
        <w:rPr>
          <w:rFonts w:ascii="Arial" w:eastAsia="Times New Roman" w:hAnsi="Arial" w:cs="Arial"/>
          <w:color w:val="000000" w:themeColor="text1"/>
          <w:kern w:val="0"/>
          <w:sz w:val="24"/>
          <w:szCs w:val="24"/>
          <w:lang w:val="en-IN" w:eastAsia="en-IN"/>
          <w14:ligatures w14:val="none"/>
        </w:rPr>
        <w:t>Razzaly</w:t>
      </w:r>
      <w:proofErr w:type="spellEnd"/>
      <w:r w:rsidRPr="008067E1">
        <w:rPr>
          <w:rFonts w:ascii="Arial" w:eastAsia="Times New Roman" w:hAnsi="Arial" w:cs="Arial"/>
          <w:color w:val="000000" w:themeColor="text1"/>
          <w:kern w:val="0"/>
          <w:sz w:val="24"/>
          <w:szCs w:val="24"/>
          <w:lang w:val="en-IN" w:eastAsia="en-IN"/>
          <w14:ligatures w14:val="none"/>
        </w:rPr>
        <w:t xml:space="preserve">, W. (2021). Malaysian apprenticeship implementation: issues and challenges towards effective </w:t>
      </w:r>
      <w:proofErr w:type="gramStart"/>
      <w:r w:rsidRPr="008067E1">
        <w:rPr>
          <w:rFonts w:ascii="Arial" w:eastAsia="Times New Roman" w:hAnsi="Arial" w:cs="Arial"/>
          <w:color w:val="000000" w:themeColor="text1"/>
          <w:kern w:val="0"/>
          <w:sz w:val="24"/>
          <w:szCs w:val="24"/>
          <w:lang w:val="en-IN" w:eastAsia="en-IN"/>
          <w14:ligatures w14:val="none"/>
        </w:rPr>
        <w:t>employers</w:t>
      </w:r>
      <w:proofErr w:type="gramEnd"/>
      <w:r w:rsidRPr="008067E1">
        <w:rPr>
          <w:rFonts w:ascii="Arial" w:eastAsia="Times New Roman" w:hAnsi="Arial" w:cs="Arial"/>
          <w:color w:val="000000" w:themeColor="text1"/>
          <w:kern w:val="0"/>
          <w:sz w:val="24"/>
          <w:szCs w:val="24"/>
          <w:lang w:val="en-IN" w:eastAsia="en-IN"/>
          <w14:ligatures w14:val="none"/>
        </w:rPr>
        <w:t xml:space="preserve"> engagement. </w:t>
      </w:r>
      <w:r w:rsidRPr="008067E1">
        <w:rPr>
          <w:rFonts w:ascii="Arial" w:eastAsia="Times New Roman" w:hAnsi="Arial" w:cs="Arial"/>
          <w:i/>
          <w:iCs/>
          <w:color w:val="000000" w:themeColor="text1"/>
          <w:kern w:val="0"/>
          <w:sz w:val="24"/>
          <w:szCs w:val="24"/>
          <w:lang w:val="en-IN" w:eastAsia="en-IN"/>
          <w14:ligatures w14:val="none"/>
        </w:rPr>
        <w:t>Journal of Technical Education and Training</w:t>
      </w:r>
      <w:r w:rsidRPr="008067E1">
        <w:rPr>
          <w:rFonts w:ascii="Arial" w:eastAsia="Times New Roman" w:hAnsi="Arial" w:cs="Arial"/>
          <w:color w:val="000000" w:themeColor="text1"/>
          <w:kern w:val="0"/>
          <w:sz w:val="24"/>
          <w:szCs w:val="24"/>
          <w:lang w:val="en-IN" w:eastAsia="en-IN"/>
          <w14:ligatures w14:val="none"/>
        </w:rPr>
        <w:t xml:space="preserve">, </w:t>
      </w:r>
      <w:r w:rsidRPr="008067E1">
        <w:rPr>
          <w:rFonts w:ascii="Arial" w:eastAsia="Times New Roman" w:hAnsi="Arial" w:cs="Arial"/>
          <w:i/>
          <w:iCs/>
          <w:color w:val="000000" w:themeColor="text1"/>
          <w:kern w:val="0"/>
          <w:sz w:val="24"/>
          <w:szCs w:val="24"/>
          <w:lang w:val="en-IN" w:eastAsia="en-IN"/>
          <w14:ligatures w14:val="none"/>
        </w:rPr>
        <w:t>13</w:t>
      </w:r>
      <w:r w:rsidRPr="008067E1">
        <w:rPr>
          <w:rFonts w:ascii="Arial" w:eastAsia="Times New Roman" w:hAnsi="Arial" w:cs="Arial"/>
          <w:color w:val="000000" w:themeColor="text1"/>
          <w:kern w:val="0"/>
          <w:sz w:val="24"/>
          <w:szCs w:val="24"/>
          <w:lang w:val="en-IN" w:eastAsia="en-IN"/>
          <w14:ligatures w14:val="none"/>
        </w:rPr>
        <w:t>(3), pp.213-224.</w:t>
      </w:r>
    </w:p>
    <w:p w14:paraId="3128EE1D"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proofErr w:type="spellStart"/>
      <w:r w:rsidRPr="008067E1">
        <w:rPr>
          <w:rFonts w:ascii="Arial" w:hAnsi="Arial" w:cs="Arial"/>
          <w:color w:val="000000" w:themeColor="text1"/>
        </w:rPr>
        <w:t>Kotsantonis</w:t>
      </w:r>
      <w:proofErr w:type="spellEnd"/>
      <w:r w:rsidRPr="008067E1">
        <w:rPr>
          <w:rFonts w:ascii="Arial" w:hAnsi="Arial" w:cs="Arial"/>
          <w:color w:val="000000" w:themeColor="text1"/>
        </w:rPr>
        <w:t xml:space="preserve">, S., Pinney, C. and Serafeim, G. (2016) 'ESG integration in Investment Management: Myths and realities,' </w:t>
      </w:r>
      <w:r w:rsidRPr="008067E1">
        <w:rPr>
          <w:rFonts w:ascii="Arial" w:hAnsi="Arial" w:cs="Arial"/>
          <w:i/>
          <w:iCs/>
          <w:color w:val="000000" w:themeColor="text1"/>
        </w:rPr>
        <w:t>Journal of Applied Corporate Finance</w:t>
      </w:r>
      <w:r w:rsidRPr="008067E1">
        <w:rPr>
          <w:rFonts w:ascii="Arial" w:hAnsi="Arial" w:cs="Arial"/>
          <w:color w:val="000000" w:themeColor="text1"/>
        </w:rPr>
        <w:t>, 28(2), pp. 10–16. https://doi.org/10.1111/jacf.12169.</w:t>
      </w:r>
    </w:p>
    <w:p w14:paraId="0A438CF4"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r w:rsidRPr="008067E1">
        <w:rPr>
          <w:rFonts w:ascii="Arial" w:hAnsi="Arial" w:cs="Arial"/>
          <w:color w:val="000000" w:themeColor="text1"/>
        </w:rPr>
        <w:t xml:space="preserve">Lindsay, R. and Martella, R. (2020) </w:t>
      </w:r>
      <w:r w:rsidRPr="008067E1">
        <w:rPr>
          <w:rFonts w:ascii="Arial" w:hAnsi="Arial" w:cs="Arial"/>
          <w:i/>
          <w:iCs/>
          <w:color w:val="000000" w:themeColor="text1"/>
        </w:rPr>
        <w:t>Corporate Social Responsibility – sustainable business: Environmental, Social and Governance Frameworks for the 21st Century</w:t>
      </w:r>
      <w:r w:rsidRPr="008067E1">
        <w:rPr>
          <w:rFonts w:ascii="Arial" w:hAnsi="Arial" w:cs="Arial"/>
          <w:color w:val="000000" w:themeColor="text1"/>
        </w:rPr>
        <w:t>. Kluwer Law International B.V.</w:t>
      </w:r>
    </w:p>
    <w:p w14:paraId="5C832BE1"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Liu, Y., Xu, J. and Weitz, B.A. (2011) 'The role of emotional expression and mentoring in internship learning.,' </w:t>
      </w:r>
      <w:r>
        <w:rPr>
          <w:rFonts w:ascii="Arial" w:hAnsi="Arial" w:cs="Arial"/>
          <w:i/>
          <w:iCs/>
        </w:rPr>
        <w:t>Academy of Management Learning and Education</w:t>
      </w:r>
      <w:r>
        <w:rPr>
          <w:rFonts w:ascii="Arial" w:hAnsi="Arial" w:cs="Arial"/>
        </w:rPr>
        <w:t>, 10(1), pp. 94–110. https://doi.org/10.5465/amle.2011.59513275.</w:t>
      </w:r>
    </w:p>
    <w:p w14:paraId="2F373C44"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Mohammad, W.M.W. and </w:t>
      </w:r>
      <w:proofErr w:type="spellStart"/>
      <w:r>
        <w:rPr>
          <w:rFonts w:ascii="Arial" w:hAnsi="Arial" w:cs="Arial"/>
        </w:rPr>
        <w:t>Wasiuzzaman</w:t>
      </w:r>
      <w:proofErr w:type="spellEnd"/>
      <w:r>
        <w:rPr>
          <w:rFonts w:ascii="Arial" w:hAnsi="Arial" w:cs="Arial"/>
        </w:rPr>
        <w:t xml:space="preserve">, S. (2021) 'Environmental, Social and Governance (ESG) disclosure, competitive advantage and performance of firms in Malaysia,' </w:t>
      </w:r>
      <w:r>
        <w:rPr>
          <w:rFonts w:ascii="Arial" w:hAnsi="Arial" w:cs="Arial"/>
          <w:i/>
          <w:iCs/>
        </w:rPr>
        <w:t>Cleaner Environmental Systems</w:t>
      </w:r>
      <w:r>
        <w:rPr>
          <w:rFonts w:ascii="Arial" w:hAnsi="Arial" w:cs="Arial"/>
        </w:rPr>
        <w:t>, 2, p. 100015. https://doi.org/10.1016/j.cesys.2021.100015.</w:t>
      </w:r>
    </w:p>
    <w:p w14:paraId="750FDB42" w14:textId="77777777" w:rsidR="009011DE" w:rsidRPr="008067E1" w:rsidRDefault="009011DE" w:rsidP="00D04DBE">
      <w:pPr>
        <w:spacing w:after="240" w:line="360" w:lineRule="auto"/>
        <w:rPr>
          <w:rFonts w:ascii="Arial" w:eastAsia="Times New Roman" w:hAnsi="Arial" w:cs="Arial"/>
          <w:color w:val="000000" w:themeColor="text1"/>
          <w:kern w:val="0"/>
          <w:sz w:val="24"/>
          <w:szCs w:val="24"/>
          <w:lang w:val="en-IN" w:eastAsia="en-IN"/>
          <w14:ligatures w14:val="none"/>
        </w:rPr>
      </w:pPr>
      <w:r w:rsidRPr="008067E1">
        <w:rPr>
          <w:rFonts w:ascii="Arial" w:eastAsia="Times New Roman" w:hAnsi="Arial" w:cs="Arial"/>
          <w:color w:val="000000" w:themeColor="text1"/>
          <w:kern w:val="0"/>
          <w:sz w:val="24"/>
          <w:szCs w:val="24"/>
          <w:lang w:val="en-IN" w:eastAsia="en-IN"/>
          <w14:ligatures w14:val="none"/>
        </w:rPr>
        <w:t xml:space="preserve">O'Neill, N. (2010) 'Internships as a high-impact practice: some reflections on quality', </w:t>
      </w:r>
      <w:r w:rsidRPr="008067E1">
        <w:rPr>
          <w:rFonts w:ascii="Arial" w:eastAsia="Times New Roman" w:hAnsi="Arial" w:cs="Arial"/>
          <w:i/>
          <w:iCs/>
          <w:color w:val="000000" w:themeColor="text1"/>
          <w:kern w:val="0"/>
          <w:sz w:val="24"/>
          <w:szCs w:val="24"/>
          <w:lang w:val="en-IN" w:eastAsia="en-IN"/>
          <w14:ligatures w14:val="none"/>
        </w:rPr>
        <w:t>Peer Review</w:t>
      </w:r>
      <w:r w:rsidRPr="008067E1">
        <w:rPr>
          <w:rFonts w:ascii="Arial" w:eastAsia="Times New Roman" w:hAnsi="Arial" w:cs="Arial"/>
          <w:color w:val="000000" w:themeColor="text1"/>
          <w:kern w:val="0"/>
          <w:sz w:val="24"/>
          <w:szCs w:val="24"/>
          <w:lang w:val="en-IN" w:eastAsia="en-IN"/>
          <w14:ligatures w14:val="none"/>
        </w:rPr>
        <w:t>, 12(4), 4+, available: https://link.gale.com/apps/doc/A245740014/AONE?u=anon~a6600ddb&amp;sid=googleScholar&amp;xid=0497ed30 [accessed 08 Nov 2023].</w:t>
      </w:r>
    </w:p>
    <w:p w14:paraId="7C5B7C04" w14:textId="77777777" w:rsidR="009011DE" w:rsidRPr="008067E1" w:rsidRDefault="009011DE" w:rsidP="00D04DBE">
      <w:pPr>
        <w:spacing w:after="240" w:line="360" w:lineRule="auto"/>
        <w:rPr>
          <w:rFonts w:ascii="Arial" w:eastAsia="Times New Roman" w:hAnsi="Arial" w:cs="Arial"/>
          <w:color w:val="000000" w:themeColor="text1"/>
          <w:kern w:val="0"/>
          <w:sz w:val="24"/>
          <w:szCs w:val="24"/>
          <w:lang w:val="en-IN" w:eastAsia="en-IN"/>
          <w14:ligatures w14:val="none"/>
        </w:rPr>
      </w:pPr>
      <w:r w:rsidRPr="008067E1">
        <w:rPr>
          <w:rFonts w:ascii="Arial" w:eastAsia="Times New Roman" w:hAnsi="Arial" w:cs="Arial"/>
          <w:color w:val="000000" w:themeColor="text1"/>
          <w:kern w:val="0"/>
          <w:sz w:val="24"/>
          <w:szCs w:val="24"/>
          <w:lang w:val="en-IN" w:eastAsia="en-IN"/>
          <w14:ligatures w14:val="none"/>
        </w:rPr>
        <w:lastRenderedPageBreak/>
        <w:t xml:space="preserve">Pollman, E. (2019) Corporate social responsibility, ESG, and compliance. </w:t>
      </w:r>
      <w:r w:rsidRPr="008067E1">
        <w:rPr>
          <w:rFonts w:ascii="Arial" w:eastAsia="Times New Roman" w:hAnsi="Arial" w:cs="Arial"/>
          <w:i/>
          <w:iCs/>
          <w:color w:val="000000" w:themeColor="text1"/>
          <w:kern w:val="0"/>
          <w:sz w:val="24"/>
          <w:szCs w:val="24"/>
          <w:lang w:val="en-IN" w:eastAsia="en-IN"/>
          <w14:ligatures w14:val="none"/>
        </w:rPr>
        <w:t xml:space="preserve">Forthcoming, Cambridge Handbook of Compliance (D. Daniel Sokol &amp; Benjamin van </w:t>
      </w:r>
      <w:proofErr w:type="spellStart"/>
      <w:r w:rsidRPr="008067E1">
        <w:rPr>
          <w:rFonts w:ascii="Arial" w:eastAsia="Times New Roman" w:hAnsi="Arial" w:cs="Arial"/>
          <w:i/>
          <w:iCs/>
          <w:color w:val="000000" w:themeColor="text1"/>
          <w:kern w:val="0"/>
          <w:sz w:val="24"/>
          <w:szCs w:val="24"/>
          <w:lang w:val="en-IN" w:eastAsia="en-IN"/>
          <w14:ligatures w14:val="none"/>
        </w:rPr>
        <w:t>Rooij</w:t>
      </w:r>
      <w:proofErr w:type="spellEnd"/>
      <w:r w:rsidRPr="008067E1">
        <w:rPr>
          <w:rFonts w:ascii="Arial" w:eastAsia="Times New Roman" w:hAnsi="Arial" w:cs="Arial"/>
          <w:i/>
          <w:iCs/>
          <w:color w:val="000000" w:themeColor="text1"/>
          <w:kern w:val="0"/>
          <w:sz w:val="24"/>
          <w:szCs w:val="24"/>
          <w:lang w:val="en-IN" w:eastAsia="en-IN"/>
          <w14:ligatures w14:val="none"/>
        </w:rPr>
        <w:t xml:space="preserve"> eds.), Loyola Law School, Los Angeles Legal Studies Research Paper</w:t>
      </w:r>
      <w:r w:rsidRPr="008067E1">
        <w:rPr>
          <w:rFonts w:ascii="Arial" w:eastAsia="Times New Roman" w:hAnsi="Arial" w:cs="Arial"/>
          <w:color w:val="000000" w:themeColor="text1"/>
          <w:kern w:val="0"/>
          <w:sz w:val="24"/>
          <w:szCs w:val="24"/>
          <w:lang w:val="en-IN" w:eastAsia="en-IN"/>
          <w14:ligatures w14:val="none"/>
        </w:rPr>
        <w:t>, (2019-35).</w:t>
      </w:r>
    </w:p>
    <w:p w14:paraId="5CB1AE32" w14:textId="77777777" w:rsidR="009011DE" w:rsidRDefault="009011DE" w:rsidP="00D04DBE">
      <w:pPr>
        <w:pStyle w:val="NormalWeb"/>
        <w:spacing w:before="0" w:beforeAutospacing="0" w:after="240" w:afterAutospacing="0" w:line="360" w:lineRule="auto"/>
        <w:rPr>
          <w:rFonts w:ascii="Arial" w:hAnsi="Arial" w:cs="Arial"/>
          <w:color w:val="000000" w:themeColor="text1"/>
        </w:rPr>
      </w:pPr>
      <w:r w:rsidRPr="008067E1">
        <w:rPr>
          <w:rFonts w:ascii="Arial" w:hAnsi="Arial" w:cs="Arial"/>
          <w:color w:val="000000" w:themeColor="text1"/>
        </w:rPr>
        <w:t xml:space="preserve">Renuga, M. and Ezhilan, S. (2014) 'Developing career skills of professional students through Student Mentees - Alumni Mentoring Program,' </w:t>
      </w:r>
      <w:r w:rsidRPr="008067E1">
        <w:rPr>
          <w:rFonts w:ascii="Arial" w:hAnsi="Arial" w:cs="Arial"/>
          <w:i/>
          <w:iCs/>
          <w:color w:val="000000" w:themeColor="text1"/>
        </w:rPr>
        <w:t>The Anthropologist</w:t>
      </w:r>
      <w:r w:rsidRPr="008067E1">
        <w:rPr>
          <w:rFonts w:ascii="Arial" w:hAnsi="Arial" w:cs="Arial"/>
          <w:color w:val="000000" w:themeColor="text1"/>
        </w:rPr>
        <w:t xml:space="preserve">, 18(3), pp. 705–716. </w:t>
      </w:r>
      <w:hyperlink r:id="rId9" w:history="1">
        <w:r w:rsidRPr="00E14A24">
          <w:rPr>
            <w:rStyle w:val="Hyperlink"/>
            <w:rFonts w:ascii="Arial" w:hAnsi="Arial" w:cs="Arial"/>
          </w:rPr>
          <w:t>https://doi.org/10.1080/09720073.2014.11891601</w:t>
        </w:r>
      </w:hyperlink>
      <w:r w:rsidRPr="008067E1">
        <w:rPr>
          <w:rFonts w:ascii="Arial" w:hAnsi="Arial" w:cs="Arial"/>
          <w:color w:val="000000" w:themeColor="text1"/>
        </w:rPr>
        <w:t>.</w:t>
      </w:r>
    </w:p>
    <w:p w14:paraId="2774A109"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Rothman, M. and </w:t>
      </w:r>
      <w:proofErr w:type="spellStart"/>
      <w:r>
        <w:rPr>
          <w:rFonts w:ascii="Arial" w:hAnsi="Arial" w:cs="Arial"/>
        </w:rPr>
        <w:t>Sisman</w:t>
      </w:r>
      <w:proofErr w:type="spellEnd"/>
      <w:r>
        <w:rPr>
          <w:rFonts w:ascii="Arial" w:hAnsi="Arial" w:cs="Arial"/>
        </w:rPr>
        <w:t xml:space="preserve">, R. (2016) 'Internship impact on career consideration among business students,' </w:t>
      </w:r>
      <w:r>
        <w:rPr>
          <w:rFonts w:ascii="Arial" w:hAnsi="Arial" w:cs="Arial"/>
          <w:i/>
          <w:iCs/>
        </w:rPr>
        <w:t>Journal of Education and Training</w:t>
      </w:r>
      <w:r>
        <w:rPr>
          <w:rFonts w:ascii="Arial" w:hAnsi="Arial" w:cs="Arial"/>
        </w:rPr>
        <w:t>, 58(9), pp. 1003–1013. https://doi.org/10.1108/et-04-2015-0027.</w:t>
      </w:r>
    </w:p>
    <w:p w14:paraId="4052AD30"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Velte, P. (2017) 'Does ESG performance have an impact on financial performance? Evidence from Germany,' </w:t>
      </w:r>
      <w:r>
        <w:rPr>
          <w:rFonts w:ascii="Arial" w:hAnsi="Arial" w:cs="Arial"/>
          <w:i/>
          <w:iCs/>
        </w:rPr>
        <w:t>Journal of Global Responsibility</w:t>
      </w:r>
      <w:r>
        <w:rPr>
          <w:rFonts w:ascii="Arial" w:hAnsi="Arial" w:cs="Arial"/>
        </w:rPr>
        <w:t>, 8(2), pp. 169–178. https://doi.org/10.1108/jgr-11-2016-0029.</w:t>
      </w:r>
    </w:p>
    <w:p w14:paraId="3ECAD8E3" w14:textId="77777777" w:rsidR="009011DE" w:rsidRDefault="009011DE" w:rsidP="009011DE">
      <w:pPr>
        <w:pStyle w:val="NormalWeb"/>
        <w:spacing w:before="0" w:beforeAutospacing="0" w:after="240" w:afterAutospacing="0" w:line="360" w:lineRule="auto"/>
        <w:rPr>
          <w:rFonts w:ascii="Arial" w:hAnsi="Arial" w:cs="Arial"/>
        </w:rPr>
      </w:pPr>
      <w:r>
        <w:rPr>
          <w:rFonts w:ascii="Arial" w:hAnsi="Arial" w:cs="Arial"/>
        </w:rPr>
        <w:t xml:space="preserve">Zehr, S.M. and Korte, R. (2020) 'Student internship experiences: learning about the workplace,' </w:t>
      </w:r>
      <w:r>
        <w:rPr>
          <w:rFonts w:ascii="Arial" w:hAnsi="Arial" w:cs="Arial"/>
          <w:i/>
          <w:iCs/>
        </w:rPr>
        <w:t>Journal of Education and Training</w:t>
      </w:r>
      <w:r>
        <w:rPr>
          <w:rFonts w:ascii="Arial" w:hAnsi="Arial" w:cs="Arial"/>
        </w:rPr>
        <w:t>, 62(3), pp. 311–324. https://doi.org/10.1108/et-11-2018-0236.</w:t>
      </w:r>
    </w:p>
    <w:p w14:paraId="5393EC71" w14:textId="77777777" w:rsidR="009011DE" w:rsidRPr="008067E1" w:rsidRDefault="009011DE" w:rsidP="00D04DBE">
      <w:pPr>
        <w:pStyle w:val="NormalWeb"/>
        <w:spacing w:before="0" w:beforeAutospacing="0" w:after="240" w:afterAutospacing="0" w:line="360" w:lineRule="auto"/>
        <w:rPr>
          <w:rFonts w:ascii="Arial" w:hAnsi="Arial" w:cs="Arial"/>
          <w:color w:val="000000" w:themeColor="text1"/>
        </w:rPr>
      </w:pPr>
    </w:p>
    <w:p w14:paraId="6A2A66AC" w14:textId="77777777" w:rsidR="00D04DBE" w:rsidRPr="00D04DBE" w:rsidRDefault="00D04DBE" w:rsidP="00D04DBE"/>
    <w:sectPr w:rsidR="00D04DBE" w:rsidRPr="00D04DB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BA7F9" w14:textId="77777777" w:rsidR="00C04637" w:rsidRDefault="00C04637" w:rsidP="00BA08B9">
      <w:pPr>
        <w:spacing w:after="0" w:line="240" w:lineRule="auto"/>
      </w:pPr>
      <w:r>
        <w:separator/>
      </w:r>
    </w:p>
  </w:endnote>
  <w:endnote w:type="continuationSeparator" w:id="0">
    <w:p w14:paraId="106B5951" w14:textId="77777777" w:rsidR="00C04637" w:rsidRDefault="00C04637" w:rsidP="00BA0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3888493"/>
      <w:docPartObj>
        <w:docPartGallery w:val="Page Numbers (Bottom of Page)"/>
        <w:docPartUnique/>
      </w:docPartObj>
    </w:sdtPr>
    <w:sdtEndPr>
      <w:rPr>
        <w:color w:val="7F7F7F" w:themeColor="background1" w:themeShade="7F"/>
        <w:spacing w:val="60"/>
      </w:rPr>
    </w:sdtEndPr>
    <w:sdtContent>
      <w:p w14:paraId="10C9A176" w14:textId="294AD5AB" w:rsidR="00BA08B9" w:rsidRDefault="00BA08B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871FBA0" w14:textId="77777777" w:rsidR="00BA08B9" w:rsidRDefault="00BA0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B8B7D" w14:textId="77777777" w:rsidR="00C04637" w:rsidRDefault="00C04637" w:rsidP="00BA08B9">
      <w:pPr>
        <w:spacing w:after="0" w:line="240" w:lineRule="auto"/>
      </w:pPr>
      <w:r>
        <w:separator/>
      </w:r>
    </w:p>
  </w:footnote>
  <w:footnote w:type="continuationSeparator" w:id="0">
    <w:p w14:paraId="1A20C5F1" w14:textId="77777777" w:rsidR="00C04637" w:rsidRDefault="00C04637" w:rsidP="00BA0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B1022"/>
    <w:multiLevelType w:val="multilevel"/>
    <w:tmpl w:val="3A86A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272A55"/>
    <w:multiLevelType w:val="multilevel"/>
    <w:tmpl w:val="965CC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B03655"/>
    <w:multiLevelType w:val="multilevel"/>
    <w:tmpl w:val="AFA4BB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0D4086"/>
    <w:multiLevelType w:val="hybridMultilevel"/>
    <w:tmpl w:val="513A70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E2653E3"/>
    <w:multiLevelType w:val="multilevel"/>
    <w:tmpl w:val="AFA4BBA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4160891">
    <w:abstractNumId w:val="0"/>
  </w:num>
  <w:num w:numId="2" w16cid:durableId="283510696">
    <w:abstractNumId w:val="3"/>
  </w:num>
  <w:num w:numId="3" w16cid:durableId="1434284618">
    <w:abstractNumId w:val="2"/>
  </w:num>
  <w:num w:numId="4" w16cid:durableId="52630160">
    <w:abstractNumId w:val="1"/>
  </w:num>
  <w:num w:numId="5" w16cid:durableId="1788625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16F"/>
    <w:rsid w:val="000B52A5"/>
    <w:rsid w:val="00114675"/>
    <w:rsid w:val="001A1CC2"/>
    <w:rsid w:val="001B4531"/>
    <w:rsid w:val="002F785E"/>
    <w:rsid w:val="00400921"/>
    <w:rsid w:val="00437495"/>
    <w:rsid w:val="00442C71"/>
    <w:rsid w:val="004E056A"/>
    <w:rsid w:val="0053419F"/>
    <w:rsid w:val="006B5B59"/>
    <w:rsid w:val="0078008F"/>
    <w:rsid w:val="008B13E0"/>
    <w:rsid w:val="009011DE"/>
    <w:rsid w:val="00996A6D"/>
    <w:rsid w:val="00A00733"/>
    <w:rsid w:val="00AD2DCA"/>
    <w:rsid w:val="00B814FB"/>
    <w:rsid w:val="00BA08B9"/>
    <w:rsid w:val="00BE2180"/>
    <w:rsid w:val="00C04637"/>
    <w:rsid w:val="00CB1C75"/>
    <w:rsid w:val="00CD47E5"/>
    <w:rsid w:val="00D04DBE"/>
    <w:rsid w:val="00D2316F"/>
    <w:rsid w:val="00DF14E3"/>
    <w:rsid w:val="00E26CBE"/>
    <w:rsid w:val="00EA6DB9"/>
    <w:rsid w:val="00F3584F"/>
    <w:rsid w:val="00F377B9"/>
    <w:rsid w:val="00F7169B"/>
    <w:rsid w:val="00F838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DA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23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31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316F"/>
    <w:pPr>
      <w:ind w:left="720"/>
      <w:contextualSpacing/>
    </w:pPr>
  </w:style>
  <w:style w:type="character" w:customStyle="1" w:styleId="Heading1Char">
    <w:name w:val="Heading 1 Char"/>
    <w:basedOn w:val="DefaultParagraphFont"/>
    <w:link w:val="Heading1"/>
    <w:uiPriority w:val="9"/>
    <w:rsid w:val="00D2316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D2316F"/>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unhideWhenUsed/>
    <w:rsid w:val="00D2316F"/>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D2316F"/>
    <w:rPr>
      <w:b/>
      <w:bCs/>
    </w:rPr>
  </w:style>
  <w:style w:type="paragraph" w:styleId="TOCHeading">
    <w:name w:val="TOC Heading"/>
    <w:basedOn w:val="Heading1"/>
    <w:next w:val="Normal"/>
    <w:uiPriority w:val="39"/>
    <w:unhideWhenUsed/>
    <w:qFormat/>
    <w:rsid w:val="00BA08B9"/>
    <w:pPr>
      <w:outlineLvl w:val="9"/>
    </w:pPr>
    <w:rPr>
      <w:kern w:val="0"/>
      <w:lang w:val="en-US"/>
      <w14:ligatures w14:val="none"/>
    </w:rPr>
  </w:style>
  <w:style w:type="paragraph" w:styleId="TOC1">
    <w:name w:val="toc 1"/>
    <w:basedOn w:val="Normal"/>
    <w:next w:val="Normal"/>
    <w:autoRedefine/>
    <w:uiPriority w:val="39"/>
    <w:unhideWhenUsed/>
    <w:rsid w:val="00BA08B9"/>
    <w:pPr>
      <w:spacing w:after="100"/>
    </w:pPr>
  </w:style>
  <w:style w:type="paragraph" w:styleId="TOC2">
    <w:name w:val="toc 2"/>
    <w:basedOn w:val="Normal"/>
    <w:next w:val="Normal"/>
    <w:autoRedefine/>
    <w:uiPriority w:val="39"/>
    <w:unhideWhenUsed/>
    <w:rsid w:val="00BA08B9"/>
    <w:pPr>
      <w:spacing w:after="100"/>
      <w:ind w:left="220"/>
    </w:pPr>
  </w:style>
  <w:style w:type="character" w:styleId="Hyperlink">
    <w:name w:val="Hyperlink"/>
    <w:basedOn w:val="DefaultParagraphFont"/>
    <w:uiPriority w:val="99"/>
    <w:unhideWhenUsed/>
    <w:rsid w:val="00BA08B9"/>
    <w:rPr>
      <w:color w:val="0563C1" w:themeColor="hyperlink"/>
      <w:u w:val="single"/>
    </w:rPr>
  </w:style>
  <w:style w:type="paragraph" w:styleId="Header">
    <w:name w:val="header"/>
    <w:basedOn w:val="Normal"/>
    <w:link w:val="HeaderChar"/>
    <w:uiPriority w:val="99"/>
    <w:unhideWhenUsed/>
    <w:rsid w:val="00BA0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8B9"/>
    <w:rPr>
      <w:lang w:val="en-GB"/>
    </w:rPr>
  </w:style>
  <w:style w:type="paragraph" w:styleId="Footer">
    <w:name w:val="footer"/>
    <w:basedOn w:val="Normal"/>
    <w:link w:val="FooterChar"/>
    <w:uiPriority w:val="99"/>
    <w:unhideWhenUsed/>
    <w:rsid w:val="00BA0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8B9"/>
    <w:rPr>
      <w:lang w:val="en-GB"/>
    </w:rPr>
  </w:style>
  <w:style w:type="character" w:styleId="UnresolvedMention">
    <w:name w:val="Unresolved Mention"/>
    <w:basedOn w:val="DefaultParagraphFont"/>
    <w:uiPriority w:val="99"/>
    <w:semiHidden/>
    <w:unhideWhenUsed/>
    <w:rsid w:val="009011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62959">
      <w:bodyDiv w:val="1"/>
      <w:marLeft w:val="0"/>
      <w:marRight w:val="0"/>
      <w:marTop w:val="0"/>
      <w:marBottom w:val="0"/>
      <w:divBdr>
        <w:top w:val="none" w:sz="0" w:space="0" w:color="auto"/>
        <w:left w:val="none" w:sz="0" w:space="0" w:color="auto"/>
        <w:bottom w:val="none" w:sz="0" w:space="0" w:color="auto"/>
        <w:right w:val="none" w:sz="0" w:space="0" w:color="auto"/>
      </w:divBdr>
    </w:div>
    <w:div w:id="197399857">
      <w:bodyDiv w:val="1"/>
      <w:marLeft w:val="0"/>
      <w:marRight w:val="0"/>
      <w:marTop w:val="0"/>
      <w:marBottom w:val="0"/>
      <w:divBdr>
        <w:top w:val="none" w:sz="0" w:space="0" w:color="auto"/>
        <w:left w:val="none" w:sz="0" w:space="0" w:color="auto"/>
        <w:bottom w:val="none" w:sz="0" w:space="0" w:color="auto"/>
        <w:right w:val="none" w:sz="0" w:space="0" w:color="auto"/>
      </w:divBdr>
    </w:div>
    <w:div w:id="275597878">
      <w:bodyDiv w:val="1"/>
      <w:marLeft w:val="0"/>
      <w:marRight w:val="0"/>
      <w:marTop w:val="0"/>
      <w:marBottom w:val="0"/>
      <w:divBdr>
        <w:top w:val="none" w:sz="0" w:space="0" w:color="auto"/>
        <w:left w:val="none" w:sz="0" w:space="0" w:color="auto"/>
        <w:bottom w:val="none" w:sz="0" w:space="0" w:color="auto"/>
        <w:right w:val="none" w:sz="0" w:space="0" w:color="auto"/>
      </w:divBdr>
    </w:div>
    <w:div w:id="275866486">
      <w:bodyDiv w:val="1"/>
      <w:marLeft w:val="0"/>
      <w:marRight w:val="0"/>
      <w:marTop w:val="0"/>
      <w:marBottom w:val="0"/>
      <w:divBdr>
        <w:top w:val="none" w:sz="0" w:space="0" w:color="auto"/>
        <w:left w:val="none" w:sz="0" w:space="0" w:color="auto"/>
        <w:bottom w:val="none" w:sz="0" w:space="0" w:color="auto"/>
        <w:right w:val="none" w:sz="0" w:space="0" w:color="auto"/>
      </w:divBdr>
    </w:div>
    <w:div w:id="507718083">
      <w:bodyDiv w:val="1"/>
      <w:marLeft w:val="0"/>
      <w:marRight w:val="0"/>
      <w:marTop w:val="0"/>
      <w:marBottom w:val="0"/>
      <w:divBdr>
        <w:top w:val="none" w:sz="0" w:space="0" w:color="auto"/>
        <w:left w:val="none" w:sz="0" w:space="0" w:color="auto"/>
        <w:bottom w:val="none" w:sz="0" w:space="0" w:color="auto"/>
        <w:right w:val="none" w:sz="0" w:space="0" w:color="auto"/>
      </w:divBdr>
    </w:div>
    <w:div w:id="679046530">
      <w:bodyDiv w:val="1"/>
      <w:marLeft w:val="0"/>
      <w:marRight w:val="0"/>
      <w:marTop w:val="0"/>
      <w:marBottom w:val="0"/>
      <w:divBdr>
        <w:top w:val="none" w:sz="0" w:space="0" w:color="auto"/>
        <w:left w:val="none" w:sz="0" w:space="0" w:color="auto"/>
        <w:bottom w:val="none" w:sz="0" w:space="0" w:color="auto"/>
        <w:right w:val="none" w:sz="0" w:space="0" w:color="auto"/>
      </w:divBdr>
    </w:div>
    <w:div w:id="811603602">
      <w:bodyDiv w:val="1"/>
      <w:marLeft w:val="0"/>
      <w:marRight w:val="0"/>
      <w:marTop w:val="0"/>
      <w:marBottom w:val="0"/>
      <w:divBdr>
        <w:top w:val="none" w:sz="0" w:space="0" w:color="auto"/>
        <w:left w:val="none" w:sz="0" w:space="0" w:color="auto"/>
        <w:bottom w:val="none" w:sz="0" w:space="0" w:color="auto"/>
        <w:right w:val="none" w:sz="0" w:space="0" w:color="auto"/>
      </w:divBdr>
    </w:div>
    <w:div w:id="826627622">
      <w:bodyDiv w:val="1"/>
      <w:marLeft w:val="0"/>
      <w:marRight w:val="0"/>
      <w:marTop w:val="0"/>
      <w:marBottom w:val="0"/>
      <w:divBdr>
        <w:top w:val="none" w:sz="0" w:space="0" w:color="auto"/>
        <w:left w:val="none" w:sz="0" w:space="0" w:color="auto"/>
        <w:bottom w:val="none" w:sz="0" w:space="0" w:color="auto"/>
        <w:right w:val="none" w:sz="0" w:space="0" w:color="auto"/>
      </w:divBdr>
    </w:div>
    <w:div w:id="845287661">
      <w:bodyDiv w:val="1"/>
      <w:marLeft w:val="0"/>
      <w:marRight w:val="0"/>
      <w:marTop w:val="0"/>
      <w:marBottom w:val="0"/>
      <w:divBdr>
        <w:top w:val="none" w:sz="0" w:space="0" w:color="auto"/>
        <w:left w:val="none" w:sz="0" w:space="0" w:color="auto"/>
        <w:bottom w:val="none" w:sz="0" w:space="0" w:color="auto"/>
        <w:right w:val="none" w:sz="0" w:space="0" w:color="auto"/>
      </w:divBdr>
    </w:div>
    <w:div w:id="1084692037">
      <w:bodyDiv w:val="1"/>
      <w:marLeft w:val="0"/>
      <w:marRight w:val="0"/>
      <w:marTop w:val="0"/>
      <w:marBottom w:val="0"/>
      <w:divBdr>
        <w:top w:val="none" w:sz="0" w:space="0" w:color="auto"/>
        <w:left w:val="none" w:sz="0" w:space="0" w:color="auto"/>
        <w:bottom w:val="none" w:sz="0" w:space="0" w:color="auto"/>
        <w:right w:val="none" w:sz="0" w:space="0" w:color="auto"/>
      </w:divBdr>
    </w:div>
    <w:div w:id="1381397881">
      <w:bodyDiv w:val="1"/>
      <w:marLeft w:val="0"/>
      <w:marRight w:val="0"/>
      <w:marTop w:val="0"/>
      <w:marBottom w:val="0"/>
      <w:divBdr>
        <w:top w:val="none" w:sz="0" w:space="0" w:color="auto"/>
        <w:left w:val="none" w:sz="0" w:space="0" w:color="auto"/>
        <w:bottom w:val="none" w:sz="0" w:space="0" w:color="auto"/>
        <w:right w:val="none" w:sz="0" w:space="0" w:color="auto"/>
      </w:divBdr>
    </w:div>
    <w:div w:id="1388528519">
      <w:bodyDiv w:val="1"/>
      <w:marLeft w:val="0"/>
      <w:marRight w:val="0"/>
      <w:marTop w:val="0"/>
      <w:marBottom w:val="0"/>
      <w:divBdr>
        <w:top w:val="none" w:sz="0" w:space="0" w:color="auto"/>
        <w:left w:val="none" w:sz="0" w:space="0" w:color="auto"/>
        <w:bottom w:val="none" w:sz="0" w:space="0" w:color="auto"/>
        <w:right w:val="none" w:sz="0" w:space="0" w:color="auto"/>
      </w:divBdr>
    </w:div>
    <w:div w:id="1450737065">
      <w:bodyDiv w:val="1"/>
      <w:marLeft w:val="0"/>
      <w:marRight w:val="0"/>
      <w:marTop w:val="0"/>
      <w:marBottom w:val="0"/>
      <w:divBdr>
        <w:top w:val="none" w:sz="0" w:space="0" w:color="auto"/>
        <w:left w:val="none" w:sz="0" w:space="0" w:color="auto"/>
        <w:bottom w:val="none" w:sz="0" w:space="0" w:color="auto"/>
        <w:right w:val="none" w:sz="0" w:space="0" w:color="auto"/>
      </w:divBdr>
    </w:div>
    <w:div w:id="1491404295">
      <w:bodyDiv w:val="1"/>
      <w:marLeft w:val="0"/>
      <w:marRight w:val="0"/>
      <w:marTop w:val="0"/>
      <w:marBottom w:val="0"/>
      <w:divBdr>
        <w:top w:val="none" w:sz="0" w:space="0" w:color="auto"/>
        <w:left w:val="none" w:sz="0" w:space="0" w:color="auto"/>
        <w:bottom w:val="none" w:sz="0" w:space="0" w:color="auto"/>
        <w:right w:val="none" w:sz="0" w:space="0" w:color="auto"/>
      </w:divBdr>
    </w:div>
    <w:div w:id="1596786264">
      <w:bodyDiv w:val="1"/>
      <w:marLeft w:val="0"/>
      <w:marRight w:val="0"/>
      <w:marTop w:val="0"/>
      <w:marBottom w:val="0"/>
      <w:divBdr>
        <w:top w:val="none" w:sz="0" w:space="0" w:color="auto"/>
        <w:left w:val="none" w:sz="0" w:space="0" w:color="auto"/>
        <w:bottom w:val="none" w:sz="0" w:space="0" w:color="auto"/>
        <w:right w:val="none" w:sz="0" w:space="0" w:color="auto"/>
      </w:divBdr>
    </w:div>
    <w:div w:id="1637030156">
      <w:bodyDiv w:val="1"/>
      <w:marLeft w:val="0"/>
      <w:marRight w:val="0"/>
      <w:marTop w:val="0"/>
      <w:marBottom w:val="0"/>
      <w:divBdr>
        <w:top w:val="none" w:sz="0" w:space="0" w:color="auto"/>
        <w:left w:val="none" w:sz="0" w:space="0" w:color="auto"/>
        <w:bottom w:val="none" w:sz="0" w:space="0" w:color="auto"/>
        <w:right w:val="none" w:sz="0" w:space="0" w:color="auto"/>
      </w:divBdr>
    </w:div>
    <w:div w:id="1685325989">
      <w:bodyDiv w:val="1"/>
      <w:marLeft w:val="0"/>
      <w:marRight w:val="0"/>
      <w:marTop w:val="0"/>
      <w:marBottom w:val="0"/>
      <w:divBdr>
        <w:top w:val="none" w:sz="0" w:space="0" w:color="auto"/>
        <w:left w:val="none" w:sz="0" w:space="0" w:color="auto"/>
        <w:bottom w:val="none" w:sz="0" w:space="0" w:color="auto"/>
        <w:right w:val="none" w:sz="0" w:space="0" w:color="auto"/>
      </w:divBdr>
    </w:div>
    <w:div w:id="21272355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un.unl.pt/handle/10362/1489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09720073.2014.118916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E4CED-7526-4465-9ADB-0055F6232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3549</Words>
  <Characters>20232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2023-11-18T20:54:00Z</dcterms:created>
  <dcterms:modified xsi:type="dcterms:W3CDTF">2023-11-29T19:32:00Z</dcterms:modified>
</cp:coreProperties>
</file>