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D4365" w14:textId="32064DCC" w:rsidR="005261B6" w:rsidRPr="00F858A7" w:rsidRDefault="00C33CAA" w:rsidP="00CB4C28">
      <w:pPr>
        <w:spacing w:after="0" w:line="240" w:lineRule="auto"/>
        <w:rPr>
          <w:rFonts w:ascii="Arial" w:eastAsia="SimSun" w:hAnsi="Arial" w:cs="Arial"/>
          <w:color w:val="000000" w:themeColor="text1"/>
          <w:kern w:val="24"/>
          <w:sz w:val="24"/>
          <w:szCs w:val="24"/>
          <w:lang w:val="en-GB" w:eastAsia="en-GB"/>
        </w:rPr>
      </w:pPr>
      <w:r w:rsidRPr="00823546">
        <w:rPr>
          <w:rFonts w:ascii="Arial" w:eastAsia="SimSun" w:hAnsi="Arial" w:cs="Arial"/>
          <w:color w:val="000000" w:themeColor="text1"/>
          <w:kern w:val="24"/>
          <w:sz w:val="24"/>
          <w:szCs w:val="24"/>
          <w:lang w:val="en-GB" w:eastAsia="en-GB"/>
        </w:rPr>
        <w:t xml:space="preserve">I confirm that I have not presented any AI generated text as my own work. I confirm I have copies of my drafts, notes, and other resources I used before, and after the use of AI tools which I may </w:t>
      </w:r>
      <w:bookmarkStart w:id="0" w:name="_Int_s9CP4NSq"/>
      <w:r w:rsidRPr="00823546">
        <w:rPr>
          <w:rFonts w:ascii="Arial" w:eastAsia="SimSun" w:hAnsi="Arial" w:cs="Arial"/>
          <w:color w:val="000000" w:themeColor="text1"/>
          <w:kern w:val="24"/>
          <w:sz w:val="24"/>
          <w:szCs w:val="24"/>
          <w:lang w:val="en-GB" w:eastAsia="en-GB"/>
        </w:rPr>
        <w:t>be asked</w:t>
      </w:r>
      <w:bookmarkEnd w:id="0"/>
      <w:r w:rsidRPr="00823546">
        <w:rPr>
          <w:rFonts w:ascii="Arial" w:eastAsia="SimSun" w:hAnsi="Arial" w:cs="Arial"/>
          <w:color w:val="000000" w:themeColor="text1"/>
          <w:kern w:val="24"/>
          <w:sz w:val="24"/>
          <w:szCs w:val="24"/>
          <w:lang w:val="en-GB" w:eastAsia="en-GB"/>
        </w:rPr>
        <w:t xml:space="preserve"> to provide in evidence.</w:t>
      </w:r>
    </w:p>
    <w:p w14:paraId="3EAEE1A5" w14:textId="77777777" w:rsidR="002C6411" w:rsidRDefault="002C6411" w:rsidP="00222E28">
      <w:pPr>
        <w:spacing w:after="0" w:line="240" w:lineRule="auto"/>
        <w:outlineLvl w:val="0"/>
        <w:rPr>
          <w:rFonts w:ascii="Arial" w:eastAsia="Times New Roman" w:hAnsi="Arial" w:cs="Arial"/>
          <w:b/>
          <w:bCs/>
          <w:color w:val="000000" w:themeColor="text1"/>
          <w:kern w:val="36"/>
          <w:sz w:val="24"/>
          <w:szCs w:val="24"/>
          <w:lang w:val="en-GB" w:eastAsia="en-GB"/>
        </w:rPr>
      </w:pPr>
    </w:p>
    <w:p w14:paraId="2652CAD6" w14:textId="4CFDBE99" w:rsidR="001209F2" w:rsidRDefault="009F0DBE" w:rsidP="00772A2C">
      <w:pPr>
        <w:rPr>
          <w:rFonts w:ascii="Arial" w:hAnsi="Arial" w:cs="Arial"/>
          <w:sz w:val="24"/>
          <w:szCs w:val="24"/>
        </w:rPr>
      </w:pPr>
      <w:r w:rsidRPr="009F0DBE">
        <w:rPr>
          <w:rFonts w:ascii="Arial" w:eastAsia="Times New Roman" w:hAnsi="Arial" w:cs="Arial"/>
          <w:color w:val="000000" w:themeColor="text1"/>
          <w:kern w:val="36"/>
          <w:sz w:val="24"/>
          <w:szCs w:val="24"/>
          <w:lang w:val="en-GB" w:eastAsia="en-GB"/>
        </w:rPr>
        <w:t>Age of Extremes: A World at War, c. 1914-1991 (HPHI4902)</w:t>
      </w:r>
      <w:r w:rsidR="00090DD8">
        <w:rPr>
          <w:rFonts w:ascii="Arial" w:eastAsia="Times New Roman" w:hAnsi="Arial" w:cs="Arial"/>
          <w:color w:val="000000" w:themeColor="text1"/>
          <w:kern w:val="36"/>
          <w:sz w:val="24"/>
          <w:szCs w:val="24"/>
          <w:lang w:val="en-GB" w:eastAsia="en-GB"/>
        </w:rPr>
        <w:t>,</w:t>
      </w:r>
      <w:r w:rsidRPr="009F0DBE">
        <w:rPr>
          <w:rFonts w:ascii="Arial" w:eastAsia="Times New Roman" w:hAnsi="Arial" w:cs="Arial"/>
          <w:color w:val="000000" w:themeColor="text1"/>
          <w:kern w:val="36"/>
          <w:sz w:val="24"/>
          <w:szCs w:val="24"/>
          <w:lang w:val="en-GB" w:eastAsia="en-GB"/>
        </w:rPr>
        <w:t xml:space="preserve"> Assignment 2</w:t>
      </w:r>
    </w:p>
    <w:p w14:paraId="6CA40171" w14:textId="77777777" w:rsidR="0064213D" w:rsidRPr="00DA53B5" w:rsidRDefault="0064213D">
      <w:pPr>
        <w:pStyle w:val="p1"/>
        <w:rPr>
          <w:rFonts w:ascii="Arial" w:hAnsi="Arial" w:cs="Arial"/>
          <w:b/>
          <w:bCs/>
        </w:rPr>
      </w:pPr>
      <w:r w:rsidRPr="00DA53B5">
        <w:rPr>
          <w:rFonts w:ascii="Arial" w:hAnsi="Arial" w:cs="Arial"/>
          <w:b/>
          <w:bCs/>
        </w:rPr>
        <w:t>What similarities can be drawn between German foreign policy up to August 1914 and Hitler’s expansionist policy in the 1930s?</w:t>
      </w:r>
    </w:p>
    <w:p w14:paraId="4D1BABB5" w14:textId="77777777" w:rsidR="002A68E1" w:rsidRPr="00DA53B5" w:rsidRDefault="002A68E1" w:rsidP="002A68E1">
      <w:pPr>
        <w:spacing w:before="100" w:beforeAutospacing="1" w:after="100" w:afterAutospacing="1" w:line="240" w:lineRule="auto"/>
        <w:outlineLvl w:val="1"/>
        <w:rPr>
          <w:rFonts w:ascii="Arial" w:eastAsia="Times New Roman" w:hAnsi="Arial" w:cs="Arial"/>
          <w:b/>
          <w:bCs/>
          <w:sz w:val="24"/>
          <w:szCs w:val="24"/>
          <w:lang w:val="en-GB" w:eastAsia="en-GB"/>
        </w:rPr>
      </w:pPr>
      <w:r w:rsidRPr="00DA53B5">
        <w:rPr>
          <w:rFonts w:ascii="Arial" w:eastAsia="Times New Roman" w:hAnsi="Arial" w:cs="Arial"/>
          <w:b/>
          <w:bCs/>
          <w:sz w:val="24"/>
          <w:szCs w:val="24"/>
          <w:lang w:val="en-GB" w:eastAsia="en-GB"/>
        </w:rPr>
        <w:t>Introduction</w:t>
      </w:r>
    </w:p>
    <w:p w14:paraId="770714D3" w14:textId="63D0CE22" w:rsidR="002A68E1" w:rsidRPr="00DA53B5" w:rsidRDefault="002A68E1" w:rsidP="00405A7C">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German foreign policy before August 1914 and Adolf Hitler’s expansionist policy in the 1930s have long been compared by historians seeking to understand the origins of the two world wars. While the contexts differ—Imperial Germany under Kaiser Wilhelm II versus Nazi Germany under Hitler—clear continuities exist in strategic ambition, diplomatic behaviour, and the use of military power. As Zara Steiner argues, pre-1914 Europe was marked by “a system increasingly unable to contain the ambitions of its most dynamic power.”</w:t>
      </w:r>
      <w:r w:rsidR="00782A09">
        <w:rPr>
          <w:rStyle w:val="FootnoteReference"/>
          <w:rFonts w:ascii="Arial" w:hAnsi="Arial" w:cs="Arial"/>
          <w:sz w:val="24"/>
          <w:szCs w:val="24"/>
          <w:lang w:val="en-GB" w:eastAsia="en-GB"/>
        </w:rPr>
        <w:footnoteReference w:id="1"/>
      </w:r>
      <w:r w:rsidRPr="00DA53B5">
        <w:rPr>
          <w:rFonts w:ascii="Arial" w:hAnsi="Arial" w:cs="Arial"/>
          <w:sz w:val="24"/>
          <w:szCs w:val="24"/>
          <w:lang w:val="en-GB" w:eastAsia="en-GB"/>
        </w:rPr>
        <w:t xml:space="preserve"> This essay contends that both eras shared key similarities: a drive for expansion and status, reliance on militarism, and a willingness to take diplomatic risks. However, it will also argue that Hitler’s policies were more ideologically driven and radical in execution. Ultimately, while Nazi foreign policy built upon earlier traditions, it represented a more extreme manifestation of German expansionism.</w:t>
      </w:r>
    </w:p>
    <w:p w14:paraId="5B43E988" w14:textId="77777777" w:rsidR="000F7F83" w:rsidRPr="00DA53B5" w:rsidRDefault="000F7F83" w:rsidP="00405A7C">
      <w:pPr>
        <w:spacing w:before="100" w:beforeAutospacing="1" w:after="100" w:afterAutospacing="1" w:line="240" w:lineRule="auto"/>
        <w:rPr>
          <w:rFonts w:ascii="Arial" w:hAnsi="Arial" w:cs="Arial"/>
          <w:sz w:val="24"/>
          <w:szCs w:val="24"/>
          <w:lang w:val="en-GB" w:eastAsia="en-GB"/>
        </w:rPr>
      </w:pPr>
    </w:p>
    <w:p w14:paraId="65B6D67D" w14:textId="4CDF1632" w:rsidR="002A68E1" w:rsidRPr="00DA53B5" w:rsidRDefault="00AC2B65" w:rsidP="002A68E1">
      <w:pPr>
        <w:spacing w:before="100" w:beforeAutospacing="1" w:after="100" w:afterAutospacing="1" w:line="240" w:lineRule="auto"/>
        <w:outlineLvl w:val="1"/>
        <w:rPr>
          <w:rFonts w:ascii="Arial" w:eastAsia="Times New Roman" w:hAnsi="Arial" w:cs="Arial"/>
          <w:b/>
          <w:bCs/>
          <w:sz w:val="24"/>
          <w:szCs w:val="24"/>
          <w:lang w:val="en-GB" w:eastAsia="en-GB"/>
        </w:rPr>
      </w:pPr>
      <w:r w:rsidRPr="00DA53B5">
        <w:rPr>
          <w:rFonts w:ascii="Arial" w:eastAsia="Times New Roman" w:hAnsi="Arial" w:cs="Arial"/>
          <w:b/>
          <w:bCs/>
          <w:sz w:val="24"/>
          <w:szCs w:val="24"/>
          <w:lang w:val="en-GB" w:eastAsia="en-GB"/>
        </w:rPr>
        <w:t>T</w:t>
      </w:r>
      <w:r w:rsidR="002A68E1" w:rsidRPr="00DA53B5">
        <w:rPr>
          <w:rFonts w:ascii="Arial" w:eastAsia="Times New Roman" w:hAnsi="Arial" w:cs="Arial"/>
          <w:b/>
          <w:bCs/>
          <w:sz w:val="24"/>
          <w:szCs w:val="24"/>
          <w:lang w:val="en-GB" w:eastAsia="en-GB"/>
        </w:rPr>
        <w:t>he Pursuit of Power</w:t>
      </w:r>
    </w:p>
    <w:p w14:paraId="324F7292" w14:textId="78CD637A" w:rsidR="002A68E1" w:rsidRPr="00DA53B5" w:rsidRDefault="002A68E1" w:rsidP="002A68E1">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 xml:space="preserve">A central similarity between the two periods is the desire to expand German power and influence. Before 1914, Germany pursued </w:t>
      </w:r>
      <w:r w:rsidRPr="00DA53B5">
        <w:rPr>
          <w:rFonts w:ascii="Arial" w:hAnsi="Arial" w:cs="Arial"/>
          <w:i/>
          <w:iCs/>
          <w:sz w:val="24"/>
          <w:szCs w:val="24"/>
          <w:lang w:val="en-GB" w:eastAsia="en-GB"/>
        </w:rPr>
        <w:t>Weltpolitik</w:t>
      </w:r>
      <w:r w:rsidRPr="00DA53B5">
        <w:rPr>
          <w:rFonts w:ascii="Arial" w:hAnsi="Arial" w:cs="Arial"/>
          <w:sz w:val="24"/>
          <w:szCs w:val="24"/>
          <w:lang w:val="en-GB" w:eastAsia="en-GB"/>
        </w:rPr>
        <w:t>, seeking global status through colonial expansion and naval development. Hew Strachan notes that Germany’s leadership aimed to secure “its rightful place as a world power through expansion and assertion.”</w:t>
      </w:r>
      <w:r w:rsidR="00B10A9C">
        <w:rPr>
          <w:rStyle w:val="FootnoteReference"/>
          <w:rFonts w:ascii="Arial" w:hAnsi="Arial" w:cs="Arial"/>
          <w:sz w:val="24"/>
          <w:szCs w:val="24"/>
          <w:lang w:val="en-GB" w:eastAsia="en-GB"/>
        </w:rPr>
        <w:footnoteReference w:id="2"/>
      </w:r>
      <w:r w:rsidRPr="00DA53B5">
        <w:rPr>
          <w:rFonts w:ascii="Arial" w:hAnsi="Arial" w:cs="Arial"/>
          <w:sz w:val="24"/>
          <w:szCs w:val="24"/>
          <w:lang w:val="en-GB" w:eastAsia="en-GB"/>
        </w:rPr>
        <w:t xml:space="preserve"> This ambition led to confrontations such as the Moroccan Crises, which demonstrated Germany’s willingness to challenge existing powers.</w:t>
      </w:r>
    </w:p>
    <w:p w14:paraId="2CEB19DD" w14:textId="7964DCEA" w:rsidR="002A68E1" w:rsidRPr="00DA53B5" w:rsidRDefault="002A68E1" w:rsidP="002A68E1">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 xml:space="preserve">Similarly, Hitler’s foreign policy was fundamentally expansionist. His concept of </w:t>
      </w:r>
      <w:r w:rsidRPr="00DA53B5">
        <w:rPr>
          <w:rFonts w:ascii="Arial" w:hAnsi="Arial" w:cs="Arial"/>
          <w:i/>
          <w:iCs/>
          <w:sz w:val="24"/>
          <w:szCs w:val="24"/>
          <w:lang w:val="en-GB" w:eastAsia="en-GB"/>
        </w:rPr>
        <w:t>Lebensraum</w:t>
      </w:r>
      <w:r w:rsidRPr="00DA53B5">
        <w:rPr>
          <w:rFonts w:ascii="Arial" w:hAnsi="Arial" w:cs="Arial"/>
          <w:sz w:val="24"/>
          <w:szCs w:val="24"/>
          <w:lang w:val="en-GB" w:eastAsia="en-GB"/>
        </w:rPr>
        <w:t xml:space="preserve"> centred on territorial acquisition in Eastern Europe. As Gerhard </w:t>
      </w:r>
      <w:r w:rsidRPr="00DA53B5">
        <w:rPr>
          <w:rFonts w:ascii="Arial" w:hAnsi="Arial" w:cs="Arial"/>
          <w:sz w:val="24"/>
          <w:szCs w:val="24"/>
          <w:lang w:val="en-GB" w:eastAsia="en-GB"/>
        </w:rPr>
        <w:lastRenderedPageBreak/>
        <w:t>Weinberg observes, Hitler’s aims were “not limited adjustments but a vast reordering of Europe under German domination.”</w:t>
      </w:r>
      <w:r w:rsidR="00C535DB">
        <w:rPr>
          <w:rStyle w:val="FootnoteReference"/>
          <w:rFonts w:ascii="Arial" w:hAnsi="Arial" w:cs="Arial"/>
          <w:sz w:val="24"/>
          <w:szCs w:val="24"/>
          <w:lang w:val="en-GB" w:eastAsia="en-GB"/>
        </w:rPr>
        <w:footnoteReference w:id="3"/>
      </w:r>
      <w:r w:rsidRPr="00DA53B5">
        <w:rPr>
          <w:rFonts w:ascii="Arial" w:hAnsi="Arial" w:cs="Arial"/>
          <w:sz w:val="24"/>
          <w:szCs w:val="24"/>
          <w:lang w:val="en-GB" w:eastAsia="en-GB"/>
        </w:rPr>
        <w:t xml:space="preserve"> Both periods therefore reflect dissatisfaction with Germany’s position and a desire to alter the balance of power.</w:t>
      </w:r>
    </w:p>
    <w:p w14:paraId="4B1ED09B" w14:textId="716D9FC7" w:rsidR="002A68E1" w:rsidRDefault="002A68E1" w:rsidP="00B0385C">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Furthermore, in both cases expansion was framed as necessary for national survival. Niall Ferguson argues that pre-1914 German leaders believed that “without expansion, Germany risked strategic suffocation.”</w:t>
      </w:r>
      <w:r w:rsidR="002C7B2A">
        <w:rPr>
          <w:rStyle w:val="FootnoteReference"/>
          <w:rFonts w:ascii="Arial" w:hAnsi="Arial" w:cs="Arial"/>
          <w:sz w:val="24"/>
          <w:szCs w:val="24"/>
          <w:lang w:val="en-GB" w:eastAsia="en-GB"/>
        </w:rPr>
        <w:footnoteReference w:id="4"/>
      </w:r>
      <w:r w:rsidRPr="00DA53B5">
        <w:rPr>
          <w:rFonts w:ascii="Arial" w:hAnsi="Arial" w:cs="Arial"/>
          <w:sz w:val="24"/>
          <w:szCs w:val="24"/>
          <w:lang w:val="en-GB" w:eastAsia="en-GB"/>
        </w:rPr>
        <w:t xml:space="preserve"> Hitler echoed this sentiment, claiming Germany required space and resources to thrive. Although the ideological framing differed, the underlying logic of expansion as necessity remained consistent.</w:t>
      </w:r>
    </w:p>
    <w:p w14:paraId="70D7B9D3" w14:textId="77777777" w:rsidR="009D2B71" w:rsidRPr="00DA53B5" w:rsidRDefault="009D2B71" w:rsidP="00B0385C">
      <w:pPr>
        <w:spacing w:before="100" w:beforeAutospacing="1" w:after="100" w:afterAutospacing="1" w:line="240" w:lineRule="auto"/>
        <w:rPr>
          <w:rFonts w:ascii="Arial" w:hAnsi="Arial" w:cs="Arial"/>
          <w:sz w:val="24"/>
          <w:szCs w:val="24"/>
          <w:lang w:val="en-GB" w:eastAsia="en-GB"/>
        </w:rPr>
      </w:pPr>
    </w:p>
    <w:p w14:paraId="7835AE2F" w14:textId="77777777" w:rsidR="002A68E1" w:rsidRPr="00DA53B5" w:rsidRDefault="002A68E1" w:rsidP="002A68E1">
      <w:pPr>
        <w:spacing w:before="100" w:beforeAutospacing="1" w:after="100" w:afterAutospacing="1" w:line="240" w:lineRule="auto"/>
        <w:outlineLvl w:val="1"/>
        <w:rPr>
          <w:rFonts w:ascii="Arial" w:hAnsi="Arial" w:cs="Arial"/>
          <w:b/>
          <w:bCs/>
          <w:sz w:val="24"/>
          <w:szCs w:val="24"/>
          <w:lang w:val="en-GB" w:eastAsia="en-GB"/>
        </w:rPr>
      </w:pPr>
      <w:r w:rsidRPr="00DA53B5">
        <w:rPr>
          <w:rFonts w:ascii="Arial" w:eastAsia="Times New Roman" w:hAnsi="Arial" w:cs="Arial"/>
          <w:b/>
          <w:bCs/>
          <w:sz w:val="24"/>
          <w:szCs w:val="24"/>
          <w:lang w:val="en-GB" w:eastAsia="en-GB"/>
        </w:rPr>
        <w:t>Militarism and Strategic Planning</w:t>
      </w:r>
    </w:p>
    <w:p w14:paraId="3E684626" w14:textId="414AE2B2" w:rsidR="002A68E1" w:rsidRPr="00DA53B5" w:rsidRDefault="002A68E1" w:rsidP="002A68E1">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Militarism played a defining role in shaping German foreign policy in both eras. Before 1914, the German military held significant influence over decision-making. The Schlieffen Plan exemplified a strategic mindset that prioritised rapid, decisive war. As Marc Trachtenberg argues, mobilisation itself became “a form of political decision-making,” blurring the line between diplomacy and war.</w:t>
      </w:r>
      <w:r w:rsidR="007608D1">
        <w:rPr>
          <w:rStyle w:val="FootnoteReference"/>
          <w:rFonts w:ascii="Arial" w:hAnsi="Arial" w:cs="Arial"/>
          <w:sz w:val="24"/>
          <w:szCs w:val="24"/>
          <w:lang w:val="en-GB" w:eastAsia="en-GB"/>
        </w:rPr>
        <w:footnoteReference w:id="5"/>
      </w:r>
    </w:p>
    <w:p w14:paraId="4157EA0F" w14:textId="712D6A02" w:rsidR="002A68E1" w:rsidRPr="00DA53B5" w:rsidRDefault="002A68E1" w:rsidP="002A68E1">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In the 1930s, Hitler similarly relied on military strength to achieve political goals. Rearmament and the expansion of the Wehrmacht were central to his strategy. Richard Overy notes that Nazi foreign policy “rested on the systematic rebuilding of German military power as an instrument of coercion.”</w:t>
      </w:r>
      <w:r w:rsidR="00057195">
        <w:rPr>
          <w:rStyle w:val="FootnoteReference"/>
          <w:rFonts w:ascii="Arial" w:hAnsi="Arial" w:cs="Arial"/>
          <w:sz w:val="24"/>
          <w:szCs w:val="24"/>
          <w:lang w:val="en-GB" w:eastAsia="en-GB"/>
        </w:rPr>
        <w:footnoteReference w:id="6"/>
      </w:r>
      <w:r w:rsidRPr="00DA53B5">
        <w:rPr>
          <w:rFonts w:ascii="Arial" w:hAnsi="Arial" w:cs="Arial"/>
          <w:sz w:val="24"/>
          <w:szCs w:val="24"/>
          <w:lang w:val="en-GB" w:eastAsia="en-GB"/>
        </w:rPr>
        <w:t xml:space="preserve"> The remilitarisation of the Rhineland in 1936 illustrates this approach, combining military action with political calculation.</w:t>
      </w:r>
    </w:p>
    <w:p w14:paraId="791B572A" w14:textId="55210B0C" w:rsidR="002A68E1" w:rsidRPr="00DA53B5" w:rsidRDefault="002A68E1" w:rsidP="00B0385C">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 xml:space="preserve">Both periods also demonstrate confidence in military solutions. Pre-1914 leaders believed in the effectiveness of rapid mobilisation, while Hitler believed that limited wars and intimidation would secure quick victories. As Strachan highlights, European powers before 1914 shared a belief in “the utility of war as </w:t>
      </w:r>
      <w:r w:rsidRPr="00DA53B5">
        <w:rPr>
          <w:rFonts w:ascii="Arial" w:hAnsi="Arial" w:cs="Arial"/>
          <w:sz w:val="24"/>
          <w:szCs w:val="24"/>
          <w:lang w:val="en-GB" w:eastAsia="en-GB"/>
        </w:rPr>
        <w:lastRenderedPageBreak/>
        <w:t>an instrument of policy.”</w:t>
      </w:r>
      <w:r w:rsidR="006D47EC">
        <w:rPr>
          <w:rStyle w:val="FootnoteReference"/>
          <w:rFonts w:ascii="Arial" w:hAnsi="Arial" w:cs="Arial"/>
          <w:sz w:val="24"/>
          <w:szCs w:val="24"/>
          <w:lang w:val="en-GB" w:eastAsia="en-GB"/>
        </w:rPr>
        <w:footnoteReference w:id="7"/>
      </w:r>
      <w:r w:rsidRPr="00DA53B5">
        <w:rPr>
          <w:rFonts w:ascii="Arial" w:hAnsi="Arial" w:cs="Arial"/>
          <w:sz w:val="24"/>
          <w:szCs w:val="24"/>
          <w:lang w:val="en-GB" w:eastAsia="en-GB"/>
        </w:rPr>
        <w:t xml:space="preserve"> Hitler’s actions suggest a continuation of this mindset, albeit applied more aggressively.</w:t>
      </w:r>
    </w:p>
    <w:p w14:paraId="402AAE95" w14:textId="77777777" w:rsidR="00B94173" w:rsidRPr="00DA53B5" w:rsidRDefault="00B94173" w:rsidP="00B0385C">
      <w:pPr>
        <w:spacing w:before="100" w:beforeAutospacing="1" w:after="100" w:afterAutospacing="1" w:line="240" w:lineRule="auto"/>
        <w:rPr>
          <w:rFonts w:ascii="Arial" w:hAnsi="Arial" w:cs="Arial"/>
          <w:sz w:val="24"/>
          <w:szCs w:val="24"/>
          <w:lang w:val="en-GB" w:eastAsia="en-GB"/>
        </w:rPr>
      </w:pPr>
    </w:p>
    <w:p w14:paraId="28EBD9A6" w14:textId="63F1C83A" w:rsidR="002A68E1" w:rsidRPr="00DA53B5" w:rsidRDefault="002A68E1" w:rsidP="002A68E1">
      <w:pPr>
        <w:spacing w:before="100" w:beforeAutospacing="1" w:after="100" w:afterAutospacing="1" w:line="240" w:lineRule="auto"/>
        <w:outlineLvl w:val="1"/>
        <w:rPr>
          <w:rFonts w:ascii="Arial" w:hAnsi="Arial" w:cs="Arial"/>
          <w:b/>
          <w:bCs/>
          <w:sz w:val="24"/>
          <w:szCs w:val="24"/>
          <w:lang w:val="en-GB" w:eastAsia="en-GB"/>
        </w:rPr>
      </w:pPr>
      <w:r w:rsidRPr="00DA53B5">
        <w:rPr>
          <w:rFonts w:ascii="Arial" w:eastAsia="Times New Roman" w:hAnsi="Arial" w:cs="Arial"/>
          <w:b/>
          <w:bCs/>
          <w:sz w:val="24"/>
          <w:szCs w:val="24"/>
          <w:lang w:val="en-GB" w:eastAsia="en-GB"/>
        </w:rPr>
        <w:t>Risk-Taking</w:t>
      </w:r>
    </w:p>
    <w:p w14:paraId="7B0984A7" w14:textId="01A28243" w:rsidR="002A68E1" w:rsidRPr="00DA53B5" w:rsidRDefault="002A68E1" w:rsidP="002A68E1">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Another clear similarity lies in the willingness to engage in high-risk diplomacy. Germany’s actions before 1914 often involved testing the resolve of other powers. The Moroccan Crises, for instance, were attempts to weaken the Entente but ultimately increased tensions. Zara Steiner describes German diplomacy as “a pattern of provocation that risked escalation beyond control.”</w:t>
      </w:r>
      <w:r w:rsidR="00133E45">
        <w:rPr>
          <w:rStyle w:val="FootnoteReference"/>
          <w:rFonts w:ascii="Arial" w:hAnsi="Arial" w:cs="Arial"/>
          <w:sz w:val="24"/>
          <w:szCs w:val="24"/>
          <w:lang w:val="en-GB" w:eastAsia="en-GB"/>
        </w:rPr>
        <w:footnoteReference w:id="8"/>
      </w:r>
    </w:p>
    <w:p w14:paraId="3732E238" w14:textId="4607E0E8" w:rsidR="002A68E1" w:rsidRPr="00DA53B5" w:rsidRDefault="002A68E1" w:rsidP="002A68E1">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Hitler adopted a similar strategy in the 1930s. Each step of his expansion—withdrawal from the League of Nations, remilitarisation of the Rhineland, Anschluss, and the Munich Agreement—was a calculated gamble. As Overy explains, Hitler’s approach relied on “a series of bold moves designed to exploit hesitation among his opponents.”</w:t>
      </w:r>
      <w:r w:rsidR="00DD14D0">
        <w:rPr>
          <w:rStyle w:val="FootnoteReference"/>
          <w:rFonts w:ascii="Arial" w:hAnsi="Arial" w:cs="Arial"/>
          <w:sz w:val="24"/>
          <w:szCs w:val="24"/>
          <w:lang w:val="en-GB" w:eastAsia="en-GB"/>
        </w:rPr>
        <w:footnoteReference w:id="9"/>
      </w:r>
    </w:p>
    <w:p w14:paraId="1EF512F0" w14:textId="3C49A777" w:rsidR="002A68E1" w:rsidRPr="00DA53B5" w:rsidRDefault="002A68E1" w:rsidP="00B0385C">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In both periods, these risks initially paid off. Germany faced limited consequences in the Moroccan Crises, just as Hitler encountered little resistance in the early stages of expansion. However, this success encouraged further risk-taking. Ferguson argues that such behaviour created “a cycle of escalation in which each success bred greater recklessness.”</w:t>
      </w:r>
      <w:r w:rsidR="00DD14D0">
        <w:rPr>
          <w:rStyle w:val="FootnoteReference"/>
          <w:rFonts w:ascii="Arial" w:hAnsi="Arial" w:cs="Arial"/>
          <w:sz w:val="24"/>
          <w:szCs w:val="24"/>
          <w:lang w:val="en-GB" w:eastAsia="en-GB"/>
        </w:rPr>
        <w:footnoteReference w:id="10"/>
      </w:r>
      <w:r w:rsidRPr="00DA53B5">
        <w:rPr>
          <w:rFonts w:ascii="Arial" w:hAnsi="Arial" w:cs="Arial"/>
          <w:sz w:val="24"/>
          <w:szCs w:val="24"/>
          <w:lang w:val="en-GB" w:eastAsia="en-GB"/>
        </w:rPr>
        <w:t xml:space="preserve"> This pattern ultimately contributed to the outbreak of war in both 1914 and 1939.</w:t>
      </w:r>
    </w:p>
    <w:p w14:paraId="6321CF79" w14:textId="77777777" w:rsidR="00B94173" w:rsidRPr="00DA53B5" w:rsidRDefault="00B94173" w:rsidP="00B0385C">
      <w:pPr>
        <w:spacing w:before="100" w:beforeAutospacing="1" w:after="100" w:afterAutospacing="1" w:line="240" w:lineRule="auto"/>
        <w:rPr>
          <w:rFonts w:ascii="Arial" w:hAnsi="Arial" w:cs="Arial"/>
          <w:sz w:val="24"/>
          <w:szCs w:val="24"/>
          <w:lang w:val="en-GB" w:eastAsia="en-GB"/>
        </w:rPr>
      </w:pPr>
    </w:p>
    <w:p w14:paraId="3AE4473F" w14:textId="671CC49A" w:rsidR="002A68E1" w:rsidRPr="00DA53B5" w:rsidRDefault="002A68E1" w:rsidP="002A68E1">
      <w:pPr>
        <w:spacing w:before="100" w:beforeAutospacing="1" w:after="100" w:afterAutospacing="1" w:line="240" w:lineRule="auto"/>
        <w:outlineLvl w:val="1"/>
        <w:rPr>
          <w:rFonts w:ascii="Arial" w:hAnsi="Arial" w:cs="Arial"/>
          <w:b/>
          <w:bCs/>
          <w:sz w:val="24"/>
          <w:szCs w:val="24"/>
          <w:lang w:val="en-GB" w:eastAsia="en-GB"/>
        </w:rPr>
      </w:pPr>
      <w:r w:rsidRPr="00DA53B5">
        <w:rPr>
          <w:rFonts w:ascii="Arial" w:eastAsia="Times New Roman" w:hAnsi="Arial" w:cs="Arial"/>
          <w:b/>
          <w:bCs/>
          <w:sz w:val="24"/>
          <w:szCs w:val="24"/>
          <w:lang w:val="en-GB" w:eastAsia="en-GB"/>
        </w:rPr>
        <w:t>International Weakness</w:t>
      </w:r>
    </w:p>
    <w:p w14:paraId="628E0F5B" w14:textId="0242EB9D" w:rsidR="002A68E1" w:rsidRPr="00DA53B5" w:rsidRDefault="002A68E1" w:rsidP="002A68E1">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 xml:space="preserve">Germany’s foreign policy in both eras also relied on exploiting the weaknesses of other powers. Before 1914, German leaders sought to take advantage of divisions within the international system. As Steiner notes, the European balance </w:t>
      </w:r>
      <w:r w:rsidRPr="00DA53B5">
        <w:rPr>
          <w:rFonts w:ascii="Arial" w:hAnsi="Arial" w:cs="Arial"/>
          <w:sz w:val="24"/>
          <w:szCs w:val="24"/>
          <w:lang w:val="en-GB" w:eastAsia="en-GB"/>
        </w:rPr>
        <w:lastRenderedPageBreak/>
        <w:t>of power was “fragile and susceptible to disruption by assertive states.”</w:t>
      </w:r>
      <w:r w:rsidR="00884D3E">
        <w:rPr>
          <w:rStyle w:val="FootnoteReference"/>
          <w:rFonts w:ascii="Arial" w:hAnsi="Arial" w:cs="Arial"/>
          <w:sz w:val="24"/>
          <w:szCs w:val="24"/>
          <w:lang w:val="en-GB" w:eastAsia="en-GB"/>
        </w:rPr>
        <w:footnoteReference w:id="11"/>
      </w:r>
      <w:r w:rsidRPr="00DA53B5">
        <w:rPr>
          <w:rFonts w:ascii="Arial" w:hAnsi="Arial" w:cs="Arial"/>
          <w:sz w:val="24"/>
          <w:szCs w:val="24"/>
          <w:lang w:val="en-GB" w:eastAsia="en-GB"/>
        </w:rPr>
        <w:t xml:space="preserve"> Germany’s actions were partly based on the assumption that its rivals would fail to respond decisively.</w:t>
      </w:r>
    </w:p>
    <w:p w14:paraId="7EEFFD3B" w14:textId="0522EFA4" w:rsidR="002A68E1" w:rsidRPr="00DA53B5" w:rsidRDefault="002A68E1" w:rsidP="002A68E1">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Similarly, Hitler capitalised on the weaknesses of Britain and France in the 1930s. The policy of appeasement, combined with economic and political challenges, limited their willingness to confront Germany. Weinberg argues that Hitler recognised “the reluctance of the Western powers to engage in another major war.”</w:t>
      </w:r>
      <w:r w:rsidR="00884D3E">
        <w:rPr>
          <w:rStyle w:val="FootnoteReference"/>
          <w:rFonts w:ascii="Arial" w:hAnsi="Arial" w:cs="Arial"/>
          <w:sz w:val="24"/>
          <w:szCs w:val="24"/>
          <w:lang w:val="en-GB" w:eastAsia="en-GB"/>
        </w:rPr>
        <w:footnoteReference w:id="12"/>
      </w:r>
      <w:r w:rsidRPr="00DA53B5">
        <w:rPr>
          <w:rFonts w:ascii="Arial" w:hAnsi="Arial" w:cs="Arial"/>
          <w:sz w:val="24"/>
          <w:szCs w:val="24"/>
          <w:lang w:val="en-GB" w:eastAsia="en-GB"/>
        </w:rPr>
        <w:t xml:space="preserve"> This allowed Germany to expand with minimal resistance.</w:t>
      </w:r>
    </w:p>
    <w:p w14:paraId="4BE456FF" w14:textId="44B8A645" w:rsidR="002A68E1" w:rsidRPr="00DA53B5" w:rsidRDefault="002A68E1" w:rsidP="00B0385C">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The failure of international institutions further facilitated this process. Before 1914, there was no effective mechanism to prevent conflict. In the 1930s, the League of Nations proved ineffective. As Overy observes, the League was “incapable of enforcing collective security against determined aggression.”</w:t>
      </w:r>
      <w:r w:rsidR="00FC49AB">
        <w:rPr>
          <w:rStyle w:val="FootnoteReference"/>
          <w:rFonts w:ascii="Arial" w:hAnsi="Arial" w:cs="Arial"/>
          <w:sz w:val="24"/>
          <w:szCs w:val="24"/>
          <w:lang w:val="en-GB" w:eastAsia="en-GB"/>
        </w:rPr>
        <w:footnoteReference w:id="13"/>
      </w:r>
      <w:r w:rsidRPr="00DA53B5">
        <w:rPr>
          <w:rFonts w:ascii="Arial" w:hAnsi="Arial" w:cs="Arial"/>
          <w:sz w:val="24"/>
          <w:szCs w:val="24"/>
          <w:lang w:val="en-GB" w:eastAsia="en-GB"/>
        </w:rPr>
        <w:t xml:space="preserve"> In both cases, Germany exploited systemic weaknesses to pursue its objectives.</w:t>
      </w:r>
    </w:p>
    <w:p w14:paraId="57531B7E" w14:textId="77777777" w:rsidR="00B0385C" w:rsidRPr="00DA53B5" w:rsidRDefault="00B0385C" w:rsidP="00B0385C">
      <w:pPr>
        <w:spacing w:before="100" w:beforeAutospacing="1" w:after="100" w:afterAutospacing="1" w:line="240" w:lineRule="auto"/>
        <w:rPr>
          <w:rFonts w:ascii="Arial" w:hAnsi="Arial" w:cs="Arial"/>
          <w:sz w:val="24"/>
          <w:szCs w:val="24"/>
          <w:lang w:val="en-GB" w:eastAsia="en-GB"/>
        </w:rPr>
      </w:pPr>
    </w:p>
    <w:p w14:paraId="11EA5F30" w14:textId="77777777" w:rsidR="002A68E1" w:rsidRPr="00DA53B5" w:rsidRDefault="002A68E1" w:rsidP="002A68E1">
      <w:pPr>
        <w:spacing w:before="100" w:beforeAutospacing="1" w:after="100" w:afterAutospacing="1" w:line="240" w:lineRule="auto"/>
        <w:outlineLvl w:val="1"/>
        <w:rPr>
          <w:rFonts w:ascii="Arial" w:hAnsi="Arial" w:cs="Arial"/>
          <w:b/>
          <w:bCs/>
          <w:sz w:val="24"/>
          <w:szCs w:val="24"/>
          <w:lang w:val="en-GB" w:eastAsia="en-GB"/>
        </w:rPr>
      </w:pPr>
      <w:r w:rsidRPr="00DA53B5">
        <w:rPr>
          <w:rFonts w:ascii="Arial" w:eastAsia="Times New Roman" w:hAnsi="Arial" w:cs="Arial"/>
          <w:b/>
          <w:bCs/>
          <w:sz w:val="24"/>
          <w:szCs w:val="24"/>
          <w:lang w:val="en-GB" w:eastAsia="en-GB"/>
        </w:rPr>
        <w:t>Ideological Differences</w:t>
      </w:r>
    </w:p>
    <w:p w14:paraId="67527327" w14:textId="0340D444" w:rsidR="002A68E1" w:rsidRPr="00DA53B5" w:rsidRDefault="002A68E1" w:rsidP="002A68E1">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Despite these similarities, a key difference lies in the role of ideology. Pre-1914 German foreign policy was driven primarily by strategic considerations rather than a coherent ideological framework. While nationalism was important, it lacked the radicalism of Nazi ideology. As Strachan notes, German leaders before 1914 were motivated by “traditional concerns of power, security, and prestige.”</w:t>
      </w:r>
      <w:r w:rsidR="00FC49AB">
        <w:rPr>
          <w:rStyle w:val="FootnoteReference"/>
          <w:rFonts w:ascii="Arial" w:hAnsi="Arial" w:cs="Arial"/>
          <w:sz w:val="24"/>
          <w:szCs w:val="24"/>
          <w:lang w:val="en-GB" w:eastAsia="en-GB"/>
        </w:rPr>
        <w:footnoteReference w:id="14"/>
      </w:r>
    </w:p>
    <w:p w14:paraId="61187A47" w14:textId="340CF1B2" w:rsidR="002A68E1" w:rsidRPr="00DA53B5" w:rsidRDefault="002A68E1" w:rsidP="002A68E1">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 xml:space="preserve">In contrast, Hitler’s policies were deeply rooted in racial ideology. His concept of </w:t>
      </w:r>
      <w:r w:rsidRPr="00DA53B5">
        <w:rPr>
          <w:rFonts w:ascii="Arial" w:hAnsi="Arial" w:cs="Arial"/>
          <w:i/>
          <w:iCs/>
          <w:sz w:val="24"/>
          <w:szCs w:val="24"/>
          <w:lang w:val="en-GB" w:eastAsia="en-GB"/>
        </w:rPr>
        <w:t>Lebensraum</w:t>
      </w:r>
      <w:r w:rsidRPr="00DA53B5">
        <w:rPr>
          <w:rFonts w:ascii="Arial" w:hAnsi="Arial" w:cs="Arial"/>
          <w:sz w:val="24"/>
          <w:szCs w:val="24"/>
          <w:lang w:val="en-GB" w:eastAsia="en-GB"/>
        </w:rPr>
        <w:t xml:space="preserve"> was linked to beliefs about racial hierarchy and the need to eliminate perceived enemies. Weinberg emphasises that Nazi expansionism was “inseparable from its ideological foundations.”</w:t>
      </w:r>
      <w:r w:rsidR="008B3C78">
        <w:rPr>
          <w:rStyle w:val="FootnoteReference"/>
          <w:rFonts w:ascii="Arial" w:hAnsi="Arial" w:cs="Arial"/>
          <w:sz w:val="24"/>
          <w:szCs w:val="24"/>
          <w:lang w:val="en-GB" w:eastAsia="en-GB"/>
        </w:rPr>
        <w:footnoteReference w:id="15"/>
      </w:r>
      <w:r w:rsidRPr="00DA53B5">
        <w:rPr>
          <w:rFonts w:ascii="Arial" w:hAnsi="Arial" w:cs="Arial"/>
          <w:sz w:val="24"/>
          <w:szCs w:val="24"/>
          <w:lang w:val="en-GB" w:eastAsia="en-GB"/>
        </w:rPr>
        <w:t xml:space="preserve"> This made Hitler’s foreign policy more extreme and destructive.</w:t>
      </w:r>
    </w:p>
    <w:p w14:paraId="0317F134" w14:textId="439F3AC9" w:rsidR="002A68E1" w:rsidRPr="00DA53B5" w:rsidRDefault="002A68E1" w:rsidP="002A68E1">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lastRenderedPageBreak/>
        <w:t>However, elements of continuity remain. Nationalism and a belief in German superiority were present before 1914. As Ferguson suggests, these ideas created “a cultural environment in which more radical ideologies could later flourish.”</w:t>
      </w:r>
      <w:r w:rsidR="008B3C78">
        <w:rPr>
          <w:rStyle w:val="FootnoteReference"/>
          <w:rFonts w:ascii="Arial" w:hAnsi="Arial" w:cs="Arial"/>
          <w:sz w:val="24"/>
          <w:szCs w:val="24"/>
          <w:lang w:val="en-GB" w:eastAsia="en-GB"/>
        </w:rPr>
        <w:footnoteReference w:id="16"/>
      </w:r>
      <w:r w:rsidRPr="00DA53B5">
        <w:rPr>
          <w:rFonts w:ascii="Arial" w:hAnsi="Arial" w:cs="Arial"/>
          <w:sz w:val="24"/>
          <w:szCs w:val="24"/>
          <w:lang w:val="en-GB" w:eastAsia="en-GB"/>
        </w:rPr>
        <w:t xml:space="preserve"> Thus, while Hitler’s policies were more extreme, they were not entirely without precedent.</w:t>
      </w:r>
    </w:p>
    <w:p w14:paraId="488D1196" w14:textId="403AE30A" w:rsidR="002A68E1" w:rsidRPr="00DA53B5" w:rsidRDefault="002A68E1" w:rsidP="002A68E1">
      <w:pPr>
        <w:spacing w:after="0" w:line="240" w:lineRule="auto"/>
        <w:rPr>
          <w:rFonts w:ascii="Arial" w:eastAsia="Times New Roman" w:hAnsi="Arial" w:cs="Arial"/>
          <w:sz w:val="24"/>
          <w:szCs w:val="24"/>
          <w:lang w:val="en-GB" w:eastAsia="en-GB"/>
        </w:rPr>
      </w:pPr>
    </w:p>
    <w:p w14:paraId="66E87C16" w14:textId="222F677C" w:rsidR="002A68E1" w:rsidRPr="00DA53B5" w:rsidRDefault="002A68E1" w:rsidP="002A68E1">
      <w:pPr>
        <w:spacing w:before="100" w:beforeAutospacing="1" w:after="100" w:afterAutospacing="1" w:line="240" w:lineRule="auto"/>
        <w:outlineLvl w:val="1"/>
        <w:rPr>
          <w:rFonts w:ascii="Arial" w:hAnsi="Arial" w:cs="Arial"/>
          <w:b/>
          <w:bCs/>
          <w:sz w:val="24"/>
          <w:szCs w:val="24"/>
          <w:lang w:val="en-GB" w:eastAsia="en-GB"/>
        </w:rPr>
      </w:pPr>
      <w:r w:rsidRPr="00DA53B5">
        <w:rPr>
          <w:rFonts w:ascii="Arial" w:eastAsia="Times New Roman" w:hAnsi="Arial" w:cs="Arial"/>
          <w:b/>
          <w:bCs/>
          <w:sz w:val="24"/>
          <w:szCs w:val="24"/>
          <w:lang w:val="en-GB" w:eastAsia="en-GB"/>
        </w:rPr>
        <w:t>Scale and Intent</w:t>
      </w:r>
    </w:p>
    <w:p w14:paraId="7FED4B9A" w14:textId="3D58D1C3" w:rsidR="002A68E1" w:rsidRPr="00DA53B5" w:rsidRDefault="002A68E1" w:rsidP="002A68E1">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Another important distinction is the scale and coherence of policy. Pre-1914 German foreign policy was often inconsistent and reactive. As Steiner argues, it lacked “a clear and unified strategic direction.”</w:t>
      </w:r>
      <w:r w:rsidR="008B3C78">
        <w:rPr>
          <w:rStyle w:val="FootnoteReference"/>
          <w:rFonts w:ascii="Arial" w:hAnsi="Arial" w:cs="Arial"/>
          <w:sz w:val="24"/>
          <w:szCs w:val="24"/>
          <w:lang w:val="en-GB" w:eastAsia="en-GB"/>
        </w:rPr>
        <w:footnoteReference w:id="17"/>
      </w:r>
      <w:r w:rsidRPr="00DA53B5">
        <w:rPr>
          <w:rFonts w:ascii="Arial" w:hAnsi="Arial" w:cs="Arial"/>
          <w:sz w:val="24"/>
          <w:szCs w:val="24"/>
          <w:lang w:val="en-GB" w:eastAsia="en-GB"/>
        </w:rPr>
        <w:t xml:space="preserve"> Decisions were frequently shaped by short-term considerations rather than long-term planning.</w:t>
      </w:r>
    </w:p>
    <w:p w14:paraId="4D7A5D90" w14:textId="5E9C5716" w:rsidR="002A68E1" w:rsidRPr="00DA53B5" w:rsidRDefault="002A68E1" w:rsidP="002A68E1">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In contrast, Hitler’s expansionism followed a more systematic approach. His actions in the 1930s formed part of a broader plan to dominate Europe. Overy notes that Nazi policy was characterised by “a coherent vision of territorial and political transformation.”</w:t>
      </w:r>
      <w:r w:rsidR="003A1994">
        <w:rPr>
          <w:rStyle w:val="FootnoteReference"/>
          <w:rFonts w:ascii="Arial" w:hAnsi="Arial" w:cs="Arial"/>
          <w:sz w:val="24"/>
          <w:szCs w:val="24"/>
          <w:lang w:val="en-GB" w:eastAsia="en-GB"/>
        </w:rPr>
        <w:footnoteReference w:id="18"/>
      </w:r>
      <w:r w:rsidRPr="00DA53B5">
        <w:rPr>
          <w:rFonts w:ascii="Arial" w:hAnsi="Arial" w:cs="Arial"/>
          <w:sz w:val="24"/>
          <w:szCs w:val="24"/>
          <w:lang w:val="en-GB" w:eastAsia="en-GB"/>
        </w:rPr>
        <w:t xml:space="preserve"> This made it more dangerous and far-reaching.</w:t>
      </w:r>
    </w:p>
    <w:p w14:paraId="6A64387F" w14:textId="77777777" w:rsidR="002A68E1" w:rsidRDefault="002A68E1" w:rsidP="002A68E1">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Additionally, the pace of expansion differed significantly. Hitler achieved rapid territorial gains within a few years, whereas pre-1914 Germany’s expansionist efforts were more gradual and limited. This difference highlights the more aggressive nature of Nazi foreign policy.</w:t>
      </w:r>
    </w:p>
    <w:p w14:paraId="24E55219" w14:textId="77777777" w:rsidR="00DA53B5" w:rsidRPr="00DA53B5" w:rsidRDefault="00DA53B5" w:rsidP="002A68E1">
      <w:pPr>
        <w:spacing w:before="100" w:beforeAutospacing="1" w:after="100" w:afterAutospacing="1" w:line="240" w:lineRule="auto"/>
        <w:rPr>
          <w:rFonts w:ascii="Arial" w:hAnsi="Arial" w:cs="Arial"/>
          <w:sz w:val="24"/>
          <w:szCs w:val="24"/>
          <w:lang w:val="en-GB" w:eastAsia="en-GB"/>
        </w:rPr>
      </w:pPr>
    </w:p>
    <w:p w14:paraId="0E1D267E" w14:textId="77777777" w:rsidR="0002706C" w:rsidRPr="00DA53B5" w:rsidRDefault="0002706C" w:rsidP="0002706C">
      <w:pPr>
        <w:spacing w:before="100" w:beforeAutospacing="1" w:after="100" w:afterAutospacing="1" w:line="240" w:lineRule="auto"/>
        <w:outlineLvl w:val="1"/>
        <w:rPr>
          <w:rFonts w:ascii="Arial" w:eastAsia="Times New Roman" w:hAnsi="Arial" w:cs="Arial"/>
          <w:b/>
          <w:bCs/>
          <w:sz w:val="24"/>
          <w:szCs w:val="24"/>
          <w:lang w:val="en-GB" w:eastAsia="en-GB"/>
        </w:rPr>
      </w:pPr>
      <w:r w:rsidRPr="00DA53B5">
        <w:rPr>
          <w:rFonts w:ascii="Arial" w:eastAsia="Times New Roman" w:hAnsi="Arial" w:cs="Arial"/>
          <w:b/>
          <w:bCs/>
          <w:sz w:val="24"/>
          <w:szCs w:val="24"/>
          <w:lang w:val="en-GB" w:eastAsia="en-GB"/>
        </w:rPr>
        <w:t>Domestic Pressures and Foreign Policy</w:t>
      </w:r>
    </w:p>
    <w:p w14:paraId="0F5A60DB" w14:textId="1C7E9C13" w:rsidR="0002706C" w:rsidRPr="00DA53B5" w:rsidRDefault="0002706C" w:rsidP="0002706C">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 xml:space="preserve">A further similarity between pre-1914 German foreign policy and Hitler’s expansionism </w:t>
      </w:r>
      <w:bookmarkStart w:id="1" w:name="_Int_YBzOAab1"/>
      <w:r w:rsidRPr="00DA53B5">
        <w:rPr>
          <w:rFonts w:ascii="Arial" w:hAnsi="Arial" w:cs="Arial"/>
          <w:sz w:val="24"/>
          <w:szCs w:val="24"/>
          <w:lang w:val="en-GB" w:eastAsia="en-GB"/>
        </w:rPr>
        <w:t>lies</w:t>
      </w:r>
      <w:bookmarkEnd w:id="1"/>
      <w:r w:rsidRPr="00DA53B5">
        <w:rPr>
          <w:rFonts w:ascii="Arial" w:hAnsi="Arial" w:cs="Arial"/>
          <w:sz w:val="24"/>
          <w:szCs w:val="24"/>
          <w:lang w:val="en-GB" w:eastAsia="en-GB"/>
        </w:rPr>
        <w:t xml:space="preserve"> in the influence of domestic pressures on external decision-making. In Imperial Germany, internal political tensions—particularly between the ruling elite and growing socialist movements—encouraged leaders to pursue an assertive foreign policy as a means of fostering national unity. As M. R. Gordon argues, German policymakers used foreign crises to “divert attention from domestic conflict and consolidate internal cohesion.”</w:t>
      </w:r>
      <w:r w:rsidR="003A1994">
        <w:rPr>
          <w:rStyle w:val="FootnoteReference"/>
          <w:rFonts w:ascii="Arial" w:hAnsi="Arial" w:cs="Arial"/>
          <w:sz w:val="24"/>
          <w:szCs w:val="24"/>
          <w:lang w:val="en-GB" w:eastAsia="en-GB"/>
        </w:rPr>
        <w:footnoteReference w:id="19"/>
      </w:r>
      <w:r w:rsidRPr="00DA53B5">
        <w:rPr>
          <w:rFonts w:ascii="Arial" w:hAnsi="Arial" w:cs="Arial"/>
          <w:sz w:val="24"/>
          <w:szCs w:val="24"/>
          <w:lang w:val="en-GB" w:eastAsia="en-GB"/>
        </w:rPr>
        <w:t xml:space="preserve"> This suggests that </w:t>
      </w:r>
      <w:r w:rsidRPr="00DA53B5">
        <w:rPr>
          <w:rFonts w:ascii="Arial" w:hAnsi="Arial" w:cs="Arial"/>
          <w:sz w:val="24"/>
          <w:szCs w:val="24"/>
          <w:lang w:val="en-GB" w:eastAsia="en-GB"/>
        </w:rPr>
        <w:lastRenderedPageBreak/>
        <w:t>expansionist behaviour was not purely strategic but also politically motivated. Similarly, Hitler utilised foreign policy successes to strengthen his domestic position. Early victories such as the remilitarisation of the Rhineland and the Anschluss generated widespread popular support and reinforced the legitimacy of the Nazi regime. Richard Overy notes that these successes “helped to stabilise the regime internally by demonstrating its effectiveness and restoring national pride.”</w:t>
      </w:r>
      <w:r w:rsidR="00B772D2">
        <w:rPr>
          <w:rStyle w:val="FootnoteReference"/>
          <w:rFonts w:ascii="Arial" w:hAnsi="Arial" w:cs="Arial"/>
          <w:sz w:val="24"/>
          <w:szCs w:val="24"/>
          <w:lang w:val="en-GB" w:eastAsia="en-GB"/>
        </w:rPr>
        <w:footnoteReference w:id="20"/>
      </w:r>
      <w:r w:rsidRPr="00DA53B5">
        <w:rPr>
          <w:rFonts w:ascii="Arial" w:hAnsi="Arial" w:cs="Arial"/>
          <w:sz w:val="24"/>
          <w:szCs w:val="24"/>
          <w:lang w:val="en-GB" w:eastAsia="en-GB"/>
        </w:rPr>
        <w:t xml:space="preserve"> In both periods, therefore, foreign policy served a dual purpose: advancing international ambitions while managing domestic challenges. This overlap highlights a continuity in the use of external expansion as a tool of internal political consolidation.</w:t>
      </w:r>
    </w:p>
    <w:p w14:paraId="19426410" w14:textId="59E69D06" w:rsidR="0002706C" w:rsidRPr="00DA53B5" w:rsidRDefault="0002706C" w:rsidP="0002706C">
      <w:pPr>
        <w:spacing w:after="0" w:line="240" w:lineRule="auto"/>
        <w:rPr>
          <w:rFonts w:ascii="Arial" w:eastAsia="Times New Roman" w:hAnsi="Arial" w:cs="Arial"/>
          <w:sz w:val="24"/>
          <w:szCs w:val="24"/>
          <w:lang w:val="en-GB" w:eastAsia="en-GB"/>
        </w:rPr>
      </w:pPr>
    </w:p>
    <w:p w14:paraId="23057DA0" w14:textId="7A22A967" w:rsidR="0002706C" w:rsidRPr="00DA53B5" w:rsidRDefault="0002706C" w:rsidP="0002706C">
      <w:pPr>
        <w:spacing w:before="100" w:beforeAutospacing="1" w:after="100" w:afterAutospacing="1" w:line="240" w:lineRule="auto"/>
        <w:outlineLvl w:val="1"/>
        <w:rPr>
          <w:rFonts w:ascii="Arial" w:eastAsia="Times New Roman" w:hAnsi="Arial" w:cs="Arial"/>
          <w:b/>
          <w:bCs/>
          <w:sz w:val="24"/>
          <w:szCs w:val="24"/>
          <w:lang w:val="en-GB" w:eastAsia="en-GB"/>
        </w:rPr>
      </w:pPr>
      <w:r w:rsidRPr="00DA53B5">
        <w:rPr>
          <w:rFonts w:ascii="Arial" w:eastAsia="Times New Roman" w:hAnsi="Arial" w:cs="Arial"/>
          <w:b/>
          <w:bCs/>
          <w:sz w:val="24"/>
          <w:szCs w:val="24"/>
          <w:lang w:val="en-GB" w:eastAsia="en-GB"/>
        </w:rPr>
        <w:t>Alliance</w:t>
      </w:r>
      <w:r w:rsidR="00B025D9" w:rsidRPr="00DA53B5">
        <w:rPr>
          <w:rFonts w:ascii="Arial" w:eastAsia="Times New Roman" w:hAnsi="Arial" w:cs="Arial"/>
          <w:b/>
          <w:bCs/>
          <w:sz w:val="24"/>
          <w:szCs w:val="24"/>
          <w:lang w:val="en-GB" w:eastAsia="en-GB"/>
        </w:rPr>
        <w:t xml:space="preserve">s </w:t>
      </w:r>
      <w:r w:rsidRPr="00DA53B5">
        <w:rPr>
          <w:rFonts w:ascii="Arial" w:eastAsia="Times New Roman" w:hAnsi="Arial" w:cs="Arial"/>
          <w:b/>
          <w:bCs/>
          <w:sz w:val="24"/>
          <w:szCs w:val="24"/>
          <w:lang w:val="en-GB" w:eastAsia="en-GB"/>
        </w:rPr>
        <w:t>and Strategic Calculations</w:t>
      </w:r>
    </w:p>
    <w:p w14:paraId="24B1255D" w14:textId="0575E01A" w:rsidR="0002706C" w:rsidRDefault="0002706C" w:rsidP="0002706C">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Another important point of comparison is the role of alliances and strategic calculations in shaping German foreign policy. Before 1914, Germany’s position within the alliance system—particularly its reliance on Austria-Hungary—significantly influenced its actions. The decision to offer the “blank cheque” in 1914 reflected both strategic necessity and miscalculation. As Marc Trachtenberg observes, German leaders believed that “firm support for Austria would localise the conflict rather than escalate it.”</w:t>
      </w:r>
      <w:r w:rsidR="00B772D2">
        <w:rPr>
          <w:rStyle w:val="FootnoteReference"/>
          <w:rFonts w:ascii="Arial" w:hAnsi="Arial" w:cs="Arial"/>
          <w:sz w:val="24"/>
          <w:szCs w:val="24"/>
          <w:lang w:val="en-GB" w:eastAsia="en-GB"/>
        </w:rPr>
        <w:footnoteReference w:id="21"/>
      </w:r>
      <w:r w:rsidRPr="00DA53B5">
        <w:rPr>
          <w:rFonts w:ascii="Arial" w:hAnsi="Arial" w:cs="Arial"/>
          <w:sz w:val="24"/>
          <w:szCs w:val="24"/>
          <w:lang w:val="en-GB" w:eastAsia="en-GB"/>
        </w:rPr>
        <w:t xml:space="preserve"> This misjudgement contributed directly to the outbreak of war. In the 1930s, Hitler also engaged in strategic manoeuvring through alliances, though in a more calculated manner. Agreements such as the Rome-Berlin Axis and the Anti-Comintern Pact were designed to strengthen Germany’s position while isolating potential enemies. Gerhard Weinberg argues that Hitler’s diplomacy sought to “reshape the international system in Germany’s favour before engaging in major conflict.”</w:t>
      </w:r>
      <w:r w:rsidR="001A3E99">
        <w:rPr>
          <w:rStyle w:val="FootnoteReference"/>
          <w:rFonts w:ascii="Arial" w:hAnsi="Arial" w:cs="Arial"/>
          <w:sz w:val="24"/>
          <w:szCs w:val="24"/>
          <w:lang w:val="en-GB" w:eastAsia="en-GB"/>
        </w:rPr>
        <w:footnoteReference w:id="22"/>
      </w:r>
      <w:r w:rsidRPr="00DA53B5">
        <w:rPr>
          <w:rFonts w:ascii="Arial" w:hAnsi="Arial" w:cs="Arial"/>
          <w:sz w:val="24"/>
          <w:szCs w:val="24"/>
          <w:lang w:val="en-GB" w:eastAsia="en-GB"/>
        </w:rPr>
        <w:t xml:space="preserve"> Despite differences in execution, both periods reveal a reliance on alliance politics combined with flawed assumptions about how other powers would respond. </w:t>
      </w:r>
      <w:bookmarkStart w:id="2" w:name="_Int_RRsVJP4k"/>
      <w:r w:rsidRPr="00DA53B5">
        <w:rPr>
          <w:rFonts w:ascii="Arial" w:hAnsi="Arial" w:cs="Arial"/>
          <w:sz w:val="24"/>
          <w:szCs w:val="24"/>
          <w:lang w:val="en-GB" w:eastAsia="en-GB"/>
        </w:rPr>
        <w:t>This further underscores</w:t>
      </w:r>
      <w:bookmarkEnd w:id="2"/>
      <w:r w:rsidRPr="00DA53B5">
        <w:rPr>
          <w:rFonts w:ascii="Arial" w:hAnsi="Arial" w:cs="Arial"/>
          <w:sz w:val="24"/>
          <w:szCs w:val="24"/>
          <w:lang w:val="en-GB" w:eastAsia="en-GB"/>
        </w:rPr>
        <w:t xml:space="preserve"> the continuity in German strategic thinking, even as the context and outcomes differed significantly.</w:t>
      </w:r>
    </w:p>
    <w:p w14:paraId="032F08B8" w14:textId="77777777" w:rsidR="00DA53B5" w:rsidRPr="00DA53B5" w:rsidRDefault="00DA53B5" w:rsidP="0002706C">
      <w:pPr>
        <w:spacing w:before="100" w:beforeAutospacing="1" w:after="100" w:afterAutospacing="1" w:line="240" w:lineRule="auto"/>
        <w:rPr>
          <w:rFonts w:ascii="Arial" w:hAnsi="Arial" w:cs="Arial"/>
          <w:sz w:val="24"/>
          <w:szCs w:val="24"/>
          <w:lang w:val="en-GB" w:eastAsia="en-GB"/>
        </w:rPr>
      </w:pPr>
    </w:p>
    <w:p w14:paraId="17947BAB" w14:textId="0C1072D5" w:rsidR="00C2680D" w:rsidRPr="00DA53B5" w:rsidRDefault="00C2680D" w:rsidP="00C2680D">
      <w:pPr>
        <w:spacing w:before="100" w:beforeAutospacing="1" w:after="100" w:afterAutospacing="1" w:line="240" w:lineRule="auto"/>
        <w:outlineLvl w:val="1"/>
        <w:rPr>
          <w:rFonts w:ascii="Arial" w:eastAsia="Times New Roman" w:hAnsi="Arial" w:cs="Arial"/>
          <w:b/>
          <w:bCs/>
          <w:sz w:val="24"/>
          <w:szCs w:val="24"/>
          <w:lang w:val="en-GB" w:eastAsia="en-GB"/>
        </w:rPr>
      </w:pPr>
      <w:r w:rsidRPr="00DA53B5">
        <w:rPr>
          <w:rFonts w:ascii="Arial" w:eastAsia="Times New Roman" w:hAnsi="Arial" w:cs="Arial"/>
          <w:b/>
          <w:bCs/>
          <w:sz w:val="24"/>
          <w:szCs w:val="24"/>
          <w:lang w:val="en-GB" w:eastAsia="en-GB"/>
        </w:rPr>
        <w:t>Intentionalism vs Structuralism</w:t>
      </w:r>
    </w:p>
    <w:p w14:paraId="003FF4D3" w14:textId="13F8896C" w:rsidR="00C2680D" w:rsidRPr="00DA53B5" w:rsidRDefault="00C2680D" w:rsidP="0002706C">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 xml:space="preserve">The similarities between German foreign policy before 1914 and Hitler’s expansionism in the 1930s have been interpreted differently within the </w:t>
      </w:r>
      <w:r w:rsidRPr="00DA53B5">
        <w:rPr>
          <w:rFonts w:ascii="Arial" w:hAnsi="Arial" w:cs="Arial"/>
          <w:sz w:val="24"/>
          <w:szCs w:val="24"/>
          <w:lang w:val="en-GB" w:eastAsia="en-GB"/>
        </w:rPr>
        <w:lastRenderedPageBreak/>
        <w:t>historiographical debate between intentionalists and structuralists. Intentionalist historians emphasise the role of individual agency, particularly in the case of Hitler, arguing that foreign policy was driven by a clear ideological programme. Gerhard Weinberg, for example, contends that Hitler possessed “a consistent and long-term vision of expansion that guided his actions from the outset.”</w:t>
      </w:r>
      <w:r w:rsidR="001A3E99">
        <w:rPr>
          <w:rStyle w:val="FootnoteReference"/>
          <w:rFonts w:ascii="Arial" w:hAnsi="Arial" w:cs="Arial"/>
          <w:sz w:val="24"/>
          <w:szCs w:val="24"/>
          <w:lang w:val="en-GB" w:eastAsia="en-GB"/>
        </w:rPr>
        <w:footnoteReference w:id="23"/>
      </w:r>
      <w:r w:rsidRPr="00DA53B5">
        <w:rPr>
          <w:rFonts w:ascii="Arial" w:hAnsi="Arial" w:cs="Arial"/>
          <w:sz w:val="24"/>
          <w:szCs w:val="24"/>
          <w:lang w:val="en-GB" w:eastAsia="en-GB"/>
        </w:rPr>
        <w:t xml:space="preserve"> From this perspective, the aggressive nature of Nazi foreign policy reflects deliberate planning rather than structural pressures. In contrast, structuralist historians highlight the broader political, economic, and institutional constraints that shaped decision-making. In the context of pre-1914 Germany, historians such as Niall Ferguson stress that leaders operated within “a system of alliances, military timetables, and geopolitical pressures that limited their choices.”</w:t>
      </w:r>
      <w:r w:rsidR="001A3E99">
        <w:rPr>
          <w:rStyle w:val="FootnoteReference"/>
          <w:rFonts w:ascii="Arial" w:hAnsi="Arial" w:cs="Arial"/>
          <w:sz w:val="24"/>
          <w:szCs w:val="24"/>
          <w:lang w:val="en-GB" w:eastAsia="en-GB"/>
        </w:rPr>
        <w:footnoteReference w:id="24"/>
      </w:r>
      <w:r w:rsidRPr="00DA53B5">
        <w:rPr>
          <w:rFonts w:ascii="Arial" w:hAnsi="Arial" w:cs="Arial"/>
          <w:sz w:val="24"/>
          <w:szCs w:val="24"/>
          <w:lang w:val="en-GB" w:eastAsia="en-GB"/>
        </w:rPr>
        <w:t xml:space="preserve"> This suggests that German actions were not solely the result of deliberate aggression but were influenced by systemic factors. Applying this framework to the 1930s, some historians argue that Hitler’s expansionism was facilitated by the weaknesses of the international system and the failures of the Treaty of Versailles. Richard Overy notes that “the opportunities presented by appeasement and international instability were crucial in enabling German expansion.”</w:t>
      </w:r>
      <w:r w:rsidR="004D360A">
        <w:rPr>
          <w:rStyle w:val="FootnoteReference"/>
          <w:rFonts w:ascii="Arial" w:hAnsi="Arial" w:cs="Arial"/>
          <w:sz w:val="24"/>
          <w:szCs w:val="24"/>
          <w:lang w:val="en-GB" w:eastAsia="en-GB"/>
        </w:rPr>
        <w:footnoteReference w:id="25"/>
      </w:r>
      <w:r w:rsidRPr="00DA53B5">
        <w:rPr>
          <w:rFonts w:ascii="Arial" w:hAnsi="Arial" w:cs="Arial"/>
          <w:sz w:val="24"/>
          <w:szCs w:val="24"/>
          <w:lang w:val="en-GB" w:eastAsia="en-GB"/>
        </w:rPr>
        <w:t xml:space="preserve"> Ultimately, a synthesis of these approaches provides the most convincing explanation. While Hitler’s ideological intentions were clearly significant, they operated within a broader structural context that made expansion possible. Similarly, pre-1914 German policy cannot be reduced to either deliberate aggression or structural inevitability alone. The comparison therefore highlights the importance of integrating both intentionalist and structuralist perspectives when analysing German foreign policy across these two periods.</w:t>
      </w:r>
    </w:p>
    <w:p w14:paraId="21D86284" w14:textId="40FBD8AA" w:rsidR="002A68E1" w:rsidRPr="00DA53B5" w:rsidRDefault="002A68E1" w:rsidP="002A68E1">
      <w:pPr>
        <w:spacing w:after="0" w:line="240" w:lineRule="auto"/>
        <w:rPr>
          <w:rFonts w:ascii="Arial" w:eastAsia="Times New Roman" w:hAnsi="Arial" w:cs="Arial"/>
          <w:sz w:val="24"/>
          <w:szCs w:val="24"/>
          <w:lang w:val="en-GB" w:eastAsia="en-GB"/>
        </w:rPr>
      </w:pPr>
    </w:p>
    <w:p w14:paraId="05481788" w14:textId="77777777" w:rsidR="002A68E1" w:rsidRPr="00DA53B5" w:rsidRDefault="002A68E1" w:rsidP="002A68E1">
      <w:pPr>
        <w:spacing w:before="100" w:beforeAutospacing="1" w:after="100" w:afterAutospacing="1" w:line="240" w:lineRule="auto"/>
        <w:outlineLvl w:val="1"/>
        <w:rPr>
          <w:rFonts w:ascii="Arial" w:hAnsi="Arial" w:cs="Arial"/>
          <w:b/>
          <w:bCs/>
          <w:sz w:val="24"/>
          <w:szCs w:val="24"/>
          <w:lang w:val="en-GB" w:eastAsia="en-GB"/>
        </w:rPr>
      </w:pPr>
      <w:r w:rsidRPr="00DA53B5">
        <w:rPr>
          <w:rFonts w:ascii="Arial" w:eastAsia="Times New Roman" w:hAnsi="Arial" w:cs="Arial"/>
          <w:b/>
          <w:bCs/>
          <w:sz w:val="24"/>
          <w:szCs w:val="24"/>
          <w:lang w:val="en-GB" w:eastAsia="en-GB"/>
        </w:rPr>
        <w:t>Conclusion</w:t>
      </w:r>
    </w:p>
    <w:p w14:paraId="39BB6B03" w14:textId="77777777" w:rsidR="002A68E1" w:rsidRPr="00DA53B5" w:rsidRDefault="002A68E1" w:rsidP="002A68E1">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In conclusion, there are clear similarities between German foreign policy before August 1914 and Hitler’s expansionist policy in the 1930s. Both were driven by a desire for greater power, relied heavily on militarism, engaged in risk-taking diplomacy, and exploited international weaknesses. These continuities suggest that aspects of German strategic thinking persisted across both periods.</w:t>
      </w:r>
    </w:p>
    <w:p w14:paraId="28775B0C" w14:textId="17E85FC3" w:rsidR="006C055F" w:rsidRDefault="002A68E1" w:rsidP="007D17AB">
      <w:pPr>
        <w:spacing w:before="100" w:beforeAutospacing="1" w:after="100" w:afterAutospacing="1" w:line="240" w:lineRule="auto"/>
        <w:rPr>
          <w:rFonts w:ascii="Arial" w:hAnsi="Arial" w:cs="Arial"/>
          <w:sz w:val="24"/>
          <w:szCs w:val="24"/>
          <w:lang w:val="en-GB" w:eastAsia="en-GB"/>
        </w:rPr>
      </w:pPr>
      <w:r w:rsidRPr="00DA53B5">
        <w:rPr>
          <w:rFonts w:ascii="Arial" w:hAnsi="Arial" w:cs="Arial"/>
          <w:sz w:val="24"/>
          <w:szCs w:val="24"/>
          <w:lang w:val="en-GB" w:eastAsia="en-GB"/>
        </w:rPr>
        <w:t xml:space="preserve">However, the differences are equally significant. Hitler’s policies were more ideologically driven, more coherent, and more aggressive in scale. As a result, while Nazi foreign policy built upon earlier traditions, it represented a more radical and destructive evolution. Ultimately, the comparison reveals both </w:t>
      </w:r>
      <w:r w:rsidRPr="00DA53B5">
        <w:rPr>
          <w:rFonts w:ascii="Arial" w:hAnsi="Arial" w:cs="Arial"/>
          <w:sz w:val="24"/>
          <w:szCs w:val="24"/>
          <w:lang w:val="en-GB" w:eastAsia="en-GB"/>
        </w:rPr>
        <w:lastRenderedPageBreak/>
        <w:t>continuity and transformation, demonstrating how earlier patterns of behaviour were intensified under Hitler’s leadership.</w:t>
      </w:r>
    </w:p>
    <w:p w14:paraId="72F10DF5" w14:textId="138EBC63" w:rsidR="00985473" w:rsidRDefault="00985473" w:rsidP="007D17AB">
      <w:pPr>
        <w:spacing w:before="100" w:beforeAutospacing="1" w:after="100" w:afterAutospacing="1" w:line="240" w:lineRule="auto"/>
        <w:rPr>
          <w:rFonts w:ascii="Arial" w:hAnsi="Arial" w:cs="Arial"/>
          <w:sz w:val="24"/>
          <w:szCs w:val="24"/>
          <w:lang w:val="en-GB" w:eastAsia="en-GB"/>
        </w:rPr>
      </w:pPr>
    </w:p>
    <w:p w14:paraId="65DDCCBF" w14:textId="77777777" w:rsidR="00985473" w:rsidRDefault="00985473">
      <w:pPr>
        <w:rPr>
          <w:rFonts w:ascii="Arial" w:hAnsi="Arial" w:cs="Arial"/>
          <w:sz w:val="24"/>
          <w:szCs w:val="24"/>
          <w:lang w:val="en-GB" w:eastAsia="en-GB"/>
        </w:rPr>
      </w:pPr>
      <w:r>
        <w:rPr>
          <w:rFonts w:ascii="Arial" w:hAnsi="Arial" w:cs="Arial"/>
          <w:sz w:val="24"/>
          <w:szCs w:val="24"/>
          <w:lang w:val="en-GB" w:eastAsia="en-GB"/>
        </w:rPr>
        <w:br w:type="page"/>
      </w:r>
    </w:p>
    <w:p w14:paraId="5BA91650" w14:textId="77777777" w:rsidR="00337C09" w:rsidRPr="009D2B71" w:rsidRDefault="00337C09" w:rsidP="004C5DF5">
      <w:pPr>
        <w:spacing w:before="100" w:beforeAutospacing="1" w:after="100" w:afterAutospacing="1" w:line="240" w:lineRule="auto"/>
        <w:jc w:val="center"/>
        <w:outlineLvl w:val="1"/>
        <w:rPr>
          <w:rFonts w:ascii="Arial" w:eastAsia="Times New Roman" w:hAnsi="Arial" w:cs="Arial"/>
          <w:b/>
          <w:bCs/>
          <w:sz w:val="24"/>
          <w:szCs w:val="24"/>
          <w:lang w:val="en-GB" w:eastAsia="en-GB"/>
        </w:rPr>
      </w:pPr>
      <w:r w:rsidRPr="009D2B71">
        <w:rPr>
          <w:rFonts w:ascii="Arial" w:eastAsia="Times New Roman" w:hAnsi="Arial" w:cs="Arial"/>
          <w:b/>
          <w:bCs/>
          <w:sz w:val="24"/>
          <w:szCs w:val="24"/>
          <w:lang w:val="en-GB" w:eastAsia="en-GB"/>
        </w:rPr>
        <w:lastRenderedPageBreak/>
        <w:t>Bibliography</w:t>
      </w:r>
    </w:p>
    <w:p w14:paraId="00C9F161" w14:textId="77777777" w:rsidR="00337C09" w:rsidRPr="004C5DF5" w:rsidRDefault="00337C09" w:rsidP="004C5DF5">
      <w:pPr>
        <w:spacing w:before="100" w:beforeAutospacing="1" w:after="100" w:afterAutospacing="1" w:line="240" w:lineRule="auto"/>
        <w:ind w:left="720" w:hanging="720"/>
        <w:rPr>
          <w:rFonts w:ascii="Arial" w:hAnsi="Arial" w:cs="Arial"/>
          <w:sz w:val="24"/>
          <w:szCs w:val="24"/>
          <w:lang w:val="en-GB" w:eastAsia="en-GB"/>
        </w:rPr>
      </w:pPr>
      <w:r w:rsidRPr="004C5DF5">
        <w:rPr>
          <w:rFonts w:ascii="Arial" w:hAnsi="Arial" w:cs="Arial"/>
          <w:sz w:val="24"/>
          <w:szCs w:val="24"/>
          <w:lang w:val="en-GB" w:eastAsia="en-GB"/>
        </w:rPr>
        <w:t xml:space="preserve">Ferguson, Niall, </w:t>
      </w:r>
      <w:r w:rsidRPr="004C5DF5">
        <w:rPr>
          <w:rFonts w:ascii="Arial" w:hAnsi="Arial" w:cs="Arial"/>
          <w:i/>
          <w:iCs/>
          <w:sz w:val="24"/>
          <w:szCs w:val="24"/>
          <w:lang w:val="en-GB" w:eastAsia="en-GB"/>
        </w:rPr>
        <w:t>The Pity of War</w:t>
      </w:r>
      <w:r w:rsidRPr="004C5DF5">
        <w:rPr>
          <w:rFonts w:ascii="Arial" w:hAnsi="Arial" w:cs="Arial"/>
          <w:sz w:val="24"/>
          <w:szCs w:val="24"/>
          <w:lang w:val="en-GB" w:eastAsia="en-GB"/>
        </w:rPr>
        <w:t xml:space="preserve"> (London: Penguin, 1999).</w:t>
      </w:r>
    </w:p>
    <w:p w14:paraId="5E3DC272" w14:textId="77777777" w:rsidR="00337C09" w:rsidRPr="004C5DF5" w:rsidRDefault="00337C09" w:rsidP="004C5DF5">
      <w:pPr>
        <w:spacing w:before="100" w:beforeAutospacing="1" w:after="100" w:afterAutospacing="1" w:line="240" w:lineRule="auto"/>
        <w:ind w:left="720" w:hanging="720"/>
        <w:rPr>
          <w:rFonts w:ascii="Arial" w:hAnsi="Arial" w:cs="Arial"/>
          <w:sz w:val="24"/>
          <w:szCs w:val="24"/>
          <w:lang w:val="en-GB" w:eastAsia="en-GB"/>
        </w:rPr>
      </w:pPr>
      <w:r w:rsidRPr="004C5DF5">
        <w:rPr>
          <w:rFonts w:ascii="Arial" w:hAnsi="Arial" w:cs="Arial"/>
          <w:sz w:val="24"/>
          <w:szCs w:val="24"/>
          <w:lang w:val="en-GB" w:eastAsia="en-GB"/>
        </w:rPr>
        <w:t xml:space="preserve">Gordon, M. R., ‘Domestic Conflict and the Origins of the First World War: The British and German Cases’, </w:t>
      </w:r>
      <w:r w:rsidRPr="004C5DF5">
        <w:rPr>
          <w:rFonts w:ascii="Arial" w:hAnsi="Arial" w:cs="Arial"/>
          <w:i/>
          <w:iCs/>
          <w:sz w:val="24"/>
          <w:szCs w:val="24"/>
          <w:lang w:val="en-GB" w:eastAsia="en-GB"/>
        </w:rPr>
        <w:t>Journal of Modern History</w:t>
      </w:r>
      <w:r w:rsidRPr="004C5DF5">
        <w:rPr>
          <w:rFonts w:ascii="Arial" w:hAnsi="Arial" w:cs="Arial"/>
          <w:sz w:val="24"/>
          <w:szCs w:val="24"/>
          <w:lang w:val="en-GB" w:eastAsia="en-GB"/>
        </w:rPr>
        <w:t>, 46 (1974), 191–226.</w:t>
      </w:r>
    </w:p>
    <w:p w14:paraId="02596FB4" w14:textId="77777777" w:rsidR="00337C09" w:rsidRPr="004C5DF5" w:rsidRDefault="00337C09" w:rsidP="004C5DF5">
      <w:pPr>
        <w:spacing w:before="100" w:beforeAutospacing="1" w:after="100" w:afterAutospacing="1" w:line="240" w:lineRule="auto"/>
        <w:ind w:left="720" w:hanging="720"/>
        <w:rPr>
          <w:rFonts w:ascii="Arial" w:hAnsi="Arial" w:cs="Arial"/>
          <w:sz w:val="24"/>
          <w:szCs w:val="24"/>
          <w:lang w:val="en-GB" w:eastAsia="en-GB"/>
        </w:rPr>
      </w:pPr>
      <w:r w:rsidRPr="004C5DF5">
        <w:rPr>
          <w:rFonts w:ascii="Arial" w:hAnsi="Arial" w:cs="Arial"/>
          <w:sz w:val="24"/>
          <w:szCs w:val="24"/>
          <w:lang w:val="en-GB" w:eastAsia="en-GB"/>
        </w:rPr>
        <w:t xml:space="preserve">Overy, Richard (ed.), </w:t>
      </w:r>
      <w:r w:rsidRPr="004C5DF5">
        <w:rPr>
          <w:rFonts w:ascii="Arial" w:hAnsi="Arial" w:cs="Arial"/>
          <w:i/>
          <w:iCs/>
          <w:sz w:val="24"/>
          <w:szCs w:val="24"/>
          <w:lang w:val="en-GB" w:eastAsia="en-GB"/>
        </w:rPr>
        <w:t>The Oxford History of World War II</w:t>
      </w:r>
      <w:r w:rsidRPr="004C5DF5">
        <w:rPr>
          <w:rFonts w:ascii="Arial" w:hAnsi="Arial" w:cs="Arial"/>
          <w:sz w:val="24"/>
          <w:szCs w:val="24"/>
          <w:lang w:val="en-GB" w:eastAsia="en-GB"/>
        </w:rPr>
        <w:t xml:space="preserve"> (Oxford: Oxford University Press, 2023).</w:t>
      </w:r>
    </w:p>
    <w:p w14:paraId="3C1EF4A1" w14:textId="77777777" w:rsidR="00337C09" w:rsidRPr="004C5DF5" w:rsidRDefault="00337C09" w:rsidP="004C5DF5">
      <w:pPr>
        <w:spacing w:before="100" w:beforeAutospacing="1" w:after="100" w:afterAutospacing="1" w:line="240" w:lineRule="auto"/>
        <w:ind w:left="720" w:hanging="720"/>
        <w:rPr>
          <w:rFonts w:ascii="Arial" w:hAnsi="Arial" w:cs="Arial"/>
          <w:sz w:val="24"/>
          <w:szCs w:val="24"/>
          <w:lang w:val="en-GB" w:eastAsia="en-GB"/>
        </w:rPr>
      </w:pPr>
      <w:r w:rsidRPr="004C5DF5">
        <w:rPr>
          <w:rFonts w:ascii="Arial" w:hAnsi="Arial" w:cs="Arial"/>
          <w:sz w:val="24"/>
          <w:szCs w:val="24"/>
          <w:lang w:val="en-GB" w:eastAsia="en-GB"/>
        </w:rPr>
        <w:t xml:space="preserve">Steiner, Zara, </w:t>
      </w:r>
      <w:r w:rsidRPr="004C5DF5">
        <w:rPr>
          <w:rFonts w:ascii="Arial" w:hAnsi="Arial" w:cs="Arial"/>
          <w:i/>
          <w:iCs/>
          <w:sz w:val="24"/>
          <w:szCs w:val="24"/>
          <w:lang w:val="en-GB" w:eastAsia="en-GB"/>
        </w:rPr>
        <w:t>The Lights That Failed: European International History, 1919–1933</w:t>
      </w:r>
      <w:r w:rsidRPr="004C5DF5">
        <w:rPr>
          <w:rFonts w:ascii="Arial" w:hAnsi="Arial" w:cs="Arial"/>
          <w:sz w:val="24"/>
          <w:szCs w:val="24"/>
          <w:lang w:val="en-GB" w:eastAsia="en-GB"/>
        </w:rPr>
        <w:t xml:space="preserve"> (Oxford: Oxford University Press, 2005).</w:t>
      </w:r>
    </w:p>
    <w:p w14:paraId="0A9B8CBA" w14:textId="77777777" w:rsidR="00337C09" w:rsidRPr="004C5DF5" w:rsidRDefault="00337C09" w:rsidP="004C5DF5">
      <w:pPr>
        <w:spacing w:before="100" w:beforeAutospacing="1" w:after="100" w:afterAutospacing="1" w:line="240" w:lineRule="auto"/>
        <w:ind w:left="720" w:hanging="720"/>
        <w:rPr>
          <w:rFonts w:ascii="Arial" w:hAnsi="Arial" w:cs="Arial"/>
          <w:sz w:val="24"/>
          <w:szCs w:val="24"/>
          <w:lang w:val="en-GB" w:eastAsia="en-GB"/>
        </w:rPr>
      </w:pPr>
      <w:r w:rsidRPr="004C5DF5">
        <w:rPr>
          <w:rFonts w:ascii="Arial" w:hAnsi="Arial" w:cs="Arial"/>
          <w:sz w:val="24"/>
          <w:szCs w:val="24"/>
          <w:lang w:val="en-GB" w:eastAsia="en-GB"/>
        </w:rPr>
        <w:t xml:space="preserve">Steiner, Zara, </w:t>
      </w:r>
      <w:r w:rsidRPr="004C5DF5">
        <w:rPr>
          <w:rFonts w:ascii="Arial" w:hAnsi="Arial" w:cs="Arial"/>
          <w:i/>
          <w:iCs/>
          <w:sz w:val="24"/>
          <w:szCs w:val="24"/>
          <w:lang w:val="en-GB" w:eastAsia="en-GB"/>
        </w:rPr>
        <w:t>The Triumph of the Dark: European International History, 1933–1939</w:t>
      </w:r>
      <w:r w:rsidRPr="004C5DF5">
        <w:rPr>
          <w:rFonts w:ascii="Arial" w:hAnsi="Arial" w:cs="Arial"/>
          <w:sz w:val="24"/>
          <w:szCs w:val="24"/>
          <w:lang w:val="en-GB" w:eastAsia="en-GB"/>
        </w:rPr>
        <w:t xml:space="preserve"> (Oxford: Oxford University Press, 2015).</w:t>
      </w:r>
    </w:p>
    <w:p w14:paraId="0C726396" w14:textId="77777777" w:rsidR="00337C09" w:rsidRPr="004C5DF5" w:rsidRDefault="00337C09" w:rsidP="004C5DF5">
      <w:pPr>
        <w:spacing w:before="100" w:beforeAutospacing="1" w:after="100" w:afterAutospacing="1" w:line="240" w:lineRule="auto"/>
        <w:ind w:left="720" w:hanging="720"/>
        <w:rPr>
          <w:rFonts w:ascii="Arial" w:hAnsi="Arial" w:cs="Arial"/>
          <w:sz w:val="24"/>
          <w:szCs w:val="24"/>
          <w:lang w:val="en-GB" w:eastAsia="en-GB"/>
        </w:rPr>
      </w:pPr>
      <w:r w:rsidRPr="004C5DF5">
        <w:rPr>
          <w:rFonts w:ascii="Arial" w:hAnsi="Arial" w:cs="Arial"/>
          <w:sz w:val="24"/>
          <w:szCs w:val="24"/>
          <w:lang w:val="en-GB" w:eastAsia="en-GB"/>
        </w:rPr>
        <w:t xml:space="preserve">Strachan, Hew, </w:t>
      </w:r>
      <w:r w:rsidRPr="004C5DF5">
        <w:rPr>
          <w:rFonts w:ascii="Arial" w:hAnsi="Arial" w:cs="Arial"/>
          <w:i/>
          <w:iCs/>
          <w:sz w:val="24"/>
          <w:szCs w:val="24"/>
          <w:lang w:val="en-GB" w:eastAsia="en-GB"/>
        </w:rPr>
        <w:t>The Oxford Illustrated History of the First World War</w:t>
      </w:r>
      <w:r w:rsidRPr="004C5DF5">
        <w:rPr>
          <w:rFonts w:ascii="Arial" w:hAnsi="Arial" w:cs="Arial"/>
          <w:sz w:val="24"/>
          <w:szCs w:val="24"/>
          <w:lang w:val="en-GB" w:eastAsia="en-GB"/>
        </w:rPr>
        <w:t xml:space="preserve"> (Oxford: Oxford University Press, 1998).</w:t>
      </w:r>
    </w:p>
    <w:p w14:paraId="1B6324D2" w14:textId="77777777" w:rsidR="00337C09" w:rsidRPr="004C5DF5" w:rsidRDefault="00337C09" w:rsidP="004C5DF5">
      <w:pPr>
        <w:spacing w:before="100" w:beforeAutospacing="1" w:after="100" w:afterAutospacing="1" w:line="240" w:lineRule="auto"/>
        <w:ind w:left="720" w:hanging="720"/>
        <w:rPr>
          <w:rFonts w:ascii="Arial" w:hAnsi="Arial" w:cs="Arial"/>
          <w:sz w:val="24"/>
          <w:szCs w:val="24"/>
          <w:lang w:val="en-GB" w:eastAsia="en-GB"/>
        </w:rPr>
      </w:pPr>
      <w:r w:rsidRPr="004C5DF5">
        <w:rPr>
          <w:rFonts w:ascii="Arial" w:hAnsi="Arial" w:cs="Arial"/>
          <w:sz w:val="24"/>
          <w:szCs w:val="24"/>
          <w:lang w:val="en-GB" w:eastAsia="en-GB"/>
        </w:rPr>
        <w:t xml:space="preserve">Trachtenberg, Marc, ‘The Meaning of Mobilization in 1914’, </w:t>
      </w:r>
      <w:r w:rsidRPr="004C5DF5">
        <w:rPr>
          <w:rFonts w:ascii="Arial" w:hAnsi="Arial" w:cs="Arial"/>
          <w:i/>
          <w:iCs/>
          <w:sz w:val="24"/>
          <w:szCs w:val="24"/>
          <w:lang w:val="en-GB" w:eastAsia="en-GB"/>
        </w:rPr>
        <w:t>International Security</w:t>
      </w:r>
      <w:r w:rsidRPr="004C5DF5">
        <w:rPr>
          <w:rFonts w:ascii="Arial" w:hAnsi="Arial" w:cs="Arial"/>
          <w:sz w:val="24"/>
          <w:szCs w:val="24"/>
          <w:lang w:val="en-GB" w:eastAsia="en-GB"/>
        </w:rPr>
        <w:t>, 15.3 (1991), 120–150.</w:t>
      </w:r>
    </w:p>
    <w:p w14:paraId="45885006" w14:textId="77777777" w:rsidR="00337C09" w:rsidRPr="004C5DF5" w:rsidRDefault="00337C09" w:rsidP="004C5DF5">
      <w:pPr>
        <w:spacing w:before="100" w:beforeAutospacing="1" w:after="100" w:afterAutospacing="1" w:line="240" w:lineRule="auto"/>
        <w:ind w:left="720" w:hanging="720"/>
        <w:rPr>
          <w:rFonts w:ascii="Arial" w:hAnsi="Arial" w:cs="Arial"/>
          <w:sz w:val="24"/>
          <w:szCs w:val="24"/>
          <w:lang w:val="en-GB" w:eastAsia="en-GB"/>
        </w:rPr>
      </w:pPr>
      <w:r w:rsidRPr="004C5DF5">
        <w:rPr>
          <w:rFonts w:ascii="Arial" w:hAnsi="Arial" w:cs="Arial"/>
          <w:sz w:val="24"/>
          <w:szCs w:val="24"/>
          <w:lang w:val="en-GB" w:eastAsia="en-GB"/>
        </w:rPr>
        <w:t xml:space="preserve">Weinberg, Gerhard L., </w:t>
      </w:r>
      <w:r w:rsidRPr="004C5DF5">
        <w:rPr>
          <w:rFonts w:ascii="Arial" w:hAnsi="Arial" w:cs="Arial"/>
          <w:i/>
          <w:iCs/>
          <w:sz w:val="24"/>
          <w:szCs w:val="24"/>
          <w:lang w:val="en-GB" w:eastAsia="en-GB"/>
        </w:rPr>
        <w:t>A World at Arms: A Global History of World War II</w:t>
      </w:r>
      <w:r w:rsidRPr="004C5DF5">
        <w:rPr>
          <w:rFonts w:ascii="Arial" w:hAnsi="Arial" w:cs="Arial"/>
          <w:sz w:val="24"/>
          <w:szCs w:val="24"/>
          <w:lang w:val="en-GB" w:eastAsia="en-GB"/>
        </w:rPr>
        <w:t xml:space="preserve"> (Cambridge: Cambridge University Press, 1994).</w:t>
      </w:r>
    </w:p>
    <w:p w14:paraId="2BE5377F" w14:textId="77777777" w:rsidR="00275FD9" w:rsidRDefault="00275FD9" w:rsidP="007D17AB">
      <w:pPr>
        <w:spacing w:before="100" w:beforeAutospacing="1" w:after="100" w:afterAutospacing="1" w:line="240" w:lineRule="auto"/>
        <w:rPr>
          <w:rFonts w:ascii="Arial" w:hAnsi="Arial" w:cs="Arial"/>
          <w:sz w:val="24"/>
          <w:szCs w:val="24"/>
          <w:lang w:val="en-GB" w:eastAsia="en-GB"/>
        </w:rPr>
      </w:pPr>
    </w:p>
    <w:p w14:paraId="6980AA9C" w14:textId="77777777" w:rsidR="007D17AB" w:rsidRPr="00DA53B5" w:rsidRDefault="007D17AB" w:rsidP="007D17AB">
      <w:pPr>
        <w:spacing w:before="100" w:beforeAutospacing="1" w:after="100" w:afterAutospacing="1" w:line="240" w:lineRule="auto"/>
        <w:rPr>
          <w:rFonts w:ascii="Arial" w:hAnsi="Arial" w:cs="Arial"/>
          <w:sz w:val="24"/>
          <w:szCs w:val="24"/>
          <w:lang w:val="en-GB" w:eastAsia="en-GB"/>
        </w:rPr>
      </w:pPr>
    </w:p>
    <w:p w14:paraId="5065663F" w14:textId="77777777" w:rsidR="00E81AB8" w:rsidRPr="00DA53B5" w:rsidRDefault="00E81AB8" w:rsidP="00772A2C">
      <w:pPr>
        <w:rPr>
          <w:rFonts w:ascii="Arial" w:hAnsi="Arial" w:cs="Arial"/>
          <w:sz w:val="24"/>
          <w:szCs w:val="24"/>
        </w:rPr>
      </w:pPr>
    </w:p>
    <w:sectPr w:rsidR="00E81AB8" w:rsidRPr="00DA53B5" w:rsidSect="00034616">
      <w:headerReference w:type="even" r:id="rId8"/>
      <w:headerReference w:type="default"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A8B53" w14:textId="77777777" w:rsidR="00E236C7" w:rsidRDefault="00E236C7" w:rsidP="004E39F5">
      <w:pPr>
        <w:spacing w:after="0" w:line="240" w:lineRule="auto"/>
      </w:pPr>
      <w:r>
        <w:separator/>
      </w:r>
    </w:p>
  </w:endnote>
  <w:endnote w:type="continuationSeparator" w:id="0">
    <w:p w14:paraId="40074EEB" w14:textId="77777777" w:rsidR="00E236C7" w:rsidRDefault="00E236C7" w:rsidP="004E3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altName w:val="Courier New"/>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D7686" w14:textId="77777777" w:rsidR="00D92850" w:rsidRPr="00D92850" w:rsidRDefault="00D92850" w:rsidP="00D92850">
    <w:pPr>
      <w:spacing w:after="0" w:line="240" w:lineRule="auto"/>
      <w:rPr>
        <w:rFonts w:ascii="Arial" w:eastAsia="Times New Roman" w:hAnsi="Arial" w:cs="Arial"/>
        <w:color w:val="000000" w:themeColor="text1"/>
        <w:sz w:val="24"/>
        <w:szCs w:val="24"/>
        <w:lang w:val="en-GB" w:eastAsia="en-GB"/>
      </w:rPr>
    </w:pPr>
  </w:p>
  <w:p w14:paraId="72BA42A1" w14:textId="6D76BF22" w:rsidR="00D92850" w:rsidRPr="00090DD8" w:rsidRDefault="00090DD8" w:rsidP="005261B6">
    <w:pPr>
      <w:spacing w:after="0" w:line="240" w:lineRule="auto"/>
      <w:outlineLvl w:val="0"/>
      <w:rPr>
        <w:rFonts w:ascii="Arial" w:eastAsia="Times New Roman" w:hAnsi="Arial" w:cs="Arial"/>
        <w:b/>
        <w:bCs/>
        <w:color w:val="000000" w:themeColor="text1"/>
        <w:kern w:val="36"/>
        <w:sz w:val="24"/>
        <w:szCs w:val="24"/>
        <w:lang w:val="en-GB" w:eastAsia="en-GB"/>
      </w:rPr>
    </w:pPr>
    <w:r w:rsidRPr="00090DD8">
      <w:rPr>
        <w:rFonts w:ascii="Arial" w:eastAsia="Times New Roman" w:hAnsi="Arial" w:cs="Arial"/>
        <w:b/>
        <w:bCs/>
        <w:color w:val="000000" w:themeColor="text1"/>
        <w:kern w:val="36"/>
        <w:sz w:val="24"/>
        <w:szCs w:val="24"/>
        <w:lang w:val="en-GB" w:eastAsia="en-GB"/>
      </w:rPr>
      <w:t>Age of Extremes: A World at War, c. 1914-1991 (HPHI4902)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7C81B" w14:textId="77777777" w:rsidR="00E236C7" w:rsidRDefault="00E236C7" w:rsidP="004E39F5">
      <w:pPr>
        <w:spacing w:after="0" w:line="240" w:lineRule="auto"/>
      </w:pPr>
      <w:r>
        <w:separator/>
      </w:r>
    </w:p>
  </w:footnote>
  <w:footnote w:type="continuationSeparator" w:id="0">
    <w:p w14:paraId="62E26C78" w14:textId="77777777" w:rsidR="00E236C7" w:rsidRDefault="00E236C7" w:rsidP="004E39F5">
      <w:pPr>
        <w:spacing w:after="0" w:line="240" w:lineRule="auto"/>
      </w:pPr>
      <w:r>
        <w:continuationSeparator/>
      </w:r>
    </w:p>
  </w:footnote>
  <w:footnote w:id="1">
    <w:p w14:paraId="5C80DBAC" w14:textId="1626A810" w:rsidR="00782A09" w:rsidRPr="00275FD9" w:rsidRDefault="00782A09" w:rsidP="00275FD9">
      <w:pPr>
        <w:spacing w:before="100" w:beforeAutospacing="1" w:after="100" w:afterAutospacing="1" w:line="240" w:lineRule="auto"/>
        <w:rPr>
          <w:rFonts w:ascii="Arial" w:eastAsia="Times New Roman" w:hAnsi="Arial" w:cs="Arial"/>
          <w:sz w:val="24"/>
          <w:szCs w:val="24"/>
          <w:lang w:val="en-GB" w:eastAsia="en-GB"/>
        </w:rPr>
      </w:pPr>
      <w:r w:rsidRPr="00135287">
        <w:rPr>
          <w:rStyle w:val="FootnoteReference"/>
          <w:rFonts w:ascii="Arial" w:hAnsi="Arial" w:cs="Arial"/>
          <w:sz w:val="24"/>
          <w:szCs w:val="24"/>
        </w:rPr>
        <w:footnoteRef/>
      </w:r>
      <w:r w:rsidRPr="00135287">
        <w:rPr>
          <w:rFonts w:ascii="Arial" w:hAnsi="Arial" w:cs="Arial"/>
          <w:sz w:val="24"/>
          <w:szCs w:val="24"/>
        </w:rPr>
        <w:t xml:space="preserve"> </w:t>
      </w:r>
      <w:r w:rsidRPr="00135287">
        <w:rPr>
          <w:rFonts w:ascii="Arial" w:eastAsia="Times New Roman" w:hAnsi="Arial" w:cs="Arial"/>
          <w:sz w:val="24"/>
          <w:szCs w:val="24"/>
          <w:lang w:val="en-GB" w:eastAsia="en-GB"/>
        </w:rPr>
        <w:t xml:space="preserve">Zara Steiner, </w:t>
      </w:r>
      <w:r w:rsidRPr="00135287">
        <w:rPr>
          <w:rFonts w:ascii="Arial" w:eastAsia="Times New Roman" w:hAnsi="Arial" w:cs="Arial"/>
          <w:i/>
          <w:iCs/>
          <w:sz w:val="24"/>
          <w:szCs w:val="24"/>
          <w:lang w:val="en-GB" w:eastAsia="en-GB"/>
        </w:rPr>
        <w:t>The Lights That Failed: European International History, 1919–1933</w:t>
      </w:r>
      <w:r w:rsidRPr="00135287">
        <w:rPr>
          <w:rFonts w:ascii="Arial" w:eastAsia="Times New Roman" w:hAnsi="Arial" w:cs="Arial"/>
          <w:sz w:val="24"/>
          <w:szCs w:val="24"/>
          <w:lang w:val="en-GB" w:eastAsia="en-GB"/>
        </w:rPr>
        <w:t xml:space="preserve"> (Oxford: Oxford University Press, 2005), p. 12.</w:t>
      </w:r>
    </w:p>
  </w:footnote>
  <w:footnote w:id="2">
    <w:p w14:paraId="7EF974A3" w14:textId="52A3540E" w:rsidR="00B10A9C" w:rsidRPr="00135287" w:rsidRDefault="00B10A9C" w:rsidP="00135287">
      <w:pPr>
        <w:spacing w:before="100" w:beforeAutospacing="1" w:after="100" w:afterAutospacing="1" w:line="240" w:lineRule="auto"/>
        <w:rPr>
          <w:rFonts w:ascii="Arial" w:eastAsia="Times New Roman" w:hAnsi="Arial" w:cs="Arial"/>
          <w:sz w:val="24"/>
          <w:szCs w:val="24"/>
          <w:lang w:val="en-GB" w:eastAsia="en-GB"/>
        </w:rPr>
      </w:pPr>
      <w:r w:rsidRPr="00135287">
        <w:rPr>
          <w:rStyle w:val="FootnoteReference"/>
          <w:rFonts w:ascii="Arial" w:hAnsi="Arial" w:cs="Arial"/>
          <w:sz w:val="24"/>
          <w:szCs w:val="24"/>
        </w:rPr>
        <w:footnoteRef/>
      </w:r>
      <w:r w:rsidRPr="00135287">
        <w:rPr>
          <w:rFonts w:ascii="Arial" w:eastAsia="Times New Roman" w:hAnsi="Arial" w:cs="Arial"/>
          <w:sz w:val="24"/>
          <w:szCs w:val="24"/>
          <w:lang w:val="en-GB" w:eastAsia="en-GB"/>
        </w:rPr>
        <w:t xml:space="preserve">Hew Strachan, </w:t>
      </w:r>
      <w:r w:rsidRPr="00135287">
        <w:rPr>
          <w:rFonts w:ascii="Arial" w:eastAsia="Times New Roman" w:hAnsi="Arial" w:cs="Arial"/>
          <w:i/>
          <w:iCs/>
          <w:sz w:val="24"/>
          <w:szCs w:val="24"/>
          <w:lang w:val="en-GB" w:eastAsia="en-GB"/>
        </w:rPr>
        <w:t>The Oxford Illustrated History of the First World War</w:t>
      </w:r>
      <w:r w:rsidRPr="00135287">
        <w:rPr>
          <w:rFonts w:ascii="Arial" w:eastAsia="Times New Roman" w:hAnsi="Arial" w:cs="Arial"/>
          <w:sz w:val="24"/>
          <w:szCs w:val="24"/>
          <w:lang w:val="en-GB" w:eastAsia="en-GB"/>
        </w:rPr>
        <w:t xml:space="preserve"> (Oxford: Oxford University Press, 1998), p. 25.</w:t>
      </w:r>
    </w:p>
    <w:p w14:paraId="7A6E3448" w14:textId="42FC7DB6" w:rsidR="00B10A9C" w:rsidRPr="00B10A9C" w:rsidRDefault="00B10A9C">
      <w:pPr>
        <w:pStyle w:val="FootnoteText"/>
        <w:rPr>
          <w:lang w:val="en-GB"/>
        </w:rPr>
      </w:pPr>
    </w:p>
  </w:footnote>
  <w:footnote w:id="3">
    <w:p w14:paraId="2D7BFFC2" w14:textId="09261CAC" w:rsidR="00C535DB" w:rsidRPr="00275FD9" w:rsidRDefault="00C535DB" w:rsidP="00275FD9">
      <w:pPr>
        <w:spacing w:before="100" w:beforeAutospacing="1" w:after="100" w:afterAutospacing="1" w:line="240" w:lineRule="auto"/>
        <w:rPr>
          <w:rFonts w:ascii="Arial" w:eastAsia="Times New Roman" w:hAnsi="Arial" w:cs="Arial"/>
          <w:sz w:val="24"/>
          <w:szCs w:val="24"/>
          <w:lang w:val="en-GB" w:eastAsia="en-GB"/>
        </w:rPr>
      </w:pPr>
      <w:r w:rsidRPr="00127750">
        <w:rPr>
          <w:rStyle w:val="FootnoteReference"/>
          <w:rFonts w:ascii="Arial" w:hAnsi="Arial" w:cs="Arial"/>
          <w:sz w:val="24"/>
          <w:szCs w:val="24"/>
        </w:rPr>
        <w:footnoteRef/>
      </w:r>
      <w:r w:rsidRPr="00127750">
        <w:rPr>
          <w:rFonts w:ascii="Arial" w:hAnsi="Arial" w:cs="Arial"/>
          <w:sz w:val="24"/>
          <w:szCs w:val="24"/>
        </w:rPr>
        <w:t xml:space="preserve"> </w:t>
      </w:r>
      <w:r w:rsidRPr="00127750">
        <w:rPr>
          <w:rFonts w:ascii="Arial" w:eastAsia="Times New Roman" w:hAnsi="Arial" w:cs="Arial"/>
          <w:sz w:val="24"/>
          <w:szCs w:val="24"/>
          <w:lang w:val="en-GB" w:eastAsia="en-GB"/>
        </w:rPr>
        <w:t xml:space="preserve">Gerhard L. Weinberg, </w:t>
      </w:r>
      <w:r w:rsidRPr="00127750">
        <w:rPr>
          <w:rFonts w:ascii="Arial" w:eastAsia="Times New Roman" w:hAnsi="Arial" w:cs="Arial"/>
          <w:i/>
          <w:iCs/>
          <w:sz w:val="24"/>
          <w:szCs w:val="24"/>
          <w:lang w:val="en-GB" w:eastAsia="en-GB"/>
        </w:rPr>
        <w:t>A World at Arms: A Global History of World War II</w:t>
      </w:r>
      <w:r w:rsidRPr="00127750">
        <w:rPr>
          <w:rFonts w:ascii="Arial" w:eastAsia="Times New Roman" w:hAnsi="Arial" w:cs="Arial"/>
          <w:sz w:val="24"/>
          <w:szCs w:val="24"/>
          <w:lang w:val="en-GB" w:eastAsia="en-GB"/>
        </w:rPr>
        <w:t xml:space="preserve"> (Cambridge: Cambridge University Press, 1994), p. 28.</w:t>
      </w:r>
    </w:p>
  </w:footnote>
  <w:footnote w:id="4">
    <w:p w14:paraId="15979C8B" w14:textId="76A3E8C7" w:rsidR="002C7B2A" w:rsidRPr="00275FD9" w:rsidRDefault="002C7B2A" w:rsidP="00275FD9">
      <w:pPr>
        <w:spacing w:before="100" w:beforeAutospacing="1" w:after="100" w:afterAutospacing="1" w:line="240" w:lineRule="auto"/>
        <w:rPr>
          <w:rFonts w:ascii="Arial" w:eastAsia="Times New Roman" w:hAnsi="Arial" w:cs="Arial"/>
          <w:sz w:val="24"/>
          <w:szCs w:val="24"/>
          <w:lang w:val="en-GB" w:eastAsia="en-GB"/>
        </w:rPr>
      </w:pPr>
      <w:r w:rsidRPr="00127750">
        <w:rPr>
          <w:rStyle w:val="FootnoteReference"/>
          <w:rFonts w:ascii="Arial" w:hAnsi="Arial" w:cs="Arial"/>
          <w:sz w:val="24"/>
          <w:szCs w:val="24"/>
        </w:rPr>
        <w:footnoteRef/>
      </w:r>
      <w:r w:rsidRPr="00127750">
        <w:rPr>
          <w:rFonts w:ascii="Arial" w:hAnsi="Arial" w:cs="Arial"/>
          <w:sz w:val="24"/>
          <w:szCs w:val="24"/>
        </w:rPr>
        <w:t xml:space="preserve"> </w:t>
      </w:r>
      <w:r w:rsidRPr="00127750">
        <w:rPr>
          <w:rFonts w:ascii="Arial" w:eastAsia="Times New Roman" w:hAnsi="Arial" w:cs="Arial"/>
          <w:sz w:val="24"/>
          <w:szCs w:val="24"/>
          <w:lang w:val="en-GB" w:eastAsia="en-GB"/>
        </w:rPr>
        <w:t xml:space="preserve">Niall Ferguson, </w:t>
      </w:r>
      <w:r w:rsidRPr="00127750">
        <w:rPr>
          <w:rFonts w:ascii="Arial" w:eastAsia="Times New Roman" w:hAnsi="Arial" w:cs="Arial"/>
          <w:i/>
          <w:iCs/>
          <w:sz w:val="24"/>
          <w:szCs w:val="24"/>
          <w:lang w:val="en-GB" w:eastAsia="en-GB"/>
        </w:rPr>
        <w:t>The Pity of War</w:t>
      </w:r>
      <w:r w:rsidRPr="00127750">
        <w:rPr>
          <w:rFonts w:ascii="Arial" w:eastAsia="Times New Roman" w:hAnsi="Arial" w:cs="Arial"/>
          <w:sz w:val="24"/>
          <w:szCs w:val="24"/>
          <w:lang w:val="en-GB" w:eastAsia="en-GB"/>
        </w:rPr>
        <w:t xml:space="preserve"> (London: Penguin, 1999), p. 89.</w:t>
      </w:r>
    </w:p>
  </w:footnote>
  <w:footnote w:id="5">
    <w:p w14:paraId="70E79B68" w14:textId="48E43A78" w:rsidR="007608D1" w:rsidRPr="00275FD9" w:rsidRDefault="007608D1" w:rsidP="00275FD9">
      <w:pPr>
        <w:spacing w:before="100" w:beforeAutospacing="1" w:after="100" w:afterAutospacing="1" w:line="240" w:lineRule="auto"/>
        <w:rPr>
          <w:rFonts w:ascii="Arial" w:eastAsia="Times New Roman" w:hAnsi="Arial" w:cs="Arial"/>
          <w:sz w:val="24"/>
          <w:szCs w:val="24"/>
          <w:lang w:val="en-GB" w:eastAsia="en-GB"/>
        </w:rPr>
      </w:pPr>
      <w:r w:rsidRPr="00127750">
        <w:rPr>
          <w:rStyle w:val="FootnoteReference"/>
          <w:rFonts w:ascii="Arial" w:hAnsi="Arial" w:cs="Arial"/>
          <w:sz w:val="24"/>
          <w:szCs w:val="24"/>
        </w:rPr>
        <w:footnoteRef/>
      </w:r>
      <w:r w:rsidRPr="00127750">
        <w:rPr>
          <w:rFonts w:ascii="Arial" w:hAnsi="Arial" w:cs="Arial"/>
          <w:sz w:val="24"/>
          <w:szCs w:val="24"/>
        </w:rPr>
        <w:t xml:space="preserve"> </w:t>
      </w:r>
      <w:r w:rsidRPr="00127750">
        <w:rPr>
          <w:rFonts w:ascii="Arial" w:eastAsia="Times New Roman" w:hAnsi="Arial" w:cs="Arial"/>
          <w:sz w:val="24"/>
          <w:szCs w:val="24"/>
          <w:lang w:val="en-GB" w:eastAsia="en-GB"/>
        </w:rPr>
        <w:t xml:space="preserve">Marc Trachtenberg, ‘The Meaning of Mobilization in 1914’, </w:t>
      </w:r>
      <w:r w:rsidRPr="00127750">
        <w:rPr>
          <w:rFonts w:ascii="Arial" w:eastAsia="Times New Roman" w:hAnsi="Arial" w:cs="Arial"/>
          <w:i/>
          <w:iCs/>
          <w:sz w:val="24"/>
          <w:szCs w:val="24"/>
          <w:lang w:val="en-GB" w:eastAsia="en-GB"/>
        </w:rPr>
        <w:t>International Security</w:t>
      </w:r>
      <w:r w:rsidRPr="00127750">
        <w:rPr>
          <w:rFonts w:ascii="Arial" w:eastAsia="Times New Roman" w:hAnsi="Arial" w:cs="Arial"/>
          <w:sz w:val="24"/>
          <w:szCs w:val="24"/>
          <w:lang w:val="en-GB" w:eastAsia="en-GB"/>
        </w:rPr>
        <w:t>, 15.3 (1991), 120–150 (p. 122).</w:t>
      </w:r>
    </w:p>
  </w:footnote>
  <w:footnote w:id="6">
    <w:p w14:paraId="3275EE5C" w14:textId="77777777" w:rsidR="00057195" w:rsidRPr="00127750" w:rsidRDefault="00057195" w:rsidP="005278DA">
      <w:pPr>
        <w:spacing w:before="100" w:beforeAutospacing="1" w:after="100" w:afterAutospacing="1" w:line="240" w:lineRule="auto"/>
        <w:rPr>
          <w:rFonts w:ascii="Arial" w:eastAsia="Times New Roman" w:hAnsi="Arial" w:cs="Arial"/>
          <w:sz w:val="24"/>
          <w:szCs w:val="24"/>
          <w:lang w:val="en-GB" w:eastAsia="en-GB"/>
        </w:rPr>
      </w:pPr>
      <w:r w:rsidRPr="00127750">
        <w:rPr>
          <w:rStyle w:val="FootnoteReference"/>
          <w:rFonts w:ascii="Arial" w:hAnsi="Arial" w:cs="Arial"/>
          <w:sz w:val="24"/>
          <w:szCs w:val="24"/>
        </w:rPr>
        <w:footnoteRef/>
      </w:r>
      <w:r w:rsidRPr="00127750">
        <w:rPr>
          <w:rFonts w:ascii="Arial" w:hAnsi="Arial" w:cs="Arial"/>
          <w:sz w:val="24"/>
          <w:szCs w:val="24"/>
        </w:rPr>
        <w:t xml:space="preserve"> </w:t>
      </w:r>
      <w:r w:rsidRPr="00127750">
        <w:rPr>
          <w:rFonts w:ascii="Arial" w:eastAsia="Times New Roman" w:hAnsi="Arial" w:cs="Arial"/>
          <w:sz w:val="24"/>
          <w:szCs w:val="24"/>
          <w:lang w:val="en-GB" w:eastAsia="en-GB"/>
        </w:rPr>
        <w:t xml:space="preserve">Richard Overy (ed.), </w:t>
      </w:r>
      <w:r w:rsidRPr="00127750">
        <w:rPr>
          <w:rFonts w:ascii="Arial" w:eastAsia="Times New Roman" w:hAnsi="Arial" w:cs="Arial"/>
          <w:i/>
          <w:iCs/>
          <w:sz w:val="24"/>
          <w:szCs w:val="24"/>
          <w:lang w:val="en-GB" w:eastAsia="en-GB"/>
        </w:rPr>
        <w:t>The Oxford History of World War II</w:t>
      </w:r>
      <w:r w:rsidRPr="00127750">
        <w:rPr>
          <w:rFonts w:ascii="Arial" w:eastAsia="Times New Roman" w:hAnsi="Arial" w:cs="Arial"/>
          <w:sz w:val="24"/>
          <w:szCs w:val="24"/>
          <w:lang w:val="en-GB" w:eastAsia="en-GB"/>
        </w:rPr>
        <w:t xml:space="preserve"> (Oxford: Oxford University Press, 2023), p. 45.</w:t>
      </w:r>
    </w:p>
    <w:p w14:paraId="7648BA52" w14:textId="7146106B" w:rsidR="00057195" w:rsidRPr="00057195" w:rsidRDefault="00057195">
      <w:pPr>
        <w:pStyle w:val="FootnoteText"/>
        <w:rPr>
          <w:lang w:val="en-GB"/>
        </w:rPr>
      </w:pPr>
    </w:p>
  </w:footnote>
  <w:footnote w:id="7">
    <w:p w14:paraId="6FB1B5C1" w14:textId="46039E44" w:rsidR="006D47EC" w:rsidRPr="00F069C4" w:rsidRDefault="006D47EC" w:rsidP="00F069C4">
      <w:pPr>
        <w:spacing w:before="100" w:beforeAutospacing="1" w:after="100" w:afterAutospacing="1" w:line="240" w:lineRule="auto"/>
        <w:rPr>
          <w:rFonts w:ascii="Arial" w:eastAsia="Times New Roman" w:hAnsi="Arial" w:cs="Arial"/>
          <w:sz w:val="24"/>
          <w:szCs w:val="24"/>
          <w:lang w:val="en-GB" w:eastAsia="en-GB"/>
        </w:rPr>
      </w:pPr>
      <w:r w:rsidRPr="004D6FDA">
        <w:rPr>
          <w:rStyle w:val="FootnoteReference"/>
          <w:rFonts w:ascii="Arial" w:hAnsi="Arial" w:cs="Arial"/>
          <w:sz w:val="24"/>
          <w:szCs w:val="24"/>
        </w:rPr>
        <w:footnoteRef/>
      </w:r>
      <w:r w:rsidRPr="004D6FDA">
        <w:rPr>
          <w:rFonts w:ascii="Arial" w:hAnsi="Arial" w:cs="Arial"/>
          <w:sz w:val="24"/>
          <w:szCs w:val="24"/>
        </w:rPr>
        <w:t xml:space="preserve"> </w:t>
      </w:r>
      <w:r w:rsidRPr="004D6FDA">
        <w:rPr>
          <w:rFonts w:ascii="Arial" w:eastAsia="Times New Roman" w:hAnsi="Arial" w:cs="Arial"/>
          <w:sz w:val="24"/>
          <w:szCs w:val="24"/>
          <w:lang w:val="en-GB" w:eastAsia="en-GB"/>
        </w:rPr>
        <w:t xml:space="preserve">Strachan, </w:t>
      </w:r>
      <w:r w:rsidRPr="004D6FDA">
        <w:rPr>
          <w:rFonts w:ascii="Arial" w:eastAsia="Times New Roman" w:hAnsi="Arial" w:cs="Arial"/>
          <w:i/>
          <w:iCs/>
          <w:sz w:val="24"/>
          <w:szCs w:val="24"/>
          <w:lang w:val="en-GB" w:eastAsia="en-GB"/>
        </w:rPr>
        <w:t>The Oxford Illustrated History of the First World War</w:t>
      </w:r>
      <w:r w:rsidRPr="004D6FDA">
        <w:rPr>
          <w:rFonts w:ascii="Arial" w:eastAsia="Times New Roman" w:hAnsi="Arial" w:cs="Arial"/>
          <w:sz w:val="24"/>
          <w:szCs w:val="24"/>
          <w:lang w:val="en-GB" w:eastAsia="en-GB"/>
        </w:rPr>
        <w:t>, p. 30.</w:t>
      </w:r>
    </w:p>
  </w:footnote>
  <w:footnote w:id="8">
    <w:p w14:paraId="526BE8AE" w14:textId="453CBBF6" w:rsidR="00133E45" w:rsidRPr="00F069C4" w:rsidRDefault="00133E45" w:rsidP="00640AA0">
      <w:pPr>
        <w:spacing w:before="100" w:beforeAutospacing="1" w:after="100" w:afterAutospacing="1" w:line="240" w:lineRule="auto"/>
        <w:rPr>
          <w:rFonts w:ascii="Arial" w:eastAsia="Times New Roman" w:hAnsi="Arial" w:cs="Arial"/>
          <w:sz w:val="24"/>
          <w:szCs w:val="24"/>
          <w:lang w:val="en-GB" w:eastAsia="en-GB"/>
        </w:rPr>
      </w:pPr>
      <w:r w:rsidRPr="00F069C4">
        <w:rPr>
          <w:rStyle w:val="FootnoteReference"/>
          <w:rFonts w:ascii="Arial" w:hAnsi="Arial" w:cs="Arial"/>
          <w:sz w:val="24"/>
          <w:szCs w:val="24"/>
        </w:rPr>
        <w:footnoteRef/>
      </w:r>
      <w:r w:rsidRPr="00F069C4">
        <w:rPr>
          <w:rFonts w:ascii="Arial" w:hAnsi="Arial" w:cs="Arial"/>
          <w:sz w:val="24"/>
          <w:szCs w:val="24"/>
        </w:rPr>
        <w:t xml:space="preserve"> </w:t>
      </w:r>
      <w:r w:rsidR="00640AA0" w:rsidRPr="00F069C4">
        <w:rPr>
          <w:rFonts w:ascii="Arial" w:eastAsia="Times New Roman" w:hAnsi="Arial" w:cs="Arial"/>
          <w:sz w:val="24"/>
          <w:szCs w:val="24"/>
          <w:lang w:val="en-GB" w:eastAsia="en-GB"/>
        </w:rPr>
        <w:t xml:space="preserve">Zara Steiner, </w:t>
      </w:r>
      <w:r w:rsidR="00640AA0" w:rsidRPr="00F069C4">
        <w:rPr>
          <w:rFonts w:ascii="Arial" w:eastAsia="Times New Roman" w:hAnsi="Arial" w:cs="Arial"/>
          <w:i/>
          <w:iCs/>
          <w:sz w:val="24"/>
          <w:szCs w:val="24"/>
          <w:lang w:val="en-GB" w:eastAsia="en-GB"/>
        </w:rPr>
        <w:t>The Lights That Failed: European International History, 1919–1933</w:t>
      </w:r>
      <w:r w:rsidR="00640AA0" w:rsidRPr="00F069C4">
        <w:rPr>
          <w:rFonts w:ascii="Arial" w:eastAsia="Times New Roman" w:hAnsi="Arial" w:cs="Arial"/>
          <w:sz w:val="24"/>
          <w:szCs w:val="24"/>
          <w:lang w:val="en-GB" w:eastAsia="en-GB"/>
        </w:rPr>
        <w:t xml:space="preserve"> (Oxford: Oxford University Press, 2005), p. 41.</w:t>
      </w:r>
    </w:p>
  </w:footnote>
  <w:footnote w:id="9">
    <w:p w14:paraId="374BF607" w14:textId="13DB5EA3" w:rsidR="00DD14D0" w:rsidRPr="00F069C4" w:rsidRDefault="00DD14D0" w:rsidP="00F069C4">
      <w:pPr>
        <w:spacing w:before="100" w:beforeAutospacing="1" w:after="100" w:afterAutospacing="1" w:line="240" w:lineRule="auto"/>
        <w:rPr>
          <w:rFonts w:ascii="Arial" w:eastAsia="Times New Roman" w:hAnsi="Arial" w:cs="Arial"/>
          <w:sz w:val="24"/>
          <w:szCs w:val="24"/>
          <w:lang w:val="en-GB" w:eastAsia="en-GB"/>
        </w:rPr>
      </w:pPr>
      <w:r w:rsidRPr="004D6FDA">
        <w:rPr>
          <w:rStyle w:val="FootnoteReference"/>
          <w:rFonts w:ascii="Arial" w:hAnsi="Arial" w:cs="Arial"/>
          <w:sz w:val="24"/>
          <w:szCs w:val="24"/>
        </w:rPr>
        <w:footnoteRef/>
      </w:r>
      <w:r w:rsidRPr="004D6FDA">
        <w:rPr>
          <w:rFonts w:ascii="Arial" w:hAnsi="Arial" w:cs="Arial"/>
          <w:sz w:val="24"/>
          <w:szCs w:val="24"/>
        </w:rPr>
        <w:t xml:space="preserve"> </w:t>
      </w:r>
      <w:r w:rsidRPr="004D6FDA">
        <w:rPr>
          <w:rFonts w:ascii="Arial" w:eastAsia="Times New Roman" w:hAnsi="Arial" w:cs="Arial"/>
          <w:sz w:val="24"/>
          <w:szCs w:val="24"/>
          <w:lang w:val="en-GB" w:eastAsia="en-GB"/>
        </w:rPr>
        <w:t xml:space="preserve">Overy, </w:t>
      </w:r>
      <w:r w:rsidRPr="004D6FDA">
        <w:rPr>
          <w:rFonts w:ascii="Arial" w:eastAsia="Times New Roman" w:hAnsi="Arial" w:cs="Arial"/>
          <w:i/>
          <w:iCs/>
          <w:sz w:val="24"/>
          <w:szCs w:val="24"/>
          <w:lang w:val="en-GB" w:eastAsia="en-GB"/>
        </w:rPr>
        <w:t>The Oxford History of World War II</w:t>
      </w:r>
      <w:r w:rsidRPr="004D6FDA">
        <w:rPr>
          <w:rFonts w:ascii="Arial" w:eastAsia="Times New Roman" w:hAnsi="Arial" w:cs="Arial"/>
          <w:sz w:val="24"/>
          <w:szCs w:val="24"/>
          <w:lang w:val="en-GB" w:eastAsia="en-GB"/>
        </w:rPr>
        <w:t>, p. 52.</w:t>
      </w:r>
    </w:p>
  </w:footnote>
  <w:footnote w:id="10">
    <w:p w14:paraId="20229C09" w14:textId="77777777" w:rsidR="00DD14D0" w:rsidRPr="00320961" w:rsidRDefault="00DD14D0" w:rsidP="00320961">
      <w:pPr>
        <w:spacing w:before="100" w:beforeAutospacing="1" w:after="100" w:afterAutospacing="1" w:line="240" w:lineRule="auto"/>
        <w:rPr>
          <w:rFonts w:ascii="Arial" w:eastAsia="Times New Roman" w:hAnsi="Arial" w:cs="Arial"/>
          <w:sz w:val="24"/>
          <w:szCs w:val="24"/>
          <w:lang w:val="en-GB" w:eastAsia="en-GB"/>
        </w:rPr>
      </w:pPr>
      <w:r w:rsidRPr="00320961">
        <w:rPr>
          <w:rStyle w:val="FootnoteReference"/>
          <w:rFonts w:ascii="Arial" w:hAnsi="Arial" w:cs="Arial"/>
          <w:sz w:val="24"/>
          <w:szCs w:val="24"/>
        </w:rPr>
        <w:footnoteRef/>
      </w:r>
      <w:r w:rsidRPr="00320961">
        <w:rPr>
          <w:rFonts w:ascii="Arial" w:hAnsi="Arial" w:cs="Arial"/>
          <w:sz w:val="24"/>
          <w:szCs w:val="24"/>
        </w:rPr>
        <w:t xml:space="preserve"> </w:t>
      </w:r>
      <w:r w:rsidRPr="00320961">
        <w:rPr>
          <w:rFonts w:ascii="Arial" w:eastAsia="Times New Roman" w:hAnsi="Arial" w:cs="Arial"/>
          <w:sz w:val="24"/>
          <w:szCs w:val="24"/>
          <w:lang w:val="en-GB" w:eastAsia="en-GB"/>
        </w:rPr>
        <w:t xml:space="preserve">Ferguson, </w:t>
      </w:r>
      <w:r w:rsidRPr="00320961">
        <w:rPr>
          <w:rFonts w:ascii="Arial" w:eastAsia="Times New Roman" w:hAnsi="Arial" w:cs="Arial"/>
          <w:i/>
          <w:iCs/>
          <w:sz w:val="24"/>
          <w:szCs w:val="24"/>
          <w:lang w:val="en-GB" w:eastAsia="en-GB"/>
        </w:rPr>
        <w:t>The Pity of War</w:t>
      </w:r>
      <w:r w:rsidRPr="00320961">
        <w:rPr>
          <w:rFonts w:ascii="Arial" w:eastAsia="Times New Roman" w:hAnsi="Arial" w:cs="Arial"/>
          <w:sz w:val="24"/>
          <w:szCs w:val="24"/>
          <w:lang w:val="en-GB" w:eastAsia="en-GB"/>
        </w:rPr>
        <w:t>, p. 102.</w:t>
      </w:r>
    </w:p>
    <w:p w14:paraId="70AA653B" w14:textId="6AC8D943" w:rsidR="00DD14D0" w:rsidRPr="00320961" w:rsidRDefault="00DD14D0">
      <w:pPr>
        <w:pStyle w:val="FootnoteText"/>
        <w:rPr>
          <w:rFonts w:ascii="Arial" w:hAnsi="Arial" w:cs="Arial"/>
          <w:sz w:val="24"/>
          <w:szCs w:val="24"/>
          <w:lang w:val="en-GB"/>
        </w:rPr>
      </w:pPr>
    </w:p>
  </w:footnote>
  <w:footnote w:id="11">
    <w:p w14:paraId="5C559E15" w14:textId="61CA5513" w:rsidR="00884D3E" w:rsidRPr="00F069C4" w:rsidRDefault="00884D3E" w:rsidP="00F069C4">
      <w:pPr>
        <w:spacing w:before="100" w:beforeAutospacing="1" w:after="100" w:afterAutospacing="1" w:line="240" w:lineRule="auto"/>
        <w:rPr>
          <w:rFonts w:ascii="Arial" w:eastAsia="Times New Roman" w:hAnsi="Arial" w:cs="Arial"/>
          <w:sz w:val="24"/>
          <w:szCs w:val="24"/>
          <w:lang w:val="en-GB" w:eastAsia="en-GB"/>
        </w:rPr>
      </w:pPr>
      <w:r w:rsidRPr="00320961">
        <w:rPr>
          <w:rStyle w:val="FootnoteReference"/>
          <w:rFonts w:ascii="Arial" w:hAnsi="Arial" w:cs="Arial"/>
          <w:sz w:val="24"/>
          <w:szCs w:val="24"/>
        </w:rPr>
        <w:footnoteRef/>
      </w:r>
      <w:r w:rsidRPr="00320961">
        <w:rPr>
          <w:rFonts w:ascii="Arial" w:hAnsi="Arial" w:cs="Arial"/>
          <w:sz w:val="24"/>
          <w:szCs w:val="24"/>
        </w:rPr>
        <w:t xml:space="preserve"> </w:t>
      </w:r>
      <w:r w:rsidRPr="00320961">
        <w:rPr>
          <w:rFonts w:ascii="Arial" w:eastAsia="Times New Roman" w:hAnsi="Arial" w:cs="Arial"/>
          <w:sz w:val="24"/>
          <w:szCs w:val="24"/>
          <w:lang w:val="en-GB" w:eastAsia="en-GB"/>
        </w:rPr>
        <w:t xml:space="preserve">Steiner, </w:t>
      </w:r>
      <w:r w:rsidRPr="00320961">
        <w:rPr>
          <w:rFonts w:ascii="Arial" w:eastAsia="Times New Roman" w:hAnsi="Arial" w:cs="Arial"/>
          <w:i/>
          <w:iCs/>
          <w:sz w:val="24"/>
          <w:szCs w:val="24"/>
          <w:lang w:val="en-GB" w:eastAsia="en-GB"/>
        </w:rPr>
        <w:t>The Lights That Failed</w:t>
      </w:r>
      <w:r w:rsidRPr="00320961">
        <w:rPr>
          <w:rFonts w:ascii="Arial" w:eastAsia="Times New Roman" w:hAnsi="Arial" w:cs="Arial"/>
          <w:sz w:val="24"/>
          <w:szCs w:val="24"/>
          <w:lang w:val="en-GB" w:eastAsia="en-GB"/>
        </w:rPr>
        <w:t>, p. 18.</w:t>
      </w:r>
    </w:p>
  </w:footnote>
  <w:footnote w:id="12">
    <w:p w14:paraId="28501915" w14:textId="2A2EAD25" w:rsidR="00884D3E" w:rsidRPr="00F069C4" w:rsidRDefault="00884D3E" w:rsidP="00F069C4">
      <w:pPr>
        <w:spacing w:before="100" w:beforeAutospacing="1" w:after="100" w:afterAutospacing="1" w:line="240" w:lineRule="auto"/>
        <w:rPr>
          <w:rFonts w:ascii="Arial" w:eastAsia="Times New Roman" w:hAnsi="Arial" w:cs="Arial"/>
          <w:sz w:val="24"/>
          <w:szCs w:val="24"/>
          <w:lang w:val="en-GB" w:eastAsia="en-GB"/>
        </w:rPr>
      </w:pPr>
      <w:r w:rsidRPr="00320961">
        <w:rPr>
          <w:rStyle w:val="FootnoteReference"/>
          <w:rFonts w:ascii="Arial" w:hAnsi="Arial" w:cs="Arial"/>
          <w:sz w:val="24"/>
          <w:szCs w:val="24"/>
        </w:rPr>
        <w:footnoteRef/>
      </w:r>
      <w:r w:rsidRPr="00320961">
        <w:rPr>
          <w:rFonts w:ascii="Arial" w:hAnsi="Arial" w:cs="Arial"/>
          <w:sz w:val="24"/>
          <w:szCs w:val="24"/>
        </w:rPr>
        <w:t xml:space="preserve"> </w:t>
      </w:r>
      <w:r w:rsidR="00F534C7" w:rsidRPr="00320961">
        <w:rPr>
          <w:rFonts w:ascii="Arial" w:eastAsia="Times New Roman" w:hAnsi="Arial" w:cs="Arial"/>
          <w:sz w:val="24"/>
          <w:szCs w:val="24"/>
          <w:lang w:val="en-GB" w:eastAsia="en-GB"/>
        </w:rPr>
        <w:t xml:space="preserve">Weinberg, </w:t>
      </w:r>
      <w:r w:rsidR="00F534C7" w:rsidRPr="00320961">
        <w:rPr>
          <w:rFonts w:ascii="Arial" w:eastAsia="Times New Roman" w:hAnsi="Arial" w:cs="Arial"/>
          <w:i/>
          <w:iCs/>
          <w:sz w:val="24"/>
          <w:szCs w:val="24"/>
          <w:lang w:val="en-GB" w:eastAsia="en-GB"/>
        </w:rPr>
        <w:t>A World at Arms</w:t>
      </w:r>
      <w:r w:rsidR="00F534C7" w:rsidRPr="00320961">
        <w:rPr>
          <w:rFonts w:ascii="Arial" w:eastAsia="Times New Roman" w:hAnsi="Arial" w:cs="Arial"/>
          <w:sz w:val="24"/>
          <w:szCs w:val="24"/>
          <w:lang w:val="en-GB" w:eastAsia="en-GB"/>
        </w:rPr>
        <w:t>, p. 35.</w:t>
      </w:r>
    </w:p>
  </w:footnote>
  <w:footnote w:id="13">
    <w:p w14:paraId="7ACF7ED4" w14:textId="5BB525DA" w:rsidR="00FC49AB" w:rsidRPr="00F069C4" w:rsidRDefault="00FC49AB" w:rsidP="00F069C4">
      <w:pPr>
        <w:spacing w:before="100" w:beforeAutospacing="1" w:after="100" w:afterAutospacing="1" w:line="240" w:lineRule="auto"/>
        <w:rPr>
          <w:rFonts w:ascii="Arial" w:eastAsia="Times New Roman" w:hAnsi="Arial" w:cs="Arial"/>
          <w:sz w:val="24"/>
          <w:szCs w:val="24"/>
          <w:lang w:val="en-GB" w:eastAsia="en-GB"/>
        </w:rPr>
      </w:pPr>
      <w:r w:rsidRPr="00320961">
        <w:rPr>
          <w:rStyle w:val="FootnoteReference"/>
          <w:rFonts w:ascii="Arial" w:hAnsi="Arial" w:cs="Arial"/>
          <w:sz w:val="24"/>
          <w:szCs w:val="24"/>
        </w:rPr>
        <w:footnoteRef/>
      </w:r>
      <w:r w:rsidRPr="00320961">
        <w:rPr>
          <w:rFonts w:ascii="Arial" w:hAnsi="Arial" w:cs="Arial"/>
          <w:sz w:val="24"/>
          <w:szCs w:val="24"/>
        </w:rPr>
        <w:t xml:space="preserve"> </w:t>
      </w:r>
      <w:r w:rsidRPr="00320961">
        <w:rPr>
          <w:rFonts w:ascii="Arial" w:eastAsia="Times New Roman" w:hAnsi="Arial" w:cs="Arial"/>
          <w:sz w:val="24"/>
          <w:szCs w:val="24"/>
          <w:lang w:val="en-GB" w:eastAsia="en-GB"/>
        </w:rPr>
        <w:t xml:space="preserve">Overy, </w:t>
      </w:r>
      <w:r w:rsidRPr="00320961">
        <w:rPr>
          <w:rFonts w:ascii="Arial" w:eastAsia="Times New Roman" w:hAnsi="Arial" w:cs="Arial"/>
          <w:i/>
          <w:iCs/>
          <w:sz w:val="24"/>
          <w:szCs w:val="24"/>
          <w:lang w:val="en-GB" w:eastAsia="en-GB"/>
        </w:rPr>
        <w:t>The Oxford History of World War II</w:t>
      </w:r>
      <w:r w:rsidRPr="00320961">
        <w:rPr>
          <w:rFonts w:ascii="Arial" w:eastAsia="Times New Roman" w:hAnsi="Arial" w:cs="Arial"/>
          <w:sz w:val="24"/>
          <w:szCs w:val="24"/>
          <w:lang w:val="en-GB" w:eastAsia="en-GB"/>
        </w:rPr>
        <w:t>, p. 60.</w:t>
      </w:r>
    </w:p>
  </w:footnote>
  <w:footnote w:id="14">
    <w:p w14:paraId="691BD778" w14:textId="4F7A0BFD" w:rsidR="00FC49AB" w:rsidRPr="00F069C4" w:rsidRDefault="00FC49AB" w:rsidP="00F069C4">
      <w:pPr>
        <w:spacing w:before="100" w:beforeAutospacing="1" w:after="100" w:afterAutospacing="1" w:line="240" w:lineRule="auto"/>
        <w:rPr>
          <w:rFonts w:ascii="Arial" w:eastAsia="Times New Roman" w:hAnsi="Arial" w:cs="Arial"/>
          <w:sz w:val="24"/>
          <w:szCs w:val="24"/>
          <w:lang w:val="en-GB" w:eastAsia="en-GB"/>
        </w:rPr>
      </w:pPr>
      <w:r w:rsidRPr="00227154">
        <w:rPr>
          <w:rStyle w:val="FootnoteReference"/>
          <w:rFonts w:ascii="Arial" w:hAnsi="Arial" w:cs="Arial"/>
          <w:sz w:val="24"/>
          <w:szCs w:val="24"/>
        </w:rPr>
        <w:footnoteRef/>
      </w:r>
      <w:r w:rsidRPr="00227154">
        <w:rPr>
          <w:rFonts w:ascii="Arial" w:hAnsi="Arial" w:cs="Arial"/>
          <w:sz w:val="24"/>
          <w:szCs w:val="24"/>
        </w:rPr>
        <w:t xml:space="preserve"> </w:t>
      </w:r>
      <w:r w:rsidRPr="00227154">
        <w:rPr>
          <w:rFonts w:ascii="Arial" w:eastAsia="Times New Roman" w:hAnsi="Arial" w:cs="Arial"/>
          <w:sz w:val="24"/>
          <w:szCs w:val="24"/>
          <w:lang w:val="en-GB" w:eastAsia="en-GB"/>
        </w:rPr>
        <w:t xml:space="preserve">Strachan, </w:t>
      </w:r>
      <w:r w:rsidRPr="00227154">
        <w:rPr>
          <w:rFonts w:ascii="Arial" w:eastAsia="Times New Roman" w:hAnsi="Arial" w:cs="Arial"/>
          <w:i/>
          <w:iCs/>
          <w:sz w:val="24"/>
          <w:szCs w:val="24"/>
          <w:lang w:val="en-GB" w:eastAsia="en-GB"/>
        </w:rPr>
        <w:t>The Oxford Illustrated History of the First World War</w:t>
      </w:r>
      <w:r w:rsidRPr="00227154">
        <w:rPr>
          <w:rFonts w:ascii="Arial" w:eastAsia="Times New Roman" w:hAnsi="Arial" w:cs="Arial"/>
          <w:sz w:val="24"/>
          <w:szCs w:val="24"/>
          <w:lang w:val="en-GB" w:eastAsia="en-GB"/>
        </w:rPr>
        <w:t>, p. 27.</w:t>
      </w:r>
    </w:p>
  </w:footnote>
  <w:footnote w:id="15">
    <w:p w14:paraId="6FA10AF5" w14:textId="182AC30D" w:rsidR="008B3C78" w:rsidRPr="00F069C4" w:rsidRDefault="008B3C78" w:rsidP="00F069C4">
      <w:pPr>
        <w:spacing w:before="100" w:beforeAutospacing="1" w:after="100" w:afterAutospacing="1" w:line="240" w:lineRule="auto"/>
        <w:rPr>
          <w:rFonts w:ascii="Arial" w:eastAsia="Times New Roman" w:hAnsi="Arial" w:cs="Arial"/>
          <w:sz w:val="24"/>
          <w:szCs w:val="24"/>
          <w:lang w:val="en-GB" w:eastAsia="en-GB"/>
        </w:rPr>
      </w:pPr>
      <w:r w:rsidRPr="00227154">
        <w:rPr>
          <w:rStyle w:val="FootnoteReference"/>
          <w:rFonts w:ascii="Arial" w:hAnsi="Arial" w:cs="Arial"/>
          <w:sz w:val="24"/>
          <w:szCs w:val="24"/>
        </w:rPr>
        <w:footnoteRef/>
      </w:r>
      <w:r w:rsidRPr="00227154">
        <w:rPr>
          <w:rFonts w:ascii="Arial" w:hAnsi="Arial" w:cs="Arial"/>
          <w:sz w:val="24"/>
          <w:szCs w:val="24"/>
        </w:rPr>
        <w:t xml:space="preserve"> </w:t>
      </w:r>
      <w:r w:rsidRPr="00227154">
        <w:rPr>
          <w:rFonts w:ascii="Arial" w:eastAsia="Times New Roman" w:hAnsi="Arial" w:cs="Arial"/>
          <w:sz w:val="24"/>
          <w:szCs w:val="24"/>
          <w:lang w:val="en-GB" w:eastAsia="en-GB"/>
        </w:rPr>
        <w:t xml:space="preserve">Weinberg, </w:t>
      </w:r>
      <w:r w:rsidRPr="00227154">
        <w:rPr>
          <w:rFonts w:ascii="Arial" w:eastAsia="Times New Roman" w:hAnsi="Arial" w:cs="Arial"/>
          <w:i/>
          <w:iCs/>
          <w:sz w:val="24"/>
          <w:szCs w:val="24"/>
          <w:lang w:val="en-GB" w:eastAsia="en-GB"/>
        </w:rPr>
        <w:t>A World at Arms</w:t>
      </w:r>
      <w:r w:rsidRPr="00227154">
        <w:rPr>
          <w:rFonts w:ascii="Arial" w:eastAsia="Times New Roman" w:hAnsi="Arial" w:cs="Arial"/>
          <w:sz w:val="24"/>
          <w:szCs w:val="24"/>
          <w:lang w:val="en-GB" w:eastAsia="en-GB"/>
        </w:rPr>
        <w:t>, p. 40.</w:t>
      </w:r>
    </w:p>
  </w:footnote>
  <w:footnote w:id="16">
    <w:p w14:paraId="4E9F0ED4" w14:textId="3B8990E8" w:rsidR="008B3C78" w:rsidRPr="00F069C4" w:rsidRDefault="008B3C78" w:rsidP="00F069C4">
      <w:pPr>
        <w:spacing w:before="100" w:beforeAutospacing="1" w:after="100" w:afterAutospacing="1" w:line="240" w:lineRule="auto"/>
        <w:rPr>
          <w:rFonts w:ascii="Arial" w:eastAsia="Times New Roman" w:hAnsi="Arial" w:cs="Arial"/>
          <w:sz w:val="24"/>
          <w:szCs w:val="24"/>
          <w:lang w:val="en-GB" w:eastAsia="en-GB"/>
        </w:rPr>
      </w:pPr>
      <w:r w:rsidRPr="00227154">
        <w:rPr>
          <w:rStyle w:val="FootnoteReference"/>
          <w:rFonts w:ascii="Arial" w:hAnsi="Arial" w:cs="Arial"/>
          <w:sz w:val="24"/>
          <w:szCs w:val="24"/>
        </w:rPr>
        <w:footnoteRef/>
      </w:r>
      <w:r w:rsidRPr="00227154">
        <w:rPr>
          <w:rFonts w:ascii="Arial" w:hAnsi="Arial" w:cs="Arial"/>
          <w:sz w:val="24"/>
          <w:szCs w:val="24"/>
        </w:rPr>
        <w:t xml:space="preserve"> </w:t>
      </w:r>
      <w:r w:rsidRPr="00227154">
        <w:rPr>
          <w:rFonts w:ascii="Arial" w:eastAsia="Times New Roman" w:hAnsi="Arial" w:cs="Arial"/>
          <w:sz w:val="24"/>
          <w:szCs w:val="24"/>
          <w:lang w:val="en-GB" w:eastAsia="en-GB"/>
        </w:rPr>
        <w:t xml:space="preserve">Ferguson, </w:t>
      </w:r>
      <w:r w:rsidRPr="00227154">
        <w:rPr>
          <w:rFonts w:ascii="Arial" w:eastAsia="Times New Roman" w:hAnsi="Arial" w:cs="Arial"/>
          <w:i/>
          <w:iCs/>
          <w:sz w:val="24"/>
          <w:szCs w:val="24"/>
          <w:lang w:val="en-GB" w:eastAsia="en-GB"/>
        </w:rPr>
        <w:t>The Pity of War</w:t>
      </w:r>
      <w:r w:rsidRPr="00227154">
        <w:rPr>
          <w:rFonts w:ascii="Arial" w:eastAsia="Times New Roman" w:hAnsi="Arial" w:cs="Arial"/>
          <w:sz w:val="24"/>
          <w:szCs w:val="24"/>
          <w:lang w:val="en-GB" w:eastAsia="en-GB"/>
        </w:rPr>
        <w:t>, p. 110.</w:t>
      </w:r>
    </w:p>
  </w:footnote>
  <w:footnote w:id="17">
    <w:p w14:paraId="1373F20C" w14:textId="2788DD30" w:rsidR="008B3C78" w:rsidRPr="00F069C4" w:rsidRDefault="008B3C78" w:rsidP="00F069C4">
      <w:pPr>
        <w:spacing w:before="100" w:beforeAutospacing="1" w:after="100" w:afterAutospacing="1" w:line="240" w:lineRule="auto"/>
        <w:rPr>
          <w:rFonts w:ascii="Arial" w:eastAsia="Times New Roman" w:hAnsi="Arial" w:cs="Arial"/>
          <w:sz w:val="24"/>
          <w:szCs w:val="24"/>
          <w:lang w:val="en-GB" w:eastAsia="en-GB"/>
        </w:rPr>
      </w:pPr>
      <w:r w:rsidRPr="00227154">
        <w:rPr>
          <w:rStyle w:val="FootnoteReference"/>
          <w:rFonts w:ascii="Arial" w:hAnsi="Arial" w:cs="Arial"/>
          <w:sz w:val="24"/>
          <w:szCs w:val="24"/>
        </w:rPr>
        <w:footnoteRef/>
      </w:r>
      <w:r w:rsidRPr="00227154">
        <w:rPr>
          <w:rFonts w:ascii="Arial" w:hAnsi="Arial" w:cs="Arial"/>
          <w:sz w:val="24"/>
          <w:szCs w:val="24"/>
        </w:rPr>
        <w:t xml:space="preserve"> </w:t>
      </w:r>
      <w:r w:rsidRPr="00227154">
        <w:rPr>
          <w:rFonts w:ascii="Arial" w:eastAsia="Times New Roman" w:hAnsi="Arial" w:cs="Arial"/>
          <w:sz w:val="24"/>
          <w:szCs w:val="24"/>
          <w:lang w:val="en-GB" w:eastAsia="en-GB"/>
        </w:rPr>
        <w:t xml:space="preserve">Steiner, </w:t>
      </w:r>
      <w:r w:rsidRPr="00227154">
        <w:rPr>
          <w:rFonts w:ascii="Arial" w:eastAsia="Times New Roman" w:hAnsi="Arial" w:cs="Arial"/>
          <w:i/>
          <w:iCs/>
          <w:sz w:val="24"/>
          <w:szCs w:val="24"/>
          <w:lang w:val="en-GB" w:eastAsia="en-GB"/>
        </w:rPr>
        <w:t>The Lights That Failed</w:t>
      </w:r>
      <w:r w:rsidRPr="00227154">
        <w:rPr>
          <w:rFonts w:ascii="Arial" w:eastAsia="Times New Roman" w:hAnsi="Arial" w:cs="Arial"/>
          <w:sz w:val="24"/>
          <w:szCs w:val="24"/>
          <w:lang w:val="en-GB" w:eastAsia="en-GB"/>
        </w:rPr>
        <w:t>, p. 22.</w:t>
      </w:r>
    </w:p>
  </w:footnote>
  <w:footnote w:id="18">
    <w:p w14:paraId="2EC5CC99" w14:textId="489A4A29" w:rsidR="003A1994" w:rsidRPr="00F069C4" w:rsidRDefault="003A1994" w:rsidP="00F069C4">
      <w:pPr>
        <w:spacing w:before="100" w:beforeAutospacing="1" w:after="100" w:afterAutospacing="1" w:line="240" w:lineRule="auto"/>
        <w:rPr>
          <w:rFonts w:ascii="Arial" w:eastAsia="Times New Roman" w:hAnsi="Arial" w:cs="Arial"/>
          <w:sz w:val="24"/>
          <w:szCs w:val="24"/>
          <w:lang w:val="en-GB" w:eastAsia="en-GB"/>
        </w:rPr>
      </w:pPr>
      <w:r w:rsidRPr="00227154">
        <w:rPr>
          <w:rStyle w:val="FootnoteReference"/>
          <w:rFonts w:ascii="Arial" w:hAnsi="Arial" w:cs="Arial"/>
          <w:sz w:val="24"/>
          <w:szCs w:val="24"/>
        </w:rPr>
        <w:footnoteRef/>
      </w:r>
      <w:r w:rsidRPr="00227154">
        <w:rPr>
          <w:rFonts w:ascii="Arial" w:hAnsi="Arial" w:cs="Arial"/>
          <w:sz w:val="24"/>
          <w:szCs w:val="24"/>
        </w:rPr>
        <w:t xml:space="preserve"> </w:t>
      </w:r>
      <w:r w:rsidRPr="00227154">
        <w:rPr>
          <w:rFonts w:ascii="Arial" w:eastAsia="Times New Roman" w:hAnsi="Arial" w:cs="Arial"/>
          <w:sz w:val="24"/>
          <w:szCs w:val="24"/>
          <w:lang w:val="en-GB" w:eastAsia="en-GB"/>
        </w:rPr>
        <w:t xml:space="preserve">Overy, </w:t>
      </w:r>
      <w:r w:rsidRPr="00227154">
        <w:rPr>
          <w:rFonts w:ascii="Arial" w:eastAsia="Times New Roman" w:hAnsi="Arial" w:cs="Arial"/>
          <w:i/>
          <w:iCs/>
          <w:sz w:val="24"/>
          <w:szCs w:val="24"/>
          <w:lang w:val="en-GB" w:eastAsia="en-GB"/>
        </w:rPr>
        <w:t>The Oxford History of World War II</w:t>
      </w:r>
      <w:r w:rsidRPr="00227154">
        <w:rPr>
          <w:rFonts w:ascii="Arial" w:eastAsia="Times New Roman" w:hAnsi="Arial" w:cs="Arial"/>
          <w:sz w:val="24"/>
          <w:szCs w:val="24"/>
          <w:lang w:val="en-GB" w:eastAsia="en-GB"/>
        </w:rPr>
        <w:t>, p. 70.</w:t>
      </w:r>
    </w:p>
  </w:footnote>
  <w:footnote w:id="19">
    <w:p w14:paraId="35848A3A" w14:textId="621BEAEC" w:rsidR="003A1994" w:rsidRPr="00F069C4" w:rsidRDefault="003A1994" w:rsidP="00F069C4">
      <w:pPr>
        <w:spacing w:before="100" w:beforeAutospacing="1" w:after="100" w:afterAutospacing="1" w:line="240" w:lineRule="auto"/>
        <w:rPr>
          <w:rFonts w:ascii="Arial" w:eastAsia="Times New Roman" w:hAnsi="Arial" w:cs="Arial"/>
          <w:sz w:val="24"/>
          <w:szCs w:val="24"/>
          <w:lang w:val="en-GB" w:eastAsia="en-GB"/>
        </w:rPr>
      </w:pPr>
      <w:r w:rsidRPr="00227154">
        <w:rPr>
          <w:rStyle w:val="FootnoteReference"/>
          <w:rFonts w:ascii="Arial" w:hAnsi="Arial" w:cs="Arial"/>
          <w:sz w:val="24"/>
          <w:szCs w:val="24"/>
        </w:rPr>
        <w:footnoteRef/>
      </w:r>
      <w:r w:rsidRPr="00227154">
        <w:rPr>
          <w:rFonts w:ascii="Arial" w:hAnsi="Arial" w:cs="Arial"/>
          <w:sz w:val="24"/>
          <w:szCs w:val="24"/>
        </w:rPr>
        <w:t xml:space="preserve"> </w:t>
      </w:r>
      <w:r w:rsidRPr="00227154">
        <w:rPr>
          <w:rFonts w:ascii="Arial" w:eastAsia="Times New Roman" w:hAnsi="Arial" w:cs="Arial"/>
          <w:sz w:val="24"/>
          <w:szCs w:val="24"/>
          <w:lang w:val="en-GB" w:eastAsia="en-GB"/>
        </w:rPr>
        <w:t xml:space="preserve">M. R. Gordon, ‘Domestic Conflict and the Origins of the First World War: The British and German Cases’, </w:t>
      </w:r>
      <w:r w:rsidRPr="00227154">
        <w:rPr>
          <w:rFonts w:ascii="Arial" w:eastAsia="Times New Roman" w:hAnsi="Arial" w:cs="Arial"/>
          <w:i/>
          <w:iCs/>
          <w:sz w:val="24"/>
          <w:szCs w:val="24"/>
          <w:lang w:val="en-GB" w:eastAsia="en-GB"/>
        </w:rPr>
        <w:t>Journal of Modern History</w:t>
      </w:r>
      <w:r w:rsidRPr="00227154">
        <w:rPr>
          <w:rFonts w:ascii="Arial" w:eastAsia="Times New Roman" w:hAnsi="Arial" w:cs="Arial"/>
          <w:sz w:val="24"/>
          <w:szCs w:val="24"/>
          <w:lang w:val="en-GB" w:eastAsia="en-GB"/>
        </w:rPr>
        <w:t>, 46 (1974), 191–226 (p. 200).</w:t>
      </w:r>
    </w:p>
  </w:footnote>
  <w:footnote w:id="20">
    <w:p w14:paraId="403655AD" w14:textId="64104C61" w:rsidR="00B772D2" w:rsidRPr="00F069C4" w:rsidRDefault="00B772D2" w:rsidP="00F069C4">
      <w:pPr>
        <w:spacing w:before="100" w:beforeAutospacing="1" w:after="100" w:afterAutospacing="1" w:line="240" w:lineRule="auto"/>
        <w:rPr>
          <w:rFonts w:ascii="Arial" w:eastAsia="Times New Roman" w:hAnsi="Arial" w:cs="Arial"/>
          <w:sz w:val="24"/>
          <w:szCs w:val="24"/>
          <w:lang w:val="en-GB" w:eastAsia="en-GB"/>
        </w:rPr>
      </w:pPr>
      <w:r w:rsidRPr="00227154">
        <w:rPr>
          <w:rStyle w:val="FootnoteReference"/>
          <w:rFonts w:ascii="Arial" w:hAnsi="Arial" w:cs="Arial"/>
          <w:sz w:val="24"/>
          <w:szCs w:val="24"/>
        </w:rPr>
        <w:footnoteRef/>
      </w:r>
      <w:r w:rsidRPr="00227154">
        <w:rPr>
          <w:rFonts w:ascii="Arial" w:hAnsi="Arial" w:cs="Arial"/>
          <w:sz w:val="24"/>
          <w:szCs w:val="24"/>
        </w:rPr>
        <w:t xml:space="preserve"> </w:t>
      </w:r>
      <w:r w:rsidRPr="00227154">
        <w:rPr>
          <w:rFonts w:ascii="Arial" w:eastAsia="Times New Roman" w:hAnsi="Arial" w:cs="Arial"/>
          <w:sz w:val="24"/>
          <w:szCs w:val="24"/>
          <w:lang w:val="en-GB" w:eastAsia="en-GB"/>
        </w:rPr>
        <w:t xml:space="preserve">Overy, </w:t>
      </w:r>
      <w:r w:rsidRPr="00227154">
        <w:rPr>
          <w:rFonts w:ascii="Arial" w:eastAsia="Times New Roman" w:hAnsi="Arial" w:cs="Arial"/>
          <w:i/>
          <w:iCs/>
          <w:sz w:val="24"/>
          <w:szCs w:val="24"/>
          <w:lang w:val="en-GB" w:eastAsia="en-GB"/>
        </w:rPr>
        <w:t>The Oxford History of World War II</w:t>
      </w:r>
      <w:r w:rsidRPr="00227154">
        <w:rPr>
          <w:rFonts w:ascii="Arial" w:eastAsia="Times New Roman" w:hAnsi="Arial" w:cs="Arial"/>
          <w:sz w:val="24"/>
          <w:szCs w:val="24"/>
          <w:lang w:val="en-GB" w:eastAsia="en-GB"/>
        </w:rPr>
        <w:t>, p. 75.</w:t>
      </w:r>
    </w:p>
  </w:footnote>
  <w:footnote w:id="21">
    <w:p w14:paraId="47E5EBE8" w14:textId="604F0D9D" w:rsidR="00B772D2" w:rsidRPr="00033DBE" w:rsidRDefault="00B772D2" w:rsidP="00F069C4">
      <w:pPr>
        <w:spacing w:before="100" w:beforeAutospacing="1" w:after="100" w:afterAutospacing="1" w:line="240" w:lineRule="auto"/>
        <w:rPr>
          <w:rFonts w:ascii="Arial" w:eastAsia="Times New Roman" w:hAnsi="Arial" w:cs="Arial"/>
          <w:sz w:val="24"/>
          <w:szCs w:val="24"/>
          <w:lang w:val="en-GB" w:eastAsia="en-GB"/>
        </w:rPr>
      </w:pPr>
      <w:r w:rsidRPr="00033DBE">
        <w:rPr>
          <w:rStyle w:val="FootnoteReference"/>
          <w:rFonts w:ascii="Arial" w:hAnsi="Arial" w:cs="Arial"/>
          <w:sz w:val="24"/>
          <w:szCs w:val="24"/>
        </w:rPr>
        <w:footnoteRef/>
      </w:r>
      <w:r w:rsidRPr="00033DBE">
        <w:rPr>
          <w:rFonts w:ascii="Arial" w:hAnsi="Arial" w:cs="Arial"/>
          <w:sz w:val="24"/>
          <w:szCs w:val="24"/>
        </w:rPr>
        <w:t xml:space="preserve"> </w:t>
      </w:r>
      <w:r w:rsidRPr="00033DBE">
        <w:rPr>
          <w:rFonts w:ascii="Arial" w:eastAsia="Times New Roman" w:hAnsi="Arial" w:cs="Arial"/>
          <w:sz w:val="24"/>
          <w:szCs w:val="24"/>
          <w:lang w:val="en-GB" w:eastAsia="en-GB"/>
        </w:rPr>
        <w:t>Trachtenberg, ‘The Meaning of Mobilization in 1914’, p. 135.</w:t>
      </w:r>
    </w:p>
  </w:footnote>
  <w:footnote w:id="22">
    <w:p w14:paraId="1622E5F8" w14:textId="53CA1AD9" w:rsidR="001A3E99" w:rsidRPr="00033DBE" w:rsidRDefault="001A3E99" w:rsidP="00F069C4">
      <w:pPr>
        <w:spacing w:before="100" w:beforeAutospacing="1" w:after="100" w:afterAutospacing="1" w:line="240" w:lineRule="auto"/>
        <w:rPr>
          <w:rFonts w:ascii="Arial" w:eastAsia="Times New Roman" w:hAnsi="Arial" w:cs="Arial"/>
          <w:sz w:val="24"/>
          <w:szCs w:val="24"/>
          <w:lang w:val="en-GB" w:eastAsia="en-GB"/>
        </w:rPr>
      </w:pPr>
      <w:r w:rsidRPr="00033DBE">
        <w:rPr>
          <w:rStyle w:val="FootnoteReference"/>
          <w:rFonts w:ascii="Arial" w:hAnsi="Arial" w:cs="Arial"/>
          <w:sz w:val="24"/>
          <w:szCs w:val="24"/>
        </w:rPr>
        <w:footnoteRef/>
      </w:r>
      <w:r w:rsidRPr="00033DBE">
        <w:rPr>
          <w:rFonts w:ascii="Arial" w:hAnsi="Arial" w:cs="Arial"/>
          <w:sz w:val="24"/>
          <w:szCs w:val="24"/>
        </w:rPr>
        <w:t xml:space="preserve"> </w:t>
      </w:r>
      <w:r w:rsidRPr="00033DBE">
        <w:rPr>
          <w:rFonts w:ascii="Arial" w:eastAsia="Times New Roman" w:hAnsi="Arial" w:cs="Arial"/>
          <w:sz w:val="24"/>
          <w:szCs w:val="24"/>
          <w:lang w:val="en-GB" w:eastAsia="en-GB"/>
        </w:rPr>
        <w:t xml:space="preserve">Weinberg, </w:t>
      </w:r>
      <w:r w:rsidRPr="00033DBE">
        <w:rPr>
          <w:rFonts w:ascii="Arial" w:eastAsia="Times New Roman" w:hAnsi="Arial" w:cs="Arial"/>
          <w:i/>
          <w:iCs/>
          <w:sz w:val="24"/>
          <w:szCs w:val="24"/>
          <w:lang w:val="en-GB" w:eastAsia="en-GB"/>
        </w:rPr>
        <w:t>A World at Arms</w:t>
      </w:r>
      <w:r w:rsidRPr="00033DBE">
        <w:rPr>
          <w:rFonts w:ascii="Arial" w:eastAsia="Times New Roman" w:hAnsi="Arial" w:cs="Arial"/>
          <w:sz w:val="24"/>
          <w:szCs w:val="24"/>
          <w:lang w:val="en-GB" w:eastAsia="en-GB"/>
        </w:rPr>
        <w:t>, p. 48.</w:t>
      </w:r>
    </w:p>
  </w:footnote>
  <w:footnote w:id="23">
    <w:p w14:paraId="7FFD15F7" w14:textId="64E46A20" w:rsidR="001A3E99" w:rsidRPr="00033DBE" w:rsidRDefault="001A3E99" w:rsidP="00033DBE">
      <w:pPr>
        <w:spacing w:before="100" w:beforeAutospacing="1" w:after="100" w:afterAutospacing="1" w:line="240" w:lineRule="auto"/>
        <w:rPr>
          <w:rFonts w:ascii="Arial" w:eastAsia="Times New Roman" w:hAnsi="Arial" w:cs="Arial"/>
          <w:sz w:val="24"/>
          <w:szCs w:val="24"/>
          <w:lang w:val="en-GB" w:eastAsia="en-GB"/>
        </w:rPr>
      </w:pPr>
      <w:r w:rsidRPr="00033DBE">
        <w:rPr>
          <w:rStyle w:val="FootnoteReference"/>
          <w:rFonts w:ascii="Arial" w:hAnsi="Arial" w:cs="Arial"/>
          <w:sz w:val="24"/>
          <w:szCs w:val="24"/>
        </w:rPr>
        <w:footnoteRef/>
      </w:r>
      <w:r w:rsidRPr="00033DBE">
        <w:rPr>
          <w:rFonts w:ascii="Arial" w:hAnsi="Arial" w:cs="Arial"/>
          <w:sz w:val="24"/>
          <w:szCs w:val="24"/>
        </w:rPr>
        <w:t xml:space="preserve"> </w:t>
      </w:r>
      <w:r w:rsidRPr="00033DBE">
        <w:rPr>
          <w:rFonts w:ascii="Arial" w:eastAsia="Times New Roman" w:hAnsi="Arial" w:cs="Arial"/>
          <w:sz w:val="24"/>
          <w:szCs w:val="24"/>
          <w:lang w:val="en-GB" w:eastAsia="en-GB"/>
        </w:rPr>
        <w:t xml:space="preserve">Weinberg, </w:t>
      </w:r>
      <w:r w:rsidRPr="00033DBE">
        <w:rPr>
          <w:rFonts w:ascii="Arial" w:eastAsia="Times New Roman" w:hAnsi="Arial" w:cs="Arial"/>
          <w:i/>
          <w:iCs/>
          <w:sz w:val="24"/>
          <w:szCs w:val="24"/>
          <w:lang w:val="en-GB" w:eastAsia="en-GB"/>
        </w:rPr>
        <w:t>A World at Arms</w:t>
      </w:r>
      <w:r w:rsidRPr="00033DBE">
        <w:rPr>
          <w:rFonts w:ascii="Arial" w:eastAsia="Times New Roman" w:hAnsi="Arial" w:cs="Arial"/>
          <w:sz w:val="24"/>
          <w:szCs w:val="24"/>
          <w:lang w:val="en-GB" w:eastAsia="en-GB"/>
        </w:rPr>
        <w:t>, p. 25.</w:t>
      </w:r>
    </w:p>
  </w:footnote>
  <w:footnote w:id="24">
    <w:p w14:paraId="23A6F4D1" w14:textId="29C833C1" w:rsidR="001A3E99" w:rsidRPr="00033DBE" w:rsidRDefault="001A3E99" w:rsidP="00033DBE">
      <w:pPr>
        <w:spacing w:before="100" w:beforeAutospacing="1" w:after="100" w:afterAutospacing="1" w:line="240" w:lineRule="auto"/>
        <w:rPr>
          <w:rFonts w:ascii="Arial" w:eastAsia="Times New Roman" w:hAnsi="Arial" w:cs="Arial"/>
          <w:sz w:val="24"/>
          <w:szCs w:val="24"/>
          <w:lang w:val="en-GB" w:eastAsia="en-GB"/>
        </w:rPr>
      </w:pPr>
      <w:r w:rsidRPr="0033712E">
        <w:rPr>
          <w:rStyle w:val="FootnoteReference"/>
          <w:rFonts w:ascii="Arial" w:hAnsi="Arial" w:cs="Arial"/>
          <w:sz w:val="24"/>
          <w:szCs w:val="24"/>
        </w:rPr>
        <w:footnoteRef/>
      </w:r>
      <w:r w:rsidRPr="0033712E">
        <w:rPr>
          <w:rFonts w:ascii="Arial" w:hAnsi="Arial" w:cs="Arial"/>
          <w:sz w:val="24"/>
          <w:szCs w:val="24"/>
        </w:rPr>
        <w:t xml:space="preserve"> </w:t>
      </w:r>
      <w:r w:rsidRPr="0033712E">
        <w:rPr>
          <w:rFonts w:ascii="Arial" w:eastAsia="Times New Roman" w:hAnsi="Arial" w:cs="Arial"/>
          <w:sz w:val="24"/>
          <w:szCs w:val="24"/>
          <w:lang w:val="en-GB" w:eastAsia="en-GB"/>
        </w:rPr>
        <w:t xml:space="preserve">Ferguson, </w:t>
      </w:r>
      <w:r w:rsidRPr="0033712E">
        <w:rPr>
          <w:rFonts w:ascii="Arial" w:eastAsia="Times New Roman" w:hAnsi="Arial" w:cs="Arial"/>
          <w:i/>
          <w:iCs/>
          <w:sz w:val="24"/>
          <w:szCs w:val="24"/>
          <w:lang w:val="en-GB" w:eastAsia="en-GB"/>
        </w:rPr>
        <w:t>The Pity of War</w:t>
      </w:r>
      <w:r w:rsidRPr="0033712E">
        <w:rPr>
          <w:rFonts w:ascii="Arial" w:eastAsia="Times New Roman" w:hAnsi="Arial" w:cs="Arial"/>
          <w:sz w:val="24"/>
          <w:szCs w:val="24"/>
          <w:lang w:val="en-GB" w:eastAsia="en-GB"/>
        </w:rPr>
        <w:t>, p. 105.</w:t>
      </w:r>
    </w:p>
  </w:footnote>
  <w:footnote w:id="25">
    <w:p w14:paraId="40BCB2CD" w14:textId="00763CB2" w:rsidR="004D360A" w:rsidRPr="00033DBE" w:rsidRDefault="004D360A" w:rsidP="00033DBE">
      <w:pPr>
        <w:spacing w:before="100" w:beforeAutospacing="1" w:after="100" w:afterAutospacing="1" w:line="240" w:lineRule="auto"/>
        <w:rPr>
          <w:rFonts w:ascii="Arial" w:eastAsia="Times New Roman" w:hAnsi="Arial" w:cs="Arial"/>
          <w:sz w:val="24"/>
          <w:szCs w:val="24"/>
          <w:lang w:val="en-GB" w:eastAsia="en-GB"/>
        </w:rPr>
      </w:pPr>
      <w:r w:rsidRPr="0033712E">
        <w:rPr>
          <w:rStyle w:val="FootnoteReference"/>
          <w:rFonts w:ascii="Arial" w:hAnsi="Arial" w:cs="Arial"/>
          <w:sz w:val="24"/>
          <w:szCs w:val="24"/>
        </w:rPr>
        <w:footnoteRef/>
      </w:r>
      <w:r w:rsidRPr="0033712E">
        <w:rPr>
          <w:rFonts w:ascii="Arial" w:hAnsi="Arial" w:cs="Arial"/>
          <w:sz w:val="24"/>
          <w:szCs w:val="24"/>
        </w:rPr>
        <w:t xml:space="preserve"> </w:t>
      </w:r>
      <w:r w:rsidRPr="0033712E">
        <w:rPr>
          <w:rFonts w:ascii="Arial" w:eastAsia="Times New Roman" w:hAnsi="Arial" w:cs="Arial"/>
          <w:sz w:val="24"/>
          <w:szCs w:val="24"/>
          <w:lang w:val="en-GB" w:eastAsia="en-GB"/>
        </w:rPr>
        <w:t xml:space="preserve">Overy, </w:t>
      </w:r>
      <w:r w:rsidRPr="0033712E">
        <w:rPr>
          <w:rFonts w:ascii="Arial" w:eastAsia="Times New Roman" w:hAnsi="Arial" w:cs="Arial"/>
          <w:i/>
          <w:iCs/>
          <w:sz w:val="24"/>
          <w:szCs w:val="24"/>
          <w:lang w:val="en-GB" w:eastAsia="en-GB"/>
        </w:rPr>
        <w:t>The Oxford History of World War II</w:t>
      </w:r>
      <w:r w:rsidRPr="0033712E">
        <w:rPr>
          <w:rFonts w:ascii="Arial" w:eastAsia="Times New Roman" w:hAnsi="Arial" w:cs="Arial"/>
          <w:sz w:val="24"/>
          <w:szCs w:val="24"/>
          <w:lang w:val="en-GB" w:eastAsia="en-GB"/>
        </w:rPr>
        <w:t>, p. 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8225853"/>
      <w:docPartObj>
        <w:docPartGallery w:val="Page Numbers (Top of Page)"/>
        <w:docPartUnique/>
      </w:docPartObj>
    </w:sdtPr>
    <w:sdtEndPr>
      <w:rPr>
        <w:rStyle w:val="PageNumber"/>
      </w:rPr>
    </w:sdtEndPr>
    <w:sdtContent>
      <w:p w14:paraId="170AC622" w14:textId="5929BA0B" w:rsidR="00CC3283" w:rsidRDefault="00CC3283" w:rsidP="004B1611">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90838E" w14:textId="77777777" w:rsidR="00A85F34" w:rsidRDefault="00A85F34" w:rsidP="00CC328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rial" w:hAnsi="Arial" w:cs="Arial"/>
        <w:b/>
        <w:bCs/>
        <w:sz w:val="24"/>
        <w:szCs w:val="24"/>
      </w:rPr>
      <w:id w:val="-1699925781"/>
      <w:docPartObj>
        <w:docPartGallery w:val="Page Numbers (Top of Page)"/>
        <w:docPartUnique/>
      </w:docPartObj>
    </w:sdtPr>
    <w:sdtEndPr>
      <w:rPr>
        <w:rStyle w:val="PageNumber"/>
      </w:rPr>
    </w:sdtEndPr>
    <w:sdtContent>
      <w:p w14:paraId="1A01EED2" w14:textId="7D2D90FF" w:rsidR="00CC3283" w:rsidRPr="00CC3283" w:rsidRDefault="00CC3283" w:rsidP="004B1611">
        <w:pPr>
          <w:pStyle w:val="Header"/>
          <w:framePr w:wrap="none" w:vAnchor="text" w:hAnchor="margin" w:xAlign="right" w:y="1"/>
          <w:jc w:val="right"/>
          <w:rPr>
            <w:rStyle w:val="PageNumber"/>
            <w:rFonts w:ascii="Arial" w:hAnsi="Arial" w:cs="Arial"/>
            <w:b/>
            <w:bCs/>
            <w:sz w:val="24"/>
            <w:szCs w:val="24"/>
          </w:rPr>
        </w:pPr>
        <w:r w:rsidRPr="00CC3283">
          <w:rPr>
            <w:rStyle w:val="PageNumber"/>
            <w:rFonts w:ascii="Arial" w:hAnsi="Arial" w:cs="Arial"/>
            <w:b/>
            <w:bCs/>
            <w:sz w:val="24"/>
            <w:szCs w:val="24"/>
          </w:rPr>
          <w:fldChar w:fldCharType="begin"/>
        </w:r>
        <w:r w:rsidRPr="00CC3283">
          <w:rPr>
            <w:rStyle w:val="PageNumber"/>
            <w:rFonts w:ascii="Arial" w:hAnsi="Arial" w:cs="Arial"/>
            <w:b/>
            <w:bCs/>
            <w:sz w:val="24"/>
            <w:szCs w:val="24"/>
          </w:rPr>
          <w:instrText xml:space="preserve"> PAGE </w:instrText>
        </w:r>
        <w:r w:rsidRPr="00CC3283">
          <w:rPr>
            <w:rStyle w:val="PageNumber"/>
            <w:rFonts w:ascii="Arial" w:hAnsi="Arial" w:cs="Arial"/>
            <w:b/>
            <w:bCs/>
            <w:sz w:val="24"/>
            <w:szCs w:val="24"/>
          </w:rPr>
          <w:fldChar w:fldCharType="separate"/>
        </w:r>
        <w:r w:rsidRPr="00CC3283">
          <w:rPr>
            <w:rStyle w:val="PageNumber"/>
            <w:rFonts w:ascii="Arial" w:hAnsi="Arial" w:cs="Arial"/>
            <w:b/>
            <w:bCs/>
            <w:noProof/>
            <w:sz w:val="24"/>
            <w:szCs w:val="24"/>
          </w:rPr>
          <w:t>1</w:t>
        </w:r>
        <w:r w:rsidRPr="00CC3283">
          <w:rPr>
            <w:rStyle w:val="PageNumber"/>
            <w:rFonts w:ascii="Arial" w:hAnsi="Arial" w:cs="Arial"/>
            <w:b/>
            <w:bCs/>
            <w:sz w:val="24"/>
            <w:szCs w:val="24"/>
          </w:rPr>
          <w:fldChar w:fldCharType="end"/>
        </w:r>
      </w:p>
    </w:sdtContent>
  </w:sdt>
  <w:p w14:paraId="3625DF41" w14:textId="1A7C2569" w:rsidR="00A85F34" w:rsidRPr="00CC3283" w:rsidRDefault="00CC3283" w:rsidP="00CC3283">
    <w:pPr>
      <w:tabs>
        <w:tab w:val="center" w:pos="4513"/>
        <w:tab w:val="right" w:pos="9026"/>
      </w:tabs>
      <w:spacing w:after="0" w:line="240" w:lineRule="auto"/>
      <w:rPr>
        <w:rFonts w:ascii="Arial" w:eastAsiaTheme="minorHAnsi" w:hAnsi="Arial" w:cs="Arial"/>
        <w:b/>
        <w:bCs/>
        <w:sz w:val="24"/>
        <w:szCs w:val="24"/>
        <w:lang w:val="en-GB"/>
      </w:rPr>
    </w:pPr>
    <w:r w:rsidRPr="002F22ED">
      <w:rPr>
        <w:rFonts w:ascii="Arial" w:eastAsiaTheme="minorHAnsi" w:hAnsi="Arial" w:cs="Arial"/>
        <w:b/>
        <w:bCs/>
        <w:sz w:val="24"/>
        <w:szCs w:val="24"/>
        <w:lang w:val="en-GB"/>
      </w:rPr>
      <w:t>Callum Carter 2404122</w:t>
    </w:r>
  </w:p>
</w:hdr>
</file>

<file path=word/intelligence2.xml><?xml version="1.0" encoding="utf-8"?>
<int2:intelligence xmlns:int2="http://schemas.microsoft.com/office/intelligence/2020/intelligence" xmlns:oel="http://schemas.microsoft.com/office/2019/extlst">
  <int2:observations>
    <int2:bookmark int2:bookmarkName="_Int_YBzOAab1" int2:invalidationBookmarkName="" int2:hashCode="Jntu/p27OsV/+p" int2:id="lqYHLQTk">
      <int2:state int2:value="Rejected" int2:type="gram"/>
    </int2:bookmark>
    <int2:bookmark int2:bookmarkName="_Int_RRsVJP4k" int2:invalidationBookmarkName="" int2:hashCode="Ec9rtvM9qn672o" int2:id="ll1YQiGa">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FE5C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A316E3"/>
    <w:multiLevelType w:val="multilevel"/>
    <w:tmpl w:val="FFFFFFFF"/>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2F6C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1AD"/>
    <w:multiLevelType w:val="multilevel"/>
    <w:tmpl w:val="FFFFFFFF"/>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AF460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4D68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EF1B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1843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857545"/>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9D6269"/>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50091A"/>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7F1D65"/>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8A41D3"/>
    <w:multiLevelType w:val="multilevel"/>
    <w:tmpl w:val="FFFFFFFF"/>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F07C99"/>
    <w:multiLevelType w:val="multilevel"/>
    <w:tmpl w:val="FFFFFFFF"/>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9226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401F8C"/>
    <w:multiLevelType w:val="multilevel"/>
    <w:tmpl w:val="FFFFFFFF"/>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0F599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2C7C5C"/>
    <w:multiLevelType w:val="multilevel"/>
    <w:tmpl w:val="FFFFFFFF"/>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3A73A10"/>
    <w:multiLevelType w:val="multilevel"/>
    <w:tmpl w:val="FFFFFFFF"/>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F064F2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8548965">
    <w:abstractNumId w:val="8"/>
  </w:num>
  <w:num w:numId="2" w16cid:durableId="545527141">
    <w:abstractNumId w:val="6"/>
  </w:num>
  <w:num w:numId="3" w16cid:durableId="787891249">
    <w:abstractNumId w:val="5"/>
  </w:num>
  <w:num w:numId="4" w16cid:durableId="1315253643">
    <w:abstractNumId w:val="4"/>
  </w:num>
  <w:num w:numId="5" w16cid:durableId="998576254">
    <w:abstractNumId w:val="7"/>
  </w:num>
  <w:num w:numId="6" w16cid:durableId="156842393">
    <w:abstractNumId w:val="3"/>
  </w:num>
  <w:num w:numId="7" w16cid:durableId="2139949345">
    <w:abstractNumId w:val="2"/>
  </w:num>
  <w:num w:numId="8" w16cid:durableId="1688435518">
    <w:abstractNumId w:val="1"/>
  </w:num>
  <w:num w:numId="9" w16cid:durableId="1328704547">
    <w:abstractNumId w:val="0"/>
  </w:num>
  <w:num w:numId="10" w16cid:durableId="2083866679">
    <w:abstractNumId w:val="28"/>
  </w:num>
  <w:num w:numId="11" w16cid:durableId="1269506367">
    <w:abstractNumId w:val="11"/>
  </w:num>
  <w:num w:numId="12" w16cid:durableId="97870650">
    <w:abstractNumId w:val="14"/>
  </w:num>
  <w:num w:numId="13" w16cid:durableId="182861149">
    <w:abstractNumId w:val="9"/>
  </w:num>
  <w:num w:numId="14" w16cid:durableId="790899465">
    <w:abstractNumId w:val="23"/>
  </w:num>
  <w:num w:numId="15" w16cid:durableId="1486702666">
    <w:abstractNumId w:val="15"/>
  </w:num>
  <w:num w:numId="16" w16cid:durableId="1499074177">
    <w:abstractNumId w:val="25"/>
  </w:num>
  <w:num w:numId="17" w16cid:durableId="1149055495">
    <w:abstractNumId w:val="16"/>
  </w:num>
  <w:num w:numId="18" w16cid:durableId="1902402296">
    <w:abstractNumId w:val="20"/>
  </w:num>
  <w:num w:numId="19" w16cid:durableId="1575238796">
    <w:abstractNumId w:val="19"/>
  </w:num>
  <w:num w:numId="20" w16cid:durableId="98457792">
    <w:abstractNumId w:val="24"/>
  </w:num>
  <w:num w:numId="21" w16cid:durableId="456068726">
    <w:abstractNumId w:val="18"/>
  </w:num>
  <w:num w:numId="22" w16cid:durableId="147787616">
    <w:abstractNumId w:val="12"/>
  </w:num>
  <w:num w:numId="23" w16cid:durableId="1204321253">
    <w:abstractNumId w:val="27"/>
  </w:num>
  <w:num w:numId="24" w16cid:durableId="450396129">
    <w:abstractNumId w:val="26"/>
  </w:num>
  <w:num w:numId="25" w16cid:durableId="980573899">
    <w:abstractNumId w:val="22"/>
  </w:num>
  <w:num w:numId="26" w16cid:durableId="1087728949">
    <w:abstractNumId w:val="10"/>
  </w:num>
  <w:num w:numId="27" w16cid:durableId="44109013">
    <w:abstractNumId w:val="21"/>
  </w:num>
  <w:num w:numId="28" w16cid:durableId="267858070">
    <w:abstractNumId w:val="13"/>
  </w:num>
  <w:num w:numId="29" w16cid:durableId="67831526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revisionView w:formatting="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706C"/>
    <w:rsid w:val="00030963"/>
    <w:rsid w:val="00031A47"/>
    <w:rsid w:val="00031B67"/>
    <w:rsid w:val="00033DBE"/>
    <w:rsid w:val="00034616"/>
    <w:rsid w:val="00054DCF"/>
    <w:rsid w:val="00057195"/>
    <w:rsid w:val="0006063C"/>
    <w:rsid w:val="00063C63"/>
    <w:rsid w:val="0006572C"/>
    <w:rsid w:val="00071D37"/>
    <w:rsid w:val="00090DD8"/>
    <w:rsid w:val="000B11CE"/>
    <w:rsid w:val="000B34F3"/>
    <w:rsid w:val="000B7BE6"/>
    <w:rsid w:val="000C3440"/>
    <w:rsid w:val="000F7F83"/>
    <w:rsid w:val="001209F2"/>
    <w:rsid w:val="00127750"/>
    <w:rsid w:val="00133E45"/>
    <w:rsid w:val="00135287"/>
    <w:rsid w:val="001411CE"/>
    <w:rsid w:val="00146443"/>
    <w:rsid w:val="0015074B"/>
    <w:rsid w:val="00157708"/>
    <w:rsid w:val="00194038"/>
    <w:rsid w:val="00195CFC"/>
    <w:rsid w:val="001A3E99"/>
    <w:rsid w:val="001D2DA5"/>
    <w:rsid w:val="001E3B28"/>
    <w:rsid w:val="00204E97"/>
    <w:rsid w:val="00211133"/>
    <w:rsid w:val="00222E28"/>
    <w:rsid w:val="00227154"/>
    <w:rsid w:val="00234D95"/>
    <w:rsid w:val="002438BE"/>
    <w:rsid w:val="002612A5"/>
    <w:rsid w:val="002659A6"/>
    <w:rsid w:val="0026634F"/>
    <w:rsid w:val="00266789"/>
    <w:rsid w:val="00275FD9"/>
    <w:rsid w:val="0029379E"/>
    <w:rsid w:val="0029639D"/>
    <w:rsid w:val="002A68E1"/>
    <w:rsid w:val="002C23EF"/>
    <w:rsid w:val="002C47D6"/>
    <w:rsid w:val="002C6411"/>
    <w:rsid w:val="002C7B2A"/>
    <w:rsid w:val="002D03D4"/>
    <w:rsid w:val="002D33CA"/>
    <w:rsid w:val="002D4CE2"/>
    <w:rsid w:val="00302050"/>
    <w:rsid w:val="00320961"/>
    <w:rsid w:val="00325A1F"/>
    <w:rsid w:val="00326F90"/>
    <w:rsid w:val="0033712E"/>
    <w:rsid w:val="00337C09"/>
    <w:rsid w:val="00352A00"/>
    <w:rsid w:val="0038438A"/>
    <w:rsid w:val="003A029C"/>
    <w:rsid w:val="003A1994"/>
    <w:rsid w:val="003A219F"/>
    <w:rsid w:val="003A56A9"/>
    <w:rsid w:val="003B7BAC"/>
    <w:rsid w:val="003C7C7A"/>
    <w:rsid w:val="003D0FB5"/>
    <w:rsid w:val="003E4FAD"/>
    <w:rsid w:val="00404A42"/>
    <w:rsid w:val="00405A7C"/>
    <w:rsid w:val="004629F0"/>
    <w:rsid w:val="00476FF3"/>
    <w:rsid w:val="00493C9F"/>
    <w:rsid w:val="004B5E8A"/>
    <w:rsid w:val="004C5DF5"/>
    <w:rsid w:val="004D360A"/>
    <w:rsid w:val="004D6FDA"/>
    <w:rsid w:val="004E39F5"/>
    <w:rsid w:val="004E5187"/>
    <w:rsid w:val="004F437D"/>
    <w:rsid w:val="004F7C32"/>
    <w:rsid w:val="005036B0"/>
    <w:rsid w:val="005261B6"/>
    <w:rsid w:val="005278DA"/>
    <w:rsid w:val="0053429F"/>
    <w:rsid w:val="00542C53"/>
    <w:rsid w:val="00552DDC"/>
    <w:rsid w:val="00554134"/>
    <w:rsid w:val="00556BA2"/>
    <w:rsid w:val="00557969"/>
    <w:rsid w:val="00571E77"/>
    <w:rsid w:val="005C0D78"/>
    <w:rsid w:val="005D161B"/>
    <w:rsid w:val="005D2A52"/>
    <w:rsid w:val="005E63B7"/>
    <w:rsid w:val="0060520C"/>
    <w:rsid w:val="00637A79"/>
    <w:rsid w:val="00640AA0"/>
    <w:rsid w:val="0064213D"/>
    <w:rsid w:val="006538A1"/>
    <w:rsid w:val="006601ED"/>
    <w:rsid w:val="006601F6"/>
    <w:rsid w:val="00665D19"/>
    <w:rsid w:val="0068337B"/>
    <w:rsid w:val="0068436D"/>
    <w:rsid w:val="006C055F"/>
    <w:rsid w:val="006C4F97"/>
    <w:rsid w:val="006D1358"/>
    <w:rsid w:val="006D47EC"/>
    <w:rsid w:val="006E559B"/>
    <w:rsid w:val="007176D5"/>
    <w:rsid w:val="00717AFD"/>
    <w:rsid w:val="00722751"/>
    <w:rsid w:val="0072676C"/>
    <w:rsid w:val="007367CE"/>
    <w:rsid w:val="007443A2"/>
    <w:rsid w:val="00753677"/>
    <w:rsid w:val="0075759C"/>
    <w:rsid w:val="007575C6"/>
    <w:rsid w:val="007608D1"/>
    <w:rsid w:val="0077185E"/>
    <w:rsid w:val="00772A2C"/>
    <w:rsid w:val="00782A09"/>
    <w:rsid w:val="00795465"/>
    <w:rsid w:val="007C2906"/>
    <w:rsid w:val="007D17AB"/>
    <w:rsid w:val="007E2D61"/>
    <w:rsid w:val="007E764A"/>
    <w:rsid w:val="007F59FF"/>
    <w:rsid w:val="008510C8"/>
    <w:rsid w:val="00852D10"/>
    <w:rsid w:val="008536F4"/>
    <w:rsid w:val="008607A6"/>
    <w:rsid w:val="00884D3E"/>
    <w:rsid w:val="008B3C78"/>
    <w:rsid w:val="008B54F2"/>
    <w:rsid w:val="008E22EB"/>
    <w:rsid w:val="008F2684"/>
    <w:rsid w:val="0090400E"/>
    <w:rsid w:val="00904FBF"/>
    <w:rsid w:val="00921C1A"/>
    <w:rsid w:val="0092377D"/>
    <w:rsid w:val="0093564D"/>
    <w:rsid w:val="00935BEE"/>
    <w:rsid w:val="0095334E"/>
    <w:rsid w:val="009703C4"/>
    <w:rsid w:val="00985036"/>
    <w:rsid w:val="00985473"/>
    <w:rsid w:val="0099434A"/>
    <w:rsid w:val="009973A8"/>
    <w:rsid w:val="009B1481"/>
    <w:rsid w:val="009C0D35"/>
    <w:rsid w:val="009D2B71"/>
    <w:rsid w:val="009E2614"/>
    <w:rsid w:val="009F0DBE"/>
    <w:rsid w:val="00A05C24"/>
    <w:rsid w:val="00A109EF"/>
    <w:rsid w:val="00A141ED"/>
    <w:rsid w:val="00A27CFD"/>
    <w:rsid w:val="00A50E3B"/>
    <w:rsid w:val="00A527AB"/>
    <w:rsid w:val="00A73C82"/>
    <w:rsid w:val="00A76411"/>
    <w:rsid w:val="00A85F34"/>
    <w:rsid w:val="00AA1D8D"/>
    <w:rsid w:val="00AC2B65"/>
    <w:rsid w:val="00AF1EDF"/>
    <w:rsid w:val="00AF6B28"/>
    <w:rsid w:val="00AF738B"/>
    <w:rsid w:val="00B025D9"/>
    <w:rsid w:val="00B0385C"/>
    <w:rsid w:val="00B10A9C"/>
    <w:rsid w:val="00B21B6C"/>
    <w:rsid w:val="00B23D7D"/>
    <w:rsid w:val="00B433D8"/>
    <w:rsid w:val="00B47730"/>
    <w:rsid w:val="00B642B2"/>
    <w:rsid w:val="00B772D2"/>
    <w:rsid w:val="00B94173"/>
    <w:rsid w:val="00B96E7E"/>
    <w:rsid w:val="00BA03C5"/>
    <w:rsid w:val="00BA3762"/>
    <w:rsid w:val="00BA3AD4"/>
    <w:rsid w:val="00BD32AE"/>
    <w:rsid w:val="00BF3C46"/>
    <w:rsid w:val="00C2240F"/>
    <w:rsid w:val="00C22D1C"/>
    <w:rsid w:val="00C253C3"/>
    <w:rsid w:val="00C2680D"/>
    <w:rsid w:val="00C33CAA"/>
    <w:rsid w:val="00C41966"/>
    <w:rsid w:val="00C535DB"/>
    <w:rsid w:val="00C57C39"/>
    <w:rsid w:val="00C605BF"/>
    <w:rsid w:val="00C752C2"/>
    <w:rsid w:val="00C94F54"/>
    <w:rsid w:val="00CA51EA"/>
    <w:rsid w:val="00CB0664"/>
    <w:rsid w:val="00CB6AF6"/>
    <w:rsid w:val="00CC3283"/>
    <w:rsid w:val="00CD1EDC"/>
    <w:rsid w:val="00CD564E"/>
    <w:rsid w:val="00D00873"/>
    <w:rsid w:val="00D1185E"/>
    <w:rsid w:val="00D12177"/>
    <w:rsid w:val="00D25BA0"/>
    <w:rsid w:val="00D5276B"/>
    <w:rsid w:val="00D774E1"/>
    <w:rsid w:val="00D92850"/>
    <w:rsid w:val="00DA53B5"/>
    <w:rsid w:val="00DB0424"/>
    <w:rsid w:val="00DD14D0"/>
    <w:rsid w:val="00DE5E26"/>
    <w:rsid w:val="00E045F6"/>
    <w:rsid w:val="00E04F2D"/>
    <w:rsid w:val="00E10E01"/>
    <w:rsid w:val="00E21DEE"/>
    <w:rsid w:val="00E236C7"/>
    <w:rsid w:val="00E526DB"/>
    <w:rsid w:val="00E55D51"/>
    <w:rsid w:val="00E81AB8"/>
    <w:rsid w:val="00E8423E"/>
    <w:rsid w:val="00EA4E73"/>
    <w:rsid w:val="00EB0F21"/>
    <w:rsid w:val="00EB6161"/>
    <w:rsid w:val="00F069C4"/>
    <w:rsid w:val="00F125DC"/>
    <w:rsid w:val="00F377C8"/>
    <w:rsid w:val="00F534C7"/>
    <w:rsid w:val="00F6207A"/>
    <w:rsid w:val="00F858A7"/>
    <w:rsid w:val="00FA2085"/>
    <w:rsid w:val="00FC49A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68BE8A"/>
  <w14:defaultImageDpi w14:val="300"/>
  <w15:docId w15:val="{C0C2A9BF-36AE-2C43-B31E-27EAF0B64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Normal"/>
    <w:rsid w:val="00772A2C"/>
    <w:pPr>
      <w:spacing w:before="100" w:beforeAutospacing="1" w:after="100" w:afterAutospacing="1" w:line="240" w:lineRule="auto"/>
    </w:pPr>
    <w:rPr>
      <w:rFonts w:ascii="Times New Roman" w:hAnsi="Times New Roman" w:cs="Times New Roman"/>
      <w:sz w:val="24"/>
      <w:szCs w:val="24"/>
      <w:lang w:val="en-GB" w:eastAsia="en-GB"/>
    </w:rPr>
  </w:style>
  <w:style w:type="character" w:customStyle="1" w:styleId="s1">
    <w:name w:val="s1"/>
    <w:basedOn w:val="DefaultParagraphFont"/>
    <w:rsid w:val="00772A2C"/>
  </w:style>
  <w:style w:type="paragraph" w:customStyle="1" w:styleId="p2">
    <w:name w:val="p2"/>
    <w:basedOn w:val="Normal"/>
    <w:rsid w:val="00772A2C"/>
    <w:pPr>
      <w:spacing w:before="100" w:beforeAutospacing="1" w:after="100" w:afterAutospacing="1" w:line="240" w:lineRule="auto"/>
    </w:pPr>
    <w:rPr>
      <w:rFonts w:ascii="Times New Roman" w:hAnsi="Times New Roman" w:cs="Times New Roman"/>
      <w:sz w:val="24"/>
      <w:szCs w:val="24"/>
      <w:lang w:val="en-GB" w:eastAsia="en-GB"/>
    </w:rPr>
  </w:style>
  <w:style w:type="character" w:customStyle="1" w:styleId="s2">
    <w:name w:val="s2"/>
    <w:basedOn w:val="DefaultParagraphFont"/>
    <w:rsid w:val="00772A2C"/>
  </w:style>
  <w:style w:type="paragraph" w:customStyle="1" w:styleId="p3">
    <w:name w:val="p3"/>
    <w:basedOn w:val="Normal"/>
    <w:rsid w:val="00772A2C"/>
    <w:pPr>
      <w:spacing w:before="100" w:beforeAutospacing="1" w:after="100" w:afterAutospacing="1" w:line="240" w:lineRule="auto"/>
    </w:pPr>
    <w:rPr>
      <w:rFonts w:ascii="Times New Roman" w:hAnsi="Times New Roman" w:cs="Times New Roman"/>
      <w:sz w:val="24"/>
      <w:szCs w:val="24"/>
      <w:lang w:val="en-GB" w:eastAsia="en-GB"/>
    </w:rPr>
  </w:style>
  <w:style w:type="character" w:customStyle="1" w:styleId="s3">
    <w:name w:val="s3"/>
    <w:basedOn w:val="DefaultParagraphFont"/>
    <w:rsid w:val="00772A2C"/>
  </w:style>
  <w:style w:type="character" w:customStyle="1" w:styleId="s4">
    <w:name w:val="s4"/>
    <w:basedOn w:val="DefaultParagraphFont"/>
    <w:rsid w:val="00772A2C"/>
  </w:style>
  <w:style w:type="character" w:styleId="PageNumber">
    <w:name w:val="page number"/>
    <w:basedOn w:val="DefaultParagraphFont"/>
    <w:uiPriority w:val="99"/>
    <w:semiHidden/>
    <w:unhideWhenUsed/>
    <w:rsid w:val="00CC3283"/>
  </w:style>
  <w:style w:type="paragraph" w:styleId="FootnoteText">
    <w:name w:val="footnote text"/>
    <w:basedOn w:val="Normal"/>
    <w:link w:val="FootnoteTextChar"/>
    <w:uiPriority w:val="99"/>
    <w:semiHidden/>
    <w:unhideWhenUsed/>
    <w:rsid w:val="00904FB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4FBF"/>
    <w:rPr>
      <w:sz w:val="20"/>
      <w:szCs w:val="20"/>
    </w:rPr>
  </w:style>
  <w:style w:type="character" w:styleId="FootnoteReference">
    <w:name w:val="footnote reference"/>
    <w:basedOn w:val="DefaultParagraphFont"/>
    <w:uiPriority w:val="99"/>
    <w:semiHidden/>
    <w:unhideWhenUsed/>
    <w:rsid w:val="00904FBF"/>
    <w:rPr>
      <w:vertAlign w:val="superscript"/>
    </w:rPr>
  </w:style>
  <w:style w:type="paragraph" w:styleId="EndnoteText">
    <w:name w:val="endnote text"/>
    <w:basedOn w:val="Normal"/>
    <w:link w:val="EndnoteTextChar"/>
    <w:uiPriority w:val="99"/>
    <w:semiHidden/>
    <w:unhideWhenUsed/>
    <w:rsid w:val="00542C5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2C53"/>
    <w:rPr>
      <w:sz w:val="20"/>
      <w:szCs w:val="20"/>
    </w:rPr>
  </w:style>
  <w:style w:type="character" w:styleId="EndnoteReference">
    <w:name w:val="endnote reference"/>
    <w:basedOn w:val="DefaultParagraphFont"/>
    <w:uiPriority w:val="99"/>
    <w:semiHidden/>
    <w:unhideWhenUsed/>
    <w:rsid w:val="00542C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2249</TotalTime>
  <Pages>9</Pages>
  <Words>2203</Words>
  <Characters>12560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14734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Callum Carter (2404122)</cp:lastModifiedBy>
  <cp:revision>214</cp:revision>
  <dcterms:created xsi:type="dcterms:W3CDTF">2025-12-12T09:00:00Z</dcterms:created>
  <dcterms:modified xsi:type="dcterms:W3CDTF">2026-05-07T19:59:00Z</dcterms:modified>
  <cp:category/>
</cp:coreProperties>
</file>