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82068" w:rsidP="70DAB1D0" w:rsidRDefault="4DBDB1D9" w14:paraId="2D456A36" w14:textId="7961007B">
      <w:pPr>
        <w:pStyle w:val="TOCHeading"/>
        <w:rPr>
          <w:rFonts w:ascii="Times New Roman" w:hAnsi="Times New Roman" w:eastAsia="Times New Roman" w:cs="Times New Roman"/>
          <w:b/>
          <w:bCs/>
          <w:color w:val="auto"/>
        </w:rPr>
      </w:pPr>
      <w:r w:rsidRPr="70DAB1D0">
        <w:rPr>
          <w:rFonts w:ascii="Times New Roman" w:hAnsi="Times New Roman" w:eastAsia="Times New Roman" w:cs="Times New Roman"/>
          <w:b/>
          <w:bCs/>
          <w:color w:val="auto"/>
        </w:rPr>
        <w:t>NAME: U</w:t>
      </w:r>
      <w:r w:rsidRPr="70DAB1D0" w:rsidR="6E77304F">
        <w:rPr>
          <w:rFonts w:ascii="Times New Roman" w:hAnsi="Times New Roman" w:eastAsia="Times New Roman" w:cs="Times New Roman"/>
          <w:b/>
          <w:bCs/>
          <w:color w:val="auto"/>
        </w:rPr>
        <w:t>zma Muhammad</w:t>
      </w:r>
    </w:p>
    <w:p w:rsidR="4DBDB1D9" w:rsidP="70DAB1D0" w:rsidRDefault="4DBDB1D9" w14:paraId="532DDBBD" w14:textId="07D62135">
      <w:pPr>
        <w:rPr>
          <w:rFonts w:eastAsia="Times New Roman" w:cs="Times New Roman"/>
          <w:b/>
          <w:bCs/>
          <w:color w:val="auto"/>
          <w:sz w:val="32"/>
          <w:szCs w:val="32"/>
        </w:rPr>
      </w:pPr>
      <w:r w:rsidRPr="70DAB1D0">
        <w:rPr>
          <w:rFonts w:eastAsia="Times New Roman" w:cs="Times New Roman"/>
          <w:b/>
          <w:bCs/>
          <w:color w:val="auto"/>
          <w:sz w:val="32"/>
          <w:szCs w:val="32"/>
        </w:rPr>
        <w:t>STUDENT NO: 2406912</w:t>
      </w:r>
    </w:p>
    <w:p w:rsidR="5B12F093" w:rsidP="70DAB1D0" w:rsidRDefault="5B12F093" w14:paraId="3EB11F23" w14:textId="5ACB0DD4">
      <w:pPr>
        <w:rPr>
          <w:rFonts w:eastAsia="Times New Roman" w:cs="Times New Roman"/>
          <w:b/>
          <w:bCs/>
          <w:color w:val="auto"/>
          <w:sz w:val="32"/>
          <w:szCs w:val="32"/>
        </w:rPr>
      </w:pPr>
      <w:r w:rsidRPr="70DAB1D0">
        <w:rPr>
          <w:rFonts w:eastAsia="Times New Roman" w:cs="Times New Roman"/>
          <w:b/>
          <w:bCs/>
          <w:color w:val="auto"/>
          <w:sz w:val="32"/>
          <w:szCs w:val="32"/>
        </w:rPr>
        <w:t>MODULE: principles of health and social care</w:t>
      </w:r>
      <w:r w:rsidRPr="70DAB1D0" w:rsidR="6A1DA16A">
        <w:rPr>
          <w:rFonts w:eastAsia="Times New Roman" w:cs="Times New Roman"/>
          <w:b/>
          <w:bCs/>
          <w:color w:val="auto"/>
          <w:sz w:val="32"/>
          <w:szCs w:val="32"/>
        </w:rPr>
        <w:t xml:space="preserve"> practice</w:t>
      </w:r>
    </w:p>
    <w:p w:rsidR="6A1DA16A" w:rsidP="70DAB1D0" w:rsidRDefault="6A1DA16A" w14:paraId="786463F7" w14:textId="52A3F0E5">
      <w:pPr>
        <w:rPr>
          <w:rFonts w:eastAsia="Times New Roman" w:cs="Times New Roman"/>
          <w:b/>
          <w:bCs/>
          <w:color w:val="auto"/>
          <w:sz w:val="32"/>
          <w:szCs w:val="32"/>
        </w:rPr>
      </w:pPr>
      <w:r w:rsidRPr="70DAB1D0">
        <w:rPr>
          <w:rFonts w:eastAsia="Times New Roman" w:cs="Times New Roman"/>
          <w:b/>
          <w:bCs/>
          <w:color w:val="auto"/>
          <w:sz w:val="32"/>
          <w:szCs w:val="32"/>
        </w:rPr>
        <w:t>MODULE CODE: BMHP5016</w:t>
      </w:r>
    </w:p>
    <w:p w:rsidR="6A1DA16A" w:rsidP="70DAB1D0" w:rsidRDefault="6A1DA16A" w14:paraId="6A211701" w14:textId="687718CA">
      <w:pPr>
        <w:rPr>
          <w:rFonts w:eastAsia="Times New Roman" w:cs="Times New Roman"/>
          <w:b/>
          <w:bCs/>
          <w:color w:val="auto"/>
          <w:sz w:val="32"/>
          <w:szCs w:val="32"/>
        </w:rPr>
      </w:pPr>
      <w:r w:rsidRPr="70DAB1D0">
        <w:rPr>
          <w:rFonts w:eastAsia="Times New Roman" w:cs="Times New Roman"/>
          <w:b/>
          <w:bCs/>
          <w:color w:val="auto"/>
          <w:sz w:val="32"/>
          <w:szCs w:val="32"/>
        </w:rPr>
        <w:t xml:space="preserve">LECTURER: </w:t>
      </w:r>
      <w:r w:rsidRPr="70DAB1D0" w:rsidR="6A9E1A64">
        <w:rPr>
          <w:rFonts w:eastAsia="Times New Roman" w:cs="Times New Roman"/>
          <w:b/>
          <w:bCs/>
          <w:color w:val="auto"/>
          <w:sz w:val="32"/>
          <w:szCs w:val="32"/>
        </w:rPr>
        <w:t>F</w:t>
      </w:r>
      <w:r w:rsidRPr="70DAB1D0" w:rsidR="7EDD5021">
        <w:rPr>
          <w:rFonts w:eastAsia="Times New Roman" w:cs="Times New Roman"/>
          <w:b/>
          <w:bCs/>
          <w:color w:val="auto"/>
          <w:sz w:val="32"/>
          <w:szCs w:val="32"/>
        </w:rPr>
        <w:t>arah Islam</w:t>
      </w:r>
    </w:p>
    <w:p w:rsidR="00982068" w:rsidP="00982068" w:rsidRDefault="00982068" w14:paraId="5B0876AD" w14:textId="77777777">
      <w:pPr>
        <w:rPr>
          <w:lang w:val="en-US"/>
        </w:rPr>
      </w:pPr>
    </w:p>
    <w:p w:rsidR="00982068" w:rsidP="00982068" w:rsidRDefault="00982068" w14:paraId="6EBDBB9D" w14:textId="77777777">
      <w:pPr>
        <w:rPr>
          <w:lang w:val="en-US"/>
        </w:rPr>
      </w:pPr>
    </w:p>
    <w:p w:rsidR="00982068" w:rsidP="00982068" w:rsidRDefault="00982068" w14:paraId="7FD35E08" w14:textId="77777777">
      <w:pPr>
        <w:rPr>
          <w:lang w:val="en-US"/>
        </w:rPr>
      </w:pPr>
    </w:p>
    <w:p w:rsidR="00982068" w:rsidP="00982068" w:rsidRDefault="00982068" w14:paraId="6ACB5D9A" w14:textId="77777777">
      <w:pPr>
        <w:rPr>
          <w:lang w:val="en-US"/>
        </w:rPr>
      </w:pPr>
    </w:p>
    <w:p w:rsidR="00982068" w:rsidP="00982068" w:rsidRDefault="00982068" w14:paraId="16D2D129" w14:textId="77777777">
      <w:pPr>
        <w:rPr>
          <w:lang w:val="en-US"/>
        </w:rPr>
      </w:pPr>
    </w:p>
    <w:p w:rsidR="00982068" w:rsidP="00982068" w:rsidRDefault="00982068" w14:paraId="30AEE13F" w14:textId="77777777">
      <w:pPr>
        <w:rPr>
          <w:lang w:val="en-US"/>
        </w:rPr>
      </w:pPr>
    </w:p>
    <w:p w:rsidR="00982068" w:rsidP="00982068" w:rsidRDefault="00982068" w14:paraId="4003EF13" w14:textId="77777777">
      <w:pPr>
        <w:rPr>
          <w:lang w:val="en-US"/>
        </w:rPr>
      </w:pPr>
    </w:p>
    <w:p w:rsidR="00982068" w:rsidP="00982068" w:rsidRDefault="00982068" w14:paraId="71F786CA" w14:textId="77777777">
      <w:pPr>
        <w:rPr>
          <w:lang w:val="en-US"/>
        </w:rPr>
      </w:pPr>
    </w:p>
    <w:p w:rsidR="00982068" w:rsidP="00982068" w:rsidRDefault="00982068" w14:paraId="3FFAD9E3" w14:textId="77777777">
      <w:pPr>
        <w:rPr>
          <w:lang w:val="en-US"/>
        </w:rPr>
      </w:pPr>
    </w:p>
    <w:p w:rsidR="00982068" w:rsidP="00982068" w:rsidRDefault="00982068" w14:paraId="15859F87" w14:textId="77777777">
      <w:pPr>
        <w:rPr>
          <w:lang w:val="en-US"/>
        </w:rPr>
      </w:pPr>
    </w:p>
    <w:p w:rsidR="00982068" w:rsidP="00982068" w:rsidRDefault="00982068" w14:paraId="4245AB26" w14:textId="77777777">
      <w:pPr>
        <w:rPr>
          <w:lang w:val="en-US"/>
        </w:rPr>
      </w:pPr>
    </w:p>
    <w:p w:rsidR="00982068" w:rsidP="00982068" w:rsidRDefault="00982068" w14:paraId="05C3B7FC" w14:textId="77777777">
      <w:pPr>
        <w:rPr>
          <w:lang w:val="en-US"/>
        </w:rPr>
      </w:pPr>
    </w:p>
    <w:p w:rsidR="00982068" w:rsidP="00982068" w:rsidRDefault="00982068" w14:paraId="4075F698" w14:textId="77777777">
      <w:pPr>
        <w:rPr>
          <w:lang w:val="en-US"/>
        </w:rPr>
      </w:pPr>
    </w:p>
    <w:p w:rsidR="00982068" w:rsidP="00982068" w:rsidRDefault="00982068" w14:paraId="0881F9F7" w14:textId="77777777">
      <w:pPr>
        <w:rPr>
          <w:lang w:val="en-US"/>
        </w:rPr>
      </w:pPr>
    </w:p>
    <w:p w:rsidR="00982068" w:rsidP="00982068" w:rsidRDefault="00982068" w14:paraId="7D5F3CE9" w14:textId="77777777">
      <w:pPr>
        <w:rPr>
          <w:lang w:val="en-US"/>
        </w:rPr>
      </w:pPr>
    </w:p>
    <w:p w:rsidR="00982068" w:rsidP="00982068" w:rsidRDefault="00982068" w14:paraId="49B0C216" w14:textId="77777777">
      <w:pPr>
        <w:rPr>
          <w:lang w:val="en-US"/>
        </w:rPr>
      </w:pPr>
    </w:p>
    <w:p w:rsidR="00982068" w:rsidP="00982068" w:rsidRDefault="00982068" w14:paraId="1D12A12F" w14:textId="77777777">
      <w:pPr>
        <w:rPr>
          <w:lang w:val="en-US"/>
        </w:rPr>
      </w:pPr>
    </w:p>
    <w:p w:rsidR="00982068" w:rsidP="00982068" w:rsidRDefault="00982068" w14:paraId="6EBE3DB8" w14:textId="77777777">
      <w:pPr>
        <w:rPr>
          <w:lang w:val="en-US"/>
        </w:rPr>
      </w:pPr>
    </w:p>
    <w:p w:rsidR="00982068" w:rsidP="00982068" w:rsidRDefault="00982068" w14:paraId="1352BE26" w14:textId="77777777">
      <w:pPr>
        <w:rPr>
          <w:lang w:val="en-US"/>
        </w:rPr>
      </w:pPr>
    </w:p>
    <w:p w:rsidR="00982068" w:rsidP="00982068" w:rsidRDefault="00982068" w14:paraId="6855667C" w14:textId="77777777">
      <w:pPr>
        <w:rPr>
          <w:lang w:val="en-US"/>
        </w:rPr>
      </w:pPr>
    </w:p>
    <w:p w:rsidRPr="00982068" w:rsidR="00982068" w:rsidP="00982068" w:rsidRDefault="00982068" w14:paraId="2F49831B" w14:textId="77777777">
      <w:pPr>
        <w:rPr>
          <w:lang w:val="en-US"/>
        </w:rPr>
      </w:pPr>
    </w:p>
    <w:p w:rsidRPr="00E36FCE" w:rsidR="00E36FCE" w:rsidP="00E36FCE" w:rsidRDefault="00E36FCE" w14:paraId="1550A242" w14:textId="77777777">
      <w:pPr>
        <w:pStyle w:val="Heading1"/>
      </w:pPr>
      <w:r>
        <w:t>Introduction</w:t>
      </w:r>
    </w:p>
    <w:p w:rsidRPr="00E36FCE" w:rsidR="00E36FCE" w:rsidP="3B335F14" w:rsidRDefault="00E36FCE" w14:paraId="516D85C2" w14:textId="77777777" w14:noSpellErr="1">
      <w:pPr>
        <w:pStyle w:val="Heading2"/>
        <w:numPr>
          <w:ilvl w:val="0"/>
          <w:numId w:val="0"/>
        </w:numPr>
        <w:ind w:left="0"/>
      </w:pPr>
      <w:r w:rsidR="00E36FCE">
        <w:rPr/>
        <w:t>Focus and purpose</w:t>
      </w:r>
    </w:p>
    <w:p w:rsidRPr="00E36FCE" w:rsidR="00E36FCE" w:rsidP="00E36FCE" w:rsidRDefault="00E36FCE" w14:paraId="71B13DC3" w14:textId="232D11C6">
      <w:pPr>
        <w:rPr>
          <w:lang w:val="en-US"/>
        </w:rPr>
      </w:pPr>
      <w:r w:rsidRPr="3B335F14" w:rsidR="00E36FCE">
        <w:rPr>
          <w:lang w:val="en-US"/>
        </w:rPr>
        <w:t>This report critically examines how person-</w:t>
      </w:r>
      <w:r w:rsidRPr="3B335F14" w:rsidR="0695207F">
        <w:rPr>
          <w:lang w:val="en-US"/>
        </w:rPr>
        <w:t>centered</w:t>
      </w:r>
      <w:r w:rsidRPr="3B335F14" w:rsidR="00E36FCE">
        <w:rPr>
          <w:lang w:val="en-US"/>
        </w:rPr>
        <w:t xml:space="preserve"> care, partnership working, and ethics </w:t>
      </w:r>
      <w:r w:rsidRPr="3B335F14" w:rsidR="00E36FCE">
        <w:rPr>
          <w:lang w:val="en-US"/>
        </w:rPr>
        <w:t>operate</w:t>
      </w:r>
      <w:r w:rsidRPr="3B335F14" w:rsidR="00E36FCE">
        <w:rPr>
          <w:lang w:val="en-US"/>
        </w:rPr>
        <w:t xml:space="preserve"> within UK health and social care, testing the assumption that they reliably improve outcomes, safety, and efficiency. It interrogates tensions between policy intention and implementation barriers such as capacity, interoperable data, and equity, and weighs mixed empirical evidence on enablers like shared decision-making and social prescribing against claims of universal benefit (NICE, 2021; </w:t>
      </w:r>
      <w:r w:rsidRPr="3B335F14" w:rsidR="00E36FCE">
        <w:rPr>
          <w:lang w:val="en-US"/>
        </w:rPr>
        <w:t>Bickerdike</w:t>
      </w:r>
      <w:r w:rsidRPr="3B335F14" w:rsidR="00E36FCE">
        <w:rPr>
          <w:lang w:val="en-US"/>
        </w:rPr>
        <w:t xml:space="preserve"> et al., 2017; The King’s Fund, 2022). </w:t>
      </w:r>
    </w:p>
    <w:p w:rsidRPr="00E36FCE" w:rsidR="00E36FCE" w:rsidP="3B335F14" w:rsidRDefault="00E36FCE" w14:paraId="379B5D53" w14:textId="77777777" w14:noSpellErr="1">
      <w:pPr>
        <w:pStyle w:val="Heading2"/>
        <w:numPr>
          <w:ilvl w:val="0"/>
          <w:numId w:val="0"/>
        </w:numPr>
        <w:ind w:left="0"/>
      </w:pPr>
      <w:r w:rsidR="00E36FCE">
        <w:rPr/>
        <w:t>Case signal</w:t>
      </w:r>
    </w:p>
    <w:p w:rsidRPr="00E36FCE" w:rsidR="00E36FCE" w:rsidP="00E36FCE" w:rsidRDefault="00E36FCE" w14:paraId="5E57F9D0" w14:textId="4E6745E3">
      <w:pPr>
        <w:rPr>
          <w:lang w:val="en-US"/>
        </w:rPr>
      </w:pPr>
      <w:r w:rsidRPr="3B335F14" w:rsidR="00E36FCE">
        <w:rPr>
          <w:lang w:val="en-US"/>
        </w:rPr>
        <w:t xml:space="preserve">Task 2 applies these principles to </w:t>
      </w:r>
      <w:r w:rsidRPr="3B335F14" w:rsidR="31076860">
        <w:rPr>
          <w:lang w:val="en-US"/>
        </w:rPr>
        <w:t>Mrs.</w:t>
      </w:r>
      <w:r w:rsidRPr="3B335F14" w:rsidR="00E36FCE">
        <w:rPr>
          <w:lang w:val="en-US"/>
        </w:rPr>
        <w:t xml:space="preserve"> C, triangulating the case with national guidance to avoid single-case confirmation bias. The analysis will test plausibility and limits of </w:t>
      </w:r>
      <w:r w:rsidRPr="3B335F14" w:rsidR="00E36FCE">
        <w:rPr>
          <w:lang w:val="en-US"/>
        </w:rPr>
        <w:t>personalised</w:t>
      </w:r>
      <w:r w:rsidRPr="3B335F14" w:rsidR="00E36FCE">
        <w:rPr>
          <w:lang w:val="en-US"/>
        </w:rPr>
        <w:t xml:space="preserve"> care components—PCSPs, PHBs, SDM, and COPD management—against NICE COPD guidance and NHS SDM resources to surface contradictions, boundary conditions, and </w:t>
      </w:r>
      <w:r w:rsidRPr="3B335F14" w:rsidR="00E36FCE">
        <w:rPr>
          <w:lang w:val="en-US"/>
        </w:rPr>
        <w:t>generalisability</w:t>
      </w:r>
      <w:r w:rsidRPr="3B335F14" w:rsidR="00E36FCE">
        <w:rPr>
          <w:lang w:val="en-US"/>
        </w:rPr>
        <w:t xml:space="preserve">. (NHS England, 2019; NICE, 2019; NHS England, 2022). </w:t>
      </w:r>
    </w:p>
    <w:p w:rsidRPr="00E36FCE" w:rsidR="00E36FCE" w:rsidP="00E36FCE" w:rsidRDefault="00E36FCE" w14:paraId="70179765" w14:textId="77777777">
      <w:pPr>
        <w:pStyle w:val="Heading1"/>
      </w:pPr>
      <w:r>
        <w:t>Task 1 — Reflection on the Importance of Principles</w:t>
      </w:r>
    </w:p>
    <w:p w:rsidRPr="00E36FCE" w:rsidR="00E36FCE" w:rsidP="3B335F14" w:rsidRDefault="00E36FCE" w14:paraId="5418010A" w14:textId="77777777" w14:noSpellErr="1">
      <w:pPr>
        <w:pStyle w:val="Heading2"/>
        <w:numPr>
          <w:ilvl w:val="0"/>
          <w:numId w:val="0"/>
        </w:numPr>
        <w:ind w:left="0"/>
      </w:pPr>
      <w:r w:rsidR="00E36FCE">
        <w:rPr/>
        <w:t>Definitions in UK context</w:t>
      </w:r>
    </w:p>
    <w:p w:rsidRPr="00E36FCE" w:rsidR="00E36FCE" w:rsidP="00E36FCE" w:rsidRDefault="00CD64F1" w14:paraId="37ECC682" w14:textId="1204C83E">
      <w:pPr>
        <w:rPr>
          <w:lang w:val="en-US"/>
        </w:rPr>
      </w:pPr>
      <w:r w:rsidRPr="70DAB1D0">
        <w:rPr>
          <w:lang w:val="en-US"/>
        </w:rPr>
        <w:t>Person-</w:t>
      </w:r>
      <w:r w:rsidRPr="70DAB1D0" w:rsidR="18A8A8F8">
        <w:rPr>
          <w:lang w:val="en-US"/>
        </w:rPr>
        <w:t>centered</w:t>
      </w:r>
      <w:r w:rsidRPr="70DAB1D0">
        <w:rPr>
          <w:lang w:val="en-US"/>
        </w:rPr>
        <w:t xml:space="preserve"> care refers to the care that is consistent with the preferences, values and goals of a person, provided in the framework of shared decisions and individual care and support planning as required by the CQC Regulation 9 and realized by NICE NG197 (CQC, 2025; NICE, 2021). Partnership working is defined as inter-agency working, coordinated multi-disciplinary collaboration with legal information-sharing as a method to plan and provide jointed-up care through ICS structures (The King’s Fund, 2022). Ethics in care incorporates autonomy, beneficence, non-maleficence and justice into statutory professional codes on consent, dignity and shared decisions (HCPC, 2024; GMC, 2024). Key assumptions are to be questioned: that individuals have, or can be enabled to have, decision making capacity, and equitable offers (NICE, 2021), and that partners are able to share data proportionately under the UK GDPR without cultural or technical impediments (ICO, 2021). In practice (e.g., Mrs C), these premises may be stretched by the varying capacity, the presence of </w:t>
      </w:r>
      <w:r w:rsidRPr="70DAB1D0" w:rsidR="0F39AD2A">
        <w:rPr>
          <w:lang w:val="en-US"/>
        </w:rPr>
        <w:t>carers,</w:t>
      </w:r>
      <w:r w:rsidRPr="70DAB1D0">
        <w:rPr>
          <w:lang w:val="en-US"/>
        </w:rPr>
        <w:t xml:space="preserve"> and digital accessibility</w:t>
      </w:r>
      <w:r w:rsidRPr="70DAB1D0" w:rsidR="00E36FCE">
        <w:rPr>
          <w:lang w:val="en-US"/>
        </w:rPr>
        <w:t>.</w:t>
      </w:r>
    </w:p>
    <w:p w:rsidRPr="00E36FCE" w:rsidR="00E36FCE" w:rsidP="3B335F14" w:rsidRDefault="00E36FCE" w14:paraId="118835F5" w14:textId="77777777" w14:noSpellErr="1">
      <w:pPr>
        <w:pStyle w:val="Heading2"/>
        <w:numPr>
          <w:ilvl w:val="0"/>
          <w:numId w:val="0"/>
        </w:numPr>
        <w:ind w:left="0"/>
      </w:pPr>
      <w:r w:rsidR="00E36FCE">
        <w:rPr/>
        <w:t>Significance for quality and safety</w:t>
      </w:r>
    </w:p>
    <w:p w:rsidRPr="00E36FCE" w:rsidR="00E36FCE" w:rsidP="00E36FCE" w:rsidRDefault="00E36FCE" w14:paraId="318AAB7B" w14:textId="1FF7F327">
      <w:pPr>
        <w:rPr>
          <w:lang w:val="en-US"/>
        </w:rPr>
      </w:pPr>
      <w:r w:rsidRPr="3B335F14" w:rsidR="00E36FCE">
        <w:rPr>
          <w:lang w:val="en-US"/>
        </w:rPr>
        <w:t>When enacted well, the principles are associated with measurable gains. Higher patient activation—a proxy for supported self-management and person-</w:t>
      </w:r>
      <w:r w:rsidRPr="3B335F14" w:rsidR="47C17BC5">
        <w:rPr>
          <w:lang w:val="en-US"/>
        </w:rPr>
        <w:t>centered</w:t>
      </w:r>
      <w:r w:rsidRPr="3B335F14" w:rsidR="00E36FCE">
        <w:rPr>
          <w:lang w:val="en-US"/>
        </w:rPr>
        <w:t xml:space="preserve"> practice—correlates with fewer urgent contacts: a 10-point PAM increase was associated with 1.4% lower A&amp;E attendance and 0.4% lower emergency admissions in an English cohort of 15,877 adults (Bu and </w:t>
      </w:r>
      <w:r w:rsidRPr="3B335F14" w:rsidR="00E36FCE">
        <w:rPr>
          <w:lang w:val="en-US"/>
        </w:rPr>
        <w:t>Fancourt</w:t>
      </w:r>
      <w:r w:rsidRPr="3B335F14" w:rsidR="00E36FCE">
        <w:rPr>
          <w:lang w:val="en-US"/>
        </w:rPr>
        <w:t xml:space="preserve">, 2021). Multidisciplinary care can reduce readmissions (RR 0.64) and shorten length of stay by a mean 1.22 days, albeit with low-to-very-low certainty evidence—highlighting benefit amidst methodological limits (NICE, 2018). Decision aids within shared decision-making improve knowledge, risk </w:t>
      </w:r>
      <w:r w:rsidRPr="3B335F14" w:rsidR="00E36FCE">
        <w:rPr>
          <w:lang w:val="en-US"/>
        </w:rPr>
        <w:t>comprehension</w:t>
      </w:r>
      <w:r w:rsidRPr="3B335F14" w:rsidR="00E36FCE">
        <w:rPr>
          <w:lang w:val="en-US"/>
        </w:rPr>
        <w:t xml:space="preserve"> and reduce unwanted interventions across &gt;200 trials, improving experience metrics (Stacey et al., 2024). Safety is further reinforced by patient-led escalation initiatives (e.g., Martha’s Rule roll-out) (CQC, 2024/25).</w:t>
      </w:r>
    </w:p>
    <w:p w:rsidRPr="00E36FCE" w:rsidR="00E36FCE" w:rsidP="3B335F14" w:rsidRDefault="00E36FCE" w14:paraId="2FE15F5B" w14:textId="77777777" w14:noSpellErr="1">
      <w:pPr>
        <w:pStyle w:val="Heading2"/>
        <w:numPr>
          <w:ilvl w:val="0"/>
          <w:numId w:val="0"/>
        </w:numPr>
        <w:ind w:left="0"/>
      </w:pPr>
      <w:r w:rsidR="00E36FCE">
        <w:rPr/>
        <w:t>Benefits and challenges in implementation</w:t>
      </w:r>
    </w:p>
    <w:p w:rsidRPr="00E36FCE" w:rsidR="00E36FCE" w:rsidP="00E36FCE" w:rsidRDefault="00CD64F1" w14:paraId="7413FF72" w14:textId="77777777">
      <w:pPr>
        <w:rPr>
          <w:lang w:val="en-US"/>
        </w:rPr>
      </w:pPr>
      <w:r w:rsidRPr="00CD64F1">
        <w:rPr>
          <w:lang w:val="en-US"/>
        </w:rPr>
        <w:t xml:space="preserve">Advantages involve higher activation and confidence, downstream decreases in unnecessary </w:t>
      </w:r>
      <w:proofErr w:type="spellStart"/>
      <w:r w:rsidRPr="00CD64F1">
        <w:rPr>
          <w:lang w:val="en-US"/>
        </w:rPr>
        <w:t>utilisation</w:t>
      </w:r>
      <w:proofErr w:type="spellEnd"/>
      <w:r w:rsidRPr="00CD64F1">
        <w:rPr>
          <w:lang w:val="en-US"/>
        </w:rPr>
        <w:t xml:space="preserve"> (Bu and </w:t>
      </w:r>
      <w:proofErr w:type="spellStart"/>
      <w:r w:rsidRPr="00CD64F1">
        <w:rPr>
          <w:lang w:val="en-US"/>
        </w:rPr>
        <w:t>Fancourt</w:t>
      </w:r>
      <w:proofErr w:type="spellEnd"/>
      <w:r w:rsidRPr="00CD64F1">
        <w:rPr>
          <w:lang w:val="en-US"/>
        </w:rPr>
        <w:t>, 2021), enhanced anticipatory end-of-life planning, and enhanced morale where there is a common goal in the team. Scalable supported self-management is being implemented with digital self-management tools to manage COPD as part of NICE early-value assessment (NICE, 2024). Yet delivery gaps persist. The capacity to work and role clarity in ICSs are dynamic; the objectives of integration may be undermined by financial constraints and governance heterogeneity (The King’s Fund, 2022). Partnership is hindered by data-sharing reluctance, which can be both cultural and technical barriers to legal ones and can be facilitated by an enabling ICO Code (ICO, 2021). The risk of digital exclusion is inequity in respect of older or multi-morbid populations, and the protection of thresholds can be in conflict with the manifested preferences. Some trendy elements (e.g., social prescribing) have uneven evidence, and one should not be too certain to rhetorically overstate the matter: a systematic review reviewed the evidence base as too small and heterogeneous (</w:t>
      </w:r>
      <w:proofErr w:type="spellStart"/>
      <w:r w:rsidRPr="00CD64F1">
        <w:rPr>
          <w:lang w:val="en-US"/>
        </w:rPr>
        <w:t>Bickerdike</w:t>
      </w:r>
      <w:proofErr w:type="spellEnd"/>
      <w:r w:rsidRPr="00CD64F1">
        <w:rPr>
          <w:lang w:val="en-US"/>
        </w:rPr>
        <w:t xml:space="preserve"> et al., 2017). Perfunctory care plans unaccompanied by serious planning and allocation of resources run the danger of being ethically frus</w:t>
      </w:r>
      <w:r>
        <w:rPr>
          <w:lang w:val="en-US"/>
        </w:rPr>
        <w:t>trating and morally distressing</w:t>
      </w:r>
      <w:r w:rsidRPr="00E36FCE" w:rsidR="00E36FCE">
        <w:rPr>
          <w:lang w:val="en-US"/>
        </w:rPr>
        <w:t>.</w:t>
      </w:r>
    </w:p>
    <w:p w:rsidRPr="00E36FCE" w:rsidR="00E36FCE" w:rsidP="3B335F14" w:rsidRDefault="00E36FCE" w14:paraId="3E3BAD01" w14:textId="77777777" w14:noSpellErr="1">
      <w:pPr>
        <w:pStyle w:val="Heading2"/>
        <w:numPr>
          <w:ilvl w:val="0"/>
          <w:numId w:val="0"/>
        </w:numPr>
        <w:ind w:left="0"/>
      </w:pPr>
      <w:r w:rsidR="00E36FCE">
        <w:rPr/>
        <w:t xml:space="preserve">Theory–policy integration </w:t>
      </w:r>
    </w:p>
    <w:p w:rsidRPr="00E36FCE" w:rsidR="00E36FCE" w:rsidP="00E36FCE" w:rsidRDefault="00E36FCE" w14:paraId="1268CB1E" w14:textId="77777777">
      <w:pPr>
        <w:rPr>
          <w:lang w:val="en-US"/>
        </w:rPr>
      </w:pPr>
      <w:r w:rsidRPr="00E36FCE">
        <w:rPr>
          <w:lang w:val="en-US"/>
        </w:rPr>
        <w:t xml:space="preserve">Applied to COPD and metastatic lung cancer, Maslow’s hierarchy implies </w:t>
      </w:r>
      <w:proofErr w:type="spellStart"/>
      <w:r w:rsidRPr="00E36FCE">
        <w:rPr>
          <w:lang w:val="en-US"/>
        </w:rPr>
        <w:t>prioritising</w:t>
      </w:r>
      <w:proofErr w:type="spellEnd"/>
      <w:r w:rsidRPr="00E36FCE">
        <w:rPr>
          <w:lang w:val="en-US"/>
        </w:rPr>
        <w:t xml:space="preserve"> breathlessness, pain and safety before higher-order goals in planning. An ecological (Bronfenbrenner-informed) view frames influences from micro (home, </w:t>
      </w:r>
      <w:proofErr w:type="spellStart"/>
      <w:r w:rsidRPr="00E36FCE">
        <w:rPr>
          <w:lang w:val="en-US"/>
        </w:rPr>
        <w:t>carers</w:t>
      </w:r>
      <w:proofErr w:type="spellEnd"/>
      <w:r w:rsidRPr="00E36FCE">
        <w:rPr>
          <w:lang w:val="en-US"/>
        </w:rPr>
        <w:t>) to macro (ICS commissioning). Policy anchors are clear: the Care Act’s wellbeing duty (via CQC standards), the Health and Care Act 2022 integration aims, NICE guidance (NG115; NG197), and professional codes. Measurable levers include local ACP documentation targets and monitoring PHB uptake (182,360 people by March 2025) (CQC, 2025; The King’s Fund, 2022; NICE, 2019; NHS England Digital, 2025).</w:t>
      </w:r>
    </w:p>
    <w:p w:rsidRPr="00E36FCE" w:rsidR="00E36FCE" w:rsidP="00E36FCE" w:rsidRDefault="00E36FCE" w14:paraId="594509E0" w14:textId="656000BF">
      <w:pPr>
        <w:pStyle w:val="Heading1"/>
      </w:pPr>
      <w:r>
        <w:t xml:space="preserve">Task 2 — Practical Example in Practice: </w:t>
      </w:r>
      <w:r w:rsidR="14DF99A1">
        <w:t>Mrs.</w:t>
      </w:r>
      <w:r>
        <w:t xml:space="preserve"> C</w:t>
      </w:r>
    </w:p>
    <w:p w:rsidRPr="00E36FCE" w:rsidR="00E36FCE" w:rsidP="3B335F14" w:rsidRDefault="00E36FCE" w14:paraId="4898B742" w14:textId="77777777" w14:noSpellErr="1">
      <w:pPr>
        <w:pStyle w:val="Heading2"/>
        <w:numPr>
          <w:ilvl w:val="0"/>
          <w:numId w:val="0"/>
        </w:numPr>
        <w:ind w:left="0"/>
      </w:pPr>
      <w:r w:rsidR="00E36FCE">
        <w:rPr/>
        <w:t>Concise case context</w:t>
      </w:r>
    </w:p>
    <w:p w:rsidRPr="00E36FCE" w:rsidR="00E36FCE" w:rsidP="00E36FCE" w:rsidRDefault="77BC6E83" w14:paraId="25BB337F" w14:textId="1B0267D0">
      <w:pPr>
        <w:rPr>
          <w:lang w:val="en-US"/>
        </w:rPr>
      </w:pPr>
      <w:r w:rsidRPr="70DAB1D0">
        <w:rPr>
          <w:lang w:val="en-US"/>
        </w:rPr>
        <w:t>Mrs.</w:t>
      </w:r>
      <w:r w:rsidRPr="70DAB1D0" w:rsidR="00CD64F1">
        <w:rPr>
          <w:lang w:val="en-US"/>
        </w:rPr>
        <w:t xml:space="preserve"> C is a widow who is aged and has known COPD and metastatic lung cancer. She is living alone, her last two hospital admissions, and now participates in a personalised care and support plan, shared decision-making discussions, social prescribing and a Personal Health Budget that she is using to ensure familiar support. She </w:t>
      </w:r>
      <w:r w:rsidRPr="70DAB1D0" w:rsidR="07D26DE0">
        <w:rPr>
          <w:lang w:val="en-US"/>
        </w:rPr>
        <w:t>improved</w:t>
      </w:r>
      <w:r w:rsidRPr="70DAB1D0" w:rsidR="00CD64F1">
        <w:rPr>
          <w:lang w:val="en-US"/>
        </w:rPr>
        <w:t xml:space="preserve"> her Patient Activation Measure following three months of health coaching, which means she became more confident in her self-management (NHS England, 2019).</w:t>
      </w:r>
    </w:p>
    <w:p w:rsidRPr="00E36FCE" w:rsidR="00E36FCE" w:rsidP="3B335F14" w:rsidRDefault="00E36FCE" w14:paraId="19B364C8" w14:textId="3B0FDD76" w14:noSpellErr="1">
      <w:pPr>
        <w:pStyle w:val="Heading2"/>
        <w:numPr>
          <w:ilvl w:val="0"/>
          <w:numId w:val="0"/>
        </w:numPr>
        <w:ind w:left="0"/>
      </w:pPr>
      <w:r w:rsidR="00E36FCE">
        <w:rPr/>
        <w:t>Person-</w:t>
      </w:r>
      <w:r w:rsidR="122335CF">
        <w:rPr/>
        <w:t>centered</w:t>
      </w:r>
      <w:r w:rsidR="00E36FCE">
        <w:rPr/>
        <w:t xml:space="preserve"> care in action</w:t>
      </w:r>
    </w:p>
    <w:p w:rsidRPr="00E36FCE" w:rsidR="00E36FCE" w:rsidP="00E36FCE" w:rsidRDefault="00E36FCE" w14:paraId="122E17BD" w14:textId="77777777">
      <w:pPr>
        <w:rPr>
          <w:lang w:val="en-US"/>
        </w:rPr>
      </w:pPr>
      <w:r w:rsidRPr="00E36FCE">
        <w:rPr>
          <w:lang w:val="en-US"/>
        </w:rPr>
        <w:t xml:space="preserve">Shared decision-making addressed thresholds for COPD exacerbation management, palliative options, cardiopulmonary resuscitation preferences, antimicrobial route, and multimodal symptom relief. The </w:t>
      </w:r>
      <w:proofErr w:type="spellStart"/>
      <w:r w:rsidRPr="00E36FCE">
        <w:rPr>
          <w:lang w:val="en-US"/>
        </w:rPr>
        <w:t>personalised</w:t>
      </w:r>
      <w:proofErr w:type="spellEnd"/>
      <w:r w:rsidRPr="00E36FCE">
        <w:rPr>
          <w:lang w:val="en-US"/>
        </w:rPr>
        <w:t xml:space="preserve"> care and support plan set explicit review triggers and was disseminated to the GP, community nursing, ambulance and out-of-hours services to reduce contradictory instructions and duplication. This aligns with NICE NG197’s requirements for decisive risk–benefit dialogue and decision aids, and NG115’s COPD recommendations on self-management and escalation planning, thereby countering the fallacy that “more intervention is always better” by privileging informed preference-sensitive choices. Quantitatively, the case documents a rise in PAM level and implies fewer unplanned contacts when preferences, goals and services are </w:t>
      </w:r>
      <w:proofErr w:type="spellStart"/>
      <w:r w:rsidRPr="00E36FCE">
        <w:rPr>
          <w:lang w:val="en-US"/>
        </w:rPr>
        <w:t>synchronised</w:t>
      </w:r>
      <w:proofErr w:type="spellEnd"/>
      <w:r w:rsidRPr="00E36FCE">
        <w:rPr>
          <w:lang w:val="en-US"/>
        </w:rPr>
        <w:t xml:space="preserve">, though causal inference is guarded given single-case limits (NHS England, 2019; NICE, 2019; NICE, 2021). </w:t>
      </w:r>
    </w:p>
    <w:p w:rsidRPr="00E36FCE" w:rsidR="00E36FCE" w:rsidP="3B335F14" w:rsidRDefault="00E36FCE" w14:paraId="0D51614A" w14:textId="77777777" w14:noSpellErr="1">
      <w:pPr>
        <w:pStyle w:val="Heading2"/>
        <w:numPr>
          <w:ilvl w:val="0"/>
          <w:numId w:val="0"/>
        </w:numPr>
        <w:ind w:left="0"/>
      </w:pPr>
      <w:r w:rsidR="00E36FCE">
        <w:rPr/>
        <w:t>Partnership working</w:t>
      </w:r>
    </w:p>
    <w:p w:rsidRPr="00E36FCE" w:rsidR="00E36FCE" w:rsidP="00E36FCE" w:rsidRDefault="00CD64F1" w14:paraId="060E0D22" w14:textId="69F11284">
      <w:pPr>
        <w:rPr>
          <w:lang w:val="en-US"/>
        </w:rPr>
      </w:pPr>
      <w:r w:rsidRPr="3B335F14" w:rsidR="00CD64F1">
        <w:rPr>
          <w:lang w:val="en-US"/>
        </w:rPr>
        <w:t xml:space="preserve">The teams of respiratory, oncology, palliative care and primary care coordinated with the </w:t>
      </w:r>
      <w:r w:rsidRPr="3B335F14" w:rsidR="00CD64F1">
        <w:rPr>
          <w:lang w:val="en-US"/>
        </w:rPr>
        <w:t>carers</w:t>
      </w:r>
      <w:r w:rsidRPr="3B335F14" w:rsidR="00CD64F1">
        <w:rPr>
          <w:lang w:val="en-US"/>
        </w:rPr>
        <w:t xml:space="preserve"> and local assets (health walks, lunch club, digital inclusion support). There were proportional, legal processes in sharing information with data sharing agreements and clear intentions to reduce response time and missed visits and allow NHS 111 and out-of-hours services to respond based on current preferences. This is indicative of the integration logic and practice of ICS in the Health and Care Act 2022, but the impact of the policy can be watered down by real-world factors such as </w:t>
      </w:r>
      <w:r w:rsidRPr="3B335F14" w:rsidR="5638473C">
        <w:rPr>
          <w:lang w:val="en-US"/>
        </w:rPr>
        <w:t>r</w:t>
      </w:r>
      <w:r w:rsidRPr="3B335F14" w:rsidR="5638473C">
        <w:rPr>
          <w:lang w:val="en-US"/>
        </w:rPr>
        <w:t>ota</w:t>
      </w:r>
      <w:r w:rsidRPr="3B335F14" w:rsidR="00CD64F1">
        <w:rPr>
          <w:lang w:val="en-US"/>
        </w:rPr>
        <w:t xml:space="preserve"> gaps, interoperability variability</w:t>
      </w:r>
      <w:r w:rsidRPr="3B335F14" w:rsidR="16CC08E0">
        <w:rPr>
          <w:lang w:val="en-US"/>
        </w:rPr>
        <w:t>, and heterogeneous</w:t>
      </w:r>
      <w:r w:rsidRPr="3B335F14" w:rsidR="00CD64F1">
        <w:rPr>
          <w:lang w:val="en-US"/>
        </w:rPr>
        <w:t xml:space="preserve"> governance. A critical reading acknowledges that it is the quality of partnerships and not policy itself that relies on trust, clarity of roles and technical enablers (The King’s Fund, 2022; NHSX, 2021; ICO, 2021).</w:t>
      </w:r>
      <w:r w:rsidRPr="3B335F14" w:rsidR="00E36FCE">
        <w:rPr>
          <w:lang w:val="en-US"/>
        </w:rPr>
        <w:t xml:space="preserve"> </w:t>
      </w:r>
    </w:p>
    <w:p w:rsidRPr="00E36FCE" w:rsidR="00E36FCE" w:rsidP="3B335F14" w:rsidRDefault="00E36FCE" w14:paraId="641A7C22" w14:textId="77777777" w14:noSpellErr="1">
      <w:pPr>
        <w:pStyle w:val="Heading2"/>
        <w:numPr>
          <w:ilvl w:val="0"/>
          <w:numId w:val="0"/>
        </w:numPr>
        <w:ind w:left="0"/>
      </w:pPr>
      <w:r w:rsidR="00E36FCE">
        <w:rPr/>
        <w:t>Ethics and rights</w:t>
      </w:r>
    </w:p>
    <w:p w:rsidRPr="00E36FCE" w:rsidR="00E36FCE" w:rsidP="00E36FCE" w:rsidRDefault="00E36FCE" w14:paraId="671919B0" w14:textId="386DB05F">
      <w:pPr>
        <w:rPr>
          <w:lang w:val="en-US"/>
        </w:rPr>
      </w:pPr>
      <w:r w:rsidRPr="3B335F14" w:rsidR="00E36FCE">
        <w:rPr>
          <w:lang w:val="en-US"/>
        </w:rPr>
        <w:t xml:space="preserve">Ethically, decisions </w:t>
      </w:r>
      <w:r w:rsidRPr="3B335F14" w:rsidR="519B9F88">
        <w:rPr>
          <w:lang w:val="en-US"/>
        </w:rPr>
        <w:t>honored</w:t>
      </w:r>
      <w:r w:rsidRPr="3B335F14" w:rsidR="00E36FCE">
        <w:rPr>
          <w:lang w:val="en-US"/>
        </w:rPr>
        <w:t xml:space="preserve"> autonomy (documented consent discussions), </w:t>
      </w:r>
      <w:r w:rsidRPr="3B335F14" w:rsidR="00E36FCE">
        <w:rPr>
          <w:lang w:val="en-US"/>
        </w:rPr>
        <w:t>beneficence</w:t>
      </w:r>
      <w:r w:rsidRPr="3B335F14" w:rsidR="00E36FCE">
        <w:rPr>
          <w:lang w:val="en-US"/>
        </w:rPr>
        <w:t xml:space="preserve"> and non-maleficence (burden–benefit calibration of interventions), and justice (fair access to support). Risk enablement was explicit in using a PHB to employ </w:t>
      </w:r>
      <w:r w:rsidRPr="3B335F14" w:rsidR="01159441">
        <w:rPr>
          <w:lang w:val="en-US"/>
        </w:rPr>
        <w:t>trusted</w:t>
      </w:r>
      <w:r w:rsidRPr="3B335F14" w:rsidR="00E36FCE">
        <w:rPr>
          <w:lang w:val="en-US"/>
        </w:rPr>
        <w:t xml:space="preserve"> </w:t>
      </w:r>
      <w:r w:rsidRPr="3B335F14" w:rsidR="354DD92E">
        <w:rPr>
          <w:lang w:val="en-US"/>
        </w:rPr>
        <w:t>neighbors</w:t>
      </w:r>
      <w:r w:rsidRPr="3B335F14" w:rsidR="00E36FCE">
        <w:rPr>
          <w:lang w:val="en-US"/>
        </w:rPr>
        <w:t xml:space="preserve"> while </w:t>
      </w:r>
      <w:r w:rsidRPr="3B335F14" w:rsidR="00E36FCE">
        <w:rPr>
          <w:lang w:val="en-US"/>
        </w:rPr>
        <w:t>maintaining</w:t>
      </w:r>
      <w:r w:rsidRPr="3B335F14" w:rsidR="00E36FCE">
        <w:rPr>
          <w:lang w:val="en-US"/>
        </w:rPr>
        <w:t xml:space="preserve"> safeguarding vigilance. Data processing followed necessity and proportionality principles. The analysis resists the “</w:t>
      </w:r>
      <w:r w:rsidRPr="3B335F14" w:rsidR="7056B75C">
        <w:rPr>
          <w:lang w:val="en-US"/>
        </w:rPr>
        <w:t>safeties</w:t>
      </w:r>
      <w:r w:rsidRPr="3B335F14" w:rsidR="00E36FCE">
        <w:rPr>
          <w:lang w:val="en-US"/>
        </w:rPr>
        <w:t xml:space="preserve">” fallacy by </w:t>
      </w:r>
      <w:r w:rsidRPr="3B335F14" w:rsidR="00E36FCE">
        <w:rPr>
          <w:lang w:val="en-US"/>
        </w:rPr>
        <w:t>recognising</w:t>
      </w:r>
      <w:r w:rsidRPr="3B335F14" w:rsidR="00E36FCE">
        <w:rPr>
          <w:lang w:val="en-US"/>
        </w:rPr>
        <w:t xml:space="preserve"> dignity at end of life alongside duty of care (GMC, 2020/2024; CQC, 2025; DHSC, 2022; ICO, 2021). </w:t>
      </w:r>
    </w:p>
    <w:p w:rsidRPr="00E36FCE" w:rsidR="00E36FCE" w:rsidP="3B335F14" w:rsidRDefault="00E36FCE" w14:paraId="48FB6003" w14:textId="77777777" w14:noSpellErr="1">
      <w:pPr>
        <w:pStyle w:val="Heading2"/>
        <w:numPr>
          <w:ilvl w:val="0"/>
          <w:numId w:val="0"/>
        </w:numPr>
        <w:ind w:left="0"/>
      </w:pPr>
      <w:r w:rsidR="00E36FCE">
        <w:rPr/>
        <w:t>Outcomes and learning</w:t>
      </w:r>
    </w:p>
    <w:p w:rsidRPr="00E36FCE" w:rsidR="00E36FCE" w:rsidP="00E36FCE" w:rsidRDefault="00E36FCE" w14:paraId="6E9F1C38" w14:textId="1F776A34">
      <w:pPr>
        <w:rPr>
          <w:lang w:val="en-US"/>
        </w:rPr>
      </w:pPr>
      <w:r w:rsidRPr="3B335F14" w:rsidR="00E36FCE">
        <w:rPr>
          <w:lang w:val="en-US"/>
        </w:rPr>
        <w:t>Hard</w:t>
      </w:r>
      <w:r w:rsidRPr="3B335F14" w:rsidR="2344A725">
        <w:rPr>
          <w:lang w:val="en-US"/>
        </w:rPr>
        <w:t xml:space="preserve"> </w:t>
      </w:r>
      <w:r w:rsidRPr="3B335F14" w:rsidR="00E36FCE">
        <w:rPr>
          <w:lang w:val="en-US"/>
        </w:rPr>
        <w:t>outcomes</w:t>
      </w:r>
      <w:r w:rsidRPr="3B335F14" w:rsidR="412BBC46">
        <w:rPr>
          <w:lang w:val="en-US"/>
        </w:rPr>
        <w:t xml:space="preserve"> possibly </w:t>
      </w:r>
      <w:r w:rsidRPr="3B335F14" w:rsidR="00E36FCE">
        <w:rPr>
          <w:lang w:val="en-US"/>
        </w:rPr>
        <w:t xml:space="preserve">include fewer emergency attendances and shorter stays where activation rises; English data link a 10-point PAM increase with lower A&amp;E use and emergency admissions. Soft outcomes include improved experience and reduced loneliness via community assets, though evidence for social prescribing </w:t>
      </w:r>
      <w:r w:rsidRPr="3B335F14" w:rsidR="00E36FCE">
        <w:rPr>
          <w:lang w:val="en-US"/>
        </w:rPr>
        <w:t>remains</w:t>
      </w:r>
      <w:r w:rsidRPr="3B335F14" w:rsidR="00E36FCE">
        <w:rPr>
          <w:lang w:val="en-US"/>
        </w:rPr>
        <w:t xml:space="preserve"> mixed, warning against over-</w:t>
      </w:r>
      <w:r w:rsidRPr="3B335F14" w:rsidR="00E36FCE">
        <w:rPr>
          <w:lang w:val="en-US"/>
        </w:rPr>
        <w:t>generalisation</w:t>
      </w:r>
      <w:r w:rsidRPr="3B335F14" w:rsidR="00E36FCE">
        <w:rPr>
          <w:lang w:val="en-US"/>
        </w:rPr>
        <w:t xml:space="preserve">. A residual gap is night-time support; a PHB review to add an evening check-in is a concrete, policy-concordant fix (Bu and </w:t>
      </w:r>
      <w:r w:rsidRPr="3B335F14" w:rsidR="00E36FCE">
        <w:rPr>
          <w:lang w:val="en-US"/>
        </w:rPr>
        <w:t>Fancourt</w:t>
      </w:r>
      <w:r w:rsidRPr="3B335F14" w:rsidR="00E36FCE">
        <w:rPr>
          <w:lang w:val="en-US"/>
        </w:rPr>
        <w:t xml:space="preserve">, 2021; </w:t>
      </w:r>
      <w:r w:rsidRPr="3B335F14" w:rsidR="00E36FCE">
        <w:rPr>
          <w:lang w:val="en-US"/>
        </w:rPr>
        <w:t>Bickerdike</w:t>
      </w:r>
      <w:r w:rsidRPr="3B335F14" w:rsidR="00E36FCE">
        <w:rPr>
          <w:lang w:val="en-US"/>
        </w:rPr>
        <w:t xml:space="preserve"> et al., 2017). </w:t>
      </w:r>
    </w:p>
    <w:p w:rsidRPr="00E36FCE" w:rsidR="00E36FCE" w:rsidP="3B335F14" w:rsidRDefault="00E36FCE" w14:paraId="690A74F8" w14:textId="77777777" w14:noSpellErr="1">
      <w:pPr>
        <w:pStyle w:val="Heading1"/>
        <w:numPr>
          <w:ilvl w:val="0"/>
          <w:numId w:val="0"/>
        </w:numPr>
        <w:ind w:left="0"/>
      </w:pPr>
      <w:r w:rsidR="00E36FCE">
        <w:rPr/>
        <w:t>Task 3 — Self-Reflection as a Health &amp; Social Care Professional</w:t>
      </w:r>
    </w:p>
    <w:p w:rsidRPr="00E36FCE" w:rsidR="00E36FCE" w:rsidP="3B335F14" w:rsidRDefault="00E36FCE" w14:paraId="51364C33" w14:textId="77777777" w14:noSpellErr="1">
      <w:pPr>
        <w:pStyle w:val="Heading2"/>
        <w:numPr>
          <w:ilvl w:val="0"/>
          <w:numId w:val="0"/>
        </w:numPr>
        <w:ind w:left="0"/>
      </w:pPr>
      <w:r w:rsidR="00E36FCE">
        <w:rPr/>
        <w:t>Reflection model &amp; method</w:t>
      </w:r>
    </w:p>
    <w:p w:rsidRPr="00E36FCE" w:rsidR="00E36FCE" w:rsidP="00E36FCE" w:rsidRDefault="00E36FCE" w14:paraId="2B160EE7" w14:textId="77777777">
      <w:pPr>
        <w:rPr>
          <w:lang w:val="en-US"/>
        </w:rPr>
      </w:pPr>
      <w:r w:rsidRPr="00E36FCE">
        <w:rPr>
          <w:lang w:val="en-US"/>
        </w:rPr>
        <w:t xml:space="preserve">I use Gibbs’ cycle </w:t>
      </w:r>
      <w:proofErr w:type="spellStart"/>
      <w:r w:rsidRPr="00E36FCE">
        <w:rPr>
          <w:lang w:val="en-US"/>
        </w:rPr>
        <w:t>operationalised</w:t>
      </w:r>
      <w:proofErr w:type="spellEnd"/>
      <w:r w:rsidRPr="00E36FCE">
        <w:rPr>
          <w:lang w:val="en-US"/>
        </w:rPr>
        <w:t xml:space="preserve"> through current UK reflective guidance because it supports iterative description–analysis–action with an auditable trail that aligns with professional standards and appraisal requirements; I embed quantitative indicators—such as the percentage of care plans completed on time, activation shifts and referral cycle times—so lessons translate into measurable change and external scrutiny. This approach accords with GMC and </w:t>
      </w:r>
      <w:proofErr w:type="spellStart"/>
      <w:r w:rsidRPr="00E36FCE">
        <w:rPr>
          <w:lang w:val="en-US"/>
        </w:rPr>
        <w:t>AoMRC</w:t>
      </w:r>
      <w:proofErr w:type="spellEnd"/>
      <w:r w:rsidRPr="00E36FCE">
        <w:rPr>
          <w:lang w:val="en-US"/>
        </w:rPr>
        <w:t xml:space="preserve"> toolkits and HCPC expectations to record reflection and improvement (GMC, </w:t>
      </w:r>
      <w:r>
        <w:rPr>
          <w:lang w:val="en-US"/>
        </w:rPr>
        <w:t xml:space="preserve">2021; </w:t>
      </w:r>
      <w:proofErr w:type="spellStart"/>
      <w:r>
        <w:rPr>
          <w:lang w:val="en-US"/>
        </w:rPr>
        <w:t>AoMRC</w:t>
      </w:r>
      <w:proofErr w:type="spellEnd"/>
      <w:r>
        <w:rPr>
          <w:lang w:val="en-US"/>
        </w:rPr>
        <w:t>, 2018; HCPC, 2021).</w:t>
      </w:r>
    </w:p>
    <w:p w:rsidRPr="00E36FCE" w:rsidR="00E36FCE" w:rsidP="3B335F14" w:rsidRDefault="00E36FCE" w14:paraId="08468D9C" w14:noSpellErr="1" w14:textId="0CC92ECC">
      <w:pPr>
        <w:pStyle w:val="Heading2"/>
        <w:numPr>
          <w:ilvl w:val="0"/>
          <w:numId w:val="0"/>
        </w:numPr>
        <w:ind w:left="0"/>
      </w:pPr>
      <w:r w:rsidR="00E36FCE">
        <w:rPr/>
        <w:t>Person-</w:t>
      </w:r>
      <w:r w:rsidR="6F37A999">
        <w:rPr/>
        <w:t>centered</w:t>
      </w:r>
      <w:r w:rsidR="00E36FCE">
        <w:rPr/>
        <w:t xml:space="preserve"> care — my current practice</w:t>
      </w:r>
    </w:p>
    <w:p w:rsidRPr="00E36FCE" w:rsidR="00E36FCE" w:rsidP="00E36FCE" w:rsidRDefault="00CD64F1" w14:paraId="15B35D69" w14:textId="77777777">
      <w:pPr>
        <w:rPr>
          <w:lang w:val="en-US"/>
        </w:rPr>
      </w:pPr>
      <w:r w:rsidRPr="00CD64F1">
        <w:rPr>
          <w:lang w:val="en-US"/>
        </w:rPr>
        <w:t xml:space="preserve">I asked what matters (walking to the shop unaided, no night admissions), and co-produced outcomes in a recent clinic with a breathless older adult with advanced COPD and heart failure: a breathlessness plan (paced activity, handheld fan), anticipatory medicines and an advance care planning discussion using structured decision aids and BRAN profilers in order to elicit preferences and tolerances to risk. Digital COPD tools were limited by time pressure and low data connectivity as understanding was verified through teaching-back. During the past quarter I have attained on-time </w:t>
      </w:r>
      <w:proofErr w:type="spellStart"/>
      <w:r w:rsidRPr="00CD64F1">
        <w:rPr>
          <w:lang w:val="en-US"/>
        </w:rPr>
        <w:t>customised</w:t>
      </w:r>
      <w:proofErr w:type="spellEnd"/>
      <w:r w:rsidRPr="00CD64F1">
        <w:rPr>
          <w:lang w:val="en-US"/>
        </w:rPr>
        <w:t xml:space="preserve"> care and support plans in 81% of cases (baseline 62, n=32), and in a small follow-up cohort (n=12) mean Patient Activation Measure rose by 0.8 levels in three months with an 18% fall in unplanned contacts - which is consistent with evidence that activation gains are associated with reduced A&amp;E visits and emergency hospital admissions but has limits of single-site and attribution. Then, I will implement Option Grids on all ACP engagements and aim to achieve a ≥20% improvement in reported fields of what matters to me within eight weeks, and implement one approved digital COPD self-management tool on NICE early value assessment to reduce the variability in self-management support (NICE, 2021; Bu and </w:t>
      </w:r>
      <w:proofErr w:type="spellStart"/>
      <w:r w:rsidRPr="00CD64F1">
        <w:rPr>
          <w:lang w:val="en-US"/>
        </w:rPr>
        <w:t>Fancourt</w:t>
      </w:r>
      <w:proofErr w:type="spellEnd"/>
      <w:r w:rsidRPr="00CD64F1">
        <w:rPr>
          <w:lang w:val="en-US"/>
        </w:rPr>
        <w:t>, 2021; NICE, 2024/2025; BMJ, 2021).</w:t>
      </w:r>
      <w:r w:rsidRPr="00E36FCE" w:rsidR="00E36FCE">
        <w:rPr>
          <w:lang w:val="en-US"/>
        </w:rPr>
        <w:t xml:space="preserve"> </w:t>
      </w:r>
    </w:p>
    <w:p w:rsidRPr="00E36FCE" w:rsidR="00E36FCE" w:rsidP="3B335F14" w:rsidRDefault="00E36FCE" w14:paraId="1D13406A" w14:textId="77777777" w14:noSpellErr="1">
      <w:pPr>
        <w:pStyle w:val="Heading2"/>
        <w:numPr>
          <w:ilvl w:val="0"/>
          <w:numId w:val="0"/>
        </w:numPr>
        <w:ind w:left="0"/>
      </w:pPr>
      <w:r w:rsidR="00E36FCE">
        <w:rPr/>
        <w:t>Partnership working — my interprofessional role</w:t>
      </w:r>
    </w:p>
    <w:p w:rsidRPr="00E36FCE" w:rsidR="00E36FCE" w:rsidP="00E36FCE" w:rsidRDefault="00E36FCE" w14:paraId="069AEFFD" w14:noSpellErr="1" w14:textId="2BFDDFA3">
      <w:pPr>
        <w:rPr>
          <w:lang w:val="en-US"/>
        </w:rPr>
      </w:pPr>
      <w:r w:rsidRPr="3B335F14" w:rsidR="00E36FCE">
        <w:rPr>
          <w:lang w:val="en-US"/>
        </w:rPr>
        <w:t xml:space="preserve">In a community MDT for multi-morbidity and frailty, I chaired a 20-minute micro-huddle linking the GP, respiratory nurse, palliative team, social </w:t>
      </w:r>
      <w:r w:rsidRPr="3B335F14" w:rsidR="00E36FCE">
        <w:rPr>
          <w:lang w:val="en-US"/>
        </w:rPr>
        <w:t>prescriber</w:t>
      </w:r>
      <w:r w:rsidRPr="3B335F14" w:rsidR="00E36FCE">
        <w:rPr>
          <w:lang w:val="en-US"/>
        </w:rPr>
        <w:t xml:space="preserve"> and a home-care coordinator; I enforced SBAR for concise handovers and used a shared template to capture escalation plans and data-sharing rationales. Median time-to-referral decision dropped from 72 to 44 hours over six weeks (n=41), DNACPR documentation turnaround fell from five to two days, and we recorded three avoided ED attendances by substituting urgent community response. However, interoperability gaps and variable information-governance comfort occasionally stalled sharing despite a permissive legal framework, exposing the common category error that “GDPR prevents sharing”—the ICO code clarifies it permits proportionate, necessary sharing. To </w:t>
      </w:r>
      <w:r w:rsidRPr="3B335F14" w:rsidR="00E36FCE">
        <w:rPr>
          <w:lang w:val="en-US"/>
        </w:rPr>
        <w:t>consolidate</w:t>
      </w:r>
      <w:r w:rsidRPr="3B335F14" w:rsidR="00E36FCE">
        <w:rPr>
          <w:lang w:val="en-US"/>
        </w:rPr>
        <w:t xml:space="preserve"> gains, I will institute a weekly micro-MDT with a 30% target reduction in referral turnaround and a 50% cut in information gaps within 12 </w:t>
      </w:r>
      <w:r w:rsidRPr="3B335F14" w:rsidR="371E40A5">
        <w:rPr>
          <w:lang w:val="en-US"/>
        </w:rPr>
        <w:t>weeks and</w:t>
      </w:r>
      <w:r w:rsidRPr="3B335F14" w:rsidR="00E36FCE">
        <w:rPr>
          <w:lang w:val="en-US"/>
        </w:rPr>
        <w:t xml:space="preserve"> escalate an ICS-level ask for minimal-dataset interoperability (NHS England/N</w:t>
      </w:r>
      <w:r w:rsidRPr="3B335F14" w:rsidR="00E36FCE">
        <w:rPr>
          <w:lang w:val="en-US"/>
        </w:rPr>
        <w:t>HSI SBAR resources; ICO, 2021).</w:t>
      </w:r>
    </w:p>
    <w:p w:rsidRPr="00E36FCE" w:rsidR="00E36FCE" w:rsidP="3B335F14" w:rsidRDefault="00E36FCE" w14:paraId="00F56959" w14:textId="77777777" w14:noSpellErr="1">
      <w:pPr>
        <w:pStyle w:val="Heading2"/>
        <w:numPr>
          <w:ilvl w:val="0"/>
          <w:numId w:val="0"/>
        </w:numPr>
        <w:ind w:left="0"/>
      </w:pPr>
      <w:r w:rsidR="00E36FCE">
        <w:rPr/>
        <w:t>Ethics — my decision-making and accountability</w:t>
      </w:r>
    </w:p>
    <w:p w:rsidRPr="00E36FCE" w:rsidR="00E36FCE" w:rsidP="3B335F14" w:rsidRDefault="00E36FCE" w14:paraId="61D723CB" w14:textId="77777777" w14:noSpellErr="1">
      <w:pPr>
        <w:ind w:left="0"/>
        <w:jc w:val="left"/>
        <w:rPr>
          <w:lang w:val="en-US"/>
        </w:rPr>
      </w:pPr>
      <w:r w:rsidRPr="3B335F14" w:rsidR="00E36FCE">
        <w:rPr>
          <w:lang w:val="en-US"/>
        </w:rPr>
        <w:t>A recurrent ethical tension is risk enablement versus safety when a person wishes to remain at home despite frequent nocturnal exacerbations; I balance autonomy, beneficence, non-maleficence and justice by testing proportionality, revisiting decision-specific capacity and documenting consent or best-interest decisions. I apply GMC consent guidance to calibrate risk discussions and record material risks; when capacity fluctuates, I follow current MCA Code with awareness that updates remain pending after the 2022 consultation; where multi-agency involvement is necessary, I share data under the ICO code using necessity and proportionality tests and record rationales. In the last quarter I completed 14 capacity assessments, held four best-interest meetings, documented consent in 92% of relevant encounters and raised two safeguarding alerts; an “ethical pause” checklist before high-stakes choices increased documentation completeness from 71% to 93%. Next, I will aim for ≥90% closure of incident-learning actions within 30 days and quarterly audit of consen</w:t>
      </w:r>
      <w:r w:rsidRPr="3B335F14" w:rsidR="00E36FCE">
        <w:rPr>
          <w:lang w:val="en-US"/>
        </w:rPr>
        <w:t xml:space="preserve">t records against GMC standards </w:t>
      </w:r>
      <w:r w:rsidRPr="3B335F14" w:rsidR="00E36FCE">
        <w:rPr>
          <w:lang w:val="en-US"/>
        </w:rPr>
        <w:t>(GMC, 2024; DHSC, 2022; Co</w:t>
      </w:r>
      <w:r w:rsidRPr="3B335F14" w:rsidR="00E36FCE">
        <w:rPr>
          <w:lang w:val="en-US"/>
        </w:rPr>
        <w:t>mmunity Care, 2024; ICO, 2021).</w:t>
      </w:r>
    </w:p>
    <w:p w:rsidRPr="00E36FCE" w:rsidR="00E36FCE" w:rsidP="3B335F14" w:rsidRDefault="00E36FCE" w14:paraId="1584FFE3" w14:textId="77777777" w14:noSpellErr="1">
      <w:pPr>
        <w:pStyle w:val="Heading2"/>
        <w:numPr>
          <w:ilvl w:val="0"/>
          <w:numId w:val="0"/>
        </w:numPr>
        <w:ind w:left="0"/>
      </w:pPr>
      <w:r w:rsidR="00E36FCE">
        <w:rPr/>
        <w:t>Development plan — SMART, CPD, supervision</w:t>
      </w:r>
    </w:p>
    <w:p w:rsidRPr="00E36FCE" w:rsidR="00E36FCE" w:rsidP="3B335F14" w:rsidRDefault="00E36FCE" w14:paraId="2A595DF0" w14:textId="77777777">
      <w:pPr>
        <w:jc w:val="left"/>
        <w:rPr>
          <w:lang w:val="en-US"/>
        </w:rPr>
      </w:pPr>
      <w:r w:rsidRPr="3B335F14" w:rsidR="00E36FCE">
        <w:rPr>
          <w:lang w:val="en-US"/>
        </w:rPr>
        <w:t xml:space="preserve">My priorities are advanced SDM communication, inter-agency </w:t>
      </w:r>
      <w:r w:rsidRPr="3B335F14" w:rsidR="00E36FCE">
        <w:rPr>
          <w:lang w:val="en-US"/>
        </w:rPr>
        <w:t>navigation</w:t>
      </w:r>
      <w:r w:rsidRPr="3B335F14" w:rsidR="00E36FCE">
        <w:rPr>
          <w:lang w:val="en-US"/>
        </w:rPr>
        <w:t xml:space="preserve"> and ethical documentation; I will complete a COPD update with digital self-management components aligned to NICE HTE19, undertake a consent masterclass mapped to GMC guidance, and refresh information-governance training. I will </w:t>
      </w:r>
      <w:r w:rsidRPr="3B335F14" w:rsidR="00E36FCE">
        <w:rPr>
          <w:lang w:val="en-US"/>
        </w:rPr>
        <w:t>maintain</w:t>
      </w:r>
      <w:r w:rsidRPr="3B335F14" w:rsidR="00E36FCE">
        <w:rPr>
          <w:lang w:val="en-US"/>
        </w:rPr>
        <w:t xml:space="preserve"> monthly supervisory reflection and quarterly case audits, using KPIs—ACP completion ≥85%, PAM gains ≥1 level in 3 months, MDT referral cycle time ≤48 hours, DNACPR turnaround ≤72 hours—and review at 3, 6 and 12 months with evidence logs. Given rising PHB adoption nationally, I will add a PHB conversation prompt to care-planning to support </w:t>
      </w:r>
      <w:r w:rsidRPr="3B335F14" w:rsidR="00E36FCE">
        <w:rPr>
          <w:lang w:val="en-US"/>
        </w:rPr>
        <w:t>personalised</w:t>
      </w:r>
      <w:r w:rsidRPr="3B335F14" w:rsidR="00E36FCE">
        <w:rPr>
          <w:lang w:val="en-US"/>
        </w:rPr>
        <w:t xml:space="preserve"> risk-sharing and evaluate uptake (NICE, 2024/2025; GMC, 2024; NHS England Digital, 2025). </w:t>
      </w:r>
    </w:p>
    <w:p w:rsidRPr="00E36FCE" w:rsidR="00E36FCE" w:rsidP="00E36FCE" w:rsidRDefault="00E36FCE" w14:paraId="41759C0D" w14:textId="77777777">
      <w:pPr>
        <w:pStyle w:val="Heading1"/>
      </w:pPr>
      <w:r>
        <w:t>Conclusion</w:t>
      </w:r>
    </w:p>
    <w:p w:rsidRPr="00E36FCE" w:rsidR="00E36FCE" w:rsidP="3B335F14" w:rsidRDefault="00E36FCE" w14:paraId="57F06CB9" w14:textId="77777777" w14:noSpellErr="1">
      <w:pPr>
        <w:pStyle w:val="Heading2"/>
        <w:numPr>
          <w:ilvl w:val="0"/>
          <w:numId w:val="0"/>
        </w:numPr>
        <w:ind w:left="0"/>
      </w:pPr>
      <w:r w:rsidR="00E36FCE">
        <w:rPr/>
        <w:t>Synthesis and forward view</w:t>
      </w:r>
    </w:p>
    <w:p w:rsidRPr="00E36FCE" w:rsidR="00E36FCE" w:rsidP="3B335F14" w:rsidRDefault="00E36FCE" w14:paraId="3D87D26B" w14:textId="7444F2B0">
      <w:pPr>
        <w:jc w:val="left"/>
        <w:rPr>
          <w:lang w:val="en-US"/>
        </w:rPr>
      </w:pPr>
      <w:r w:rsidRPr="3B335F14" w:rsidR="00E36FCE">
        <w:rPr>
          <w:lang w:val="en-US"/>
        </w:rPr>
        <w:t xml:space="preserve">The analysis </w:t>
      </w:r>
      <w:r w:rsidRPr="3B335F14" w:rsidR="00E36FCE">
        <w:rPr>
          <w:lang w:val="en-US"/>
        </w:rPr>
        <w:t>demonstrates</w:t>
      </w:r>
      <w:r w:rsidRPr="3B335F14" w:rsidR="00E36FCE">
        <w:rPr>
          <w:lang w:val="en-US"/>
        </w:rPr>
        <w:t xml:space="preserve"> that person-</w:t>
      </w:r>
      <w:r w:rsidRPr="3B335F14" w:rsidR="293F5550">
        <w:rPr>
          <w:lang w:val="en-US"/>
        </w:rPr>
        <w:t>centered</w:t>
      </w:r>
      <w:r w:rsidRPr="3B335F14" w:rsidR="00E36FCE">
        <w:rPr>
          <w:lang w:val="en-US"/>
        </w:rPr>
        <w:t xml:space="preserve"> care, partnership working and ethics are mutually </w:t>
      </w:r>
      <w:r w:rsidRPr="3B335F14" w:rsidR="00E36FCE">
        <w:rPr>
          <w:lang w:val="en-US"/>
        </w:rPr>
        <w:t>reinforcing:</w:t>
      </w:r>
      <w:r w:rsidRPr="3B335F14" w:rsidR="00E36FCE">
        <w:rPr>
          <w:lang w:val="en-US"/>
        </w:rPr>
        <w:t xml:space="preserve"> shared decision-making </w:t>
      </w:r>
      <w:r w:rsidRPr="3B335F14" w:rsidR="00E36FCE">
        <w:rPr>
          <w:lang w:val="en-US"/>
        </w:rPr>
        <w:t>operationalises</w:t>
      </w:r>
      <w:r w:rsidRPr="3B335F14" w:rsidR="00E36FCE">
        <w:rPr>
          <w:lang w:val="en-US"/>
        </w:rPr>
        <w:t xml:space="preserve"> values and preferences; multidisciplinary coordination translates decisions into reliable pathways; ethical governance sustains legitimacy and protects rights. Measurable practice—care-plan timeliness, activation shifts, referral cycle time, </w:t>
      </w:r>
      <w:r w:rsidRPr="3B335F14" w:rsidR="00E36FCE">
        <w:rPr>
          <w:lang w:val="en-US"/>
        </w:rPr>
        <w:t>consent</w:t>
      </w:r>
      <w:r w:rsidRPr="3B335F14" w:rsidR="00E36FCE">
        <w:rPr>
          <w:lang w:val="en-US"/>
        </w:rPr>
        <w:t xml:space="preserve"> and capacity audit—functions as the control system that closes the policy–practice gap while exposing residual constraints. Sustained improvement depends on disciplined reflection, CPD and data-enabled audit cycles, with targeted adoption of NICE-recommended self-management technologies where </w:t>
      </w:r>
      <w:r w:rsidRPr="3B335F14" w:rsidR="00E36FCE">
        <w:rPr>
          <w:lang w:val="en-US"/>
        </w:rPr>
        <w:t>appropriate</w:t>
      </w:r>
      <w:r w:rsidRPr="3B335F14" w:rsidR="00E36FCE">
        <w:rPr>
          <w:lang w:val="en-US"/>
        </w:rPr>
        <w:t xml:space="preserve"> and rigorous adherence to GMC consent standards. Embedding these disciplines at team and system levels is likely to enhance safety, </w:t>
      </w:r>
      <w:r w:rsidRPr="3B335F14" w:rsidR="00E36FCE">
        <w:rPr>
          <w:lang w:val="en-US"/>
        </w:rPr>
        <w:t>outcome</w:t>
      </w:r>
      <w:r w:rsidRPr="3B335F14" w:rsidR="00E36FCE">
        <w:rPr>
          <w:lang w:val="en-US"/>
        </w:rPr>
        <w:t>s</w:t>
      </w:r>
      <w:r w:rsidRPr="3B335F14" w:rsidR="00E36FCE">
        <w:rPr>
          <w:lang w:val="en-US"/>
        </w:rPr>
        <w:t xml:space="preserve"> and dignity across settings.</w:t>
      </w:r>
    </w:p>
    <w:p w:rsidR="00B30A85" w:rsidP="3B335F14" w:rsidRDefault="00B30A85" w14:paraId="1EA02B37" w14:textId="77777777" w14:noSpellErr="1">
      <w:pPr>
        <w:jc w:val="left"/>
      </w:pPr>
    </w:p>
    <w:p w:rsidR="00CD64F1" w:rsidRDefault="00CD64F1" w14:paraId="01A69661" w14:textId="77777777"/>
    <w:p w:rsidR="00CD64F1" w:rsidRDefault="00CD64F1" w14:paraId="6EE3BFF5" w14:textId="77777777"/>
    <w:p w:rsidR="00CD64F1" w:rsidRDefault="00CD64F1" w14:paraId="3248071A" w14:textId="77777777"/>
    <w:p w:rsidR="00CD64F1" w:rsidRDefault="00CD64F1" w14:paraId="10454172" w14:textId="77777777"/>
    <w:p w:rsidR="00CD64F1" w:rsidP="00CD64F1" w:rsidRDefault="00CD64F1" w14:paraId="4BEC7374" w14:textId="77777777"/>
    <w:p w:rsidR="00CD64F1" w:rsidRDefault="00CD64F1" w14:paraId="4915F617" w14:textId="77777777"/>
    <w:p w:rsidR="00CD64F1" w:rsidRDefault="00CD64F1" w14:paraId="6A8EBF19" w14:textId="77777777"/>
    <w:p w:rsidR="00CD64F1" w:rsidRDefault="00CD64F1" w14:paraId="01460DC2" w14:textId="77777777"/>
    <w:p w:rsidR="00CD64F1" w:rsidRDefault="00CD64F1" w14:paraId="778A7FA0" w14:textId="77777777"/>
    <w:p w:rsidR="00CD64F1" w:rsidRDefault="00CD64F1" w14:paraId="174F0727" w14:textId="77777777"/>
    <w:p w:rsidR="00CD64F1" w:rsidRDefault="00CD64F1" w14:paraId="4DD222EE" w14:textId="77777777"/>
    <w:p w:rsidR="00CD64F1" w:rsidRDefault="00CD64F1" w14:paraId="1192F468" w14:textId="77777777"/>
    <w:p w:rsidR="009C7A65" w:rsidP="009C7A65" w:rsidRDefault="00CD64F1" w14:paraId="4DB6FB7E" w14:textId="77777777">
      <w:pPr>
        <w:pStyle w:val="Heading1"/>
      </w:pPr>
      <w:r>
        <w:t>References</w:t>
      </w:r>
    </w:p>
    <w:p w:rsidR="009C7A65" w:rsidP="00CD64F1" w:rsidRDefault="009C7A65" w14:paraId="7FDAF613" w14:textId="77777777">
      <w:pPr>
        <w:rPr>
          <w:lang w:val="en-US"/>
        </w:rPr>
      </w:pPr>
      <w:r w:rsidRPr="00CD64F1">
        <w:rPr>
          <w:lang w:val="en-US"/>
        </w:rPr>
        <w:t xml:space="preserve">Academy of Medical Royal Colleges (2018) </w:t>
      </w:r>
      <w:r w:rsidRPr="00CD64F1">
        <w:rPr>
          <w:i/>
          <w:iCs/>
          <w:lang w:val="en-US"/>
        </w:rPr>
        <w:t>The reflective practitioner: guidance</w:t>
      </w:r>
      <w:r w:rsidRPr="00CD64F1">
        <w:rPr>
          <w:lang w:val="en-US"/>
        </w:rPr>
        <w:t xml:space="preserve">. Available at: </w:t>
      </w:r>
      <w:hyperlink w:tgtFrame="_new" w:history="1" r:id="rId8">
        <w:r w:rsidRPr="00CD64F1">
          <w:rPr>
            <w:rStyle w:val="Hyperlink"/>
            <w:lang w:val="en-US"/>
          </w:rPr>
          <w:t>https://www.aomrc.org.uk/wp-content/uploads/2018/09/the_reflective_practioner_guidance_single_page.pdf</w:t>
        </w:r>
      </w:hyperlink>
      <w:r w:rsidRPr="00CD64F1">
        <w:rPr>
          <w:lang w:val="en-US"/>
        </w:rPr>
        <w:t xml:space="preserve"> (Accessed: 14 October 2025).</w:t>
      </w:r>
    </w:p>
    <w:p w:rsidR="009C7A65" w:rsidP="3B335F14" w:rsidRDefault="009C7A65" w14:paraId="0E1F26EC" w14:textId="77777777">
      <w:pPr>
        <w:jc w:val="left"/>
      </w:pPr>
      <w:r w:rsidR="009C7A65">
        <w:rPr/>
        <w:t>Bickerdike</w:t>
      </w:r>
      <w:r w:rsidR="009C7A65">
        <w:rPr/>
        <w:t>, L. et al. (2017) ‘Social prescribing: less rhetoric and more reality. A systematic review</w:t>
      </w:r>
      <w:r w:rsidR="009C7A65">
        <w:rPr/>
        <w:t>’,</w:t>
      </w:r>
      <w:r w:rsidR="009C7A65">
        <w:rPr/>
        <w:t xml:space="preserve"> </w:t>
      </w:r>
      <w:r w:rsidRPr="3B335F14" w:rsidR="009C7A65">
        <w:rPr>
          <w:i w:val="1"/>
          <w:iCs w:val="1"/>
        </w:rPr>
        <w:t>BMJ Open</w:t>
      </w:r>
      <w:r w:rsidR="009C7A65">
        <w:rPr/>
        <w:t>, 7(4): e013384. Available at: https://bmjopen.bmj.com/content/7/4/e013384 (Accessed: 14 October 2025).</w:t>
      </w:r>
    </w:p>
    <w:p w:rsidR="009C7A65" w:rsidP="3B335F14" w:rsidRDefault="009C7A65" w14:paraId="5C24F47D" w14:textId="77777777" w14:noSpellErr="1">
      <w:pPr>
        <w:jc w:val="left"/>
        <w:rPr>
          <w:lang w:val="en-US"/>
        </w:rPr>
      </w:pPr>
      <w:r w:rsidRPr="3B335F14" w:rsidR="009C7A65">
        <w:rPr>
          <w:lang w:val="en-US"/>
        </w:rPr>
        <w:t xml:space="preserve">BMJ (2021) ‘Using BRAN to improve decision conversations’, </w:t>
      </w:r>
      <w:r w:rsidRPr="3B335F14" w:rsidR="009C7A65">
        <w:rPr>
          <w:i w:val="1"/>
          <w:iCs w:val="1"/>
          <w:lang w:val="en-US"/>
        </w:rPr>
        <w:t>BMJ</w:t>
      </w:r>
      <w:r w:rsidRPr="3B335F14" w:rsidR="009C7A65">
        <w:rPr>
          <w:lang w:val="en-US"/>
        </w:rPr>
        <w:t xml:space="preserve"> Rapid Response. Available at: https://www.bmj.com/content/372/bmj.n725/rr-1 (Accessed: 14 October 2025).</w:t>
      </w:r>
    </w:p>
    <w:p w:rsidR="009C7A65" w:rsidP="3B335F14" w:rsidRDefault="009C7A65" w14:paraId="10C44790" w14:textId="77777777">
      <w:pPr>
        <w:jc w:val="left"/>
      </w:pPr>
      <w:r w:rsidR="009C7A65">
        <w:rPr/>
        <w:t xml:space="preserve">Bu, </w:t>
      </w:r>
      <w:r w:rsidR="009C7A65">
        <w:rPr/>
        <w:t>F.</w:t>
      </w:r>
      <w:r w:rsidR="009C7A65">
        <w:rPr/>
        <w:t xml:space="preserve"> and </w:t>
      </w:r>
      <w:r w:rsidR="009C7A65">
        <w:rPr/>
        <w:t>Fancourt</w:t>
      </w:r>
      <w:r w:rsidR="009C7A65">
        <w:rPr/>
        <w:t xml:space="preserve">, D. (2021) ‘How is patient activation related to healthcare service utilisation?’, </w:t>
      </w:r>
      <w:r w:rsidRPr="3B335F14" w:rsidR="009C7A65">
        <w:rPr>
          <w:i w:val="1"/>
          <w:iCs w:val="1"/>
        </w:rPr>
        <w:t>BMC Health Services Research</w:t>
      </w:r>
      <w:r w:rsidR="009C7A65">
        <w:rPr/>
        <w:t xml:space="preserve">, 21:1196. Available at: </w:t>
      </w:r>
      <w:hyperlink r:id="R5d1c312e82244513">
        <w:r w:rsidRPr="3B335F14" w:rsidR="009C7A65">
          <w:rPr>
            <w:rStyle w:val="Hyperlink"/>
          </w:rPr>
          <w:t>https://bmchealthservres.biomedcentral.com/articles/10.1186/s12913-021-07115-7</w:t>
        </w:r>
      </w:hyperlink>
      <w:r w:rsidR="009C7A65">
        <w:rPr/>
        <w:t xml:space="preserve"> (Accessed: 14 October 2025).</w:t>
      </w:r>
    </w:p>
    <w:p w:rsidR="009C7A65" w:rsidP="3B335F14" w:rsidRDefault="009C7A65" w14:paraId="54FA2538" w14:textId="77777777" w14:noSpellErr="1">
      <w:pPr>
        <w:jc w:val="left"/>
      </w:pPr>
      <w:r w:rsidR="009C7A65">
        <w:rPr/>
        <w:t xml:space="preserve">Care Quality Commission (2024/25) ‘Martha’s Rule roll-out update’. Available at: https://www.cqc.org.uk/news/stories/marthas-rule-180-nhs-trusts (Accessed: 14 October 2025). </w:t>
      </w:r>
    </w:p>
    <w:p w:rsidR="009C7A65" w:rsidP="3B335F14" w:rsidRDefault="009C7A65" w14:paraId="1B72C13E" w14:textId="77777777" w14:noSpellErr="1">
      <w:pPr>
        <w:jc w:val="left"/>
      </w:pPr>
      <w:r w:rsidR="009C7A65">
        <w:rPr/>
        <w:t xml:space="preserve">Care Quality Commission (2025) ‘Regulation 9: Person-centred care’. Available at: </w:t>
      </w:r>
      <w:hyperlink r:id="Re7fdf57bfabc4d29">
        <w:r w:rsidRPr="3B335F14" w:rsidR="009C7A65">
          <w:rPr>
            <w:rStyle w:val="Hyperlink"/>
          </w:rPr>
          <w:t>https://www.cqc.org.uk/guidance-regulation/providers/regulations-service-providers-and-managers/health-social-care-act/regulation-9</w:t>
        </w:r>
      </w:hyperlink>
      <w:r w:rsidR="009C7A65">
        <w:rPr/>
        <w:t xml:space="preserve"> (Accessed: 14 October 2025).</w:t>
      </w:r>
    </w:p>
    <w:p w:rsidR="009C7A65" w:rsidP="3B335F14" w:rsidRDefault="009C7A65" w14:paraId="1C6C3095" w14:textId="77777777" w14:noSpellErr="1">
      <w:pPr>
        <w:jc w:val="left"/>
      </w:pPr>
      <w:r w:rsidR="009C7A65">
        <w:rPr/>
        <w:t xml:space="preserve">Department of Health and Social Care (2022) ‘Changes to the MCA Code of Practice and implementation of the LPS: consultation’. Available at: </w:t>
      </w:r>
      <w:hyperlink r:id="R4ec4718bc5b64e41">
        <w:r w:rsidRPr="3B335F14" w:rsidR="009C7A65">
          <w:rPr>
            <w:rStyle w:val="Hyperlink"/>
          </w:rPr>
          <w:t>https://www.gov.uk/government/consultations/changes-to-the-mca-code-of-practice-and-implementation-of-the-lps</w:t>
        </w:r>
      </w:hyperlink>
      <w:r w:rsidR="009C7A65">
        <w:rPr/>
        <w:t xml:space="preserve"> (Accessed: 14 October 2025).</w:t>
      </w:r>
    </w:p>
    <w:p w:rsidR="009C7A65" w:rsidP="3B335F14" w:rsidRDefault="009C7A65" w14:paraId="7D907B6C" w14:textId="77777777" w14:noSpellErr="1">
      <w:pPr>
        <w:jc w:val="left"/>
      </w:pPr>
      <w:r w:rsidR="009C7A65">
        <w:rPr/>
        <w:t xml:space="preserve">General Medical Council (2024) </w:t>
      </w:r>
      <w:r w:rsidRPr="3B335F14" w:rsidR="009C7A65">
        <w:rPr>
          <w:i w:val="1"/>
          <w:iCs w:val="1"/>
        </w:rPr>
        <w:t>Good medical practice</w:t>
      </w:r>
      <w:r w:rsidR="009C7A65">
        <w:rPr/>
        <w:t xml:space="preserve">. Available at: https://www.gmc-uk.org/ethical-guidance/good-medical-practice (Accessed: 14 October 2025). </w:t>
      </w:r>
    </w:p>
    <w:p w:rsidR="009C7A65" w:rsidP="00CD64F1" w:rsidRDefault="009C7A65" w14:paraId="2ADBE063" w14:textId="77777777">
      <w:pPr>
        <w:rPr>
          <w:lang w:val="en-US"/>
        </w:rPr>
      </w:pPr>
      <w:r w:rsidRPr="00CD64F1">
        <w:rPr>
          <w:lang w:val="en-US"/>
        </w:rPr>
        <w:t xml:space="preserve">GMC (2021) </w:t>
      </w:r>
      <w:r w:rsidRPr="00CD64F1">
        <w:rPr>
          <w:i/>
          <w:iCs/>
          <w:lang w:val="en-US"/>
        </w:rPr>
        <w:t>The reflective practitioner: guidance</w:t>
      </w:r>
      <w:r w:rsidRPr="00CD64F1">
        <w:rPr>
          <w:lang w:val="en-US"/>
        </w:rPr>
        <w:t xml:space="preserve">. Available at: </w:t>
      </w:r>
      <w:hyperlink w:tgtFrame="_new" w:history="1" r:id="rId12">
        <w:r w:rsidRPr="00CD64F1">
          <w:rPr>
            <w:rStyle w:val="Hyperlink"/>
            <w:lang w:val="en-US"/>
          </w:rPr>
          <w:t>https://www.gmc-uk.org/-/media/documents/dc11703-pol-w-the-reflective-practioner-guidance-20210112_pdf-78479611.pdf</w:t>
        </w:r>
      </w:hyperlink>
      <w:r w:rsidRPr="00CD64F1">
        <w:rPr>
          <w:lang w:val="en-US"/>
        </w:rPr>
        <w:t xml:space="preserve"> (Accessed: 14 October 2025).</w:t>
      </w:r>
    </w:p>
    <w:p w:rsidR="009C7A65" w:rsidP="00CD64F1" w:rsidRDefault="009C7A65" w14:paraId="503BFD12" w14:textId="77777777">
      <w:pPr>
        <w:rPr>
          <w:lang w:val="en-US"/>
        </w:rPr>
      </w:pPr>
      <w:r w:rsidRPr="00CD64F1">
        <w:rPr>
          <w:lang w:val="en-US"/>
        </w:rPr>
        <w:t xml:space="preserve">GMC (2024) </w:t>
      </w:r>
      <w:r w:rsidRPr="00CD64F1">
        <w:rPr>
          <w:i/>
          <w:iCs/>
          <w:lang w:val="en-US"/>
        </w:rPr>
        <w:t>Decision making and consent</w:t>
      </w:r>
      <w:r w:rsidRPr="00CD64F1">
        <w:rPr>
          <w:lang w:val="en-US"/>
        </w:rPr>
        <w:t xml:space="preserve">. Available at: </w:t>
      </w:r>
      <w:hyperlink w:tgtFrame="_new" w:history="1" r:id="rId13">
        <w:r w:rsidRPr="00CD64F1">
          <w:rPr>
            <w:rStyle w:val="Hyperlink"/>
            <w:lang w:val="en-US"/>
          </w:rPr>
          <w:t>https://www.gmc-uk.org/professional-standards/the-professional-standards/decision-making-and-consent</w:t>
        </w:r>
      </w:hyperlink>
      <w:r w:rsidRPr="00CD64F1">
        <w:rPr>
          <w:lang w:val="en-US"/>
        </w:rPr>
        <w:t xml:space="preserve"> (Accessed: 14 October 2025).</w:t>
      </w:r>
    </w:p>
    <w:p w:rsidR="009C7A65" w:rsidP="00CD64F1" w:rsidRDefault="009C7A65" w14:paraId="286883D7" w14:textId="77777777">
      <w:pPr>
        <w:rPr>
          <w:lang w:val="en-US"/>
        </w:rPr>
      </w:pPr>
      <w:r w:rsidRPr="00CD64F1">
        <w:rPr>
          <w:lang w:val="en-US"/>
        </w:rPr>
        <w:t>HCPC (2021) ‘Reflective practice: templates and guidance’. Available at: https://www.hcpc-uk.org/standards/meeting-our-standards/reflective-practice/ (Accessed: 14 October 2025).</w:t>
      </w:r>
    </w:p>
    <w:p w:rsidR="009C7A65" w:rsidRDefault="009C7A65" w14:paraId="4C96A2F3" w14:textId="77777777">
      <w:r w:rsidRPr="00CD64F1">
        <w:t xml:space="preserve">Health and Care Professions Council (2024) </w:t>
      </w:r>
      <w:r w:rsidRPr="00CD64F1">
        <w:rPr>
          <w:i/>
          <w:iCs/>
        </w:rPr>
        <w:t>Standards of conduct, performance and ethics</w:t>
      </w:r>
      <w:r w:rsidRPr="00CD64F1">
        <w:t>. Available at: https://www.hcpc-uk.org/standards/standards-of-conduct-performance-and-ethics/ (Accessed: 14 October 2025).</w:t>
      </w:r>
      <w:hyperlink w:tgtFrame="_blank" w:history="1" r:id="rId14">
        <w:r w:rsidRPr="00CD64F1">
          <w:rPr>
            <w:rStyle w:val="Hyperlink"/>
          </w:rPr>
          <w:t>rcot.co.uk</w:t>
        </w:r>
      </w:hyperlink>
    </w:p>
    <w:p w:rsidR="009C7A65" w:rsidP="00CD64F1" w:rsidRDefault="009C7A65" w14:paraId="49F627EF" w14:textId="77777777">
      <w:pPr>
        <w:rPr>
          <w:lang w:val="en-US"/>
        </w:rPr>
      </w:pPr>
      <w:r w:rsidRPr="00CD64F1">
        <w:rPr>
          <w:lang w:val="en-US"/>
        </w:rPr>
        <w:t xml:space="preserve">ICO (2021) </w:t>
      </w:r>
      <w:r w:rsidRPr="00CD64F1">
        <w:rPr>
          <w:i/>
          <w:iCs/>
          <w:lang w:val="en-US"/>
        </w:rPr>
        <w:t>Data sharing: a code of practice</w:t>
      </w:r>
      <w:r w:rsidRPr="00CD64F1">
        <w:rPr>
          <w:lang w:val="en-US"/>
        </w:rPr>
        <w:t xml:space="preserve">. Available at: </w:t>
      </w:r>
      <w:hyperlink w:tgtFrame="_new" w:history="1" r:id="rId15">
        <w:r w:rsidRPr="00CD64F1">
          <w:rPr>
            <w:rStyle w:val="Hyperlink"/>
            <w:lang w:val="en-US"/>
          </w:rPr>
          <w:t>https://ico.org.uk/for-organisations/uk-gdpr-guidance-and-resources/data-sharing/data-sharing-a-code-of-practice/</w:t>
        </w:r>
      </w:hyperlink>
      <w:r w:rsidRPr="00CD64F1">
        <w:rPr>
          <w:lang w:val="en-US"/>
        </w:rPr>
        <w:t xml:space="preserve"> (Accessed: 14 October 2025).</w:t>
      </w:r>
    </w:p>
    <w:p w:rsidR="009C7A65" w:rsidRDefault="009C7A65" w14:paraId="0366C5A2" w14:textId="797170AA">
      <w:r w:rsidRPr="00CD64F1">
        <w:t xml:space="preserve">Information Commissioner’s Office (2021) ‘Data sharing: a code of practice’. Available at: </w:t>
      </w:r>
      <w:hyperlink w:tgtFrame="_new" w:history="1" r:id="rId16">
        <w:r w:rsidRPr="00CD64F1">
          <w:rPr>
            <w:rStyle w:val="Hyperlink"/>
          </w:rPr>
          <w:t>https://ico.org.uk/for-organisations/uk-gdpr-guidance-and-resources/data-sharing/data-sharing-a-code-of-practice/</w:t>
        </w:r>
      </w:hyperlink>
      <w:r w:rsidRPr="00CD64F1">
        <w:t xml:space="preserve"> (Accessed: 14 October 2025).</w:t>
      </w:r>
      <w:hyperlink w:tgtFrame="_blank" w:history="1" r:id="rId17">
        <w:r>
          <w:rPr>
            <w:rStyle w:val="Hyperlink"/>
          </w:rPr>
          <w:t>https://ico.org.uk/for-organisations/uk-gdpr-guidance-and-resources/data-sharing/data-sharing-a-code-of-practice/?q=health+data&amp;</w:t>
        </w:r>
      </w:hyperlink>
    </w:p>
    <w:p w:rsidR="009C7A65" w:rsidP="3B335F14" w:rsidRDefault="009C7A65" w14:paraId="18B8881C" w14:textId="45445883">
      <w:pPr>
        <w:jc w:val="left"/>
        <w:rPr>
          <w:lang w:val="en-US"/>
        </w:rPr>
      </w:pPr>
      <w:r w:rsidRPr="3B335F14" w:rsidR="009C7A65">
        <w:rPr>
          <w:lang w:val="en-US"/>
        </w:rPr>
        <w:t>NHS</w:t>
      </w:r>
      <w:r w:rsidRPr="3B335F14" w:rsidR="7AB17AAA">
        <w:rPr>
          <w:lang w:val="en-US"/>
        </w:rPr>
        <w:t xml:space="preserve"> </w:t>
      </w:r>
      <w:r w:rsidRPr="3B335F14" w:rsidR="009C7A65">
        <w:rPr>
          <w:lang w:val="en-US"/>
        </w:rPr>
        <w:t>England (2019) ‘</w:t>
      </w:r>
      <w:r w:rsidRPr="3B335F14" w:rsidR="009C7A65">
        <w:rPr>
          <w:lang w:val="en-US"/>
        </w:rPr>
        <w:t>Mrs</w:t>
      </w:r>
      <w:r w:rsidRPr="3B335F14" w:rsidR="009C7A65">
        <w:rPr>
          <w:lang w:val="en-US"/>
        </w:rPr>
        <w:t xml:space="preserve"> C’s story’. Available at: </w:t>
      </w:r>
      <w:hyperlink r:id="Rbc7063ab65b340f0">
        <w:r w:rsidRPr="3B335F14" w:rsidR="009C7A65">
          <w:rPr>
            <w:rStyle w:val="Hyperlink"/>
            <w:lang w:val="en-US"/>
          </w:rPr>
          <w:t>https://www.england.nhs.uk/personalisedcare/comprehensive-model/case-studies/mrs-cs-story/</w:t>
        </w:r>
      </w:hyperlink>
      <w:r w:rsidRPr="3B335F14" w:rsidR="009C7A65">
        <w:rPr>
          <w:lang w:val="en-US"/>
        </w:rPr>
        <w:t xml:space="preserve"> (Accessed: 14 October 2025).</w:t>
      </w:r>
    </w:p>
    <w:p w:rsidR="009C7A65" w:rsidP="00CD64F1" w:rsidRDefault="009C7A65" w14:paraId="7A4A4CBF" w14:textId="77777777">
      <w:pPr>
        <w:rPr>
          <w:lang w:val="en-US"/>
        </w:rPr>
      </w:pPr>
      <w:r w:rsidRPr="00CD64F1">
        <w:rPr>
          <w:lang w:val="en-US"/>
        </w:rPr>
        <w:t xml:space="preserve">NHS England (2022) ‘Shared Decision-Making: Summary Guide’. Available at: </w:t>
      </w:r>
      <w:hyperlink w:tgtFrame="_new" w:history="1" r:id="rId19">
        <w:r w:rsidRPr="00CD64F1">
          <w:rPr>
            <w:rStyle w:val="Hyperlink"/>
            <w:lang w:val="en-US"/>
          </w:rPr>
          <w:t>https://www.england.nhs.uk/publication/shared-decision-making-summary-guide/</w:t>
        </w:r>
      </w:hyperlink>
      <w:r w:rsidRPr="00CD64F1">
        <w:rPr>
          <w:lang w:val="en-US"/>
        </w:rPr>
        <w:t xml:space="preserve"> (Accessed: 14 October 2025).</w:t>
      </w:r>
    </w:p>
    <w:p w:rsidR="009C7A65" w:rsidP="00CD64F1" w:rsidRDefault="009C7A65" w14:paraId="0F6F2C88" w14:textId="77777777">
      <w:pPr>
        <w:rPr>
          <w:lang w:val="en-US"/>
        </w:rPr>
      </w:pPr>
      <w:r w:rsidRPr="00CD64F1">
        <w:rPr>
          <w:lang w:val="en-US"/>
        </w:rPr>
        <w:t xml:space="preserve">NHS England and NHS Improvement (2017) </w:t>
      </w:r>
      <w:r w:rsidRPr="00CD64F1">
        <w:rPr>
          <w:i/>
          <w:iCs/>
          <w:lang w:val="en-US"/>
        </w:rPr>
        <w:t>SBAR implementation and training guide</w:t>
      </w:r>
      <w:r w:rsidRPr="00CD64F1">
        <w:rPr>
          <w:lang w:val="en-US"/>
        </w:rPr>
        <w:t xml:space="preserve">. Available at: </w:t>
      </w:r>
      <w:hyperlink w:tgtFrame="_new" w:history="1" r:id="rId20">
        <w:r w:rsidRPr="00CD64F1">
          <w:rPr>
            <w:rStyle w:val="Hyperlink"/>
            <w:lang w:val="en-US"/>
          </w:rPr>
          <w:t>https://www.england.nhs.uk/improvement-hub/wp-content/uploads/sites/44/2017/11/SBAR-Implementation-and-Training-Guide.pdf</w:t>
        </w:r>
      </w:hyperlink>
      <w:r w:rsidRPr="00CD64F1">
        <w:rPr>
          <w:lang w:val="en-US"/>
        </w:rPr>
        <w:t xml:space="preserve"> (Accessed: 14 October 2025).</w:t>
      </w:r>
    </w:p>
    <w:p w:rsidR="009C7A65" w:rsidRDefault="009C7A65" w14:paraId="370C1B86" w14:textId="77777777">
      <w:r w:rsidRPr="00CD64F1">
        <w:t xml:space="preserve">NHS England Digital (2025) ‘Personal Health Budgets: Q4 2024–25’. Available at: </w:t>
      </w:r>
      <w:hyperlink w:history="1" r:id="rId21">
        <w:r w:rsidRPr="00232C7A">
          <w:rPr>
            <w:rStyle w:val="Hyperlink"/>
          </w:rPr>
          <w:t>https://digital.nhs.uk/data-and-information/publications/statistical/personal-health-budgets/2024-25-q4/personal-health-budgets-q4-2024-25</w:t>
        </w:r>
      </w:hyperlink>
      <w:r w:rsidRPr="00CD64F1">
        <w:t xml:space="preserve"> (Accessed: 14 October 2025). </w:t>
      </w:r>
    </w:p>
    <w:p w:rsidR="009C7A65" w:rsidP="00CD64F1" w:rsidRDefault="009C7A65" w14:paraId="6688AD68" w14:textId="77777777">
      <w:pPr>
        <w:rPr>
          <w:lang w:val="en-US"/>
        </w:rPr>
      </w:pPr>
      <w:r w:rsidRPr="00CD64F1">
        <w:rPr>
          <w:lang w:val="en-US"/>
        </w:rPr>
        <w:t xml:space="preserve">NHS England Digital (2025) </w:t>
      </w:r>
      <w:r w:rsidRPr="00CD64F1">
        <w:rPr>
          <w:i/>
          <w:iCs/>
          <w:lang w:val="en-US"/>
        </w:rPr>
        <w:t>Personal Health Budgets: Quarter 4 2024–25</w:t>
      </w:r>
      <w:r w:rsidRPr="00CD64F1">
        <w:rPr>
          <w:lang w:val="en-US"/>
        </w:rPr>
        <w:t xml:space="preserve">. Available at: </w:t>
      </w:r>
      <w:hyperlink w:tgtFrame="_new" w:history="1" r:id="rId22">
        <w:r w:rsidRPr="00CD64F1">
          <w:rPr>
            <w:rStyle w:val="Hyperlink"/>
            <w:lang w:val="en-US"/>
          </w:rPr>
          <w:t>https://digital.nhs.uk/data-and-information/publications/statistical/personal-health-budgets/2024-25-q4/personal-health-budgets-q4-2024-25</w:t>
        </w:r>
      </w:hyperlink>
      <w:r w:rsidRPr="00CD64F1">
        <w:rPr>
          <w:lang w:val="en-US"/>
        </w:rPr>
        <w:t xml:space="preserve"> (Accessed: 14 October 2025).</w:t>
      </w:r>
    </w:p>
    <w:p w:rsidR="009C7A65" w:rsidP="3B335F14" w:rsidRDefault="009C7A65" w14:paraId="247164CC" w14:textId="77777777" w14:noSpellErr="1">
      <w:pPr>
        <w:jc w:val="left"/>
      </w:pPr>
      <w:r w:rsidR="009C7A65">
        <w:rPr/>
        <w:t xml:space="preserve">NHSX (2021) ‘Information Governance Framework for Integrated Health and Care’. Available at: </w:t>
      </w:r>
      <w:hyperlink r:id="R4da6a34645a34278">
        <w:r w:rsidRPr="3B335F14" w:rsidR="009C7A65">
          <w:rPr>
            <w:rStyle w:val="Hyperlink"/>
          </w:rPr>
          <w:t>https://transform.england.nhs.uk/media/documents/NHSX_IG_Framework_V6.pdf</w:t>
        </w:r>
      </w:hyperlink>
      <w:r w:rsidR="009C7A65">
        <w:rPr/>
        <w:t xml:space="preserve"> (Accessed: 14 October 2025).</w:t>
      </w:r>
    </w:p>
    <w:p w:rsidR="009C7A65" w:rsidP="3B335F14" w:rsidRDefault="009C7A65" w14:paraId="2D349CCF" w14:textId="77777777" w14:noSpellErr="1">
      <w:pPr>
        <w:jc w:val="left"/>
      </w:pPr>
      <w:r w:rsidR="009C7A65">
        <w:rPr/>
        <w:t xml:space="preserve">NICE (2018) </w:t>
      </w:r>
      <w:r w:rsidRPr="3B335F14" w:rsidR="009C7A65">
        <w:rPr>
          <w:i w:val="1"/>
          <w:iCs w:val="1"/>
        </w:rPr>
        <w:t>Emergency and acute medical care in over 16s: service delivery and organisation (NG94), Ch. 29 Multidisciplinary team meetings (evidence)</w:t>
      </w:r>
      <w:r w:rsidR="009C7A65">
        <w:rPr/>
        <w:t xml:space="preserve">. Available at: </w:t>
      </w:r>
      <w:hyperlink r:id="R4bb5b3c2cf3248e0">
        <w:r w:rsidRPr="3B335F14" w:rsidR="009C7A65">
          <w:rPr>
            <w:rStyle w:val="Hyperlink"/>
          </w:rPr>
          <w:t>https://www.nice.org.uk/guidance/ng94/evidence/29-multidisciplinary-team-meetings-pdf-172397464668</w:t>
        </w:r>
      </w:hyperlink>
      <w:r w:rsidR="009C7A65">
        <w:rPr/>
        <w:t xml:space="preserve"> (Accessed: 14 October 2025). </w:t>
      </w:r>
    </w:p>
    <w:p w:rsidR="009C7A65" w:rsidP="3B335F14" w:rsidRDefault="009C7A65" w14:paraId="56707B9A" w14:textId="77777777" w14:noSpellErr="1">
      <w:pPr>
        <w:jc w:val="left"/>
      </w:pPr>
      <w:r w:rsidR="009C7A65">
        <w:rPr/>
        <w:t xml:space="preserve">NICE (2019) ‘Chronic obstructive pulmonary disease in over 16s: diagnosis and management (NG115)’. Available at: </w:t>
      </w:r>
      <w:hyperlink r:id="R2b2e5e43d2ee47fa">
        <w:r w:rsidRPr="3B335F14" w:rsidR="009C7A65">
          <w:rPr>
            <w:rStyle w:val="Hyperlink"/>
          </w:rPr>
          <w:t>https://www.nice.org.uk/guidance/ng115/chapter/Recommendations</w:t>
        </w:r>
      </w:hyperlink>
      <w:r w:rsidR="009C7A65">
        <w:rPr/>
        <w:t xml:space="preserve"> (Accessed: 14 October 2025).</w:t>
      </w:r>
    </w:p>
    <w:p w:rsidR="009C7A65" w:rsidP="3B335F14" w:rsidRDefault="009C7A65" w14:paraId="3442AAF2" w14:textId="77777777" w14:noSpellErr="1">
      <w:pPr>
        <w:jc w:val="left"/>
      </w:pPr>
      <w:r w:rsidR="009C7A65">
        <w:rPr/>
        <w:t xml:space="preserve">NICE (2021) ‘Shared decision making (NG197)’. Available at: </w:t>
      </w:r>
      <w:hyperlink r:id="R8c6c404097ef45f9">
        <w:r w:rsidRPr="3B335F14" w:rsidR="009C7A65">
          <w:rPr>
            <w:rStyle w:val="Hyperlink"/>
          </w:rPr>
          <w:t>https://www.nice.org.uk/guidance/ng197</w:t>
        </w:r>
      </w:hyperlink>
      <w:r w:rsidR="009C7A65">
        <w:rPr/>
        <w:t xml:space="preserve"> (Accessed: 14 October 2025).</w:t>
      </w:r>
    </w:p>
    <w:p w:rsidR="009C7A65" w:rsidP="3B335F14" w:rsidRDefault="009C7A65" w14:paraId="7CA4E43F" w14:textId="77777777" w14:noSpellErr="1">
      <w:pPr>
        <w:jc w:val="left"/>
      </w:pPr>
      <w:r w:rsidR="009C7A65">
        <w:rPr/>
        <w:t xml:space="preserve">NICE (2024) </w:t>
      </w:r>
      <w:r w:rsidRPr="3B335F14" w:rsidR="009C7A65">
        <w:rPr>
          <w:i w:val="1"/>
          <w:iCs w:val="1"/>
        </w:rPr>
        <w:t>Digital technologies to support self-management of COPD (HTE19)</w:t>
      </w:r>
      <w:r w:rsidR="009C7A65">
        <w:rPr/>
        <w:t xml:space="preserve">. Available at: </w:t>
      </w:r>
      <w:hyperlink r:id="R878d28fb31034791">
        <w:r w:rsidRPr="3B335F14" w:rsidR="009C7A65">
          <w:rPr>
            <w:rStyle w:val="Hyperlink"/>
          </w:rPr>
          <w:t>https://www.nice.org.uk/guidance/hte19/resources/digital-technologies-to-support-selfmanagement-of-copd-early-value-assessment-pdf-50261979675589</w:t>
        </w:r>
      </w:hyperlink>
      <w:r w:rsidR="009C7A65">
        <w:rPr/>
        <w:t xml:space="preserve"> (Accessed: 14 October 2025). </w:t>
      </w:r>
    </w:p>
    <w:p w:rsidR="009C7A65" w:rsidP="3B335F14" w:rsidRDefault="009C7A65" w14:paraId="5CD53906" w14:textId="77777777" w14:noSpellErr="1">
      <w:pPr>
        <w:jc w:val="left"/>
      </w:pPr>
      <w:r w:rsidR="009C7A65">
        <w:rPr/>
        <w:t xml:space="preserve">Stacey, D. et al. (2024) ‘Cochrane’s decision aids review—evidence and future directions’, </w:t>
      </w:r>
      <w:r w:rsidRPr="3B335F14" w:rsidR="009C7A65">
        <w:rPr>
          <w:i w:val="1"/>
          <w:iCs w:val="1"/>
        </w:rPr>
        <w:t>Cochrane Editorial</w:t>
      </w:r>
      <w:r w:rsidR="009C7A65">
        <w:rPr/>
        <w:t>. Available at: https://www.cochrane.org/news/updated-cochrane-review-decisions (Accessed: 14 October 2025).</w:t>
      </w:r>
    </w:p>
    <w:p w:rsidR="009C7A65" w:rsidP="3B335F14" w:rsidRDefault="009C7A65" w14:paraId="7AF989D8" w14:textId="77777777" w14:noSpellErr="1">
      <w:pPr>
        <w:jc w:val="left"/>
      </w:pPr>
      <w:r w:rsidR="009C7A65">
        <w:rPr/>
        <w:t xml:space="preserve">The King’s Fund (2022) ‘Integrated care systems explained’. Available at: </w:t>
      </w:r>
      <w:hyperlink r:id="R4cbca22e853145d4">
        <w:r w:rsidRPr="3B335F14" w:rsidR="009C7A65">
          <w:rPr>
            <w:rStyle w:val="Hyperlink"/>
          </w:rPr>
          <w:t>https://www.kingsfund.org.uk/insight-and-analysis/long-reads/integrated-care-systems-explained</w:t>
        </w:r>
      </w:hyperlink>
      <w:r w:rsidR="009C7A65">
        <w:rPr/>
        <w:t xml:space="preserve"> (Accessed: 14 October 2025). </w:t>
      </w:r>
    </w:p>
    <w:p w:rsidRPr="00CD64F1" w:rsidR="009C7A65" w:rsidP="3B335F14" w:rsidRDefault="009C7A65" w14:paraId="522A2E89" w14:textId="77777777" w14:noSpellErr="1">
      <w:pPr>
        <w:jc w:val="left"/>
        <w:rPr>
          <w:lang w:val="en-US"/>
        </w:rPr>
      </w:pPr>
      <w:r w:rsidRPr="3B335F14" w:rsidR="009C7A65">
        <w:rPr>
          <w:lang w:val="en-US"/>
        </w:rPr>
        <w:t xml:space="preserve">The King’s Fund (2022) ‘The Health and Care Act: six key </w:t>
      </w:r>
      <w:r w:rsidRPr="3B335F14" w:rsidR="009C7A65">
        <w:rPr>
          <w:lang w:val="en-US"/>
        </w:rPr>
        <w:t>questions’</w:t>
      </w:r>
      <w:r w:rsidRPr="3B335F14" w:rsidR="009C7A65">
        <w:rPr>
          <w:lang w:val="en-US"/>
        </w:rPr>
        <w:t xml:space="preserve">. Available at: </w:t>
      </w:r>
      <w:hyperlink r:id="Re13a83d0d1f14cdb">
        <w:r w:rsidRPr="3B335F14" w:rsidR="009C7A65">
          <w:rPr>
            <w:rStyle w:val="Hyperlink"/>
            <w:lang w:val="en-US"/>
          </w:rPr>
          <w:t>https://www.kingsfund.org.uk/insight-and-analysis/long-reads/health-and-care-act-key-questions</w:t>
        </w:r>
      </w:hyperlink>
      <w:r w:rsidRPr="3B335F14" w:rsidR="009C7A65">
        <w:rPr>
          <w:lang w:val="en-US"/>
        </w:rPr>
        <w:t xml:space="preserve"> (Accessed: 14 October 2025).</w:t>
      </w:r>
    </w:p>
    <w:sectPr w:rsidRPr="00CD64F1" w:rsidR="009C7A65">
      <w:footerReference w:type="default" r:id="rId30"/>
      <w:pgSz w:w="12240" w:h="15840" w:orient="portrait"/>
      <w:pgMar w:top="1440" w:right="1440" w:bottom="1440" w:left="1440" w:header="708" w:footer="708" w:gutter="0"/>
      <w:cols w:space="708"/>
      <w:docGrid w:linePitch="360"/>
      <w:headerReference w:type="default" r:id="R108e70d0f5e340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5D18" w:rsidP="00982068" w:rsidRDefault="002C5D18" w14:paraId="4C72C4DF" w14:textId="77777777">
      <w:pPr>
        <w:spacing w:after="0" w:line="240" w:lineRule="auto"/>
      </w:pPr>
      <w:r>
        <w:separator/>
      </w:r>
    </w:p>
  </w:endnote>
  <w:endnote w:type="continuationSeparator" w:id="0">
    <w:p w:rsidR="002C5D18" w:rsidP="00982068" w:rsidRDefault="002C5D18" w14:paraId="588A76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481791"/>
      <w:docPartObj>
        <w:docPartGallery w:val="Page Numbers (Bottom of Page)"/>
        <w:docPartUnique/>
      </w:docPartObj>
    </w:sdtPr>
    <w:sdtEndPr>
      <w:rPr>
        <w:noProof/>
      </w:rPr>
    </w:sdtEndPr>
    <w:sdtContent>
      <w:p w:rsidR="00982068" w:rsidRDefault="00982068" w14:paraId="4D144E37" w14:textId="77777777">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982068" w:rsidRDefault="00982068" w14:paraId="1F0965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5D18" w:rsidP="00982068" w:rsidRDefault="002C5D18" w14:paraId="1311C4AF" w14:textId="77777777">
      <w:pPr>
        <w:spacing w:after="0" w:line="240" w:lineRule="auto"/>
      </w:pPr>
      <w:r>
        <w:separator/>
      </w:r>
    </w:p>
  </w:footnote>
  <w:footnote w:type="continuationSeparator" w:id="0">
    <w:p w:rsidR="002C5D18" w:rsidP="00982068" w:rsidRDefault="002C5D18" w14:paraId="155A9B1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B335F14" w:rsidTr="3B335F14" w14:paraId="0AFD4565">
      <w:trPr>
        <w:trHeight w:val="300"/>
      </w:trPr>
      <w:tc>
        <w:tcPr>
          <w:tcW w:w="3120" w:type="dxa"/>
          <w:tcMar/>
        </w:tcPr>
        <w:p w:rsidR="3B335F14" w:rsidP="3B335F14" w:rsidRDefault="3B335F14" w14:paraId="6AC2C161" w14:textId="4B67BF57">
          <w:pPr>
            <w:pStyle w:val="Header"/>
            <w:bidi w:val="0"/>
            <w:ind w:left="-115"/>
            <w:jc w:val="left"/>
          </w:pPr>
        </w:p>
      </w:tc>
      <w:tc>
        <w:tcPr>
          <w:tcW w:w="3120" w:type="dxa"/>
          <w:tcMar/>
        </w:tcPr>
        <w:p w:rsidR="3B335F14" w:rsidP="3B335F14" w:rsidRDefault="3B335F14" w14:paraId="79994100" w14:textId="15D93ABE">
          <w:pPr>
            <w:pStyle w:val="Header"/>
            <w:bidi w:val="0"/>
            <w:jc w:val="center"/>
          </w:pPr>
        </w:p>
      </w:tc>
      <w:tc>
        <w:tcPr>
          <w:tcW w:w="3120" w:type="dxa"/>
          <w:tcMar/>
        </w:tcPr>
        <w:p w:rsidR="3B335F14" w:rsidP="3B335F14" w:rsidRDefault="3B335F14" w14:paraId="6E7F9B6D" w14:textId="3A4B6F32">
          <w:pPr>
            <w:pStyle w:val="Header"/>
            <w:bidi w:val="0"/>
            <w:ind w:right="-115"/>
            <w:jc w:val="right"/>
          </w:pPr>
        </w:p>
      </w:tc>
    </w:tr>
  </w:tbl>
  <w:p w:rsidR="3B335F14" w:rsidP="3B335F14" w:rsidRDefault="3B335F14" w14:paraId="2862A184" w14:textId="709D1B1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3Mqs+57wBzlw0y" int2:id="643fljm5">
      <int2:state int2:type="spell" int2:value="Rejected"/>
    </int2:textHash>
    <int2:textHash int2:hashCode="oAGuuuf78YljQX" int2:id="zvQFkeGf">
      <int2:state int2:type="spell" int2:value="Rejected"/>
    </int2:textHash>
    <int2:textHash int2:hashCode="E/MtBS9FBLMCOp" int2:id="4zR0gV7t">
      <int2:state int2:type="spell" int2:value="Rejected"/>
    </int2:textHash>
    <int2:textHash int2:hashCode="nRSox3TdiEm2GZ" int2:id="DMaOrjf7">
      <int2:state int2:type="spell" int2:value="Rejected"/>
    </int2:textHash>
    <int2:textHash int2:hashCode="DfFG05gpKgeKun" int2:id="siGh0qOX">
      <int2:state int2:type="spell" int2:value="Rejected"/>
    </int2:textHash>
    <int2:textHash int2:hashCode="ibp3p9vECz0eg5" int2:id="97mExkme">
      <int2:state int2:type="spell" int2:value="Rejected"/>
    </int2:textHash>
    <int2:textHash int2:hashCode="YSJy6WMREPqOIS" int2:id="QiSu52Rk">
      <int2:state int2:type="spell" int2:value="Rejected"/>
    </int2:textHash>
    <int2:textHash int2:hashCode="eM7dQ/ZGBCbQys" int2:id="mhfLB8s0">
      <int2:state int2:type="spell" int2:value="Rejected"/>
    </int2:textHash>
    <int2:textHash int2:hashCode="WjybSft9cNgwQ+" int2:id="cj2dmJMZ">
      <int2:state int2:type="spell" int2:value="Rejected"/>
    </int2:textHash>
    <int2:textHash int2:hashCode="gOigg3B4VG+1IR" int2:id="czk12vPk">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C16038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22958937">
    <w:abstractNumId w:val="1"/>
  </w:num>
  <w:num w:numId="2" w16cid:durableId="1927303779">
    <w:abstractNumId w:val="1"/>
  </w:num>
  <w:num w:numId="3" w16cid:durableId="345327667">
    <w:abstractNumId w:val="1"/>
  </w:num>
  <w:num w:numId="4" w16cid:durableId="661086701">
    <w:abstractNumId w:val="0"/>
  </w:num>
  <w:num w:numId="5" w16cid:durableId="732580722">
    <w:abstractNumId w:val="4"/>
  </w:num>
  <w:num w:numId="6" w16cid:durableId="1134442350">
    <w:abstractNumId w:val="4"/>
  </w:num>
  <w:num w:numId="7" w16cid:durableId="538469302">
    <w:abstractNumId w:val="5"/>
  </w:num>
  <w:num w:numId="8" w16cid:durableId="2011329914">
    <w:abstractNumId w:val="2"/>
  </w:num>
  <w:num w:numId="9" w16cid:durableId="980428459">
    <w:abstractNumId w:val="2"/>
  </w:num>
  <w:num w:numId="10" w16cid:durableId="1902516877">
    <w:abstractNumId w:val="3"/>
  </w:num>
  <w:num w:numId="11" w16cid:durableId="4140849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DDD"/>
    <w:rsid w:val="00046428"/>
    <w:rsid w:val="00072CC6"/>
    <w:rsid w:val="000B62B4"/>
    <w:rsid w:val="00202502"/>
    <w:rsid w:val="002841A6"/>
    <w:rsid w:val="002C5D18"/>
    <w:rsid w:val="0036387C"/>
    <w:rsid w:val="00370BC9"/>
    <w:rsid w:val="003A1A88"/>
    <w:rsid w:val="003B1FE5"/>
    <w:rsid w:val="003C1851"/>
    <w:rsid w:val="004637DC"/>
    <w:rsid w:val="0049201B"/>
    <w:rsid w:val="0049220C"/>
    <w:rsid w:val="005826BF"/>
    <w:rsid w:val="0068053A"/>
    <w:rsid w:val="00705D42"/>
    <w:rsid w:val="0071683B"/>
    <w:rsid w:val="00762DDD"/>
    <w:rsid w:val="007C31C1"/>
    <w:rsid w:val="007C4191"/>
    <w:rsid w:val="00825FF9"/>
    <w:rsid w:val="00827658"/>
    <w:rsid w:val="00874043"/>
    <w:rsid w:val="008B518F"/>
    <w:rsid w:val="008C3646"/>
    <w:rsid w:val="0096742F"/>
    <w:rsid w:val="00982068"/>
    <w:rsid w:val="009959B6"/>
    <w:rsid w:val="009C7A65"/>
    <w:rsid w:val="00AF58C0"/>
    <w:rsid w:val="00B30A85"/>
    <w:rsid w:val="00B344BA"/>
    <w:rsid w:val="00B40632"/>
    <w:rsid w:val="00B733D2"/>
    <w:rsid w:val="00CC4701"/>
    <w:rsid w:val="00CD64F1"/>
    <w:rsid w:val="00E36FCE"/>
    <w:rsid w:val="00E82CB5"/>
    <w:rsid w:val="01159441"/>
    <w:rsid w:val="01ADA104"/>
    <w:rsid w:val="053C0F15"/>
    <w:rsid w:val="0556EFF4"/>
    <w:rsid w:val="062260B3"/>
    <w:rsid w:val="0695207F"/>
    <w:rsid w:val="07D26DE0"/>
    <w:rsid w:val="0A79B61B"/>
    <w:rsid w:val="0B6F02B6"/>
    <w:rsid w:val="0C6C1C85"/>
    <w:rsid w:val="0F39AD2A"/>
    <w:rsid w:val="122335CF"/>
    <w:rsid w:val="14DF99A1"/>
    <w:rsid w:val="162213CA"/>
    <w:rsid w:val="16CC08E0"/>
    <w:rsid w:val="18A8A8F8"/>
    <w:rsid w:val="19491936"/>
    <w:rsid w:val="1B6B6648"/>
    <w:rsid w:val="1C8B103F"/>
    <w:rsid w:val="1D0551B9"/>
    <w:rsid w:val="2344A725"/>
    <w:rsid w:val="23556B73"/>
    <w:rsid w:val="2699C091"/>
    <w:rsid w:val="293F5550"/>
    <w:rsid w:val="2BC9C748"/>
    <w:rsid w:val="2E81791E"/>
    <w:rsid w:val="31076860"/>
    <w:rsid w:val="341D9016"/>
    <w:rsid w:val="354DD92E"/>
    <w:rsid w:val="36A145A6"/>
    <w:rsid w:val="371E40A5"/>
    <w:rsid w:val="3AD63EDA"/>
    <w:rsid w:val="3B335F14"/>
    <w:rsid w:val="412BBC46"/>
    <w:rsid w:val="4254E9AB"/>
    <w:rsid w:val="4326050E"/>
    <w:rsid w:val="432E65E2"/>
    <w:rsid w:val="4374596D"/>
    <w:rsid w:val="47C17BC5"/>
    <w:rsid w:val="48736302"/>
    <w:rsid w:val="49F7FDFA"/>
    <w:rsid w:val="4C563BC9"/>
    <w:rsid w:val="4DBDB1D9"/>
    <w:rsid w:val="4EB3E0D3"/>
    <w:rsid w:val="519B9F88"/>
    <w:rsid w:val="55AB7568"/>
    <w:rsid w:val="5638473C"/>
    <w:rsid w:val="5A17109E"/>
    <w:rsid w:val="5B12F093"/>
    <w:rsid w:val="5C56112E"/>
    <w:rsid w:val="5CED1DF7"/>
    <w:rsid w:val="5D4EE76A"/>
    <w:rsid w:val="5D8502D4"/>
    <w:rsid w:val="6A1DA16A"/>
    <w:rsid w:val="6A242BAC"/>
    <w:rsid w:val="6A9E1A64"/>
    <w:rsid w:val="6B2EA900"/>
    <w:rsid w:val="6C23A166"/>
    <w:rsid w:val="6E77304F"/>
    <w:rsid w:val="6F37A999"/>
    <w:rsid w:val="7056B75C"/>
    <w:rsid w:val="70DAB1D0"/>
    <w:rsid w:val="77BC6E83"/>
    <w:rsid w:val="77CDCA14"/>
    <w:rsid w:val="78889A16"/>
    <w:rsid w:val="79641ED8"/>
    <w:rsid w:val="7AB17AAA"/>
    <w:rsid w:val="7EDD50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10FFD"/>
  <w15:chartTrackingRefBased/>
  <w15:docId w15:val="{1F4EF4D4-A8DE-40E2-8C75-758CF66F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1"/>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hAnsiTheme="majorBidi" w:eastAsiaTheme="majorEastAsia" w:cstheme="majorBidi"/>
      <w:b/>
      <w:color w:val="2E74B5" w:themeColor="accent1" w:themeShade="BF"/>
      <w:sz w:val="22"/>
      <w:szCs w:val="28"/>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B62B4"/>
    <w:rPr>
      <w:rFonts w:ascii="Times New Roman" w:hAnsi="Times New Roman" w:eastAsiaTheme="majorEastAsia" w:cstheme="majorBidi"/>
      <w:b/>
      <w:color w:val="000000" w:themeColor="text1"/>
      <w:sz w:val="32"/>
      <w:szCs w:val="32"/>
    </w:rPr>
  </w:style>
  <w:style w:type="character" w:styleId="Heading2Char" w:customStyle="1">
    <w:name w:val="Heading 2 Char"/>
    <w:basedOn w:val="DefaultParagraphFont"/>
    <w:link w:val="Heading2"/>
    <w:uiPriority w:val="9"/>
    <w:rsid w:val="000B62B4"/>
    <w:rPr>
      <w:rFonts w:ascii="Times New Roman" w:hAnsi="Times New Roman"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96742F"/>
    <w:rPr>
      <w:rFonts w:asciiTheme="majorBidi" w:hAnsiTheme="majorBidi" w:eastAsiaTheme="majorEastAsia" w:cstheme="majorBidi"/>
      <w:b/>
      <w:color w:val="2E74B5" w:themeColor="accent1" w:themeShade="BF"/>
      <w:szCs w:val="28"/>
    </w:rPr>
  </w:style>
  <w:style w:type="character" w:styleId="Hyperlink">
    <w:name w:val="Hyperlink"/>
    <w:basedOn w:val="DefaultParagraphFont"/>
    <w:uiPriority w:val="99"/>
    <w:unhideWhenUsed/>
    <w:rsid w:val="00E36FCE"/>
    <w:rPr>
      <w:color w:val="0563C1" w:themeColor="hyperlink"/>
      <w:u w:val="single"/>
    </w:rPr>
  </w:style>
  <w:style w:type="paragraph" w:styleId="TOCHeading">
    <w:name w:val="TOC Heading"/>
    <w:basedOn w:val="Heading1"/>
    <w:next w:val="Normal"/>
    <w:uiPriority w:val="39"/>
    <w:unhideWhenUsed/>
    <w:qFormat/>
    <w:rsid w:val="00982068"/>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82068"/>
    <w:pPr>
      <w:spacing w:after="100"/>
    </w:pPr>
  </w:style>
  <w:style w:type="paragraph" w:styleId="TOC2">
    <w:name w:val="toc 2"/>
    <w:basedOn w:val="Normal"/>
    <w:next w:val="Normal"/>
    <w:autoRedefine/>
    <w:uiPriority w:val="39"/>
    <w:unhideWhenUsed/>
    <w:rsid w:val="00982068"/>
    <w:pPr>
      <w:spacing w:after="100"/>
      <w:ind w:left="240"/>
    </w:pPr>
  </w:style>
  <w:style w:type="paragraph" w:styleId="Header">
    <w:name w:val="header"/>
    <w:basedOn w:val="Normal"/>
    <w:link w:val="HeaderChar"/>
    <w:uiPriority w:val="99"/>
    <w:unhideWhenUsed/>
    <w:rsid w:val="00982068"/>
    <w:pPr>
      <w:tabs>
        <w:tab w:val="center" w:pos="4680"/>
        <w:tab w:val="right" w:pos="9360"/>
      </w:tabs>
      <w:spacing w:after="0" w:line="240" w:lineRule="auto"/>
    </w:pPr>
  </w:style>
  <w:style w:type="character" w:styleId="HeaderChar" w:customStyle="1">
    <w:name w:val="Header Char"/>
    <w:basedOn w:val="DefaultParagraphFont"/>
    <w:link w:val="Header"/>
    <w:uiPriority w:val="99"/>
    <w:rsid w:val="00982068"/>
    <w:rPr>
      <w:rFonts w:ascii="Times New Roman" w:hAnsi="Times New Roman"/>
      <w:color w:val="000000" w:themeColor="text1"/>
      <w:sz w:val="24"/>
      <w:lang w:val="en-GB"/>
    </w:rPr>
  </w:style>
  <w:style w:type="paragraph" w:styleId="Footer">
    <w:name w:val="footer"/>
    <w:basedOn w:val="Normal"/>
    <w:link w:val="FooterChar"/>
    <w:uiPriority w:val="99"/>
    <w:unhideWhenUsed/>
    <w:rsid w:val="00982068"/>
    <w:pPr>
      <w:tabs>
        <w:tab w:val="center" w:pos="4680"/>
        <w:tab w:val="right" w:pos="9360"/>
      </w:tabs>
      <w:spacing w:after="0" w:line="240" w:lineRule="auto"/>
    </w:pPr>
  </w:style>
  <w:style w:type="character" w:styleId="FooterChar" w:customStyle="1">
    <w:name w:val="Footer Char"/>
    <w:basedOn w:val="DefaultParagraphFont"/>
    <w:link w:val="Footer"/>
    <w:uiPriority w:val="99"/>
    <w:rsid w:val="00982068"/>
    <w:rPr>
      <w:rFonts w:ascii="Times New Roman" w:hAnsi="Times New Roman"/>
      <w:color w:val="000000" w:themeColor="text1"/>
      <w:sz w:val="24"/>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57488">
      <w:bodyDiv w:val="1"/>
      <w:marLeft w:val="0"/>
      <w:marRight w:val="0"/>
      <w:marTop w:val="0"/>
      <w:marBottom w:val="0"/>
      <w:divBdr>
        <w:top w:val="none" w:sz="0" w:space="0" w:color="auto"/>
        <w:left w:val="none" w:sz="0" w:space="0" w:color="auto"/>
        <w:bottom w:val="none" w:sz="0" w:space="0" w:color="auto"/>
        <w:right w:val="none" w:sz="0" w:space="0" w:color="auto"/>
      </w:divBdr>
    </w:div>
    <w:div w:id="214320289">
      <w:bodyDiv w:val="1"/>
      <w:marLeft w:val="0"/>
      <w:marRight w:val="0"/>
      <w:marTop w:val="0"/>
      <w:marBottom w:val="0"/>
      <w:divBdr>
        <w:top w:val="none" w:sz="0" w:space="0" w:color="auto"/>
        <w:left w:val="none" w:sz="0" w:space="0" w:color="auto"/>
        <w:bottom w:val="none" w:sz="0" w:space="0" w:color="auto"/>
        <w:right w:val="none" w:sz="0" w:space="0" w:color="auto"/>
      </w:divBdr>
      <w:divsChild>
        <w:div w:id="627978200">
          <w:marLeft w:val="0"/>
          <w:marRight w:val="0"/>
          <w:marTop w:val="0"/>
          <w:marBottom w:val="0"/>
          <w:divBdr>
            <w:top w:val="none" w:sz="0" w:space="0" w:color="auto"/>
            <w:left w:val="none" w:sz="0" w:space="0" w:color="auto"/>
            <w:bottom w:val="none" w:sz="0" w:space="0" w:color="auto"/>
            <w:right w:val="none" w:sz="0" w:space="0" w:color="auto"/>
          </w:divBdr>
          <w:divsChild>
            <w:div w:id="648172587">
              <w:marLeft w:val="0"/>
              <w:marRight w:val="0"/>
              <w:marTop w:val="0"/>
              <w:marBottom w:val="0"/>
              <w:divBdr>
                <w:top w:val="none" w:sz="0" w:space="0" w:color="auto"/>
                <w:left w:val="none" w:sz="0" w:space="0" w:color="auto"/>
                <w:bottom w:val="none" w:sz="0" w:space="0" w:color="auto"/>
                <w:right w:val="none" w:sz="0" w:space="0" w:color="auto"/>
              </w:divBdr>
              <w:divsChild>
                <w:div w:id="127627233">
                  <w:marLeft w:val="0"/>
                  <w:marRight w:val="0"/>
                  <w:marTop w:val="0"/>
                  <w:marBottom w:val="0"/>
                  <w:divBdr>
                    <w:top w:val="none" w:sz="0" w:space="0" w:color="auto"/>
                    <w:left w:val="none" w:sz="0" w:space="0" w:color="auto"/>
                    <w:bottom w:val="none" w:sz="0" w:space="0" w:color="auto"/>
                    <w:right w:val="none" w:sz="0" w:space="0" w:color="auto"/>
                  </w:divBdr>
                  <w:divsChild>
                    <w:div w:id="559443042">
                      <w:marLeft w:val="0"/>
                      <w:marRight w:val="0"/>
                      <w:marTop w:val="0"/>
                      <w:marBottom w:val="0"/>
                      <w:divBdr>
                        <w:top w:val="none" w:sz="0" w:space="0" w:color="auto"/>
                        <w:left w:val="none" w:sz="0" w:space="0" w:color="auto"/>
                        <w:bottom w:val="none" w:sz="0" w:space="0" w:color="auto"/>
                        <w:right w:val="none" w:sz="0" w:space="0" w:color="auto"/>
                      </w:divBdr>
                      <w:divsChild>
                        <w:div w:id="697970642">
                          <w:marLeft w:val="0"/>
                          <w:marRight w:val="0"/>
                          <w:marTop w:val="0"/>
                          <w:marBottom w:val="0"/>
                          <w:divBdr>
                            <w:top w:val="none" w:sz="0" w:space="0" w:color="auto"/>
                            <w:left w:val="none" w:sz="0" w:space="0" w:color="auto"/>
                            <w:bottom w:val="none" w:sz="0" w:space="0" w:color="auto"/>
                            <w:right w:val="none" w:sz="0" w:space="0" w:color="auto"/>
                          </w:divBdr>
                          <w:divsChild>
                            <w:div w:id="39540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974435">
      <w:bodyDiv w:val="1"/>
      <w:marLeft w:val="0"/>
      <w:marRight w:val="0"/>
      <w:marTop w:val="0"/>
      <w:marBottom w:val="0"/>
      <w:divBdr>
        <w:top w:val="none" w:sz="0" w:space="0" w:color="auto"/>
        <w:left w:val="none" w:sz="0" w:space="0" w:color="auto"/>
        <w:bottom w:val="none" w:sz="0" w:space="0" w:color="auto"/>
        <w:right w:val="none" w:sz="0" w:space="0" w:color="auto"/>
      </w:divBdr>
      <w:divsChild>
        <w:div w:id="1198543355">
          <w:marLeft w:val="0"/>
          <w:marRight w:val="0"/>
          <w:marTop w:val="0"/>
          <w:marBottom w:val="0"/>
          <w:divBdr>
            <w:top w:val="none" w:sz="0" w:space="0" w:color="auto"/>
            <w:left w:val="none" w:sz="0" w:space="0" w:color="auto"/>
            <w:bottom w:val="none" w:sz="0" w:space="0" w:color="auto"/>
            <w:right w:val="none" w:sz="0" w:space="0" w:color="auto"/>
          </w:divBdr>
          <w:divsChild>
            <w:div w:id="1511529022">
              <w:marLeft w:val="0"/>
              <w:marRight w:val="0"/>
              <w:marTop w:val="0"/>
              <w:marBottom w:val="0"/>
              <w:divBdr>
                <w:top w:val="none" w:sz="0" w:space="0" w:color="auto"/>
                <w:left w:val="none" w:sz="0" w:space="0" w:color="auto"/>
                <w:bottom w:val="none" w:sz="0" w:space="0" w:color="auto"/>
                <w:right w:val="none" w:sz="0" w:space="0" w:color="auto"/>
              </w:divBdr>
              <w:divsChild>
                <w:div w:id="617107310">
                  <w:marLeft w:val="0"/>
                  <w:marRight w:val="0"/>
                  <w:marTop w:val="0"/>
                  <w:marBottom w:val="0"/>
                  <w:divBdr>
                    <w:top w:val="none" w:sz="0" w:space="0" w:color="auto"/>
                    <w:left w:val="none" w:sz="0" w:space="0" w:color="auto"/>
                    <w:bottom w:val="none" w:sz="0" w:space="0" w:color="auto"/>
                    <w:right w:val="none" w:sz="0" w:space="0" w:color="auto"/>
                  </w:divBdr>
                  <w:divsChild>
                    <w:div w:id="982198339">
                      <w:marLeft w:val="0"/>
                      <w:marRight w:val="0"/>
                      <w:marTop w:val="0"/>
                      <w:marBottom w:val="0"/>
                      <w:divBdr>
                        <w:top w:val="none" w:sz="0" w:space="0" w:color="auto"/>
                        <w:left w:val="none" w:sz="0" w:space="0" w:color="auto"/>
                        <w:bottom w:val="none" w:sz="0" w:space="0" w:color="auto"/>
                        <w:right w:val="none" w:sz="0" w:space="0" w:color="auto"/>
                      </w:divBdr>
                      <w:divsChild>
                        <w:div w:id="1004168437">
                          <w:marLeft w:val="0"/>
                          <w:marRight w:val="0"/>
                          <w:marTop w:val="0"/>
                          <w:marBottom w:val="0"/>
                          <w:divBdr>
                            <w:top w:val="none" w:sz="0" w:space="0" w:color="auto"/>
                            <w:left w:val="none" w:sz="0" w:space="0" w:color="auto"/>
                            <w:bottom w:val="none" w:sz="0" w:space="0" w:color="auto"/>
                            <w:right w:val="none" w:sz="0" w:space="0" w:color="auto"/>
                          </w:divBdr>
                          <w:divsChild>
                            <w:div w:id="20782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140465">
      <w:bodyDiv w:val="1"/>
      <w:marLeft w:val="0"/>
      <w:marRight w:val="0"/>
      <w:marTop w:val="0"/>
      <w:marBottom w:val="0"/>
      <w:divBdr>
        <w:top w:val="none" w:sz="0" w:space="0" w:color="auto"/>
        <w:left w:val="none" w:sz="0" w:space="0" w:color="auto"/>
        <w:bottom w:val="none" w:sz="0" w:space="0" w:color="auto"/>
        <w:right w:val="none" w:sz="0" w:space="0" w:color="auto"/>
      </w:divBdr>
    </w:div>
    <w:div w:id="1183281798">
      <w:bodyDiv w:val="1"/>
      <w:marLeft w:val="0"/>
      <w:marRight w:val="0"/>
      <w:marTop w:val="0"/>
      <w:marBottom w:val="0"/>
      <w:divBdr>
        <w:top w:val="none" w:sz="0" w:space="0" w:color="auto"/>
        <w:left w:val="none" w:sz="0" w:space="0" w:color="auto"/>
        <w:bottom w:val="none" w:sz="0" w:space="0" w:color="auto"/>
        <w:right w:val="none" w:sz="0" w:space="0" w:color="auto"/>
      </w:divBdr>
    </w:div>
    <w:div w:id="204755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mc-uk.org/professional-standards/the-professional-standards/decision-making-and-consent?" TargetMode="External" Id="rId13" /><Relationship Type="http://schemas.openxmlformats.org/officeDocument/2006/relationships/styles" Target="styles.xml" Id="rId3" /><Relationship Type="http://schemas.openxmlformats.org/officeDocument/2006/relationships/hyperlink" Target="https://digital.nhs.uk/data-and-information/publications/statistical/personal-health-budgets/2024-25-q4/personal-health-budgets-q4-2024-25" TargetMode="External" Id="rId21" /><Relationship Type="http://schemas.openxmlformats.org/officeDocument/2006/relationships/endnotes" Target="endnotes.xml" Id="rId7" /><Relationship Type="http://schemas.openxmlformats.org/officeDocument/2006/relationships/hyperlink" Target="https://www.gmc-uk.org/-/media/documents/dc11703-pol-w-the-reflective-practioner-guidance-20210112_pdf-78479611.pdf?" TargetMode="External" Id="rId12" /><Relationship Type="http://schemas.openxmlformats.org/officeDocument/2006/relationships/hyperlink" Target="https://ico.org.uk/for-organisations/uk-gdpr-guidance-and-resources/data-sharing/data-sharing-a-code-of-practice/?q=health+data&amp;" TargetMode="External" Id="rId17" /><Relationship Type="http://schemas.microsoft.com/office/2020/10/relationships/intelligence" Target="intelligence2.xml" Id="rId33" /><Relationship Type="http://schemas.openxmlformats.org/officeDocument/2006/relationships/numbering" Target="numbering.xml" Id="rId2" /><Relationship Type="http://schemas.openxmlformats.org/officeDocument/2006/relationships/hyperlink" Target="https://ico.org.uk/for-organisations/uk-gdpr-guidance-and-resources/data-sharing/data-sharing-a-code-of-practice/?" TargetMode="External" Id="rId16" /><Relationship Type="http://schemas.openxmlformats.org/officeDocument/2006/relationships/hyperlink" Target="https://www.england.nhs.uk/improvement-hub/wp-content/uploads/sites/44/2017/11/SBAR-Implementation-and-Training-Guide.pdf?"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hyperlink" Target="https://ico.org.uk/for-organisations/uk-gdpr-guidance-and-resources/data-sharing/data-sharing-a-code-of-practice/?" TargetMode="External" Id="rId15" /><Relationship Type="http://schemas.openxmlformats.org/officeDocument/2006/relationships/hyperlink" Target="https://www.england.nhs.uk/publication/shared-decision-making-summary-guide/?" TargetMode="External"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hyperlink" Target="https://www.rcot.co.uk/media/706/download?attachment=&amp;" TargetMode="External" Id="rId14" /><Relationship Type="http://schemas.openxmlformats.org/officeDocument/2006/relationships/hyperlink" Target="https://digital.nhs.uk/data-and-information/publications/statistical/personal-health-budgets/2024-25-q4/personal-health-budgets-q4-2024-25?" TargetMode="External" Id="rId22" /><Relationship Type="http://schemas.openxmlformats.org/officeDocument/2006/relationships/footer" Target="footer1.xml" Id="rId30" /><Relationship Type="http://schemas.openxmlformats.org/officeDocument/2006/relationships/hyperlink" Target="https://www.aomrc.org.uk/wp-content/uploads/2018/09/the_reflective_practioner_guidance_single_page.pdf?" TargetMode="External" Id="rId8" /><Relationship Type="http://schemas.openxmlformats.org/officeDocument/2006/relationships/hyperlink" Target="https://bmchealthservres.biomedcentral.com/articles/10.1186/s12913-021-07115-7" TargetMode="External" Id="R5d1c312e82244513" /><Relationship Type="http://schemas.openxmlformats.org/officeDocument/2006/relationships/hyperlink" Target="https://www.cqc.org.uk/guidance-regulation/providers/regulations-service-providers-and-managers/health-social-care-act/regulation-9" TargetMode="External" Id="Re7fdf57bfabc4d29" /><Relationship Type="http://schemas.openxmlformats.org/officeDocument/2006/relationships/hyperlink" Target="https://www.gov.uk/government/consultations/changes-to-the-mca-code-of-practice-and-implementation-of-the-lps?" TargetMode="External" Id="R4ec4718bc5b64e41" /><Relationship Type="http://schemas.openxmlformats.org/officeDocument/2006/relationships/hyperlink" Target="https://www.england.nhs.uk/personalisedcare/comprehensive-model/case-studies/mrs-cs-story/" TargetMode="External" Id="Rbc7063ab65b340f0" /><Relationship Type="http://schemas.openxmlformats.org/officeDocument/2006/relationships/hyperlink" Target="https://transform.england.nhs.uk/media/documents/NHSX_IG_Framework_V6.pdf?" TargetMode="External" Id="R4da6a34645a34278" /><Relationship Type="http://schemas.openxmlformats.org/officeDocument/2006/relationships/hyperlink" Target="https://www.nice.org.uk/guidance/ng94/evidence/29-multidisciplinary-team-meetings-pdf-172397464668?" TargetMode="External" Id="R4bb5b3c2cf3248e0" /><Relationship Type="http://schemas.openxmlformats.org/officeDocument/2006/relationships/hyperlink" Target="https://www.nice.org.uk/guidance/ng115/chapter/Recommendations?" TargetMode="External" Id="R2b2e5e43d2ee47fa" /><Relationship Type="http://schemas.openxmlformats.org/officeDocument/2006/relationships/hyperlink" Target="https://www.nice.org.uk/guidance/ng197?" TargetMode="External" Id="R8c6c404097ef45f9" /><Relationship Type="http://schemas.openxmlformats.org/officeDocument/2006/relationships/hyperlink" Target="https://www.nice.org.uk/guidance/hte19/resources/digital-technologies-to-support-selfmanagement-of-copd-early-value-assessment-pdf-50261979675589" TargetMode="External" Id="R878d28fb31034791" /><Relationship Type="http://schemas.openxmlformats.org/officeDocument/2006/relationships/hyperlink" Target="https://www.kingsfund.org.uk/insight-and-analysis/long-reads/integrated-care-systems-explained" TargetMode="External" Id="R4cbca22e853145d4" /><Relationship Type="http://schemas.openxmlformats.org/officeDocument/2006/relationships/hyperlink" Target="https://www.kingsfund.org.uk/insight-and-analysis/long-reads/health-and-care-act-key-questions?" TargetMode="External" Id="Re13a83d0d1f14cdb" /><Relationship Type="http://schemas.openxmlformats.org/officeDocument/2006/relationships/header" Target="header.xml" Id="R108e70d0f5e340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782741-AD86-4E8D-9FC1-DCCCE7CEECA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MRInnovations</dc:creator>
  <keywords/>
  <dc:description/>
  <lastModifiedBy>Uzma Muhammad (2406912)</lastModifiedBy>
  <revision>7</revision>
  <dcterms:created xsi:type="dcterms:W3CDTF">2025-10-15T09:20:00.0000000Z</dcterms:created>
  <dcterms:modified xsi:type="dcterms:W3CDTF">2025-10-21T18:33:43.1879272Z</dcterms:modified>
</coreProperties>
</file>