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8A08E" w14:textId="6DA3C062" w:rsidR="00E84F7F" w:rsidRPr="00E84F7F" w:rsidRDefault="00E84F7F" w:rsidP="00E84F7F">
      <w:pPr>
        <w:rPr>
          <w:b/>
          <w:sz w:val="28"/>
          <w:szCs w:val="28"/>
        </w:rPr>
      </w:pPr>
      <w:r w:rsidRPr="00E84F7F">
        <w:rPr>
          <w:b/>
          <w:sz w:val="28"/>
          <w:szCs w:val="28"/>
        </w:rPr>
        <w:t>Jordan Nasser.</w:t>
      </w:r>
    </w:p>
    <w:p w14:paraId="3F683121" w14:textId="77777777" w:rsidR="00E84F7F" w:rsidRDefault="00E84F7F" w:rsidP="00E84F7F">
      <w:pPr>
        <w:rPr>
          <w:b/>
          <w:sz w:val="28"/>
          <w:szCs w:val="28"/>
          <w:u w:val="single"/>
        </w:rPr>
      </w:pPr>
    </w:p>
    <w:p w14:paraId="248E9850" w14:textId="26344C84" w:rsidR="00E84F7F" w:rsidRPr="00E84F7F" w:rsidRDefault="00E84F7F" w:rsidP="00E84F7F">
      <w:pPr>
        <w:rPr>
          <w:b/>
          <w:sz w:val="28"/>
          <w:szCs w:val="28"/>
          <w:u w:val="single"/>
        </w:rPr>
      </w:pPr>
      <w:r w:rsidRPr="00E84F7F">
        <w:rPr>
          <w:b/>
          <w:sz w:val="28"/>
          <w:szCs w:val="28"/>
          <w:u w:val="single"/>
        </w:rPr>
        <w:t>In what ways can touring theatre affect its audience in terms of addressing social, political, and cultural issues? Base your response on your specific piece of theatre you are creating.</w:t>
      </w:r>
    </w:p>
    <w:p w14:paraId="3AB22430" w14:textId="77777777" w:rsidR="00E84F7F" w:rsidRDefault="00E84F7F" w:rsidP="00E84F7F"/>
    <w:p w14:paraId="03ADF689" w14:textId="77777777" w:rsidR="00E84F7F" w:rsidRDefault="00E84F7F" w:rsidP="00E84F7F"/>
    <w:p w14:paraId="5A70487A" w14:textId="77777777" w:rsidR="00E84F7F" w:rsidRDefault="00E84F7F" w:rsidP="00E84F7F">
      <w:r>
        <w:t xml:space="preserve">Touring Theatre/Theatre in education has many ways that it </w:t>
      </w:r>
      <w:proofErr w:type="gramStart"/>
      <w:r>
        <w:t xml:space="preserve">has an </w:t>
      </w:r>
      <w:r>
        <w:t>effect</w:t>
      </w:r>
      <w:r>
        <w:t xml:space="preserve"> on</w:t>
      </w:r>
      <w:proofErr w:type="gramEnd"/>
      <w:r>
        <w:t xml:space="preserve"> its audience (particularly children). “A socio-political belief that theatre needed to be democratized and made relevant to all social groups.”</w:t>
      </w:r>
      <w:r>
        <w:rPr>
          <w:rStyle w:val="FootnoteReference"/>
        </w:rPr>
        <w:footnoteReference w:id="1"/>
      </w:r>
      <w:r>
        <w:t xml:space="preserve">  Helping bring a message to areas theatre isn’t as accessible making it accessible to children of all schools/backgrounds “The subject matter of such theatre thus tended to be socially and politically with a specific audience or message in mind.” </w:t>
      </w:r>
      <w:r>
        <w:rPr>
          <w:rStyle w:val="FootnoteReference"/>
        </w:rPr>
        <w:footnoteReference w:id="2"/>
      </w:r>
    </w:p>
    <w:p w14:paraId="3417F48F" w14:textId="77777777" w:rsidR="00E84F7F" w:rsidRDefault="00E84F7F" w:rsidP="00E84F7F"/>
    <w:p w14:paraId="696A6D9B" w14:textId="77777777" w:rsidR="00E84F7F" w:rsidRDefault="00E84F7F" w:rsidP="00E84F7F">
      <w:r>
        <w:t xml:space="preserve">We chose to humanise inanimate objects giving them stories allowing children to sympathise and learn about the </w:t>
      </w:r>
      <w:r>
        <w:t>effects “</w:t>
      </w:r>
      <w:r>
        <w:t xml:space="preserve">Ours is a highly literate culture, making use of written texts to organize thought, to test beliefs, to convey what is valued, and to attempt to influence the actions and thoughts of others. It is not surprising that for most of us, early childhood memories include a </w:t>
      </w:r>
      <w:proofErr w:type="spellStart"/>
      <w:r>
        <w:t>favorite</w:t>
      </w:r>
      <w:proofErr w:type="spellEnd"/>
      <w:r>
        <w:t xml:space="preserve"> story. From among the many stories that we have heard or had read to us, there is often one that spoke more directly to us than the others, a story that touched an emotional chord, somehow reflecting a keenly felt need, concern, or set of values.”</w:t>
      </w:r>
      <w:r>
        <w:rPr>
          <w:rStyle w:val="FootnoteReference"/>
        </w:rPr>
        <w:footnoteReference w:id="3"/>
      </w:r>
      <w:r>
        <w:t xml:space="preserve">   Using these to indirectly address social issues surrounding plastic pollution and how actions affect this, explaining in a form that entertains and educates. </w:t>
      </w:r>
    </w:p>
    <w:p w14:paraId="01DCDB0B" w14:textId="77777777" w:rsidR="00E84F7F" w:rsidRDefault="00E84F7F" w:rsidP="00E84F7F"/>
    <w:p w14:paraId="3EDAD892" w14:textId="32FBD310" w:rsidR="00E84F7F" w:rsidRDefault="00E84F7F" w:rsidP="00E84F7F">
      <w:bookmarkStart w:id="0" w:name="_GoBack"/>
      <w:bookmarkEnd w:id="0"/>
      <w:r>
        <w:t xml:space="preserve">Cultural issues are addressed within songs, like the fact parents are partly responsible from taught behaviour patterns in lack of care for their environment. “By watching and imitating others, young children learn how to interact socially. They learn acceptable and unacceptable kinds of behaviour. The examples set by adults, older siblings and children are the most powerful influences shaping a child's behaviour and personality. </w:t>
      </w:r>
      <w:r>
        <w:t>One-way</w:t>
      </w:r>
      <w:r>
        <w:t xml:space="preserve"> children learn is by copying what others do.”</w:t>
      </w:r>
      <w:r>
        <w:rPr>
          <w:rStyle w:val="FootnoteReference"/>
        </w:rPr>
        <w:footnoteReference w:id="4"/>
      </w:r>
      <w:r>
        <w:t xml:space="preserve"> Giving independence, giving them the knowledge that they can make their own decisions. We show a journey of our protagonist learning alongside them making an audience voice as well as accepting responsibility (through demonstration) this empowers them to be individual making a difference with individual action, Creating relation to Alice’s lack of topical </w:t>
      </w:r>
      <w:r>
        <w:t>education. “Children</w:t>
      </w:r>
      <w:r>
        <w:t xml:space="preserve"> learn moral </w:t>
      </w:r>
      <w:r>
        <w:lastRenderedPageBreak/>
        <w:t>lessons more effectively from stories with human characters than with "cute" human-like animals, a new study has revealed.</w:t>
      </w:r>
    </w:p>
    <w:p w14:paraId="6CB3326D" w14:textId="77777777" w:rsidR="00E84F7F" w:rsidRDefault="00E84F7F" w:rsidP="00E84F7F">
      <w:r>
        <w:t>The study, carried out by researchers at the Ontario Institute for Studies in Education (OISE) at the University of Toronto, found that four to six-year-olds shared more after listening to books with human characters than books with anthropomorphic (human-like) animals.</w:t>
      </w:r>
    </w:p>
    <w:p w14:paraId="31A27430" w14:textId="093886D6" w:rsidR="00E84F7F" w:rsidRDefault="00E84F7F" w:rsidP="00E84F7F">
      <w:r>
        <w:t xml:space="preserve">The researchers found that since many kids in this study did not see these characters as </w:t>
      </w:r>
      <w:proofErr w:type="gramStart"/>
      <w:r>
        <w:t>similar to</w:t>
      </w:r>
      <w:proofErr w:type="gramEnd"/>
      <w:r>
        <w:t xml:space="preserve"> themselves, they may be less likely to translate social lessons from these stories into their everyday lives. This also indirectly politically affects the children’s lives as they take this home to their parents who do have the authority and power to vote by the information taken from the piece.”</w:t>
      </w:r>
      <w:r>
        <w:rPr>
          <w:rStyle w:val="FootnoteReference"/>
        </w:rPr>
        <w:footnoteReference w:id="5"/>
      </w:r>
      <w:r>
        <w:t xml:space="preserve"> Although a younger demographic this applies with gaining relation that a child is more likely to engage and react to, especially if they can relate culturally/socially with Alice’s attitude, age and positively respond to not being just told.</w:t>
      </w:r>
    </w:p>
    <w:p w14:paraId="40502131" w14:textId="77777777" w:rsidR="00E84F7F" w:rsidRDefault="00E84F7F" w:rsidP="00E84F7F"/>
    <w:p w14:paraId="5D1620C7" w14:textId="0E7898F7" w:rsidR="00E84F7F" w:rsidRDefault="00E84F7F" w:rsidP="00E84F7F">
      <w:r>
        <w:t>We address social issues like shared opinions on environment/plastic pollution by not giving answers, including rhetorical questions igniting imagination/sparking thought, leading to solutions and coming to their own conclusions they’re more inclined to act, allowing them to be politically engaged, giving a power which they’ll be able to use later in life/spark something that’ll make a difference in their community. We allow the political thought process to happen without their knowledge by setting obstacles that children can feel passionate about and for them to disagree with to get that political reaction/way of thinking allowing them to carry it through to their lives and not only thinking but acting politically. We apply Comedy and grip attention through different variations of theatre like; physical theatre, shadows, musically finding ways to shock/surprise as children are desensitised due to technological platforms “studies show that children exposed to repeated television and video game violence can become desensitized to violence”</w:t>
      </w:r>
      <w:r>
        <w:rPr>
          <w:rStyle w:val="FootnoteReference"/>
        </w:rPr>
        <w:footnoteReference w:id="6"/>
      </w:r>
      <w:r>
        <w:t xml:space="preserve"> The piece gages a reaction to this social generation by shocking through their own depiction of what they are being shown through these methods. Our piece plays older than its intended audience as children are in that social stage where they’re </w:t>
      </w:r>
      <w:r>
        <w:t>still trying</w:t>
      </w:r>
      <w:r>
        <w:t xml:space="preserve"> to act older, </w:t>
      </w:r>
      <w:r>
        <w:t>making the</w:t>
      </w:r>
      <w:r>
        <w:t xml:space="preserve"> piece not patronising but relatable to that </w:t>
      </w:r>
      <w:r>
        <w:t>pre-high</w:t>
      </w:r>
      <w:r>
        <w:t xml:space="preserve"> school stage and socially acceptable as children usually act within social </w:t>
      </w:r>
      <w:r>
        <w:t>groups</w:t>
      </w:r>
      <w:r>
        <w:t xml:space="preserve"> and follow examples.</w:t>
      </w:r>
    </w:p>
    <w:p w14:paraId="34F4532D" w14:textId="77777777" w:rsidR="00E84F7F" w:rsidRDefault="00E84F7F" w:rsidP="00E84F7F"/>
    <w:p w14:paraId="1C27B9DF" w14:textId="20691C93" w:rsidR="00E84F7F" w:rsidRDefault="00E84F7F" w:rsidP="00E84F7F">
      <w:r>
        <w:t xml:space="preserve">In comparison to </w:t>
      </w:r>
      <w:proofErr w:type="spellStart"/>
      <w:r>
        <w:t>Theatr</w:t>
      </w:r>
      <w:proofErr w:type="spellEnd"/>
      <w:r>
        <w:t xml:space="preserve"> </w:t>
      </w:r>
      <w:proofErr w:type="spellStart"/>
      <w:r>
        <w:t>na</w:t>
      </w:r>
      <w:proofErr w:type="spellEnd"/>
      <w:r>
        <w:t xml:space="preserve"> </w:t>
      </w:r>
      <w:proofErr w:type="spellStart"/>
      <w:r>
        <w:t>nOg’s</w:t>
      </w:r>
      <w:proofErr w:type="spellEnd"/>
      <w:r>
        <w:t xml:space="preserve"> ‘White Feather’ our piece follows familiar narrative’s giving it familiarity. We’ve included repetition getting core aspects to stay within their minds, making it easier for children to follow and </w:t>
      </w:r>
      <w:r>
        <w:t>be engaged</w:t>
      </w:r>
      <w:r>
        <w:t xml:space="preserve"> with the unknown. It’s a contrast due to children reacting to current social issues rather than historical education. Compared to countries like Indonesia where there’s no education on plastic pollution we’re more advanced as it’s touched upon in the </w:t>
      </w:r>
      <w:r>
        <w:t>curriculum,</w:t>
      </w:r>
      <w:r>
        <w:t xml:space="preserve"> but a tour piece expands on small sections that are taught by dropping in facts and guidance to </w:t>
      </w:r>
      <w:r>
        <w:t>self-thought</w:t>
      </w:r>
      <w:r>
        <w:t xml:space="preserve"> solutions.</w:t>
      </w:r>
    </w:p>
    <w:p w14:paraId="3B124F4B" w14:textId="77777777" w:rsidR="00E84F7F" w:rsidRDefault="00E84F7F" w:rsidP="00E84F7F"/>
    <w:p w14:paraId="4878BB53" w14:textId="77777777" w:rsidR="00E84F7F" w:rsidRDefault="00E84F7F" w:rsidP="00E84F7F">
      <w:r>
        <w:lastRenderedPageBreak/>
        <w:t xml:space="preserve">Overall, we challenge children on their social/cultural norms that they are unaware of and get them acting politically as it’s about thinking politically, wanting to make a change, not creating a new social group but adapting and educate their own. </w:t>
      </w:r>
    </w:p>
    <w:p w14:paraId="5AB73924" w14:textId="77777777" w:rsidR="00E84F7F" w:rsidRDefault="00E84F7F" w:rsidP="00E84F7F"/>
    <w:p w14:paraId="4217F9B0" w14:textId="77777777" w:rsidR="00E84F7F" w:rsidRDefault="00E84F7F" w:rsidP="00E84F7F"/>
    <w:p w14:paraId="2CD2A616" w14:textId="77777777" w:rsidR="00E84F7F" w:rsidRDefault="00E84F7F" w:rsidP="00E84F7F"/>
    <w:p w14:paraId="283A68F8" w14:textId="77777777" w:rsidR="00E84F7F" w:rsidRDefault="00E84F7F" w:rsidP="00E84F7F"/>
    <w:p w14:paraId="63D9B6CD" w14:textId="77777777" w:rsidR="00E84F7F" w:rsidRDefault="00E84F7F" w:rsidP="00E84F7F"/>
    <w:p w14:paraId="3246C5F8" w14:textId="77777777" w:rsidR="00E84F7F" w:rsidRDefault="00E84F7F" w:rsidP="00E84F7F"/>
    <w:p w14:paraId="6025795C" w14:textId="77777777" w:rsidR="00E84F7F" w:rsidRDefault="00E84F7F" w:rsidP="00E84F7F"/>
    <w:p w14:paraId="18AD9617" w14:textId="77777777" w:rsidR="00E84F7F" w:rsidRDefault="00E84F7F" w:rsidP="00E84F7F"/>
    <w:p w14:paraId="05FD5D2E" w14:textId="77777777" w:rsidR="00E84F7F" w:rsidRDefault="00E84F7F" w:rsidP="00E84F7F"/>
    <w:p w14:paraId="0047A9DF" w14:textId="77777777" w:rsidR="00E84F7F" w:rsidRDefault="00E84F7F" w:rsidP="00E84F7F"/>
    <w:p w14:paraId="078E846B" w14:textId="77777777" w:rsidR="00E84F7F" w:rsidRDefault="00E84F7F" w:rsidP="00E84F7F"/>
    <w:p w14:paraId="2BD3834E" w14:textId="77777777" w:rsidR="00E84F7F" w:rsidRDefault="00E84F7F" w:rsidP="00E84F7F">
      <w:pPr>
        <w:rPr>
          <w:sz w:val="40"/>
          <w:szCs w:val="40"/>
        </w:rPr>
      </w:pPr>
    </w:p>
    <w:p w14:paraId="627F6CD5" w14:textId="77777777" w:rsidR="00E84F7F" w:rsidRDefault="00E84F7F" w:rsidP="00E84F7F">
      <w:pPr>
        <w:rPr>
          <w:sz w:val="40"/>
          <w:szCs w:val="40"/>
        </w:rPr>
      </w:pPr>
    </w:p>
    <w:p w14:paraId="1EBFF79A" w14:textId="77777777" w:rsidR="00E84F7F" w:rsidRDefault="00E84F7F" w:rsidP="00E84F7F">
      <w:pPr>
        <w:rPr>
          <w:sz w:val="40"/>
          <w:szCs w:val="40"/>
        </w:rPr>
      </w:pPr>
    </w:p>
    <w:p w14:paraId="6EF66CAE" w14:textId="77777777" w:rsidR="00E84F7F" w:rsidRDefault="00E84F7F" w:rsidP="00E84F7F">
      <w:pPr>
        <w:rPr>
          <w:sz w:val="40"/>
          <w:szCs w:val="40"/>
        </w:rPr>
      </w:pPr>
    </w:p>
    <w:p w14:paraId="61949E16" w14:textId="77777777" w:rsidR="00E84F7F" w:rsidRDefault="00E84F7F" w:rsidP="00E84F7F">
      <w:pPr>
        <w:rPr>
          <w:sz w:val="40"/>
          <w:szCs w:val="40"/>
        </w:rPr>
      </w:pPr>
    </w:p>
    <w:p w14:paraId="12000C76" w14:textId="77777777" w:rsidR="00E84F7F" w:rsidRDefault="00E84F7F" w:rsidP="00E84F7F">
      <w:pPr>
        <w:rPr>
          <w:sz w:val="40"/>
          <w:szCs w:val="40"/>
        </w:rPr>
      </w:pPr>
    </w:p>
    <w:p w14:paraId="1935A962" w14:textId="77777777" w:rsidR="00E84F7F" w:rsidRDefault="00E84F7F" w:rsidP="00E84F7F">
      <w:pPr>
        <w:rPr>
          <w:sz w:val="40"/>
          <w:szCs w:val="40"/>
        </w:rPr>
      </w:pPr>
    </w:p>
    <w:p w14:paraId="03C102C5" w14:textId="77777777" w:rsidR="00E84F7F" w:rsidRDefault="00E84F7F" w:rsidP="00E84F7F">
      <w:pPr>
        <w:rPr>
          <w:sz w:val="40"/>
          <w:szCs w:val="40"/>
        </w:rPr>
      </w:pPr>
    </w:p>
    <w:p w14:paraId="2DBFF495" w14:textId="77777777" w:rsidR="00E84F7F" w:rsidRDefault="00E84F7F" w:rsidP="00E84F7F">
      <w:pPr>
        <w:rPr>
          <w:sz w:val="40"/>
          <w:szCs w:val="40"/>
        </w:rPr>
      </w:pPr>
    </w:p>
    <w:p w14:paraId="5C4302A1" w14:textId="77777777" w:rsidR="00E84F7F" w:rsidRDefault="00E84F7F" w:rsidP="00E84F7F">
      <w:pPr>
        <w:rPr>
          <w:sz w:val="40"/>
          <w:szCs w:val="40"/>
        </w:rPr>
      </w:pPr>
    </w:p>
    <w:p w14:paraId="0E5BD622" w14:textId="77777777" w:rsidR="00E84F7F" w:rsidRDefault="00E84F7F" w:rsidP="00E84F7F">
      <w:pPr>
        <w:rPr>
          <w:sz w:val="40"/>
          <w:szCs w:val="40"/>
        </w:rPr>
      </w:pPr>
    </w:p>
    <w:p w14:paraId="5663B7C3" w14:textId="3E48EA93" w:rsidR="00E84F7F" w:rsidRPr="00E84F7F" w:rsidRDefault="00E84F7F" w:rsidP="00E84F7F">
      <w:pPr>
        <w:rPr>
          <w:sz w:val="40"/>
          <w:szCs w:val="40"/>
        </w:rPr>
      </w:pPr>
      <w:r w:rsidRPr="00E84F7F">
        <w:rPr>
          <w:sz w:val="40"/>
          <w:szCs w:val="40"/>
        </w:rPr>
        <w:lastRenderedPageBreak/>
        <w:t>Bibliography:</w:t>
      </w:r>
    </w:p>
    <w:p w14:paraId="4A8D91A6" w14:textId="77777777" w:rsidR="00E84F7F" w:rsidRDefault="00E84F7F" w:rsidP="00E84F7F"/>
    <w:p w14:paraId="34197708" w14:textId="77777777" w:rsidR="00E84F7F" w:rsidRDefault="00E84F7F" w:rsidP="00E84F7F">
      <w:r>
        <w:t xml:space="preserve"> </w:t>
      </w:r>
    </w:p>
    <w:p w14:paraId="4FF82CB2" w14:textId="77777777" w:rsidR="00E84F7F" w:rsidRDefault="00E84F7F" w:rsidP="00E84F7F">
      <w:r>
        <w:t xml:space="preserve">1.  Contemporary Theatre In education Page 8 by Roger Wooster, Published by Bristol, </w:t>
      </w:r>
      <w:proofErr w:type="gramStart"/>
      <w:r>
        <w:t>UK ;</w:t>
      </w:r>
      <w:proofErr w:type="gramEnd"/>
      <w:r>
        <w:t xml:space="preserve"> Chicago, USA : Intellect 2007</w:t>
      </w:r>
    </w:p>
    <w:p w14:paraId="7ED78ABE" w14:textId="77777777" w:rsidR="00E84F7F" w:rsidRDefault="00E84F7F" w:rsidP="00E84F7F"/>
    <w:p w14:paraId="2DF29250" w14:textId="77777777" w:rsidR="00E84F7F" w:rsidRDefault="00E84F7F" w:rsidP="00E84F7F">
      <w:r>
        <w:t xml:space="preserve">2.  Contemporary Theatre In education Page 8 by Roger Wooster, Published by Bristol, </w:t>
      </w:r>
      <w:proofErr w:type="gramStart"/>
      <w:r>
        <w:t>UK ;</w:t>
      </w:r>
      <w:proofErr w:type="gramEnd"/>
      <w:r>
        <w:t xml:space="preserve"> Chicago, USA : Intellect 2007</w:t>
      </w:r>
    </w:p>
    <w:p w14:paraId="4DE3C122" w14:textId="77777777" w:rsidR="00E84F7F" w:rsidRDefault="00E84F7F" w:rsidP="00E84F7F"/>
    <w:p w14:paraId="3575066D" w14:textId="0D4D226D" w:rsidR="00E84F7F" w:rsidRDefault="00E84F7F" w:rsidP="00E84F7F">
      <w:r>
        <w:t xml:space="preserve">3. Animals in </w:t>
      </w:r>
      <w:proofErr w:type="spellStart"/>
      <w:r>
        <w:t>Childrens</w:t>
      </w:r>
      <w:proofErr w:type="spellEnd"/>
      <w:r>
        <w:t xml:space="preserve"> </w:t>
      </w:r>
      <w:proofErr w:type="spellStart"/>
      <w:r>
        <w:t>literture</w:t>
      </w:r>
      <w:proofErr w:type="spellEnd"/>
      <w:r>
        <w:t xml:space="preserve"> by Carolyn L. Burke and </w:t>
      </w:r>
      <w:proofErr w:type="spellStart"/>
      <w:r>
        <w:t>Joby</w:t>
      </w:r>
      <w:proofErr w:type="spellEnd"/>
      <w:r>
        <w:t xml:space="preserve"> G. Copenhaver 2004 </w:t>
      </w:r>
      <w:hyperlink r:id="rId6" w:history="1">
        <w:r w:rsidRPr="00610D79">
          <w:rPr>
            <w:rStyle w:val="Hyperlink"/>
          </w:rPr>
          <w:t>https://secure.ncte.org/library/NCTEFiles/Store/SampleFiles/Journals/la/LA0813Animals.pdf</w:t>
        </w:r>
      </w:hyperlink>
      <w:r>
        <w:t xml:space="preserve"> </w:t>
      </w:r>
      <w:r>
        <w:t xml:space="preserve"> </w:t>
      </w:r>
    </w:p>
    <w:p w14:paraId="65844B9A" w14:textId="77777777" w:rsidR="00E84F7F" w:rsidRDefault="00E84F7F" w:rsidP="00E84F7F"/>
    <w:p w14:paraId="1F554224" w14:textId="588726A0" w:rsidR="00E84F7F" w:rsidRDefault="00E84F7F" w:rsidP="00E84F7F">
      <w:r>
        <w:t xml:space="preserve">4.  Facts for life fourth edition - Child development and early learning  </w:t>
      </w:r>
      <w:hyperlink r:id="rId7" w:history="1">
        <w:r w:rsidRPr="00610D79">
          <w:rPr>
            <w:rStyle w:val="Hyperlink"/>
          </w:rPr>
          <w:t>http://www.factsforlifeglobal.org/03/4.html</w:t>
        </w:r>
      </w:hyperlink>
      <w:r>
        <w:t xml:space="preserve"> </w:t>
      </w:r>
      <w:r>
        <w:t xml:space="preserve"> </w:t>
      </w:r>
      <w:r>
        <w:t xml:space="preserve">  </w:t>
      </w:r>
    </w:p>
    <w:p w14:paraId="24D727D6" w14:textId="77777777" w:rsidR="00E84F7F" w:rsidRDefault="00E84F7F" w:rsidP="00E84F7F"/>
    <w:p w14:paraId="6D1FFE87" w14:textId="39D53999" w:rsidR="00E84F7F" w:rsidRDefault="00E84F7F" w:rsidP="00E84F7F">
      <w:r>
        <w:t xml:space="preserve">5. The National - Stories with human characters influence children more August 2017 - </w:t>
      </w:r>
      <w:hyperlink r:id="rId8" w:history="1">
        <w:r w:rsidRPr="00610D79">
          <w:rPr>
            <w:rStyle w:val="Hyperlink"/>
          </w:rPr>
          <w:t>https://www.thenational.ae/lifestyle/family/stories-with-human-characters-influence-children-more-1.621607</w:t>
        </w:r>
      </w:hyperlink>
      <w:r>
        <w:t xml:space="preserve"> </w:t>
      </w:r>
      <w:r>
        <w:t xml:space="preserve"> </w:t>
      </w:r>
      <w:r>
        <w:t xml:space="preserve"> </w:t>
      </w:r>
    </w:p>
    <w:p w14:paraId="7F746D50" w14:textId="77777777" w:rsidR="00E84F7F" w:rsidRDefault="00E84F7F" w:rsidP="00E84F7F"/>
    <w:p w14:paraId="30928209" w14:textId="54487E20" w:rsidR="00612B7E" w:rsidRDefault="00E84F7F" w:rsidP="00E84F7F">
      <w:r>
        <w:t xml:space="preserve">6. Livestrong - How violence in television shows desensitizes children by Linda Ray June 2017 -  </w:t>
      </w:r>
      <w:hyperlink r:id="rId9" w:history="1">
        <w:r w:rsidRPr="00610D79">
          <w:rPr>
            <w:rStyle w:val="Hyperlink"/>
          </w:rPr>
          <w:t>https://www.livestrong.com/article/245373-how-violence-in-television-shows-desensitizes-children/</w:t>
        </w:r>
      </w:hyperlink>
      <w:r>
        <w:t xml:space="preserve"> </w:t>
      </w:r>
    </w:p>
    <w:sectPr w:rsidR="00612B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075FC" w14:textId="77777777" w:rsidR="00472D83" w:rsidRDefault="00472D83" w:rsidP="00E84F7F">
      <w:pPr>
        <w:spacing w:after="0" w:line="240" w:lineRule="auto"/>
      </w:pPr>
      <w:r>
        <w:separator/>
      </w:r>
    </w:p>
  </w:endnote>
  <w:endnote w:type="continuationSeparator" w:id="0">
    <w:p w14:paraId="59C9F976" w14:textId="77777777" w:rsidR="00472D83" w:rsidRDefault="00472D83" w:rsidP="00E84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1354E" w14:textId="77777777" w:rsidR="00472D83" w:rsidRDefault="00472D83" w:rsidP="00E84F7F">
      <w:pPr>
        <w:spacing w:after="0" w:line="240" w:lineRule="auto"/>
      </w:pPr>
      <w:r>
        <w:separator/>
      </w:r>
    </w:p>
  </w:footnote>
  <w:footnote w:type="continuationSeparator" w:id="0">
    <w:p w14:paraId="3928BDF3" w14:textId="77777777" w:rsidR="00472D83" w:rsidRDefault="00472D83" w:rsidP="00E84F7F">
      <w:pPr>
        <w:spacing w:after="0" w:line="240" w:lineRule="auto"/>
      </w:pPr>
      <w:r>
        <w:continuationSeparator/>
      </w:r>
    </w:p>
  </w:footnote>
  <w:footnote w:id="1">
    <w:p w14:paraId="4454A76E" w14:textId="1F71C09D" w:rsidR="00E84F7F" w:rsidRDefault="00E84F7F">
      <w:pPr>
        <w:pStyle w:val="FootnoteText"/>
      </w:pPr>
      <w:r>
        <w:rPr>
          <w:rStyle w:val="FootnoteReference"/>
        </w:rPr>
        <w:footnoteRef/>
      </w:r>
      <w:r>
        <w:t xml:space="preserve"> </w:t>
      </w:r>
      <w:r w:rsidRPr="00E84F7F">
        <w:t xml:space="preserve">1.  Contemporary Theatre In education Page 8 by Roger Wooster, Published by Bristol, </w:t>
      </w:r>
      <w:proofErr w:type="gramStart"/>
      <w:r w:rsidRPr="00E84F7F">
        <w:t>UK ;</w:t>
      </w:r>
      <w:proofErr w:type="gramEnd"/>
      <w:r w:rsidRPr="00E84F7F">
        <w:t xml:space="preserve"> Chicago, USA : Intellect 2007</w:t>
      </w:r>
    </w:p>
  </w:footnote>
  <w:footnote w:id="2">
    <w:p w14:paraId="467BDCA7" w14:textId="5C1CD618" w:rsidR="00E84F7F" w:rsidRDefault="00E84F7F">
      <w:pPr>
        <w:pStyle w:val="FootnoteText"/>
      </w:pPr>
      <w:r>
        <w:rPr>
          <w:rStyle w:val="FootnoteReference"/>
        </w:rPr>
        <w:footnoteRef/>
      </w:r>
      <w:r>
        <w:t xml:space="preserve"> </w:t>
      </w:r>
      <w:r w:rsidRPr="00E84F7F">
        <w:t xml:space="preserve">Contemporary Theatre In education Page 8 by Roger Wooster, Published by Bristol, </w:t>
      </w:r>
      <w:proofErr w:type="gramStart"/>
      <w:r w:rsidRPr="00E84F7F">
        <w:t>UK ;</w:t>
      </w:r>
      <w:proofErr w:type="gramEnd"/>
      <w:r w:rsidRPr="00E84F7F">
        <w:t xml:space="preserve"> Chicago, USA : Intellect 2007</w:t>
      </w:r>
    </w:p>
  </w:footnote>
  <w:footnote w:id="3">
    <w:p w14:paraId="282B1544" w14:textId="1860CF85" w:rsidR="00E84F7F" w:rsidRDefault="00E84F7F">
      <w:pPr>
        <w:pStyle w:val="FootnoteText"/>
      </w:pPr>
      <w:r>
        <w:rPr>
          <w:rStyle w:val="FootnoteReference"/>
        </w:rPr>
        <w:footnoteRef/>
      </w:r>
      <w:r>
        <w:t xml:space="preserve"> </w:t>
      </w:r>
      <w:r w:rsidRPr="00E84F7F">
        <w:t xml:space="preserve">Animals in </w:t>
      </w:r>
      <w:proofErr w:type="spellStart"/>
      <w:r w:rsidRPr="00E84F7F">
        <w:t>Childrens</w:t>
      </w:r>
      <w:proofErr w:type="spellEnd"/>
      <w:r w:rsidRPr="00E84F7F">
        <w:t xml:space="preserve"> </w:t>
      </w:r>
      <w:proofErr w:type="spellStart"/>
      <w:r w:rsidRPr="00E84F7F">
        <w:t>literture</w:t>
      </w:r>
      <w:proofErr w:type="spellEnd"/>
      <w:r w:rsidRPr="00E84F7F">
        <w:t xml:space="preserve"> by Carolyn L. Burke and </w:t>
      </w:r>
      <w:proofErr w:type="spellStart"/>
      <w:r w:rsidRPr="00E84F7F">
        <w:t>Joby</w:t>
      </w:r>
      <w:proofErr w:type="spellEnd"/>
      <w:r w:rsidRPr="00E84F7F">
        <w:t xml:space="preserve"> G. Copenhaver 2004 </w:t>
      </w:r>
      <w:hyperlink r:id="rId1" w:history="1">
        <w:r w:rsidRPr="00D7157B">
          <w:rPr>
            <w:rStyle w:val="Hyperlink"/>
          </w:rPr>
          <w:t>https://secure.ncte.org/library/NCTEFiles/Store/SampleFiles/Journals/la/LA0813Animals.pdf</w:t>
        </w:r>
      </w:hyperlink>
      <w:r>
        <w:t xml:space="preserve"> </w:t>
      </w:r>
    </w:p>
  </w:footnote>
  <w:footnote w:id="4">
    <w:p w14:paraId="5C84B89F" w14:textId="06947AD2" w:rsidR="00E84F7F" w:rsidRDefault="00E84F7F">
      <w:pPr>
        <w:pStyle w:val="FootnoteText"/>
      </w:pPr>
      <w:r>
        <w:rPr>
          <w:rStyle w:val="FootnoteReference"/>
        </w:rPr>
        <w:footnoteRef/>
      </w:r>
      <w:r>
        <w:t xml:space="preserve"> </w:t>
      </w:r>
      <w:r w:rsidRPr="00E84F7F">
        <w:t xml:space="preserve">Facts for life fourth edition - Child development and early learning  </w:t>
      </w:r>
      <w:hyperlink r:id="rId2" w:history="1">
        <w:r w:rsidRPr="00D7157B">
          <w:rPr>
            <w:rStyle w:val="Hyperlink"/>
          </w:rPr>
          <w:t>http://www.factsforlifeglobal.org/03/4.html</w:t>
        </w:r>
      </w:hyperlink>
      <w:r>
        <w:t xml:space="preserve"> </w:t>
      </w:r>
      <w:r w:rsidRPr="00E84F7F">
        <w:t xml:space="preserve">    </w:t>
      </w:r>
      <w:r>
        <w:t xml:space="preserve"> </w:t>
      </w:r>
    </w:p>
  </w:footnote>
  <w:footnote w:id="5">
    <w:p w14:paraId="58996A3A" w14:textId="1FF16D97" w:rsidR="00E84F7F" w:rsidRDefault="00E84F7F">
      <w:pPr>
        <w:pStyle w:val="FootnoteText"/>
      </w:pPr>
      <w:r>
        <w:rPr>
          <w:rStyle w:val="FootnoteReference"/>
        </w:rPr>
        <w:footnoteRef/>
      </w:r>
      <w:r>
        <w:t xml:space="preserve"> </w:t>
      </w:r>
      <w:r w:rsidRPr="00E84F7F">
        <w:t xml:space="preserve">The National - Stories with human characters influence children more August 2017 - </w:t>
      </w:r>
      <w:hyperlink r:id="rId3" w:history="1">
        <w:r w:rsidRPr="00D7157B">
          <w:rPr>
            <w:rStyle w:val="Hyperlink"/>
          </w:rPr>
          <w:t>https://www.thenational.ae/lifestyle/family/stories-with-human-characters-influence-children-more-1.621607</w:t>
        </w:r>
      </w:hyperlink>
    </w:p>
    <w:p w14:paraId="7A7853AC" w14:textId="77777777" w:rsidR="00E84F7F" w:rsidRDefault="00E84F7F">
      <w:pPr>
        <w:pStyle w:val="FootnoteText"/>
      </w:pPr>
    </w:p>
  </w:footnote>
  <w:footnote w:id="6">
    <w:p w14:paraId="5D5E55BB" w14:textId="79B5B14E" w:rsidR="00E84F7F" w:rsidRDefault="00E84F7F">
      <w:pPr>
        <w:pStyle w:val="FootnoteText"/>
      </w:pPr>
      <w:r>
        <w:rPr>
          <w:rStyle w:val="FootnoteReference"/>
        </w:rPr>
        <w:footnoteRef/>
      </w:r>
      <w:r>
        <w:t xml:space="preserve"> </w:t>
      </w:r>
      <w:r w:rsidRPr="00E84F7F">
        <w:t xml:space="preserve">Livestrong - How violence in television shows desensitizes children by Linda Ray June 2017 -  </w:t>
      </w:r>
      <w:hyperlink r:id="rId4" w:history="1">
        <w:r w:rsidRPr="00D7157B">
          <w:rPr>
            <w:rStyle w:val="Hyperlink"/>
          </w:rPr>
          <w:t>https://www.livestrong.com/article/245373-how-violence-in-television-shows-desensitizes-children/</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F7F"/>
    <w:rsid w:val="000F1D3C"/>
    <w:rsid w:val="003A7A3A"/>
    <w:rsid w:val="00472D83"/>
    <w:rsid w:val="00525B74"/>
    <w:rsid w:val="0055359D"/>
    <w:rsid w:val="00E84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F82CA"/>
  <w15:chartTrackingRefBased/>
  <w15:docId w15:val="{C45BEB4B-60D6-4114-BA83-B5F8B6D16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4F7F"/>
    <w:rPr>
      <w:color w:val="0563C1" w:themeColor="hyperlink"/>
      <w:u w:val="single"/>
    </w:rPr>
  </w:style>
  <w:style w:type="character" w:styleId="UnresolvedMention">
    <w:name w:val="Unresolved Mention"/>
    <w:basedOn w:val="DefaultParagraphFont"/>
    <w:uiPriority w:val="99"/>
    <w:semiHidden/>
    <w:unhideWhenUsed/>
    <w:rsid w:val="00E84F7F"/>
    <w:rPr>
      <w:color w:val="605E5C"/>
      <w:shd w:val="clear" w:color="auto" w:fill="E1DFDD"/>
    </w:rPr>
  </w:style>
  <w:style w:type="paragraph" w:styleId="FootnoteText">
    <w:name w:val="footnote text"/>
    <w:basedOn w:val="Normal"/>
    <w:link w:val="FootnoteTextChar"/>
    <w:uiPriority w:val="99"/>
    <w:semiHidden/>
    <w:unhideWhenUsed/>
    <w:rsid w:val="00E84F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4F7F"/>
    <w:rPr>
      <w:sz w:val="20"/>
      <w:szCs w:val="20"/>
    </w:rPr>
  </w:style>
  <w:style w:type="character" w:styleId="FootnoteReference">
    <w:name w:val="footnote reference"/>
    <w:basedOn w:val="DefaultParagraphFont"/>
    <w:uiPriority w:val="99"/>
    <w:semiHidden/>
    <w:unhideWhenUsed/>
    <w:rsid w:val="00E84F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e/lifestyle/family/stories-with-human-characters-influence-children-more-1.621607" TargetMode="External"/><Relationship Id="rId3" Type="http://schemas.openxmlformats.org/officeDocument/2006/relationships/webSettings" Target="webSettings.xml"/><Relationship Id="rId7" Type="http://schemas.openxmlformats.org/officeDocument/2006/relationships/hyperlink" Target="http://www.factsforlifeglobal.org/03/4.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cure.ncte.org/library/NCTEFiles/Store/SampleFiles/Journals/la/LA0813Animals.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livestrong.com/article/245373-how-violence-in-television-shows-desensitizes-childre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henational.ae/lifestyle/family/stories-with-human-characters-influence-children-more-1.621607" TargetMode="External"/><Relationship Id="rId2" Type="http://schemas.openxmlformats.org/officeDocument/2006/relationships/hyperlink" Target="http://www.factsforlifeglobal.org/03/4.html" TargetMode="External"/><Relationship Id="rId1" Type="http://schemas.openxmlformats.org/officeDocument/2006/relationships/hyperlink" Target="https://secure.ncte.org/library/NCTEFiles/Store/SampleFiles/Journals/la/LA0813Animals.pdf" TargetMode="External"/><Relationship Id="rId4" Type="http://schemas.openxmlformats.org/officeDocument/2006/relationships/hyperlink" Target="https://www.livestrong.com/article/245373-how-violence-in-television-shows-desensitizes-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1066</Words>
  <Characters>6080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robson</dc:creator>
  <cp:keywords/>
  <dc:description/>
  <cp:lastModifiedBy>colin robson</cp:lastModifiedBy>
  <cp:revision>1</cp:revision>
  <dcterms:created xsi:type="dcterms:W3CDTF">2018-11-01T21:11:00Z</dcterms:created>
  <dcterms:modified xsi:type="dcterms:W3CDTF">2018-11-01T21:19:00Z</dcterms:modified>
</cp:coreProperties>
</file>