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38F1C" w14:textId="66FB73AF" w:rsidR="00746259" w:rsidRDefault="00503091">
      <w:pPr>
        <w:spacing w:line="360" w:lineRule="auto"/>
        <w:jc w:val="center"/>
      </w:pPr>
      <w:r>
        <w:t xml:space="preserve"> </w:t>
      </w:r>
    </w:p>
    <w:p w14:paraId="7DCEB8FC" w14:textId="77777777" w:rsidR="00503091" w:rsidRDefault="00503091">
      <w:pPr>
        <w:spacing w:line="360" w:lineRule="auto"/>
        <w:jc w:val="center"/>
        <w:rPr>
          <w:rFonts w:ascii="Times New Roman" w:eastAsia="Times New Roman" w:hAnsi="Times New Roman" w:cs="Times New Roman"/>
          <w:b/>
          <w:sz w:val="32"/>
          <w:szCs w:val="32"/>
        </w:rPr>
      </w:pPr>
    </w:p>
    <w:p w14:paraId="4B861F01" w14:textId="77777777" w:rsidR="00746259" w:rsidRDefault="00746259">
      <w:pPr>
        <w:spacing w:line="360" w:lineRule="auto"/>
        <w:jc w:val="center"/>
        <w:rPr>
          <w:rFonts w:ascii="Times New Roman" w:eastAsia="Times New Roman" w:hAnsi="Times New Roman" w:cs="Times New Roman"/>
          <w:b/>
          <w:sz w:val="32"/>
          <w:szCs w:val="32"/>
        </w:rPr>
      </w:pPr>
    </w:p>
    <w:p w14:paraId="73605089" w14:textId="77777777" w:rsidR="00746259" w:rsidRDefault="00746259">
      <w:pPr>
        <w:spacing w:line="360" w:lineRule="auto"/>
        <w:jc w:val="center"/>
        <w:rPr>
          <w:rFonts w:ascii="Times New Roman" w:eastAsia="Times New Roman" w:hAnsi="Times New Roman" w:cs="Times New Roman"/>
          <w:b/>
          <w:sz w:val="32"/>
          <w:szCs w:val="32"/>
        </w:rPr>
      </w:pPr>
    </w:p>
    <w:p w14:paraId="50FE9C8B" w14:textId="77777777" w:rsidR="00746259" w:rsidRDefault="00746259">
      <w:pPr>
        <w:spacing w:line="360" w:lineRule="auto"/>
        <w:jc w:val="center"/>
        <w:rPr>
          <w:rFonts w:ascii="Times New Roman" w:eastAsia="Times New Roman" w:hAnsi="Times New Roman" w:cs="Times New Roman"/>
          <w:b/>
          <w:sz w:val="32"/>
          <w:szCs w:val="32"/>
        </w:rPr>
      </w:pPr>
    </w:p>
    <w:p w14:paraId="52C8553D" w14:textId="77777777" w:rsidR="00746259" w:rsidRDefault="00746259">
      <w:pPr>
        <w:spacing w:line="360" w:lineRule="auto"/>
        <w:jc w:val="center"/>
        <w:rPr>
          <w:rFonts w:ascii="Times New Roman" w:eastAsia="Times New Roman" w:hAnsi="Times New Roman" w:cs="Times New Roman"/>
          <w:b/>
          <w:sz w:val="32"/>
          <w:szCs w:val="32"/>
        </w:rPr>
      </w:pPr>
    </w:p>
    <w:p w14:paraId="6A7AEFB5" w14:textId="67AEB7E4" w:rsidR="00746259" w:rsidRDefault="0050309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proofErr w:type="spellStart"/>
      <w:r>
        <w:rPr>
          <w:rFonts w:ascii="Times New Roman" w:eastAsia="Times New Roman" w:hAnsi="Times New Roman" w:cs="Times New Roman"/>
          <w:b/>
          <w:sz w:val="32"/>
          <w:szCs w:val="32"/>
        </w:rPr>
        <w:t>Romena</w:t>
      </w:r>
      <w:proofErr w:type="spellEnd"/>
      <w:r>
        <w:rPr>
          <w:rFonts w:ascii="Times New Roman" w:eastAsia="Times New Roman" w:hAnsi="Times New Roman" w:cs="Times New Roman"/>
          <w:b/>
          <w:sz w:val="32"/>
          <w:szCs w:val="32"/>
        </w:rPr>
        <w:t xml:space="preserve"> Khatun</w:t>
      </w:r>
    </w:p>
    <w:p w14:paraId="094AD7D6" w14:textId="6CF657B3" w:rsidR="00746259" w:rsidRDefault="00503091">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Number-2210008</w:t>
      </w:r>
    </w:p>
    <w:p w14:paraId="1746E17F" w14:textId="77777777" w:rsidR="00746259" w:rsidRDefault="00EC5A4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PERSONAL DEVELOPMENT PLAN</w:t>
      </w:r>
    </w:p>
    <w:p w14:paraId="154573D2" w14:textId="77777777" w:rsidR="00746259" w:rsidRDefault="00EC5A4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Learning in the Digital Era – BMPL4007/BMPS4009</w:t>
      </w:r>
    </w:p>
    <w:p w14:paraId="2478F8FC" w14:textId="77777777" w:rsidR="00746259" w:rsidRDefault="00EC5A4C">
      <w:pPr>
        <w:spacing w:line="360" w:lineRule="auto"/>
        <w:jc w:val="center"/>
        <w:rPr>
          <w:rFonts w:ascii="Times New Roman" w:eastAsia="Times New Roman" w:hAnsi="Times New Roman" w:cs="Times New Roman"/>
          <w:b/>
          <w:sz w:val="32"/>
          <w:szCs w:val="32"/>
        </w:rPr>
      </w:pPr>
      <w:r>
        <w:br w:type="page"/>
      </w:r>
    </w:p>
    <w:p w14:paraId="4FF4B024" w14:textId="77777777" w:rsidR="00746259" w:rsidRDefault="00EC5A4C">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Task 1: Reflection</w:t>
      </w:r>
    </w:p>
    <w:p w14:paraId="791631B0" w14:textId="144385DA" w:rsidR="00746259" w:rsidRDefault="00EC5A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Knowing my learning strengths and limitations will enable me to improve as a student and keep me motivated as I advance through my educational career. With the help of Gibbs' reflective cycle, I was able to narrow in on a particular experience or lesson that occurred throughout my development and better comprehend my part in it (</w:t>
      </w:r>
      <w:r>
        <w:rPr>
          <w:rFonts w:ascii="Times New Roman" w:eastAsia="Times New Roman" w:hAnsi="Times New Roman" w:cs="Times New Roman"/>
          <w:sz w:val="24"/>
          <w:szCs w:val="24"/>
          <w:highlight w:val="white"/>
        </w:rPr>
        <w:t>Gibbs, 2022</w:t>
      </w:r>
      <w:r>
        <w:rPr>
          <w:rFonts w:ascii="Times New Roman" w:eastAsia="Times New Roman" w:hAnsi="Times New Roman" w:cs="Times New Roman"/>
          <w:sz w:val="24"/>
          <w:szCs w:val="24"/>
        </w:rPr>
        <w:t>). The six stages of Gibbs' reflective cycle can aid in my understanding of my experiences and the development of important leadership qualities (</w:t>
      </w:r>
      <w:r>
        <w:rPr>
          <w:rFonts w:ascii="Times New Roman" w:eastAsia="Times New Roman" w:hAnsi="Times New Roman" w:cs="Times New Roman"/>
          <w:sz w:val="24"/>
          <w:szCs w:val="24"/>
          <w:highlight w:val="white"/>
        </w:rPr>
        <w:t>Gibbs et al. 2020</w:t>
      </w:r>
      <w:r>
        <w:rPr>
          <w:rFonts w:ascii="Times New Roman" w:eastAsia="Times New Roman" w:hAnsi="Times New Roman" w:cs="Times New Roman"/>
          <w:sz w:val="24"/>
          <w:szCs w:val="24"/>
        </w:rPr>
        <w:t xml:space="preserve">). The technique also incorporates emotion through the use of phases including "Feelings." Using Gibb's learning model in my development plan primarily serves the objective of helping me increase my knowledge and skills and close any knowledge and skill gaps that I may have while learning. According to </w:t>
      </w:r>
      <w:r>
        <w:rPr>
          <w:rFonts w:ascii="Times New Roman" w:eastAsia="Times New Roman" w:hAnsi="Times New Roman" w:cs="Times New Roman"/>
          <w:sz w:val="24"/>
          <w:szCs w:val="24"/>
          <w:highlight w:val="white"/>
        </w:rPr>
        <w:t xml:space="preserve">Chan and Gibbs's (2019) study, </w:t>
      </w:r>
      <w:r>
        <w:rPr>
          <w:rFonts w:ascii="Times New Roman" w:eastAsia="Times New Roman" w:hAnsi="Times New Roman" w:cs="Times New Roman"/>
          <w:sz w:val="24"/>
          <w:szCs w:val="24"/>
        </w:rPr>
        <w:t xml:space="preserve">the </w:t>
      </w:r>
      <w:r w:rsidR="00222B84">
        <w:rPr>
          <w:rFonts w:ascii="Times New Roman" w:eastAsia="Times New Roman" w:hAnsi="Times New Roman" w:cs="Times New Roman"/>
          <w:sz w:val="24"/>
          <w:szCs w:val="24"/>
        </w:rPr>
        <w:t>step Gibbs suggests</w:t>
      </w:r>
      <w:r>
        <w:rPr>
          <w:rFonts w:ascii="Times New Roman" w:eastAsia="Times New Roman" w:hAnsi="Times New Roman" w:cs="Times New Roman"/>
          <w:sz w:val="24"/>
          <w:szCs w:val="24"/>
        </w:rPr>
        <w:t xml:space="preserve"> following are description, feelings, assessment, analysis, conclusions, and action plan. Reflections and emotions are to be separated and </w:t>
      </w:r>
      <w:r w:rsidR="00503091">
        <w:rPr>
          <w:rFonts w:ascii="Times New Roman" w:eastAsia="Times New Roman" w:hAnsi="Times New Roman" w:cs="Times New Roman"/>
          <w:sz w:val="24"/>
          <w:szCs w:val="24"/>
        </w:rPr>
        <w:t>organized</w:t>
      </w:r>
      <w:r>
        <w:rPr>
          <w:rFonts w:ascii="Times New Roman" w:eastAsia="Times New Roman" w:hAnsi="Times New Roman" w:cs="Times New Roman"/>
          <w:sz w:val="24"/>
          <w:szCs w:val="24"/>
        </w:rPr>
        <w:t xml:space="preserve"> using this technique. In order to avoid making rash conclusions, the several phases typically help us to calm down our mental processes. According to Gibbs, having the ability to reflect on my current learning experience can help me improve my performance both now and in the future.</w:t>
      </w:r>
    </w:p>
    <w:p w14:paraId="637D1A42" w14:textId="348DA25D" w:rsidR="00746259" w:rsidRDefault="00EC5A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 learning via writing and reassessing previous ideas in light of new evidence supports learner development as a genre. In order to assist my learning process, my ability to </w:t>
      </w:r>
      <w:r w:rsidR="00503091">
        <w:rPr>
          <w:rFonts w:ascii="Times New Roman" w:eastAsia="Times New Roman" w:hAnsi="Times New Roman" w:cs="Times New Roman"/>
          <w:sz w:val="24"/>
          <w:szCs w:val="24"/>
        </w:rPr>
        <w:t>synthesize</w:t>
      </w:r>
      <w:r>
        <w:rPr>
          <w:rFonts w:ascii="Times New Roman" w:eastAsia="Times New Roman" w:hAnsi="Times New Roman" w:cs="Times New Roman"/>
          <w:sz w:val="24"/>
          <w:szCs w:val="24"/>
        </w:rPr>
        <w:t xml:space="preserve"> and convey my critical and emotive reactions is improved. We are more open to difficult writing tasks when professors are transparent and honest about the academic settings and learning objectives. If a reflective essay is focused on course concepts and academic learning, it may be an effective teaching tool. It helps learners use their theoretical knowledge in relation to real-world issues, professional settings, and disciplinary readings. It can help pupils </w:t>
      </w:r>
      <w:proofErr w:type="spellStart"/>
      <w:r>
        <w:rPr>
          <w:rFonts w:ascii="Times New Roman" w:eastAsia="Times New Roman" w:hAnsi="Times New Roman" w:cs="Times New Roman"/>
          <w:sz w:val="24"/>
          <w:szCs w:val="24"/>
        </w:rPr>
        <w:t>organise</w:t>
      </w:r>
      <w:proofErr w:type="spellEnd"/>
      <w:r>
        <w:rPr>
          <w:rFonts w:ascii="Times New Roman" w:eastAsia="Times New Roman" w:hAnsi="Times New Roman" w:cs="Times New Roman"/>
          <w:sz w:val="24"/>
          <w:szCs w:val="24"/>
        </w:rPr>
        <w:t xml:space="preserve"> their thoughts, question their presumptions, and form opinions in response to difficulties. Students who are expanding their knowledge in personal studies have a wealth of learning opportunities, and concept learning is the main goal for instructors in the majority of writing assignments (</w:t>
      </w:r>
      <w:r>
        <w:rPr>
          <w:rFonts w:ascii="Times New Roman" w:eastAsia="Times New Roman" w:hAnsi="Times New Roman" w:cs="Times New Roman"/>
          <w:sz w:val="24"/>
          <w:szCs w:val="24"/>
          <w:highlight w:val="white"/>
        </w:rPr>
        <w:t>Peters et al. 2022</w:t>
      </w:r>
      <w:r>
        <w:rPr>
          <w:rFonts w:ascii="Times New Roman" w:eastAsia="Times New Roman" w:hAnsi="Times New Roman" w:cs="Times New Roman"/>
          <w:sz w:val="24"/>
          <w:szCs w:val="24"/>
        </w:rPr>
        <w:t>). The benefits for the learner might include improvements in applied critical thinking, and self-awareness of their learning, as well as a new understanding of personal, practices and potential careers in self-development. Self-development includes self-reflection as a crucial element. I can use it to identify the skills I still need to develop, the goals I want to achieve, and the good things about my performance (</w:t>
      </w:r>
      <w:r>
        <w:rPr>
          <w:rFonts w:ascii="Times New Roman" w:eastAsia="Times New Roman" w:hAnsi="Times New Roman" w:cs="Times New Roman"/>
          <w:sz w:val="24"/>
          <w:szCs w:val="24"/>
          <w:highlight w:val="white"/>
        </w:rPr>
        <w:t>Pap et al. 2020</w:t>
      </w:r>
      <w:r>
        <w:rPr>
          <w:rFonts w:ascii="Times New Roman" w:eastAsia="Times New Roman" w:hAnsi="Times New Roman" w:cs="Times New Roman"/>
          <w:sz w:val="24"/>
          <w:szCs w:val="24"/>
        </w:rPr>
        <w:t>). Even while I am in school, self-reflection may be quite beneficial in supporting and establishing better learning skills.</w:t>
      </w:r>
    </w:p>
    <w:p w14:paraId="5165306A" w14:textId="77777777" w:rsidR="00746259" w:rsidRDefault="00EC5A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should be extremely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and systematic in how I document my activities, ideas, and acts because structured self-reflection is the most beneficial. My self-reflection assignments should all follow the same structure to make it easier for me to compare and assess my progress over time. It is crucial for me to periodically consider how I have developed over a more extended period to see how I have changed. I should, for instance, do this at the end of each week. I must be considerate and open-minded when I assess the areas where I haven't performed as well (</w:t>
      </w:r>
      <w:r>
        <w:rPr>
          <w:rFonts w:ascii="Times New Roman" w:eastAsia="Times New Roman" w:hAnsi="Times New Roman" w:cs="Times New Roman"/>
          <w:sz w:val="24"/>
          <w:szCs w:val="24"/>
          <w:highlight w:val="white"/>
        </w:rPr>
        <w:t>Harris et al. 2021</w:t>
      </w:r>
      <w:r>
        <w:rPr>
          <w:rFonts w:ascii="Times New Roman" w:eastAsia="Times New Roman" w:hAnsi="Times New Roman" w:cs="Times New Roman"/>
          <w:sz w:val="24"/>
          <w:szCs w:val="24"/>
        </w:rPr>
        <w:t>). I can more objectively assess my behavior in the context of those objectives if I distinguish between organizational goals and personal ones. If anything didn't go as planned, be honest with myself and mention it. If I had noticed things that could have gone better, really think about why it didn't go as well as I had intended. Give an account of the steps I took to achieve a goal. My self-awareness has increased as a result of my goal achievement during my learning journey. I will be more familiar with my strengths and weaknesses. Emotional intelligence also has a critical feature in this. Since reflective writing differs substantially from other sorts of assignments and since it may first be difficult to discuss my feelings and academic accomplishment, many students find this difficult (</w:t>
      </w:r>
      <w:r>
        <w:rPr>
          <w:rFonts w:ascii="Times New Roman" w:eastAsia="Times New Roman" w:hAnsi="Times New Roman" w:cs="Times New Roman"/>
          <w:sz w:val="24"/>
          <w:szCs w:val="24"/>
          <w:highlight w:val="white"/>
        </w:rPr>
        <w:t>Tie et al. 2021</w:t>
      </w:r>
      <w:r>
        <w:rPr>
          <w:rFonts w:ascii="Times New Roman" w:eastAsia="Times New Roman" w:hAnsi="Times New Roman" w:cs="Times New Roman"/>
          <w:sz w:val="24"/>
          <w:szCs w:val="24"/>
        </w:rPr>
        <w:t>). I am going to reflect by looking back on an experience to show what I have learned from it. It will be necessary to describe what happened, how I felt about it, what I learned, whether there was anything I could have done better, and what I need to understand or change going forward. I will be guided through the reflective essay-writing process by this how-to guide.</w:t>
      </w:r>
    </w:p>
    <w:p w14:paraId="31FF3590" w14:textId="77777777" w:rsidR="00746259" w:rsidRDefault="00746259">
      <w:pPr>
        <w:spacing w:line="360" w:lineRule="auto"/>
        <w:jc w:val="both"/>
        <w:rPr>
          <w:rFonts w:ascii="Times New Roman" w:eastAsia="Times New Roman" w:hAnsi="Times New Roman" w:cs="Times New Roman"/>
          <w:b/>
          <w:sz w:val="28"/>
          <w:szCs w:val="28"/>
        </w:rPr>
      </w:pPr>
    </w:p>
    <w:p w14:paraId="26B6B419" w14:textId="77777777" w:rsidR="00746259" w:rsidRDefault="00EC5A4C">
      <w:pPr>
        <w:spacing w:line="360" w:lineRule="auto"/>
        <w:jc w:val="both"/>
        <w:rPr>
          <w:rFonts w:ascii="Times New Roman" w:eastAsia="Times New Roman" w:hAnsi="Times New Roman" w:cs="Times New Roman"/>
          <w:b/>
          <w:sz w:val="28"/>
          <w:szCs w:val="28"/>
        </w:rPr>
      </w:pPr>
      <w:r>
        <w:br w:type="page"/>
      </w:r>
    </w:p>
    <w:p w14:paraId="4A27F44E" w14:textId="77777777" w:rsidR="00746259" w:rsidRDefault="00EC5A4C">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Task 2: Personal Development Plan</w:t>
      </w:r>
    </w:p>
    <w:p w14:paraId="79D42A47" w14:textId="77777777" w:rsidR="00746259" w:rsidRDefault="00746259">
      <w:pPr>
        <w:spacing w:line="360" w:lineRule="auto"/>
        <w:jc w:val="both"/>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479C2" w14:paraId="0A1B5C01" w14:textId="77777777">
        <w:tc>
          <w:tcPr>
            <w:tcW w:w="1872" w:type="dxa"/>
            <w:shd w:val="clear" w:color="auto" w:fill="auto"/>
            <w:tcMar>
              <w:top w:w="100" w:type="dxa"/>
              <w:left w:w="100" w:type="dxa"/>
              <w:bottom w:w="100" w:type="dxa"/>
              <w:right w:w="100" w:type="dxa"/>
            </w:tcMar>
          </w:tcPr>
          <w:p w14:paraId="5B66CCBE" w14:textId="4E2D46BF"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goals do I want</w:t>
            </w:r>
          </w:p>
          <w:p w14:paraId="11C9850B" w14:textId="39FFEA13"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 achieve?</w:t>
            </w:r>
          </w:p>
        </w:tc>
        <w:tc>
          <w:tcPr>
            <w:tcW w:w="1872" w:type="dxa"/>
            <w:shd w:val="clear" w:color="auto" w:fill="auto"/>
            <w:tcMar>
              <w:top w:w="100" w:type="dxa"/>
              <w:left w:w="100" w:type="dxa"/>
              <w:bottom w:w="100" w:type="dxa"/>
              <w:right w:w="100" w:type="dxa"/>
            </w:tcMar>
          </w:tcPr>
          <w:p w14:paraId="7B01BFAC" w14:textId="49FD148A"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will I measure</w:t>
            </w:r>
          </w:p>
          <w:p w14:paraId="0D233108" w14:textId="0D09DB43"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My progress?</w:t>
            </w:r>
          </w:p>
        </w:tc>
        <w:tc>
          <w:tcPr>
            <w:tcW w:w="1872" w:type="dxa"/>
            <w:shd w:val="clear" w:color="auto" w:fill="auto"/>
            <w:tcMar>
              <w:top w:w="100" w:type="dxa"/>
              <w:left w:w="100" w:type="dxa"/>
              <w:bottom w:w="100" w:type="dxa"/>
              <w:right w:w="100" w:type="dxa"/>
            </w:tcMar>
          </w:tcPr>
          <w:p w14:paraId="1A1CCA03" w14:textId="3944C5E6"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resources or</w:t>
            </w:r>
          </w:p>
          <w:p w14:paraId="5D7EA137" w14:textId="1E68EC49"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support will I need?</w:t>
            </w:r>
          </w:p>
        </w:tc>
        <w:tc>
          <w:tcPr>
            <w:tcW w:w="1872" w:type="dxa"/>
            <w:shd w:val="clear" w:color="auto" w:fill="auto"/>
            <w:tcMar>
              <w:top w:w="100" w:type="dxa"/>
              <w:left w:w="100" w:type="dxa"/>
              <w:bottom w:w="100" w:type="dxa"/>
              <w:right w:w="100" w:type="dxa"/>
            </w:tcMar>
          </w:tcPr>
          <w:p w14:paraId="5DFBA9CC" w14:textId="67B0EA56"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is the objective</w:t>
            </w:r>
          </w:p>
          <w:p w14:paraId="1AADE9C1" w14:textId="63FC78BE"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relevant to </w:t>
            </w:r>
            <w:r w:rsidR="00A94EB8">
              <w:rPr>
                <w:rFonts w:ascii="Times New Roman" w:eastAsia="Times New Roman" w:hAnsi="Times New Roman" w:cs="Times New Roman"/>
                <w:b/>
                <w:sz w:val="24"/>
                <w:szCs w:val="24"/>
              </w:rPr>
              <w:t>my</w:t>
            </w:r>
          </w:p>
          <w:p w14:paraId="1CED4125" w14:textId="091AD2DE"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aspirations?</w:t>
            </w:r>
          </w:p>
        </w:tc>
        <w:tc>
          <w:tcPr>
            <w:tcW w:w="1872" w:type="dxa"/>
            <w:shd w:val="clear" w:color="auto" w:fill="auto"/>
            <w:tcMar>
              <w:top w:w="100" w:type="dxa"/>
              <w:left w:w="100" w:type="dxa"/>
              <w:bottom w:w="100" w:type="dxa"/>
              <w:right w:w="100" w:type="dxa"/>
            </w:tcMar>
          </w:tcPr>
          <w:p w14:paraId="54E8EC7A" w14:textId="65183828"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is the timeframe</w:t>
            </w:r>
          </w:p>
          <w:p w14:paraId="06C4DB77" w14:textId="77777777"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the achievement</w:t>
            </w:r>
          </w:p>
          <w:p w14:paraId="49242139" w14:textId="6D2F487F"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of my goals?</w:t>
            </w:r>
          </w:p>
        </w:tc>
      </w:tr>
      <w:tr w:rsidR="00C479C2" w14:paraId="1180A35D" w14:textId="77777777">
        <w:tc>
          <w:tcPr>
            <w:tcW w:w="1872" w:type="dxa"/>
            <w:shd w:val="clear" w:color="auto" w:fill="auto"/>
            <w:tcMar>
              <w:top w:w="100" w:type="dxa"/>
              <w:left w:w="100" w:type="dxa"/>
              <w:bottom w:w="100" w:type="dxa"/>
              <w:right w:w="100" w:type="dxa"/>
            </w:tcMar>
          </w:tcPr>
          <w:p w14:paraId="56A5531A" w14:textId="77777777"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872" w:type="dxa"/>
            <w:shd w:val="clear" w:color="auto" w:fill="auto"/>
            <w:tcMar>
              <w:top w:w="100" w:type="dxa"/>
              <w:left w:w="100" w:type="dxa"/>
              <w:bottom w:w="100" w:type="dxa"/>
              <w:right w:w="100" w:type="dxa"/>
            </w:tcMar>
          </w:tcPr>
          <w:p w14:paraId="1F71E3E4" w14:textId="77777777"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shd w:val="clear" w:color="auto" w:fill="auto"/>
            <w:tcMar>
              <w:top w:w="100" w:type="dxa"/>
              <w:left w:w="100" w:type="dxa"/>
              <w:bottom w:w="100" w:type="dxa"/>
              <w:right w:w="100" w:type="dxa"/>
            </w:tcMar>
          </w:tcPr>
          <w:p w14:paraId="6F405454" w14:textId="77777777"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shd w:val="clear" w:color="auto" w:fill="auto"/>
            <w:tcMar>
              <w:top w:w="100" w:type="dxa"/>
              <w:left w:w="100" w:type="dxa"/>
              <w:bottom w:w="100" w:type="dxa"/>
              <w:right w:w="100" w:type="dxa"/>
            </w:tcMar>
          </w:tcPr>
          <w:p w14:paraId="11F004B1" w14:textId="77777777"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1872" w:type="dxa"/>
            <w:shd w:val="clear" w:color="auto" w:fill="auto"/>
            <w:tcMar>
              <w:top w:w="100" w:type="dxa"/>
              <w:left w:w="100" w:type="dxa"/>
              <w:bottom w:w="100" w:type="dxa"/>
              <w:right w:w="100" w:type="dxa"/>
            </w:tcMar>
          </w:tcPr>
          <w:p w14:paraId="3FF0BC9D" w14:textId="77777777" w:rsidR="00746259" w:rsidRDefault="00EC5A4C">
            <w:pPr>
              <w:widowControl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Timebound</w:t>
            </w:r>
          </w:p>
        </w:tc>
      </w:tr>
      <w:tr w:rsidR="00C479C2" w14:paraId="2EEE9695" w14:textId="77777777">
        <w:tc>
          <w:tcPr>
            <w:tcW w:w="1872" w:type="dxa"/>
            <w:shd w:val="clear" w:color="auto" w:fill="auto"/>
            <w:tcMar>
              <w:top w:w="100" w:type="dxa"/>
              <w:left w:w="100" w:type="dxa"/>
              <w:bottom w:w="100" w:type="dxa"/>
              <w:right w:w="100" w:type="dxa"/>
            </w:tcMar>
          </w:tcPr>
          <w:p w14:paraId="0F07CF79"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Time Management skills</w:t>
            </w:r>
          </w:p>
        </w:tc>
        <w:tc>
          <w:tcPr>
            <w:tcW w:w="1872" w:type="dxa"/>
            <w:shd w:val="clear" w:color="auto" w:fill="auto"/>
            <w:tcMar>
              <w:top w:w="100" w:type="dxa"/>
              <w:left w:w="100" w:type="dxa"/>
              <w:bottom w:w="100" w:type="dxa"/>
              <w:right w:w="100" w:type="dxa"/>
            </w:tcMar>
          </w:tcPr>
          <w:p w14:paraId="39AF20A3"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good measuring technique is keeping track of progress. Consider listing all of my major goals, tasks, due dates, and accomplishments in writing. Once that is done, I can mark off tasks as I complete them and milestones as I achieve them on a calendar or planner to help me keep track of my progress. Once I have </w:t>
            </w:r>
            <w:r>
              <w:rPr>
                <w:rFonts w:ascii="Times New Roman" w:eastAsia="Times New Roman" w:hAnsi="Times New Roman" w:cs="Times New Roman"/>
                <w:sz w:val="24"/>
                <w:szCs w:val="24"/>
              </w:rPr>
              <w:lastRenderedPageBreak/>
              <w:t>established a goal, tracking my progress can help me get there (</w:t>
            </w:r>
            <w:proofErr w:type="spellStart"/>
            <w:r>
              <w:rPr>
                <w:rFonts w:ascii="Times New Roman" w:eastAsia="Times New Roman" w:hAnsi="Times New Roman" w:cs="Times New Roman"/>
                <w:sz w:val="24"/>
                <w:szCs w:val="24"/>
                <w:highlight w:val="white"/>
              </w:rPr>
              <w:t>Niebel</w:t>
            </w:r>
            <w:proofErr w:type="spellEnd"/>
            <w:r>
              <w:rPr>
                <w:rFonts w:ascii="Times New Roman" w:eastAsia="Times New Roman" w:hAnsi="Times New Roman" w:cs="Times New Roman"/>
                <w:sz w:val="24"/>
                <w:szCs w:val="24"/>
                <w:highlight w:val="white"/>
              </w:rPr>
              <w:t xml:space="preserve"> et al. 2019</w:t>
            </w:r>
            <w:r>
              <w:rPr>
                <w:rFonts w:ascii="Times New Roman" w:eastAsia="Times New Roman" w:hAnsi="Times New Roman" w:cs="Times New Roman"/>
                <w:sz w:val="24"/>
                <w:szCs w:val="24"/>
              </w:rPr>
              <w:t>). My ability to understand the behaviors and methods that will help me advance will be aided by this knowledge. Following this, I may include these strategies into my overall strategy for reaching a certain goal.</w:t>
            </w:r>
          </w:p>
        </w:tc>
        <w:tc>
          <w:tcPr>
            <w:tcW w:w="1872" w:type="dxa"/>
            <w:shd w:val="clear" w:color="auto" w:fill="auto"/>
            <w:tcMar>
              <w:top w:w="100" w:type="dxa"/>
              <w:left w:w="100" w:type="dxa"/>
              <w:bottom w:w="100" w:type="dxa"/>
              <w:right w:w="100" w:type="dxa"/>
            </w:tcMar>
          </w:tcPr>
          <w:p w14:paraId="0E83D23A"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may begin to enhance my time management abilities by becoming more aware of how each second is spent. Perform a time audit on any average workday of my choosing. I have two options: either I automate the process using an app, or I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one of the many downloadable layouts that are quickly and easily available </w:t>
            </w:r>
            <w:r>
              <w:rPr>
                <w:rFonts w:ascii="Times New Roman" w:eastAsia="Times New Roman" w:hAnsi="Times New Roman" w:cs="Times New Roman"/>
                <w:sz w:val="24"/>
                <w:szCs w:val="24"/>
              </w:rPr>
              <w:lastRenderedPageBreak/>
              <w:t>online with a quick Google search. Even though having objectives gives me something to work toward, preparation is what will get me there. I don't need to prepare every little aspect of my task to manage my time well, but I do need to do at least some planning.</w:t>
            </w:r>
          </w:p>
        </w:tc>
        <w:tc>
          <w:tcPr>
            <w:tcW w:w="1872" w:type="dxa"/>
            <w:shd w:val="clear" w:color="auto" w:fill="auto"/>
            <w:tcMar>
              <w:top w:w="100" w:type="dxa"/>
              <w:left w:w="100" w:type="dxa"/>
              <w:bottom w:w="100" w:type="dxa"/>
              <w:right w:w="100" w:type="dxa"/>
            </w:tcMar>
          </w:tcPr>
          <w:p w14:paraId="7224B9B5"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manage my time and finish important tasks, I need to set time management goals. These goals will help me acquire certain skills, such as </w:t>
            </w:r>
            <w:proofErr w:type="spellStart"/>
            <w:r>
              <w:rPr>
                <w:rFonts w:ascii="Times New Roman" w:eastAsia="Times New Roman" w:hAnsi="Times New Roman" w:cs="Times New Roman"/>
                <w:sz w:val="24"/>
                <w:szCs w:val="24"/>
              </w:rPr>
              <w:t>organising</w:t>
            </w:r>
            <w:proofErr w:type="spellEnd"/>
            <w:r>
              <w:rPr>
                <w:rFonts w:ascii="Times New Roman" w:eastAsia="Times New Roman" w:hAnsi="Times New Roman" w:cs="Times New Roman"/>
                <w:sz w:val="24"/>
                <w:szCs w:val="24"/>
              </w:rPr>
              <w:t xml:space="preserve">, scheduling, and planning. I can complete tasks more quickly, get ready for events, accomplish more, stay focused, avoid distractions, and </w:t>
            </w:r>
            <w:r>
              <w:rPr>
                <w:rFonts w:ascii="Times New Roman" w:eastAsia="Times New Roman" w:hAnsi="Times New Roman" w:cs="Times New Roman"/>
                <w:sz w:val="24"/>
                <w:szCs w:val="24"/>
              </w:rPr>
              <w:lastRenderedPageBreak/>
              <w:t>increase my income with these time management strategies. By establishing goals, I can work deliberately to improve my time management abilities and keep track of my progress.</w:t>
            </w:r>
          </w:p>
        </w:tc>
        <w:tc>
          <w:tcPr>
            <w:tcW w:w="1872" w:type="dxa"/>
            <w:shd w:val="clear" w:color="auto" w:fill="auto"/>
            <w:tcMar>
              <w:top w:w="100" w:type="dxa"/>
              <w:left w:w="100" w:type="dxa"/>
              <w:bottom w:w="100" w:type="dxa"/>
              <w:right w:w="100" w:type="dxa"/>
            </w:tcMar>
          </w:tcPr>
          <w:p w14:paraId="05F54F44"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complete this specific goal I need around six months to develop my Time management skills. </w:t>
            </w:r>
          </w:p>
        </w:tc>
      </w:tr>
      <w:tr w:rsidR="00C479C2" w14:paraId="1FBD79F9" w14:textId="77777777">
        <w:tc>
          <w:tcPr>
            <w:tcW w:w="1872" w:type="dxa"/>
            <w:shd w:val="clear" w:color="auto" w:fill="auto"/>
            <w:tcMar>
              <w:top w:w="100" w:type="dxa"/>
              <w:left w:w="100" w:type="dxa"/>
              <w:bottom w:w="100" w:type="dxa"/>
              <w:right w:w="100" w:type="dxa"/>
            </w:tcMar>
          </w:tcPr>
          <w:p w14:paraId="1213926C"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skills or become better at public speaking</w:t>
            </w:r>
          </w:p>
        </w:tc>
        <w:tc>
          <w:tcPr>
            <w:tcW w:w="1872" w:type="dxa"/>
            <w:shd w:val="clear" w:color="auto" w:fill="auto"/>
            <w:tcMar>
              <w:top w:w="100" w:type="dxa"/>
              <w:left w:w="100" w:type="dxa"/>
              <w:bottom w:w="100" w:type="dxa"/>
              <w:right w:w="100" w:type="dxa"/>
            </w:tcMar>
          </w:tcPr>
          <w:p w14:paraId="13E4E6DE"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I can read people's body language when we are face to face, the best ways to evaluate performance in the digital era are through surveys and customer feedback </w:t>
            </w:r>
            <w:r>
              <w:rPr>
                <w:rFonts w:ascii="Times New Roman" w:eastAsia="Times New Roman" w:hAnsi="Times New Roman" w:cs="Times New Roman"/>
                <w:sz w:val="24"/>
                <w:szCs w:val="24"/>
              </w:rPr>
              <w:lastRenderedPageBreak/>
              <w:t>(</w:t>
            </w:r>
            <w:proofErr w:type="spellStart"/>
            <w:r>
              <w:rPr>
                <w:rFonts w:ascii="Times New Roman" w:eastAsia="Times New Roman" w:hAnsi="Times New Roman" w:cs="Times New Roman"/>
                <w:sz w:val="24"/>
                <w:szCs w:val="24"/>
                <w:highlight w:val="white"/>
              </w:rPr>
              <w:t>Tenforde</w:t>
            </w:r>
            <w:proofErr w:type="spellEnd"/>
            <w:r>
              <w:rPr>
                <w:rFonts w:ascii="Times New Roman" w:eastAsia="Times New Roman" w:hAnsi="Times New Roman" w:cs="Times New Roman"/>
                <w:sz w:val="24"/>
                <w:szCs w:val="24"/>
                <w:highlight w:val="white"/>
              </w:rPr>
              <w:t xml:space="preserve"> et al. 2021</w:t>
            </w:r>
            <w:r>
              <w:rPr>
                <w:rFonts w:ascii="Times New Roman" w:eastAsia="Times New Roman" w:hAnsi="Times New Roman" w:cs="Times New Roman"/>
                <w:sz w:val="24"/>
                <w:szCs w:val="24"/>
              </w:rPr>
              <w:t>). Include a quick poll to gauge how well we understood what was said, get comments, and review our replies. Strong communication skills are essential for achievement in many spheres of life. Strong communication skills are generally beneficial for a person's interpersonal connections with friends and family.</w:t>
            </w:r>
          </w:p>
          <w:p w14:paraId="4F799DE0" w14:textId="77777777" w:rsidR="00746259" w:rsidRDefault="00746259">
            <w:pPr>
              <w:widowControl w:val="0"/>
              <w:spacing w:line="360" w:lineRule="auto"/>
              <w:jc w:val="both"/>
              <w:rPr>
                <w:rFonts w:ascii="Times New Roman" w:eastAsia="Times New Roman" w:hAnsi="Times New Roman" w:cs="Times New Roman"/>
                <w:sz w:val="24"/>
                <w:szCs w:val="24"/>
              </w:rPr>
            </w:pPr>
          </w:p>
          <w:p w14:paraId="07AA824E" w14:textId="77777777" w:rsidR="00746259" w:rsidRDefault="00746259">
            <w:pPr>
              <w:widowControl w:val="0"/>
              <w:spacing w:line="360" w:lineRule="auto"/>
              <w:jc w:val="both"/>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14:paraId="33559B57"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won't get better at listening by merely learning to keep quiet during discussions or reading directions more attentively. Active listening techniques need </w:t>
            </w:r>
            <w:r>
              <w:rPr>
                <w:rFonts w:ascii="Times New Roman" w:eastAsia="Times New Roman" w:hAnsi="Times New Roman" w:cs="Times New Roman"/>
                <w:sz w:val="24"/>
                <w:szCs w:val="24"/>
              </w:rPr>
              <w:lastRenderedPageBreak/>
              <w:t>to be developed and practiced. It requires paying close attention to what is being said and emotionally responding to it.</w:t>
            </w:r>
          </w:p>
        </w:tc>
        <w:tc>
          <w:tcPr>
            <w:tcW w:w="1872" w:type="dxa"/>
            <w:shd w:val="clear" w:color="auto" w:fill="auto"/>
            <w:tcMar>
              <w:top w:w="100" w:type="dxa"/>
              <w:left w:w="100" w:type="dxa"/>
              <w:bottom w:w="100" w:type="dxa"/>
              <w:right w:w="100" w:type="dxa"/>
            </w:tcMar>
          </w:tcPr>
          <w:p w14:paraId="76352A80" w14:textId="22F8AE55"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These skills</w:t>
            </w:r>
            <w:r w:rsidR="003F5250">
              <w:rPr>
                <w:rFonts w:ascii="Times New Roman" w:eastAsia="Times New Roman" w:hAnsi="Times New Roman" w:cs="Times New Roman"/>
                <w:sz w:val="24"/>
                <w:szCs w:val="24"/>
              </w:rPr>
              <w:t xml:space="preserve"> improve my ability to face any situation in my learning period (</w:t>
            </w:r>
            <w:r w:rsidR="003F5250">
              <w:rPr>
                <w:rFonts w:ascii="Times New Roman" w:eastAsia="Times New Roman" w:hAnsi="Times New Roman" w:cs="Times New Roman"/>
                <w:sz w:val="24"/>
                <w:szCs w:val="24"/>
                <w:highlight w:val="white"/>
              </w:rPr>
              <w:t>Yamaguchi et al. 2022</w:t>
            </w:r>
            <w:r w:rsidR="003F5250">
              <w:rPr>
                <w:rFonts w:ascii="Times New Roman" w:eastAsia="Times New Roman" w:hAnsi="Times New Roman" w:cs="Times New Roman"/>
                <w:sz w:val="24"/>
                <w:szCs w:val="24"/>
              </w:rPr>
              <w:t>).</w:t>
            </w:r>
          </w:p>
        </w:tc>
        <w:tc>
          <w:tcPr>
            <w:tcW w:w="1872" w:type="dxa"/>
            <w:shd w:val="clear" w:color="auto" w:fill="auto"/>
            <w:tcMar>
              <w:top w:w="100" w:type="dxa"/>
              <w:left w:w="100" w:type="dxa"/>
              <w:bottom w:w="100" w:type="dxa"/>
              <w:right w:w="100" w:type="dxa"/>
            </w:tcMar>
          </w:tcPr>
          <w:p w14:paraId="70AC5ECB" w14:textId="4F77818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almost six </w:t>
            </w:r>
            <w:r w:rsidR="00A94EB8">
              <w:rPr>
                <w:rFonts w:ascii="Times New Roman" w:eastAsia="Times New Roman" w:hAnsi="Times New Roman" w:cs="Times New Roman"/>
                <w:sz w:val="24"/>
                <w:szCs w:val="24"/>
              </w:rPr>
              <w:t>months</w:t>
            </w:r>
            <w:r>
              <w:rPr>
                <w:rFonts w:ascii="Times New Roman" w:eastAsia="Times New Roman" w:hAnsi="Times New Roman" w:cs="Times New Roman"/>
                <w:sz w:val="24"/>
                <w:szCs w:val="24"/>
              </w:rPr>
              <w:t xml:space="preserve"> to improve my communication skills.</w:t>
            </w:r>
          </w:p>
        </w:tc>
      </w:tr>
      <w:tr w:rsidR="00C479C2" w14:paraId="3512E6C5" w14:textId="77777777">
        <w:tc>
          <w:tcPr>
            <w:tcW w:w="1872" w:type="dxa"/>
            <w:shd w:val="clear" w:color="auto" w:fill="auto"/>
            <w:tcMar>
              <w:top w:w="100" w:type="dxa"/>
              <w:left w:w="100" w:type="dxa"/>
              <w:bottom w:w="100" w:type="dxa"/>
              <w:right w:w="100" w:type="dxa"/>
            </w:tcMar>
          </w:tcPr>
          <w:p w14:paraId="42FD1269"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 up my self-confidence </w:t>
            </w:r>
          </w:p>
        </w:tc>
        <w:tc>
          <w:tcPr>
            <w:tcW w:w="1872" w:type="dxa"/>
            <w:shd w:val="clear" w:color="auto" w:fill="auto"/>
            <w:tcMar>
              <w:top w:w="100" w:type="dxa"/>
              <w:left w:w="100" w:type="dxa"/>
              <w:bottom w:w="100" w:type="dxa"/>
              <w:right w:w="100" w:type="dxa"/>
            </w:tcMar>
          </w:tcPr>
          <w:p w14:paraId="01B80E88"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Possessing confidence at work can be the secret to my </w:t>
            </w:r>
            <w:r>
              <w:rPr>
                <w:rFonts w:ascii="Times New Roman" w:eastAsia="Times New Roman" w:hAnsi="Times New Roman" w:cs="Times New Roman"/>
                <w:sz w:val="24"/>
                <w:szCs w:val="24"/>
              </w:rPr>
              <w:lastRenderedPageBreak/>
              <w:t>overall success. If I feel confident, I could become more motivated and ambitious in addition to less stressed and anxious. Unfortunately, some people lack confidence by nature and must learn how to develop it (</w:t>
            </w:r>
            <w:r>
              <w:rPr>
                <w:rFonts w:ascii="Times New Roman" w:eastAsia="Times New Roman" w:hAnsi="Times New Roman" w:cs="Times New Roman"/>
                <w:sz w:val="24"/>
                <w:szCs w:val="24"/>
                <w:highlight w:val="white"/>
              </w:rPr>
              <w:t>Patrick et al. 2018</w:t>
            </w:r>
            <w:r>
              <w:rPr>
                <w:rFonts w:ascii="Times New Roman" w:eastAsia="Times New Roman" w:hAnsi="Times New Roman" w:cs="Times New Roman"/>
                <w:sz w:val="24"/>
                <w:szCs w:val="24"/>
              </w:rPr>
              <w:t xml:space="preserve">). Consider taking a class if we are interested in furthering our profession. As an illustration, I may enroll in a course or attend a training session to learn new project management skills, or I might read journals or </w:t>
            </w:r>
            <w:r>
              <w:rPr>
                <w:rFonts w:ascii="Times New Roman" w:eastAsia="Times New Roman" w:hAnsi="Times New Roman" w:cs="Times New Roman"/>
                <w:sz w:val="24"/>
                <w:szCs w:val="24"/>
              </w:rPr>
              <w:lastRenderedPageBreak/>
              <w:t>books that could provide me with the information I need to strengthen my credentials.</w:t>
            </w:r>
          </w:p>
        </w:tc>
        <w:tc>
          <w:tcPr>
            <w:tcW w:w="1872" w:type="dxa"/>
            <w:shd w:val="clear" w:color="auto" w:fill="auto"/>
            <w:tcMar>
              <w:top w:w="100" w:type="dxa"/>
              <w:left w:w="100" w:type="dxa"/>
              <w:bottom w:w="100" w:type="dxa"/>
              <w:right w:w="100" w:type="dxa"/>
            </w:tcMar>
          </w:tcPr>
          <w:p w14:paraId="0D12165B"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basis for confidence is feeling secure in oneself and one's </w:t>
            </w:r>
            <w:r>
              <w:rPr>
                <w:rFonts w:ascii="Times New Roman" w:eastAsia="Times New Roman" w:hAnsi="Times New Roman" w:cs="Times New Roman"/>
                <w:sz w:val="24"/>
                <w:szCs w:val="24"/>
              </w:rPr>
              <w:t>life. I cannot grow and develop unless I am certain that our needs are being met. I am in good bodily and mental health, have a place to live, and always have enough money to cover my basic needs. I need to have trust in my abilities to be able to control what happens to me in life. If I trust in my abilities to handle difficult challenges, I can manage them and make the necessary modifications to deal with them (</w:t>
            </w:r>
            <w:proofErr w:type="spellStart"/>
            <w:r>
              <w:rPr>
                <w:rFonts w:ascii="Times New Roman" w:eastAsia="Times New Roman" w:hAnsi="Times New Roman" w:cs="Times New Roman"/>
                <w:sz w:val="24"/>
                <w:szCs w:val="24"/>
                <w:highlight w:val="white"/>
              </w:rPr>
              <w:t>Ardian</w:t>
            </w:r>
            <w:proofErr w:type="spellEnd"/>
            <w:r>
              <w:rPr>
                <w:rFonts w:ascii="Times New Roman" w:eastAsia="Times New Roman" w:hAnsi="Times New Roman" w:cs="Times New Roman"/>
                <w:sz w:val="24"/>
                <w:szCs w:val="24"/>
                <w:highlight w:val="white"/>
              </w:rPr>
              <w:t xml:space="preserve"> et al. 2019</w:t>
            </w:r>
            <w:r>
              <w:rPr>
                <w:rFonts w:ascii="Times New Roman" w:eastAsia="Times New Roman" w:hAnsi="Times New Roman" w:cs="Times New Roman"/>
                <w:sz w:val="24"/>
                <w:szCs w:val="24"/>
              </w:rPr>
              <w:t xml:space="preserve">). But </w:t>
            </w:r>
            <w:r>
              <w:rPr>
                <w:rFonts w:ascii="Times New Roman" w:eastAsia="Times New Roman" w:hAnsi="Times New Roman" w:cs="Times New Roman"/>
                <w:sz w:val="24"/>
                <w:szCs w:val="24"/>
              </w:rPr>
              <w:lastRenderedPageBreak/>
              <w:t>confidence in my abilities extends beyond just doing well.</w:t>
            </w:r>
          </w:p>
        </w:tc>
        <w:tc>
          <w:tcPr>
            <w:tcW w:w="1872" w:type="dxa"/>
            <w:shd w:val="clear" w:color="auto" w:fill="auto"/>
            <w:tcMar>
              <w:top w:w="100" w:type="dxa"/>
              <w:left w:w="100" w:type="dxa"/>
              <w:bottom w:w="100" w:type="dxa"/>
              <w:right w:w="100" w:type="dxa"/>
            </w:tcMar>
          </w:tcPr>
          <w:p w14:paraId="09F05537"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Self-assurance best describes how I view my talents and </w:t>
            </w:r>
            <w:r>
              <w:rPr>
                <w:rFonts w:ascii="Times New Roman" w:eastAsia="Times New Roman" w:hAnsi="Times New Roman" w:cs="Times New Roman"/>
                <w:sz w:val="24"/>
                <w:szCs w:val="24"/>
              </w:rPr>
              <w:t>abilities. It suggests that I am responsible for my life, accept myself, and have faith in myself (</w:t>
            </w:r>
            <w:r>
              <w:rPr>
                <w:rFonts w:ascii="Times New Roman" w:eastAsia="Times New Roman" w:hAnsi="Times New Roman" w:cs="Times New Roman"/>
                <w:sz w:val="24"/>
                <w:szCs w:val="24"/>
                <w:highlight w:val="white"/>
              </w:rPr>
              <w:t>Popovic, 2022</w:t>
            </w:r>
            <w:r>
              <w:rPr>
                <w:rFonts w:ascii="Times New Roman" w:eastAsia="Times New Roman" w:hAnsi="Times New Roman" w:cs="Times New Roman"/>
                <w:sz w:val="24"/>
                <w:szCs w:val="24"/>
              </w:rPr>
              <w:t>). My self-perception is positive, and I am conscious of both my strengths and flaws. I set acceptable goals and objectives, can take criticism well, and talk with assurance.</w:t>
            </w:r>
          </w:p>
        </w:tc>
        <w:tc>
          <w:tcPr>
            <w:tcW w:w="1872" w:type="dxa"/>
            <w:shd w:val="clear" w:color="auto" w:fill="auto"/>
            <w:tcMar>
              <w:top w:w="100" w:type="dxa"/>
              <w:left w:w="100" w:type="dxa"/>
              <w:bottom w:w="100" w:type="dxa"/>
              <w:right w:w="100" w:type="dxa"/>
            </w:tcMar>
          </w:tcPr>
          <w:p w14:paraId="6401D345" w14:textId="77777777" w:rsidR="00746259" w:rsidRDefault="00EC5A4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These a </w:t>
            </w:r>
            <w:proofErr w:type="gramStart"/>
            <w:r>
              <w:rPr>
                <w:rFonts w:ascii="Times New Roman" w:eastAsia="Times New Roman" w:hAnsi="Times New Roman" w:cs="Times New Roman"/>
                <w:sz w:val="24"/>
                <w:szCs w:val="24"/>
              </w:rPr>
              <w:t>practice based</w:t>
            </w:r>
            <w:proofErr w:type="gramEnd"/>
            <w:r>
              <w:rPr>
                <w:rFonts w:ascii="Times New Roman" w:eastAsia="Times New Roman" w:hAnsi="Times New Roman" w:cs="Times New Roman"/>
                <w:sz w:val="24"/>
                <w:szCs w:val="24"/>
              </w:rPr>
              <w:t xml:space="preserve"> development skills and there is </w:t>
            </w:r>
            <w:r>
              <w:rPr>
                <w:rFonts w:ascii="Times New Roman" w:eastAsia="Times New Roman" w:hAnsi="Times New Roman" w:cs="Times New Roman"/>
                <w:sz w:val="24"/>
                <w:szCs w:val="24"/>
              </w:rPr>
              <w:lastRenderedPageBreak/>
              <w:t xml:space="preserve">no time limit to achieve them. </w:t>
            </w:r>
          </w:p>
        </w:tc>
      </w:tr>
    </w:tbl>
    <w:p w14:paraId="6399302B" w14:textId="5D40F739" w:rsidR="00746259" w:rsidRDefault="00EC5A4C" w:rsidP="003F5250">
      <w:pPr>
        <w:spacing w:line="360" w:lineRule="auto"/>
        <w:jc w:val="both"/>
        <w:rPr>
          <w:rFonts w:ascii="Times New Roman" w:eastAsia="Times New Roman" w:hAnsi="Times New Roman" w:cs="Times New Roman"/>
          <w:sz w:val="24"/>
          <w:szCs w:val="24"/>
          <w:highlight w:val="white"/>
        </w:rPr>
      </w:pPr>
      <w:r>
        <w:lastRenderedPageBreak/>
        <w:br w:type="page"/>
      </w:r>
    </w:p>
    <w:p w14:paraId="0AD842C0" w14:textId="77777777" w:rsidR="00A90F97" w:rsidRDefault="00EC5A4C" w:rsidP="00A90F97">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 list</w:t>
      </w:r>
    </w:p>
    <w:p w14:paraId="25856B6F" w14:textId="77777777" w:rsidR="00A90F97" w:rsidRDefault="00EC5A4C" w:rsidP="00A90F9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Journal</w:t>
      </w:r>
    </w:p>
    <w:p w14:paraId="00319D2C" w14:textId="77777777" w:rsidR="00A94EB8" w:rsidRDefault="00EC5A4C" w:rsidP="00A90F9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Ardian</w:t>
      </w:r>
      <w:proofErr w:type="spellEnd"/>
      <w:r>
        <w:rPr>
          <w:rFonts w:ascii="Times New Roman" w:eastAsia="Times New Roman" w:hAnsi="Times New Roman" w:cs="Times New Roman"/>
          <w:sz w:val="24"/>
          <w:szCs w:val="24"/>
          <w:highlight w:val="white"/>
        </w:rPr>
        <w:t xml:space="preserve">, P., </w:t>
      </w:r>
      <w:proofErr w:type="spellStart"/>
      <w:r>
        <w:rPr>
          <w:rFonts w:ascii="Times New Roman" w:eastAsia="Times New Roman" w:hAnsi="Times New Roman" w:cs="Times New Roman"/>
          <w:sz w:val="24"/>
          <w:szCs w:val="24"/>
          <w:highlight w:val="white"/>
        </w:rPr>
        <w:t>Hariyati</w:t>
      </w:r>
      <w:proofErr w:type="spellEnd"/>
      <w:r>
        <w:rPr>
          <w:rFonts w:ascii="Times New Roman" w:eastAsia="Times New Roman" w:hAnsi="Times New Roman" w:cs="Times New Roman"/>
          <w:sz w:val="24"/>
          <w:szCs w:val="24"/>
          <w:highlight w:val="white"/>
        </w:rPr>
        <w:t xml:space="preserve">, R.T.S. and </w:t>
      </w:r>
      <w:proofErr w:type="spellStart"/>
      <w:r>
        <w:rPr>
          <w:rFonts w:ascii="Times New Roman" w:eastAsia="Times New Roman" w:hAnsi="Times New Roman" w:cs="Times New Roman"/>
          <w:sz w:val="24"/>
          <w:szCs w:val="24"/>
          <w:highlight w:val="white"/>
        </w:rPr>
        <w:t>Afifah</w:t>
      </w:r>
      <w:proofErr w:type="spellEnd"/>
      <w:r>
        <w:rPr>
          <w:rFonts w:ascii="Times New Roman" w:eastAsia="Times New Roman" w:hAnsi="Times New Roman" w:cs="Times New Roman"/>
          <w:sz w:val="24"/>
          <w:szCs w:val="24"/>
          <w:highlight w:val="white"/>
        </w:rPr>
        <w:t xml:space="preserve">, E., 2019. Correlation between implementation case reflection discussion based on the Graham Gibbs Cycle and nurses’ critical thinking skills. </w:t>
      </w:r>
      <w:proofErr w:type="spellStart"/>
      <w:r>
        <w:rPr>
          <w:rFonts w:ascii="Times New Roman" w:eastAsia="Times New Roman" w:hAnsi="Times New Roman" w:cs="Times New Roman"/>
          <w:i/>
          <w:sz w:val="24"/>
          <w:szCs w:val="24"/>
          <w:highlight w:val="white"/>
        </w:rPr>
        <w:t>Enfermeria</w:t>
      </w:r>
      <w:proofErr w:type="spellEnd"/>
      <w:r>
        <w:rPr>
          <w:rFonts w:ascii="Times New Roman" w:eastAsia="Times New Roman" w:hAnsi="Times New Roman" w:cs="Times New Roman"/>
          <w:i/>
          <w:sz w:val="24"/>
          <w:szCs w:val="24"/>
          <w:highlight w:val="white"/>
        </w:rPr>
        <w:t xml:space="preserve"> </w:t>
      </w:r>
      <w:proofErr w:type="spellStart"/>
      <w:r>
        <w:rPr>
          <w:rFonts w:ascii="Times New Roman" w:eastAsia="Times New Roman" w:hAnsi="Times New Roman" w:cs="Times New Roman"/>
          <w:i/>
          <w:sz w:val="24"/>
          <w:szCs w:val="24"/>
          <w:highlight w:val="white"/>
        </w:rPr>
        <w:t>Clinica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29</w:t>
      </w:r>
      <w:r>
        <w:rPr>
          <w:rFonts w:ascii="Times New Roman" w:eastAsia="Times New Roman" w:hAnsi="Times New Roman" w:cs="Times New Roman"/>
          <w:sz w:val="24"/>
          <w:szCs w:val="24"/>
          <w:highlight w:val="white"/>
        </w:rPr>
        <w:t>, pp.588-593.</w:t>
      </w:r>
    </w:p>
    <w:p w14:paraId="0A675031"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Chan, F. and Gibbs, C., 2019. Integrated theories of white‐collar and corporate crime. </w:t>
      </w:r>
      <w:r>
        <w:rPr>
          <w:rFonts w:ascii="Times New Roman" w:eastAsia="Times New Roman" w:hAnsi="Times New Roman" w:cs="Times New Roman"/>
          <w:i/>
          <w:sz w:val="24"/>
          <w:szCs w:val="24"/>
          <w:highlight w:val="white"/>
        </w:rPr>
        <w:t>The Handbook of White‐Collar Crime</w:t>
      </w:r>
      <w:r>
        <w:rPr>
          <w:rFonts w:ascii="Times New Roman" w:eastAsia="Times New Roman" w:hAnsi="Times New Roman" w:cs="Times New Roman"/>
          <w:sz w:val="24"/>
          <w:szCs w:val="24"/>
          <w:highlight w:val="white"/>
        </w:rPr>
        <w:t>, pp.191-207.</w:t>
      </w:r>
    </w:p>
    <w:p w14:paraId="387C2BEA"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Gibbs, A., </w:t>
      </w:r>
      <w:proofErr w:type="spellStart"/>
      <w:r>
        <w:rPr>
          <w:rFonts w:ascii="Times New Roman" w:eastAsia="Times New Roman" w:hAnsi="Times New Roman" w:cs="Times New Roman"/>
          <w:sz w:val="24"/>
          <w:szCs w:val="24"/>
          <w:highlight w:val="white"/>
        </w:rPr>
        <w:t>Dunkle</w:t>
      </w:r>
      <w:proofErr w:type="spellEnd"/>
      <w:r>
        <w:rPr>
          <w:rFonts w:ascii="Times New Roman" w:eastAsia="Times New Roman" w:hAnsi="Times New Roman" w:cs="Times New Roman"/>
          <w:sz w:val="24"/>
          <w:szCs w:val="24"/>
          <w:highlight w:val="white"/>
        </w:rPr>
        <w:t xml:space="preserve">, K., </w:t>
      </w:r>
      <w:proofErr w:type="spellStart"/>
      <w:r>
        <w:rPr>
          <w:rFonts w:ascii="Times New Roman" w:eastAsia="Times New Roman" w:hAnsi="Times New Roman" w:cs="Times New Roman"/>
          <w:sz w:val="24"/>
          <w:szCs w:val="24"/>
          <w:highlight w:val="white"/>
        </w:rPr>
        <w:t>Ramsoomar</w:t>
      </w:r>
      <w:proofErr w:type="spellEnd"/>
      <w:r>
        <w:rPr>
          <w:rFonts w:ascii="Times New Roman" w:eastAsia="Times New Roman" w:hAnsi="Times New Roman" w:cs="Times New Roman"/>
          <w:sz w:val="24"/>
          <w:szCs w:val="24"/>
          <w:highlight w:val="white"/>
        </w:rPr>
        <w:t xml:space="preserve">, L., Willan, S., Jama Shai, N., </w:t>
      </w:r>
      <w:proofErr w:type="spellStart"/>
      <w:r>
        <w:rPr>
          <w:rFonts w:ascii="Times New Roman" w:eastAsia="Times New Roman" w:hAnsi="Times New Roman" w:cs="Times New Roman"/>
          <w:sz w:val="24"/>
          <w:szCs w:val="24"/>
          <w:highlight w:val="white"/>
        </w:rPr>
        <w:t>Chatterji</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Naved</w:t>
      </w:r>
      <w:proofErr w:type="spellEnd"/>
      <w:r>
        <w:rPr>
          <w:rFonts w:ascii="Times New Roman" w:eastAsia="Times New Roman" w:hAnsi="Times New Roman" w:cs="Times New Roman"/>
          <w:sz w:val="24"/>
          <w:szCs w:val="24"/>
          <w:highlight w:val="white"/>
        </w:rPr>
        <w:t xml:space="preserve">, R. and </w:t>
      </w:r>
      <w:proofErr w:type="spellStart"/>
      <w:r>
        <w:rPr>
          <w:rFonts w:ascii="Times New Roman" w:eastAsia="Times New Roman" w:hAnsi="Times New Roman" w:cs="Times New Roman"/>
          <w:sz w:val="24"/>
          <w:szCs w:val="24"/>
          <w:highlight w:val="white"/>
        </w:rPr>
        <w:t>Jewkes</w:t>
      </w:r>
      <w:proofErr w:type="spellEnd"/>
      <w:r>
        <w:rPr>
          <w:rFonts w:ascii="Times New Roman" w:eastAsia="Times New Roman" w:hAnsi="Times New Roman" w:cs="Times New Roman"/>
          <w:sz w:val="24"/>
          <w:szCs w:val="24"/>
          <w:highlight w:val="white"/>
        </w:rPr>
        <w:t xml:space="preserve">, R., 2020. New learnings on drivers of men's physical and/or sexual violence against their female partners, women's experiences of this, and the implications for prevention interventions. </w:t>
      </w:r>
      <w:r>
        <w:rPr>
          <w:rFonts w:ascii="Times New Roman" w:eastAsia="Times New Roman" w:hAnsi="Times New Roman" w:cs="Times New Roman"/>
          <w:i/>
          <w:sz w:val="24"/>
          <w:szCs w:val="24"/>
          <w:highlight w:val="white"/>
        </w:rPr>
        <w:t>Global health action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 p.1739845.</w:t>
      </w:r>
    </w:p>
    <w:p w14:paraId="0EAD7622"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Gibbs, L., 2022. Leadership emergence and development: Organizations shaping leading in early childhood education. </w:t>
      </w:r>
      <w:r>
        <w:rPr>
          <w:rFonts w:ascii="Times New Roman" w:eastAsia="Times New Roman" w:hAnsi="Times New Roman" w:cs="Times New Roman"/>
          <w:i/>
          <w:sz w:val="24"/>
          <w:szCs w:val="24"/>
          <w:highlight w:val="white"/>
        </w:rPr>
        <w:t>Educational Management Administration &amp; Leadership</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50</w:t>
      </w:r>
      <w:r>
        <w:rPr>
          <w:rFonts w:ascii="Times New Roman" w:eastAsia="Times New Roman" w:hAnsi="Times New Roman" w:cs="Times New Roman"/>
          <w:sz w:val="24"/>
          <w:szCs w:val="24"/>
          <w:highlight w:val="white"/>
        </w:rPr>
        <w:t>(4), pp.672-693.</w:t>
      </w:r>
    </w:p>
    <w:p w14:paraId="2F99C182"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Harris, N.L., Gibbs, D.A., </w:t>
      </w:r>
      <w:proofErr w:type="spellStart"/>
      <w:r>
        <w:rPr>
          <w:rFonts w:ascii="Times New Roman" w:eastAsia="Times New Roman" w:hAnsi="Times New Roman" w:cs="Times New Roman"/>
          <w:sz w:val="24"/>
          <w:szCs w:val="24"/>
          <w:highlight w:val="white"/>
        </w:rPr>
        <w:t>Baccini</w:t>
      </w:r>
      <w:proofErr w:type="spellEnd"/>
      <w:r>
        <w:rPr>
          <w:rFonts w:ascii="Times New Roman" w:eastAsia="Times New Roman" w:hAnsi="Times New Roman" w:cs="Times New Roman"/>
          <w:sz w:val="24"/>
          <w:szCs w:val="24"/>
          <w:highlight w:val="white"/>
        </w:rPr>
        <w:t xml:space="preserve">, A., </w:t>
      </w:r>
      <w:proofErr w:type="spellStart"/>
      <w:r>
        <w:rPr>
          <w:rFonts w:ascii="Times New Roman" w:eastAsia="Times New Roman" w:hAnsi="Times New Roman" w:cs="Times New Roman"/>
          <w:sz w:val="24"/>
          <w:szCs w:val="24"/>
          <w:highlight w:val="white"/>
        </w:rPr>
        <w:t>Birdsey</w:t>
      </w:r>
      <w:proofErr w:type="spellEnd"/>
      <w:r>
        <w:rPr>
          <w:rFonts w:ascii="Times New Roman" w:eastAsia="Times New Roman" w:hAnsi="Times New Roman" w:cs="Times New Roman"/>
          <w:sz w:val="24"/>
          <w:szCs w:val="24"/>
          <w:highlight w:val="white"/>
        </w:rPr>
        <w:t xml:space="preserve">, R.A., De Bruin, S., Farina, M., </w:t>
      </w:r>
      <w:proofErr w:type="spellStart"/>
      <w:r>
        <w:rPr>
          <w:rFonts w:ascii="Times New Roman" w:eastAsia="Times New Roman" w:hAnsi="Times New Roman" w:cs="Times New Roman"/>
          <w:sz w:val="24"/>
          <w:szCs w:val="24"/>
          <w:highlight w:val="white"/>
        </w:rPr>
        <w:t>Fatoyinbo</w:t>
      </w:r>
      <w:proofErr w:type="spellEnd"/>
      <w:r>
        <w:rPr>
          <w:rFonts w:ascii="Times New Roman" w:eastAsia="Times New Roman" w:hAnsi="Times New Roman" w:cs="Times New Roman"/>
          <w:sz w:val="24"/>
          <w:szCs w:val="24"/>
          <w:highlight w:val="white"/>
        </w:rPr>
        <w:t xml:space="preserve">, L., Hansen, M.C., Herold, M., Houghton, R.A. and Potapov, P.V., 2021. Global maps of twenty-first-century forest carbon fluxes. </w:t>
      </w:r>
      <w:r>
        <w:rPr>
          <w:rFonts w:ascii="Times New Roman" w:eastAsia="Times New Roman" w:hAnsi="Times New Roman" w:cs="Times New Roman"/>
          <w:i/>
          <w:sz w:val="24"/>
          <w:szCs w:val="24"/>
          <w:highlight w:val="white"/>
        </w:rPr>
        <w:t>Nature Climate Change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(3), pp.234-240.</w:t>
      </w:r>
    </w:p>
    <w:p w14:paraId="38A152D2" w14:textId="77777777" w:rsidR="00A94EB8" w:rsidRDefault="00EC5A4C" w:rsidP="00A90F9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Niebel</w:t>
      </w:r>
      <w:proofErr w:type="spellEnd"/>
      <w:r>
        <w:rPr>
          <w:rFonts w:ascii="Times New Roman" w:eastAsia="Times New Roman" w:hAnsi="Times New Roman" w:cs="Times New Roman"/>
          <w:sz w:val="24"/>
          <w:szCs w:val="24"/>
          <w:highlight w:val="white"/>
        </w:rPr>
        <w:t xml:space="preserve">, B., </w:t>
      </w:r>
      <w:proofErr w:type="spellStart"/>
      <w:r>
        <w:rPr>
          <w:rFonts w:ascii="Times New Roman" w:eastAsia="Times New Roman" w:hAnsi="Times New Roman" w:cs="Times New Roman"/>
          <w:sz w:val="24"/>
          <w:szCs w:val="24"/>
          <w:highlight w:val="white"/>
        </w:rPr>
        <w:t>Leupold</w:t>
      </w:r>
      <w:proofErr w:type="spellEnd"/>
      <w:r>
        <w:rPr>
          <w:rFonts w:ascii="Times New Roman" w:eastAsia="Times New Roman" w:hAnsi="Times New Roman" w:cs="Times New Roman"/>
          <w:sz w:val="24"/>
          <w:szCs w:val="24"/>
          <w:highlight w:val="white"/>
        </w:rPr>
        <w:t xml:space="preserve">, S. and Heinemann, M., 2019. An upper limit on Gibbs energy dissipation governs cellular metabolism. </w:t>
      </w:r>
      <w:r>
        <w:rPr>
          <w:rFonts w:ascii="Times New Roman" w:eastAsia="Times New Roman" w:hAnsi="Times New Roman" w:cs="Times New Roman"/>
          <w:i/>
          <w:sz w:val="24"/>
          <w:szCs w:val="24"/>
          <w:highlight w:val="white"/>
        </w:rPr>
        <w:t>Nature Metabolism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(1), pp.125-132.</w:t>
      </w:r>
    </w:p>
    <w:p w14:paraId="1FF31DC7"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Pap, S., Kirk, C., </w:t>
      </w:r>
      <w:proofErr w:type="spellStart"/>
      <w:r>
        <w:rPr>
          <w:rFonts w:ascii="Times New Roman" w:eastAsia="Times New Roman" w:hAnsi="Times New Roman" w:cs="Times New Roman"/>
          <w:sz w:val="24"/>
          <w:szCs w:val="24"/>
          <w:highlight w:val="white"/>
        </w:rPr>
        <w:t>Bremner</w:t>
      </w:r>
      <w:proofErr w:type="spellEnd"/>
      <w:r>
        <w:rPr>
          <w:rFonts w:ascii="Times New Roman" w:eastAsia="Times New Roman" w:hAnsi="Times New Roman" w:cs="Times New Roman"/>
          <w:sz w:val="24"/>
          <w:szCs w:val="24"/>
          <w:highlight w:val="white"/>
        </w:rPr>
        <w:t xml:space="preserve">, B., </w:t>
      </w:r>
      <w:proofErr w:type="spellStart"/>
      <w:r>
        <w:rPr>
          <w:rFonts w:ascii="Times New Roman" w:eastAsia="Times New Roman" w:hAnsi="Times New Roman" w:cs="Times New Roman"/>
          <w:sz w:val="24"/>
          <w:szCs w:val="24"/>
          <w:highlight w:val="white"/>
        </w:rPr>
        <w:t>Sekulic</w:t>
      </w:r>
      <w:proofErr w:type="spellEnd"/>
      <w:r>
        <w:rPr>
          <w:rFonts w:ascii="Times New Roman" w:eastAsia="Times New Roman" w:hAnsi="Times New Roman" w:cs="Times New Roman"/>
          <w:sz w:val="24"/>
          <w:szCs w:val="24"/>
          <w:highlight w:val="white"/>
        </w:rPr>
        <w:t xml:space="preserve">, M.T., Shearer, L., Gibb, S.W. and Taggart, M.A., 2020. Low-cost chitosan-calcite adsorbent development for potential phosphate removal and recovery from wastewater effluent. </w:t>
      </w:r>
      <w:r>
        <w:rPr>
          <w:rFonts w:ascii="Times New Roman" w:eastAsia="Times New Roman" w:hAnsi="Times New Roman" w:cs="Times New Roman"/>
          <w:i/>
          <w:sz w:val="24"/>
          <w:szCs w:val="24"/>
          <w:highlight w:val="white"/>
        </w:rPr>
        <w:t>Water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173</w:t>
      </w:r>
      <w:r>
        <w:rPr>
          <w:rFonts w:ascii="Times New Roman" w:eastAsia="Times New Roman" w:hAnsi="Times New Roman" w:cs="Times New Roman"/>
          <w:sz w:val="24"/>
          <w:szCs w:val="24"/>
          <w:highlight w:val="white"/>
        </w:rPr>
        <w:t>, p.115573.</w:t>
      </w:r>
    </w:p>
    <w:p w14:paraId="4CCA2CD1"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Patrick, R.B., Bodine, A.J., Gibbs, J.C. and Basinger, K.S., 2018. What accounts for prosocial behavior? Roles of moral identity, moral judgment, and self-efficacy beliefs. </w:t>
      </w:r>
      <w:r>
        <w:rPr>
          <w:rFonts w:ascii="Times New Roman" w:eastAsia="Times New Roman" w:hAnsi="Times New Roman" w:cs="Times New Roman"/>
          <w:i/>
          <w:sz w:val="24"/>
          <w:szCs w:val="24"/>
          <w:highlight w:val="white"/>
        </w:rPr>
        <w:t>The Journal of genetic psychology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179</w:t>
      </w:r>
      <w:r>
        <w:rPr>
          <w:rFonts w:ascii="Times New Roman" w:eastAsia="Times New Roman" w:hAnsi="Times New Roman" w:cs="Times New Roman"/>
          <w:sz w:val="24"/>
          <w:szCs w:val="24"/>
          <w:highlight w:val="white"/>
        </w:rPr>
        <w:t>(5), pp.231-245.</w:t>
      </w:r>
    </w:p>
    <w:p w14:paraId="03261962"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Peters, M.A., Rizvi, F., McCulloch, G., Gibbs, P., </w:t>
      </w:r>
      <w:proofErr w:type="spellStart"/>
      <w:r>
        <w:rPr>
          <w:rFonts w:ascii="Times New Roman" w:eastAsia="Times New Roman" w:hAnsi="Times New Roman" w:cs="Times New Roman"/>
          <w:sz w:val="24"/>
          <w:szCs w:val="24"/>
          <w:highlight w:val="white"/>
        </w:rPr>
        <w:t>Gorur</w:t>
      </w:r>
      <w:proofErr w:type="spellEnd"/>
      <w:r>
        <w:rPr>
          <w:rFonts w:ascii="Times New Roman" w:eastAsia="Times New Roman" w:hAnsi="Times New Roman" w:cs="Times New Roman"/>
          <w:sz w:val="24"/>
          <w:szCs w:val="24"/>
          <w:highlight w:val="white"/>
        </w:rPr>
        <w:t xml:space="preserve">, R., Hong, M., Hwang, Y., Zip in, L., Brennan, M., Robertson, S. and Quay, J., 2022. Reimagining the new pedagogical possibilities for universities post-Covid-19: An EPAT Collective Project. </w:t>
      </w:r>
      <w:r>
        <w:rPr>
          <w:rFonts w:ascii="Times New Roman" w:eastAsia="Times New Roman" w:hAnsi="Times New Roman" w:cs="Times New Roman"/>
          <w:i/>
          <w:sz w:val="24"/>
          <w:szCs w:val="24"/>
          <w:highlight w:val="white"/>
        </w:rPr>
        <w:t>Educational Philosophy and Theory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54</w:t>
      </w:r>
      <w:r>
        <w:rPr>
          <w:rFonts w:ascii="Times New Roman" w:eastAsia="Times New Roman" w:hAnsi="Times New Roman" w:cs="Times New Roman"/>
          <w:sz w:val="24"/>
          <w:szCs w:val="24"/>
          <w:highlight w:val="white"/>
        </w:rPr>
        <w:t>(6), pp.717-760.</w:t>
      </w:r>
    </w:p>
    <w:p w14:paraId="67A874B4"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Popovic, M., 2022. Strain Wars 4-Darwinian evolution through Gibbs' glasses: Gibbs energies of binding and growth explain the evolution of SARS-CoV-2 from Hu-1 to BA. 2. </w:t>
      </w:r>
      <w:r>
        <w:rPr>
          <w:rFonts w:ascii="Times New Roman" w:eastAsia="Times New Roman" w:hAnsi="Times New Roman" w:cs="Times New Roman"/>
          <w:i/>
          <w:sz w:val="24"/>
          <w:szCs w:val="24"/>
          <w:highlight w:val="white"/>
        </w:rPr>
        <w:t>Virology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575</w:t>
      </w:r>
      <w:r>
        <w:rPr>
          <w:rFonts w:ascii="Times New Roman" w:eastAsia="Times New Roman" w:hAnsi="Times New Roman" w:cs="Times New Roman"/>
          <w:sz w:val="24"/>
          <w:szCs w:val="24"/>
          <w:highlight w:val="white"/>
        </w:rPr>
        <w:t>, pp.36-42.</w:t>
      </w:r>
    </w:p>
    <w:p w14:paraId="44920EC2" w14:textId="77777777" w:rsidR="00A94EB8" w:rsidRDefault="00EC5A4C" w:rsidP="00A90F97">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lastRenderedPageBreak/>
        <w:t>Tenforde</w:t>
      </w:r>
      <w:proofErr w:type="spellEnd"/>
      <w:r>
        <w:rPr>
          <w:rFonts w:ascii="Times New Roman" w:eastAsia="Times New Roman" w:hAnsi="Times New Roman" w:cs="Times New Roman"/>
          <w:sz w:val="24"/>
          <w:szCs w:val="24"/>
          <w:highlight w:val="white"/>
        </w:rPr>
        <w:t xml:space="preserve">, M.W., Self, W.H., Adams, K., </w:t>
      </w:r>
      <w:proofErr w:type="spellStart"/>
      <w:r>
        <w:rPr>
          <w:rFonts w:ascii="Times New Roman" w:eastAsia="Times New Roman" w:hAnsi="Times New Roman" w:cs="Times New Roman"/>
          <w:sz w:val="24"/>
          <w:szCs w:val="24"/>
          <w:highlight w:val="white"/>
        </w:rPr>
        <w:t>Gaglani</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Ginde</w:t>
      </w:r>
      <w:proofErr w:type="spellEnd"/>
      <w:r>
        <w:rPr>
          <w:rFonts w:ascii="Times New Roman" w:eastAsia="Times New Roman" w:hAnsi="Times New Roman" w:cs="Times New Roman"/>
          <w:sz w:val="24"/>
          <w:szCs w:val="24"/>
          <w:highlight w:val="white"/>
        </w:rPr>
        <w:t xml:space="preserve">, A.A., McNeal, T., </w:t>
      </w:r>
      <w:proofErr w:type="spellStart"/>
      <w:r>
        <w:rPr>
          <w:rFonts w:ascii="Times New Roman" w:eastAsia="Times New Roman" w:hAnsi="Times New Roman" w:cs="Times New Roman"/>
          <w:sz w:val="24"/>
          <w:szCs w:val="24"/>
          <w:highlight w:val="white"/>
        </w:rPr>
        <w:t>Ghamande</w:t>
      </w:r>
      <w:proofErr w:type="spellEnd"/>
      <w:r>
        <w:rPr>
          <w:rFonts w:ascii="Times New Roman" w:eastAsia="Times New Roman" w:hAnsi="Times New Roman" w:cs="Times New Roman"/>
          <w:sz w:val="24"/>
          <w:szCs w:val="24"/>
          <w:highlight w:val="white"/>
        </w:rPr>
        <w:t xml:space="preserve">, S., </w:t>
      </w:r>
      <w:proofErr w:type="spellStart"/>
      <w:r>
        <w:rPr>
          <w:rFonts w:ascii="Times New Roman" w:eastAsia="Times New Roman" w:hAnsi="Times New Roman" w:cs="Times New Roman"/>
          <w:sz w:val="24"/>
          <w:szCs w:val="24"/>
          <w:highlight w:val="white"/>
        </w:rPr>
        <w:t>Douin</w:t>
      </w:r>
      <w:proofErr w:type="spellEnd"/>
      <w:r>
        <w:rPr>
          <w:rFonts w:ascii="Times New Roman" w:eastAsia="Times New Roman" w:hAnsi="Times New Roman" w:cs="Times New Roman"/>
          <w:sz w:val="24"/>
          <w:szCs w:val="24"/>
          <w:highlight w:val="white"/>
        </w:rPr>
        <w:t xml:space="preserve">, D.J., Talbot, H.K., Casey, J.D. and Mohr, N.M., 2021. Association between mRNA vaccination and COVID-19 hospitalization and disease severity. </w:t>
      </w:r>
      <w:r>
        <w:rPr>
          <w:rFonts w:ascii="Times New Roman" w:eastAsia="Times New Roman" w:hAnsi="Times New Roman" w:cs="Times New Roman"/>
          <w:i/>
          <w:sz w:val="24"/>
          <w:szCs w:val="24"/>
          <w:highlight w:val="white"/>
        </w:rPr>
        <w:t>Jama</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326</w:t>
      </w:r>
      <w:r>
        <w:rPr>
          <w:rFonts w:ascii="Times New Roman" w:eastAsia="Times New Roman" w:hAnsi="Times New Roman" w:cs="Times New Roman"/>
          <w:sz w:val="24"/>
          <w:szCs w:val="24"/>
          <w:highlight w:val="white"/>
        </w:rPr>
        <w:t>(20), pp.2043-2054.</w:t>
      </w:r>
    </w:p>
    <w:p w14:paraId="324D1280"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Tie, J., Cohen, J.D., Lo, S.N., Wang, Y., Li, L., Christie, M., Lee, M., Wong, R., </w:t>
      </w:r>
      <w:proofErr w:type="spellStart"/>
      <w:r>
        <w:rPr>
          <w:rFonts w:ascii="Times New Roman" w:eastAsia="Times New Roman" w:hAnsi="Times New Roman" w:cs="Times New Roman"/>
          <w:sz w:val="24"/>
          <w:szCs w:val="24"/>
          <w:highlight w:val="white"/>
        </w:rPr>
        <w:t>Kosmider</w:t>
      </w:r>
      <w:proofErr w:type="spellEnd"/>
      <w:r>
        <w:rPr>
          <w:rFonts w:ascii="Times New Roman" w:eastAsia="Times New Roman" w:hAnsi="Times New Roman" w:cs="Times New Roman"/>
          <w:sz w:val="24"/>
          <w:szCs w:val="24"/>
          <w:highlight w:val="white"/>
        </w:rPr>
        <w:t xml:space="preserve">, S., Skinner, I. and Wong, H.L., 2021. Prognostic significance of </w:t>
      </w:r>
      <w:proofErr w:type="spellStart"/>
      <w:r>
        <w:rPr>
          <w:rFonts w:ascii="Times New Roman" w:eastAsia="Times New Roman" w:hAnsi="Times New Roman" w:cs="Times New Roman"/>
          <w:sz w:val="24"/>
          <w:szCs w:val="24"/>
          <w:highlight w:val="white"/>
        </w:rPr>
        <w:t>postsurgery</w:t>
      </w:r>
      <w:proofErr w:type="spellEnd"/>
      <w:r>
        <w:rPr>
          <w:rFonts w:ascii="Times New Roman" w:eastAsia="Times New Roman" w:hAnsi="Times New Roman" w:cs="Times New Roman"/>
          <w:sz w:val="24"/>
          <w:szCs w:val="24"/>
          <w:highlight w:val="white"/>
        </w:rPr>
        <w:t xml:space="preserve"> circulating tumor DNA in nonmetastatic colorectal cancer: Individual patient pooled analysis of three cohort studies. </w:t>
      </w:r>
      <w:r>
        <w:rPr>
          <w:rFonts w:ascii="Times New Roman" w:eastAsia="Times New Roman" w:hAnsi="Times New Roman" w:cs="Times New Roman"/>
          <w:i/>
          <w:sz w:val="24"/>
          <w:szCs w:val="24"/>
          <w:highlight w:val="white"/>
        </w:rPr>
        <w:t>International journal of cancer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148</w:t>
      </w:r>
      <w:r>
        <w:rPr>
          <w:rFonts w:ascii="Times New Roman" w:eastAsia="Times New Roman" w:hAnsi="Times New Roman" w:cs="Times New Roman"/>
          <w:sz w:val="24"/>
          <w:szCs w:val="24"/>
          <w:highlight w:val="white"/>
        </w:rPr>
        <w:t>(4), pp.1014-1026.</w:t>
      </w:r>
    </w:p>
    <w:p w14:paraId="51CB932A" w14:textId="77777777" w:rsidR="00A94EB8" w:rsidRDefault="00EC5A4C" w:rsidP="00A90F97">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Yamaguchi, K., Mizoguchi, R., Kawakami, K. and Miyazaki, T., 2022. Influence of the crystallization tendencies of pharmaceutical glasses on the applicability of the Adam-Gibbs-Vogel and Vogel-</w:t>
      </w:r>
      <w:proofErr w:type="spellStart"/>
      <w:r>
        <w:rPr>
          <w:rFonts w:ascii="Times New Roman" w:eastAsia="Times New Roman" w:hAnsi="Times New Roman" w:cs="Times New Roman"/>
          <w:sz w:val="24"/>
          <w:szCs w:val="24"/>
          <w:highlight w:val="white"/>
        </w:rPr>
        <w:t>Tammann</w:t>
      </w:r>
      <w:proofErr w:type="spellEnd"/>
      <w:r>
        <w:rPr>
          <w:rFonts w:ascii="Times New Roman" w:eastAsia="Times New Roman" w:hAnsi="Times New Roman" w:cs="Times New Roman"/>
          <w:sz w:val="24"/>
          <w:szCs w:val="24"/>
          <w:highlight w:val="white"/>
        </w:rPr>
        <w:t xml:space="preserve">-Fulcher equations in the prediction of their long-term physical stability. </w:t>
      </w:r>
      <w:r>
        <w:rPr>
          <w:rFonts w:ascii="Times New Roman" w:eastAsia="Times New Roman" w:hAnsi="Times New Roman" w:cs="Times New Roman"/>
          <w:i/>
          <w:sz w:val="24"/>
          <w:szCs w:val="24"/>
          <w:highlight w:val="white"/>
        </w:rPr>
        <w:t>International Journal of Pharmaceutics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626</w:t>
      </w:r>
      <w:r>
        <w:rPr>
          <w:rFonts w:ascii="Times New Roman" w:eastAsia="Times New Roman" w:hAnsi="Times New Roman" w:cs="Times New Roman"/>
          <w:sz w:val="24"/>
          <w:szCs w:val="24"/>
          <w:highlight w:val="white"/>
        </w:rPr>
        <w:t>, p.122158.</w:t>
      </w:r>
    </w:p>
    <w:p w14:paraId="06D9D923" w14:textId="77777777" w:rsidR="00746259" w:rsidRDefault="00746259">
      <w:pPr>
        <w:spacing w:line="360" w:lineRule="auto"/>
        <w:jc w:val="both"/>
        <w:rPr>
          <w:rFonts w:ascii="Times New Roman" w:eastAsia="Times New Roman" w:hAnsi="Times New Roman" w:cs="Times New Roman"/>
          <w:sz w:val="24"/>
          <w:szCs w:val="24"/>
        </w:rPr>
      </w:pPr>
    </w:p>
    <w:p w14:paraId="6E6BBC53" w14:textId="77777777" w:rsidR="00746259" w:rsidRDefault="00746259">
      <w:pPr>
        <w:rPr>
          <w:rFonts w:ascii="Times New Roman" w:eastAsia="Times New Roman" w:hAnsi="Times New Roman" w:cs="Times New Roman"/>
        </w:rPr>
      </w:pPr>
    </w:p>
    <w:sectPr w:rsidR="00746259" w:rsidSect="00A94EB8">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C6092" w14:textId="77777777" w:rsidR="00E26B84" w:rsidRDefault="00E26B84">
      <w:pPr>
        <w:spacing w:line="240" w:lineRule="auto"/>
      </w:pPr>
      <w:r>
        <w:separator/>
      </w:r>
    </w:p>
  </w:endnote>
  <w:endnote w:type="continuationSeparator" w:id="0">
    <w:p w14:paraId="5E37F9EA" w14:textId="77777777" w:rsidR="00E26B84" w:rsidRDefault="00E26B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7234165"/>
      <w:docPartObj>
        <w:docPartGallery w:val="Page Numbers (Bottom of Page)"/>
        <w:docPartUnique/>
      </w:docPartObj>
    </w:sdtPr>
    <w:sdtEndPr>
      <w:rPr>
        <w:noProof/>
      </w:rPr>
    </w:sdtEndPr>
    <w:sdtContent>
      <w:p w14:paraId="0259C6ED" w14:textId="7AC0C980" w:rsidR="00A94EB8" w:rsidRDefault="00EC5A4C">
        <w:pPr>
          <w:pStyle w:val="Footer"/>
          <w:jc w:val="right"/>
        </w:pPr>
        <w:r>
          <w:fldChar w:fldCharType="begin"/>
        </w:r>
        <w:r>
          <w:instrText xml:space="preserve"> PAGE   \* MERGEFORMAT </w:instrText>
        </w:r>
        <w:r>
          <w:fldChar w:fldCharType="separate"/>
        </w:r>
        <w:r w:rsidR="00222B84">
          <w:rPr>
            <w:noProof/>
          </w:rPr>
          <w:t>2</w:t>
        </w:r>
        <w:r>
          <w:rPr>
            <w:noProof/>
          </w:rPr>
          <w:fldChar w:fldCharType="end"/>
        </w:r>
      </w:p>
    </w:sdtContent>
  </w:sdt>
  <w:p w14:paraId="5831D420" w14:textId="77777777" w:rsidR="00A94EB8" w:rsidRDefault="00A94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6EA28" w14:textId="77777777" w:rsidR="00E26B84" w:rsidRDefault="00E26B84">
      <w:pPr>
        <w:spacing w:line="240" w:lineRule="auto"/>
      </w:pPr>
      <w:r>
        <w:separator/>
      </w:r>
    </w:p>
  </w:footnote>
  <w:footnote w:type="continuationSeparator" w:id="0">
    <w:p w14:paraId="09EDEC59" w14:textId="77777777" w:rsidR="00E26B84" w:rsidRDefault="00E26B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259"/>
    <w:rsid w:val="00222B84"/>
    <w:rsid w:val="002F776E"/>
    <w:rsid w:val="003F5250"/>
    <w:rsid w:val="00503091"/>
    <w:rsid w:val="00746259"/>
    <w:rsid w:val="008E5B1A"/>
    <w:rsid w:val="00A90F97"/>
    <w:rsid w:val="00A94EB8"/>
    <w:rsid w:val="00AD5FE5"/>
    <w:rsid w:val="00C479C2"/>
    <w:rsid w:val="00E26B84"/>
    <w:rsid w:val="00EC5A4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2547"/>
  <w15:docId w15:val="{3DA27BDD-0EAE-4F82-8597-8001782CE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94EB8"/>
    <w:pPr>
      <w:tabs>
        <w:tab w:val="center" w:pos="4680"/>
        <w:tab w:val="right" w:pos="9360"/>
      </w:tabs>
      <w:spacing w:line="240" w:lineRule="auto"/>
    </w:pPr>
  </w:style>
  <w:style w:type="character" w:customStyle="1" w:styleId="HeaderChar">
    <w:name w:val="Header Char"/>
    <w:basedOn w:val="DefaultParagraphFont"/>
    <w:link w:val="Header"/>
    <w:uiPriority w:val="99"/>
    <w:rsid w:val="00A94EB8"/>
  </w:style>
  <w:style w:type="paragraph" w:styleId="Footer">
    <w:name w:val="footer"/>
    <w:basedOn w:val="Normal"/>
    <w:link w:val="FooterChar"/>
    <w:uiPriority w:val="99"/>
    <w:unhideWhenUsed/>
    <w:rsid w:val="00A94EB8"/>
    <w:pPr>
      <w:tabs>
        <w:tab w:val="center" w:pos="4680"/>
        <w:tab w:val="right" w:pos="9360"/>
      </w:tabs>
      <w:spacing w:line="240" w:lineRule="auto"/>
    </w:pPr>
  </w:style>
  <w:style w:type="character" w:customStyle="1" w:styleId="FooterChar">
    <w:name w:val="Footer Char"/>
    <w:basedOn w:val="DefaultParagraphFont"/>
    <w:link w:val="Footer"/>
    <w:uiPriority w:val="99"/>
    <w:rsid w:val="00A94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ALI</dc:creator>
  <cp:lastModifiedBy>Mizanur Family</cp:lastModifiedBy>
  <cp:revision>2</cp:revision>
  <dcterms:created xsi:type="dcterms:W3CDTF">2023-01-12T20:10:00Z</dcterms:created>
  <dcterms:modified xsi:type="dcterms:W3CDTF">2023-01-12T20:10:00Z</dcterms:modified>
</cp:coreProperties>
</file>