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DB7371C" wp14:paraId="7A83344B" wp14:textId="57886DEA">
      <w:pPr>
        <w:pStyle w:val="Heading3"/>
        <w:spacing w:before="281" w:beforeAutospacing="off" w:after="281" w:afterAutospacing="off"/>
      </w:pPr>
      <w:r w:rsidRPr="2DB7371C" w:rsidR="2FDF5CA6">
        <w:rPr>
          <w:rFonts w:ascii="Aptos" w:hAnsi="Aptos" w:eastAsia="Aptos" w:cs="Aptos"/>
          <w:b w:val="1"/>
          <w:bCs w:val="1"/>
          <w:noProof w:val="0"/>
          <w:color w:val="000000" w:themeColor="text1" w:themeTint="FF" w:themeShade="FF"/>
          <w:sz w:val="28"/>
          <w:szCs w:val="28"/>
          <w:lang w:val="en-GB"/>
        </w:rPr>
        <w:t>Holistic Development and Maslow’s Hierarchy of Needs</w:t>
      </w:r>
    </w:p>
    <w:p xmlns:wp14="http://schemas.microsoft.com/office/word/2010/wordml" w:rsidP="75FEA005" wp14:paraId="0E582149" wp14:textId="3908B7CC">
      <w:pPr>
        <w:spacing w:before="240" w:beforeAutospacing="off" w:after="240" w:afterAutospacing="off"/>
      </w:pPr>
      <w:r w:rsidRPr="2DB7371C" w:rsidR="2FDF5CA6">
        <w:rPr>
          <w:rFonts w:ascii="Aptos" w:hAnsi="Aptos" w:eastAsia="Aptos" w:cs="Aptos"/>
          <w:noProof w:val="0"/>
          <w:color w:val="000000" w:themeColor="text1" w:themeTint="FF" w:themeShade="FF"/>
          <w:sz w:val="24"/>
          <w:szCs w:val="24"/>
          <w:lang w:val="en-GB"/>
        </w:rPr>
        <w:t xml:space="preserve">Understanding how children grow and learn is central to effective early years practice. Contemporary approaches emphasise </w:t>
      </w:r>
      <w:r w:rsidRPr="2DB7371C" w:rsidR="2FDF5CA6">
        <w:rPr>
          <w:rFonts w:ascii="Aptos" w:hAnsi="Aptos" w:eastAsia="Aptos" w:cs="Aptos"/>
          <w:b w:val="0"/>
          <w:bCs w:val="0"/>
          <w:noProof w:val="0"/>
          <w:color w:val="000000" w:themeColor="text1" w:themeTint="FF" w:themeShade="FF"/>
          <w:sz w:val="24"/>
          <w:szCs w:val="24"/>
          <w:lang w:val="en-GB"/>
        </w:rPr>
        <w:t>holistic development</w:t>
      </w:r>
      <w:r w:rsidRPr="2DB7371C" w:rsidR="2FDF5CA6">
        <w:rPr>
          <w:rFonts w:ascii="Aptos" w:hAnsi="Aptos" w:eastAsia="Aptos" w:cs="Aptos"/>
          <w:b w:val="0"/>
          <w:bCs w:val="0"/>
          <w:noProof w:val="0"/>
          <w:color w:val="000000" w:themeColor="text1" w:themeTint="FF" w:themeShade="FF"/>
          <w:sz w:val="24"/>
          <w:szCs w:val="24"/>
          <w:lang w:val="en-GB"/>
        </w:rPr>
        <w:t>,</w:t>
      </w:r>
      <w:r w:rsidRPr="2DB7371C" w:rsidR="2FDF5CA6">
        <w:rPr>
          <w:rFonts w:ascii="Aptos" w:hAnsi="Aptos" w:eastAsia="Aptos" w:cs="Aptos"/>
          <w:noProof w:val="0"/>
          <w:color w:val="000000" w:themeColor="text1" w:themeTint="FF" w:themeShade="FF"/>
          <w:sz w:val="24"/>
          <w:szCs w:val="24"/>
          <w:lang w:val="en-GB"/>
        </w:rPr>
        <w:t xml:space="preserve"> which views the child as an integrated whole rather than a collection of separate domains. Holistic development recognises that physical, emotional, social, and cognitive growth are closely interconnected, with progress in one area influencing development in others (Queen Margaret University, n.d.). This perspective challenges fragmented approaches to education, highlighting the importance of nurturing children in ways that consider their overall wellbeing.</w:t>
      </w:r>
    </w:p>
    <w:p xmlns:wp14="http://schemas.microsoft.com/office/word/2010/wordml" w:rsidP="75FEA005" wp14:paraId="5FAE2C9A" wp14:textId="7B749DCA">
      <w:pPr>
        <w:spacing w:before="240" w:beforeAutospacing="off" w:after="240" w:afterAutospacing="off"/>
      </w:pPr>
      <w:r w:rsidRPr="2DB7371C" w:rsidR="2FDF5CA6">
        <w:rPr>
          <w:rFonts w:ascii="Aptos" w:hAnsi="Aptos" w:eastAsia="Aptos" w:cs="Aptos"/>
          <w:noProof w:val="0"/>
          <w:color w:val="000000" w:themeColor="text1" w:themeTint="FF" w:themeShade="FF"/>
          <w:sz w:val="24"/>
          <w:szCs w:val="24"/>
          <w:lang w:val="en-GB"/>
        </w:rPr>
        <w:t xml:space="preserve">Brodie (2018) explains that children learn and develop as whole human beings, with growth in one domain continuously shaping and supporting progress in others. In practice, holistic approaches ensure that physical wellbeing, emotional security, cognitive growth, and creative expression are nurtured simultaneously. This is reflected in modern curricula such as the Curriculum for Wales, which places the Four Purposes at the heart of learning and wellbeing. The Four Purposes aim to develop ambitious learners, creative contributors, ethical citizens, and healthy, confident individuals. Each purpose targets distinct developmental areas, yet the curriculum encourages practitioners to design experiences that cultivate all domains concurrently. This aligns with Maslow’s hierarchy of needs, in which fulfilling basic physical and emotional requirements provides a foundation for confidence, self-esteem, </w:t>
      </w:r>
      <w:r w:rsidRPr="2DB7371C" w:rsidR="2FDF5CA6">
        <w:rPr>
          <w:rFonts w:ascii="Aptos" w:hAnsi="Aptos" w:eastAsia="Aptos" w:cs="Aptos"/>
          <w:noProof w:val="0"/>
          <w:color w:val="000000" w:themeColor="text1" w:themeTint="FF" w:themeShade="FF"/>
          <w:sz w:val="24"/>
          <w:szCs w:val="24"/>
          <w:lang w:val="en-GB"/>
        </w:rPr>
        <w:t>and ultimately, self-</w:t>
      </w:r>
      <w:r w:rsidRPr="2DB7371C" w:rsidR="2FDF5CA6">
        <w:rPr>
          <w:rFonts w:ascii="Aptos" w:hAnsi="Aptos" w:eastAsia="Aptos" w:cs="Aptos"/>
          <w:noProof w:val="0"/>
          <w:color w:val="000000" w:themeColor="text1" w:themeTint="FF" w:themeShade="FF"/>
          <w:sz w:val="24"/>
          <w:szCs w:val="24"/>
          <w:lang w:val="en-GB"/>
        </w:rPr>
        <w:t>actualisation (Maslow, 1943).</w:t>
      </w:r>
    </w:p>
    <w:p xmlns:wp14="http://schemas.microsoft.com/office/word/2010/wordml" w:rsidP="75FEA005" wp14:paraId="501C5742" wp14:textId="6B420BED">
      <w:pPr>
        <w:spacing w:before="240" w:beforeAutospacing="off" w:after="240" w:afterAutospacing="off"/>
      </w:pPr>
      <w:r w:rsidRPr="2DB7371C" w:rsidR="47BC878C">
        <w:rPr>
          <w:rFonts w:ascii="Aptos" w:hAnsi="Aptos" w:eastAsia="Aptos" w:cs="Aptos"/>
          <w:noProof w:val="0"/>
          <w:color w:val="000000" w:themeColor="text1" w:themeTint="FF" w:themeShade="FF"/>
          <w:sz w:val="24"/>
          <w:szCs w:val="24"/>
          <w:lang w:val="en-GB"/>
        </w:rPr>
        <w:t>Emotional wellbeing is a cornerstone of holistic development. Children who feel secure, valued, and emotionally supported are more able to concentrate, explore, and engage with learning (Johnston et al., 2018). In contrast, stress, insecurity, or poor emotional health can hinder self-regulation, attention, and risk-taking. Bowlby’s attachment theory (1997) emphasises that a child’s emotional bond with primary caregivers is crucial, with disruptions potentially causing long-term impacts on wellbeing and future relationships (NSPCC, 2021). Although secure attachment is important, a systematic review found that children in foster care or institutional settings often develop different attachment patterns, with outcomes heavily influenced by the quality of care, caregiver‑child interactions, and broader environmental context (van Ijzendoorn, Bakermans‑Kranenburg &amp; Dobrava‑Krol, 2016). This suggests that secure attachment is beneficial but not the sole pathway to social and emotional development.</w:t>
      </w:r>
    </w:p>
    <w:p xmlns:wp14="http://schemas.microsoft.com/office/word/2010/wordml" w:rsidP="75FEA005" wp14:paraId="2618E694" wp14:textId="433E4FC1">
      <w:pPr>
        <w:spacing w:before="240" w:beforeAutospacing="off" w:after="240" w:afterAutospacing="off"/>
      </w:pPr>
      <w:r w:rsidRPr="2DB7371C" w:rsidR="47BC878C">
        <w:rPr>
          <w:rFonts w:ascii="Aptos" w:hAnsi="Aptos" w:eastAsia="Aptos" w:cs="Aptos"/>
          <w:noProof w:val="0"/>
          <w:color w:val="000000" w:themeColor="text1" w:themeTint="FF" w:themeShade="FF"/>
          <w:sz w:val="24"/>
          <w:szCs w:val="24"/>
          <w:lang w:val="en-GB"/>
        </w:rPr>
        <w:t>Vygotsky (1978) further highlights the role of social interaction in learning, with imitation, guided instruction, and collaboration shaping development within cultural contexts (Cherry, 2009). From this perspective, children develop social and cognitive skills simultaneously through meaningful exchanges with adults and peers. Behaviourist approaches, such as Bandura’s social learning theory, complement these ideas by showing that modelling and reinforcement can also cultivate social skills. Bandura found that learning through observation requires attention to the model and their behaviour. People focus more on models who are attractive, similar, or prestigious, especially if rewarded, which explains why children may imitate athletes or successful adults. Observational learning can also have negative consequences; for instance, children who see gang members gaining status or money may copy these behaviours to achieve similar rewards (Britannica Editors, n.d.).</w:t>
      </w:r>
    </w:p>
    <w:p xmlns:wp14="http://schemas.microsoft.com/office/word/2010/wordml" w:rsidP="75FEA005" wp14:paraId="5F3F6AC7" wp14:textId="477BE782">
      <w:pPr>
        <w:spacing w:before="240" w:beforeAutospacing="off" w:after="240" w:afterAutospacing="off"/>
      </w:pPr>
      <w:r w:rsidRPr="2DB7371C" w:rsidR="47BC878C">
        <w:rPr>
          <w:rFonts w:ascii="Aptos" w:hAnsi="Aptos" w:eastAsia="Aptos" w:cs="Aptos"/>
          <w:noProof w:val="0"/>
          <w:color w:val="000000" w:themeColor="text1" w:themeTint="FF" w:themeShade="FF"/>
          <w:sz w:val="24"/>
          <w:szCs w:val="24"/>
          <w:lang w:val="en-GB"/>
        </w:rPr>
        <w:t xml:space="preserve">Together, these perspectives illustrate that social development is multi-faceted and influenced by caregivers, peers, and broader environmental factors. Emotional wellbeing and physical health directly </w:t>
      </w:r>
      <w:r w:rsidRPr="2DB7371C" w:rsidR="47BC878C">
        <w:rPr>
          <w:rFonts w:ascii="Aptos" w:hAnsi="Aptos" w:eastAsia="Aptos" w:cs="Aptos"/>
          <w:noProof w:val="0"/>
          <w:color w:val="000000" w:themeColor="text1" w:themeTint="FF" w:themeShade="FF"/>
          <w:sz w:val="24"/>
          <w:szCs w:val="24"/>
          <w:lang w:val="en-GB"/>
        </w:rPr>
        <w:t>impact</w:t>
      </w:r>
      <w:r w:rsidRPr="2DB7371C" w:rsidR="47BC878C">
        <w:rPr>
          <w:rFonts w:ascii="Aptos" w:hAnsi="Aptos" w:eastAsia="Aptos" w:cs="Aptos"/>
          <w:noProof w:val="0"/>
          <w:color w:val="000000" w:themeColor="text1" w:themeTint="FF" w:themeShade="FF"/>
          <w:sz w:val="24"/>
          <w:szCs w:val="24"/>
          <w:lang w:val="en-GB"/>
        </w:rPr>
        <w:t xml:space="preserve"> social engagement: children who are healthy and supported </w:t>
      </w:r>
      <w:r w:rsidRPr="2DB7371C" w:rsidR="47BC878C">
        <w:rPr>
          <w:rFonts w:ascii="Aptos" w:hAnsi="Aptos" w:eastAsia="Aptos" w:cs="Aptos"/>
          <w:noProof w:val="0"/>
          <w:color w:val="000000" w:themeColor="text1" w:themeTint="FF" w:themeShade="FF"/>
          <w:sz w:val="24"/>
          <w:szCs w:val="24"/>
          <w:lang w:val="en-GB"/>
        </w:rPr>
        <w:t>participate</w:t>
      </w:r>
      <w:r w:rsidRPr="2DB7371C" w:rsidR="47BC878C">
        <w:rPr>
          <w:rFonts w:ascii="Aptos" w:hAnsi="Aptos" w:eastAsia="Aptos" w:cs="Aptos"/>
          <w:noProof w:val="0"/>
          <w:color w:val="000000" w:themeColor="text1" w:themeTint="FF" w:themeShade="FF"/>
          <w:sz w:val="24"/>
          <w:szCs w:val="24"/>
          <w:lang w:val="en-GB"/>
        </w:rPr>
        <w:t xml:space="preserve"> more readily, </w:t>
      </w:r>
      <w:r w:rsidRPr="2DB7371C" w:rsidR="47BC878C">
        <w:rPr>
          <w:rFonts w:ascii="Aptos" w:hAnsi="Aptos" w:eastAsia="Aptos" w:cs="Aptos"/>
          <w:noProof w:val="0"/>
          <w:color w:val="000000" w:themeColor="text1" w:themeTint="FF" w:themeShade="FF"/>
          <w:sz w:val="24"/>
          <w:szCs w:val="24"/>
          <w:lang w:val="en-GB"/>
        </w:rPr>
        <w:t>whereas</w:t>
      </w:r>
      <w:r w:rsidRPr="2DB7371C" w:rsidR="47BC878C">
        <w:rPr>
          <w:rFonts w:ascii="Aptos" w:hAnsi="Aptos" w:eastAsia="Aptos" w:cs="Aptos"/>
          <w:noProof w:val="0"/>
          <w:color w:val="000000" w:themeColor="text1" w:themeTint="FF" w:themeShade="FF"/>
          <w:sz w:val="24"/>
          <w:szCs w:val="24"/>
          <w:lang w:val="en-GB"/>
        </w:rPr>
        <w:t xml:space="preserve"> stress or illness can restrict social and cognitive growth (Johnston et al., 2018). These insights connect closely to Maslow’s hierarchy, which positions belonging and connection as prerequisites for higher-order learning, self-esteem, and self-actualisation (Maslow, 1943).</w:t>
      </w:r>
    </w:p>
    <w:p xmlns:wp14="http://schemas.microsoft.com/office/word/2010/wordml" w:rsidP="75FEA005" wp14:paraId="28ED03E8" wp14:textId="0D0FC98C">
      <w:pPr>
        <w:spacing w:before="240" w:beforeAutospacing="off" w:after="240" w:afterAutospacing="off"/>
      </w:pPr>
      <w:r w:rsidRPr="2DB7371C" w:rsidR="2FDF5CA6">
        <w:rPr>
          <w:rFonts w:ascii="Aptos" w:hAnsi="Aptos" w:eastAsia="Aptos" w:cs="Aptos"/>
          <w:b w:val="0"/>
          <w:bCs w:val="0"/>
          <w:noProof w:val="0"/>
          <w:color w:val="000000" w:themeColor="text1" w:themeTint="FF" w:themeShade="FF"/>
          <w:sz w:val="24"/>
          <w:szCs w:val="24"/>
          <w:lang w:val="en-GB"/>
        </w:rPr>
        <w:t>Physical health</w:t>
      </w:r>
      <w:r w:rsidRPr="2DB7371C" w:rsidR="2FDF5CA6">
        <w:rPr>
          <w:rFonts w:ascii="Aptos" w:hAnsi="Aptos" w:eastAsia="Aptos" w:cs="Aptos"/>
          <w:b w:val="0"/>
          <w:bCs w:val="0"/>
          <w:noProof w:val="0"/>
          <w:color w:val="000000" w:themeColor="text1" w:themeTint="FF" w:themeShade="FF"/>
          <w:sz w:val="24"/>
          <w:szCs w:val="24"/>
          <w:lang w:val="en-GB"/>
        </w:rPr>
        <w:t xml:space="preserve"> </w:t>
      </w:r>
      <w:r w:rsidRPr="2DB7371C" w:rsidR="2FDF5CA6">
        <w:rPr>
          <w:rFonts w:ascii="Aptos" w:hAnsi="Aptos" w:eastAsia="Aptos" w:cs="Aptos"/>
          <w:noProof w:val="0"/>
          <w:color w:val="000000" w:themeColor="text1" w:themeTint="FF" w:themeShade="FF"/>
          <w:sz w:val="24"/>
          <w:szCs w:val="24"/>
          <w:lang w:val="en-GB"/>
        </w:rPr>
        <w:t xml:space="preserve">is another integral </w:t>
      </w:r>
      <w:r w:rsidRPr="2DB7371C" w:rsidR="2FDF5CA6">
        <w:rPr>
          <w:rFonts w:ascii="Aptos" w:hAnsi="Aptos" w:eastAsia="Aptos" w:cs="Aptos"/>
          <w:noProof w:val="0"/>
          <w:color w:val="000000" w:themeColor="text1" w:themeTint="FF" w:themeShade="FF"/>
          <w:sz w:val="24"/>
          <w:szCs w:val="24"/>
          <w:lang w:val="en-GB"/>
        </w:rPr>
        <w:t>component</w:t>
      </w:r>
      <w:r w:rsidRPr="2DB7371C" w:rsidR="2FDF5CA6">
        <w:rPr>
          <w:rFonts w:ascii="Aptos" w:hAnsi="Aptos" w:eastAsia="Aptos" w:cs="Aptos"/>
          <w:noProof w:val="0"/>
          <w:color w:val="000000" w:themeColor="text1" w:themeTint="FF" w:themeShade="FF"/>
          <w:sz w:val="24"/>
          <w:szCs w:val="24"/>
          <w:lang w:val="en-GB"/>
        </w:rPr>
        <w:t xml:space="preserve"> of holistic development. Children who are physically well have more energy, stamina, and confidence to engage with peers, explore their environment, and </w:t>
      </w:r>
      <w:r w:rsidRPr="2DB7371C" w:rsidR="2FDF5CA6">
        <w:rPr>
          <w:rFonts w:ascii="Aptos" w:hAnsi="Aptos" w:eastAsia="Aptos" w:cs="Aptos"/>
          <w:noProof w:val="0"/>
          <w:color w:val="000000" w:themeColor="text1" w:themeTint="FF" w:themeShade="FF"/>
          <w:sz w:val="24"/>
          <w:szCs w:val="24"/>
          <w:lang w:val="en-GB"/>
        </w:rPr>
        <w:t>participate</w:t>
      </w:r>
      <w:r w:rsidRPr="2DB7371C" w:rsidR="2FDF5CA6">
        <w:rPr>
          <w:rFonts w:ascii="Aptos" w:hAnsi="Aptos" w:eastAsia="Aptos" w:cs="Aptos"/>
          <w:noProof w:val="0"/>
          <w:color w:val="000000" w:themeColor="text1" w:themeTint="FF" w:themeShade="FF"/>
          <w:sz w:val="24"/>
          <w:szCs w:val="24"/>
          <w:lang w:val="en-GB"/>
        </w:rPr>
        <w:t xml:space="preserve"> in learning experiences. Chronic illness, fatigue, or poor nutrition can limit engagement and result in missed opportunities for development. Maslow (1943) emphasises that physiological needs—such as food, rest, and safety—must be met before children can focus on higher-order goals such as confidence, learning, and social integration. Piaget’s stages of cognitive development also </w:t>
      </w:r>
      <w:r w:rsidRPr="2DB7371C" w:rsidR="2FDF5CA6">
        <w:rPr>
          <w:rFonts w:ascii="Aptos" w:hAnsi="Aptos" w:eastAsia="Aptos" w:cs="Aptos"/>
          <w:noProof w:val="0"/>
          <w:color w:val="000000" w:themeColor="text1" w:themeTint="FF" w:themeShade="FF"/>
          <w:sz w:val="24"/>
          <w:szCs w:val="24"/>
          <w:lang w:val="en-GB"/>
        </w:rPr>
        <w:t>demonstrate</w:t>
      </w:r>
      <w:r w:rsidRPr="2DB7371C" w:rsidR="2FDF5CA6">
        <w:rPr>
          <w:rFonts w:ascii="Aptos" w:hAnsi="Aptos" w:eastAsia="Aptos" w:cs="Aptos"/>
          <w:noProof w:val="0"/>
          <w:color w:val="000000" w:themeColor="text1" w:themeTint="FF" w:themeShade="FF"/>
          <w:sz w:val="24"/>
          <w:szCs w:val="24"/>
          <w:lang w:val="en-GB"/>
        </w:rPr>
        <w:t xml:space="preserve"> that physical growth underpins learning: sensorimotor experiences in infancy, for example, form the basis for later problem-solving and abstract thinking (Cherry, 2019). Thus, physical wellbeing supports both social and cognitive development, reinforcing the interconnected nature of holistic learning.</w:t>
      </w:r>
    </w:p>
    <w:p xmlns:wp14="http://schemas.microsoft.com/office/word/2010/wordml" w:rsidP="75FEA005" wp14:paraId="6A455CA3" wp14:textId="38E4FCBA">
      <w:pPr>
        <w:spacing w:before="240" w:beforeAutospacing="off" w:after="240" w:afterAutospacing="off"/>
      </w:pPr>
      <w:r w:rsidRPr="2DB7371C" w:rsidR="2FDF5CA6">
        <w:rPr>
          <w:rFonts w:ascii="Aptos" w:hAnsi="Aptos" w:eastAsia="Aptos" w:cs="Aptos"/>
          <w:b w:val="0"/>
          <w:bCs w:val="0"/>
          <w:noProof w:val="0"/>
          <w:color w:val="000000" w:themeColor="text1" w:themeTint="FF" w:themeShade="FF"/>
          <w:sz w:val="24"/>
          <w:szCs w:val="24"/>
          <w:lang w:val="en-GB"/>
        </w:rPr>
        <w:t>Cognitive development</w:t>
      </w:r>
      <w:r w:rsidRPr="2DB7371C" w:rsidR="2FDF5CA6">
        <w:rPr>
          <w:rFonts w:ascii="Aptos" w:hAnsi="Aptos" w:eastAsia="Aptos" w:cs="Aptos"/>
          <w:b w:val="0"/>
          <w:bCs w:val="0"/>
          <w:noProof w:val="0"/>
          <w:color w:val="000000" w:themeColor="text1" w:themeTint="FF" w:themeShade="FF"/>
          <w:sz w:val="24"/>
          <w:szCs w:val="24"/>
          <w:lang w:val="en-GB"/>
        </w:rPr>
        <w:t xml:space="preserve"> </w:t>
      </w:r>
      <w:r w:rsidRPr="2DB7371C" w:rsidR="2FDF5CA6">
        <w:rPr>
          <w:rFonts w:ascii="Aptos" w:hAnsi="Aptos" w:eastAsia="Aptos" w:cs="Aptos"/>
          <w:noProof w:val="0"/>
          <w:color w:val="000000" w:themeColor="text1" w:themeTint="FF" w:themeShade="FF"/>
          <w:sz w:val="24"/>
          <w:szCs w:val="24"/>
          <w:lang w:val="en-GB"/>
        </w:rPr>
        <w:t xml:space="preserve">is inseparable from emotional and social contexts. Children construct knowledge through active exploration, problem-solving, and interaction with others. Piaget (Cherry, 2019) describes four stages—sensorimotor, preoperational, concrete operational, and formal operational—that illustrate how reasoning and understanding evolve over time. However, Piaget’s model has been critiqued for underestimating the role of social and cultural context, which Vygotsky (1978) emphasised. The integration of these theories </w:t>
      </w:r>
      <w:r w:rsidRPr="2DB7371C" w:rsidR="2FDF5CA6">
        <w:rPr>
          <w:rFonts w:ascii="Aptos" w:hAnsi="Aptos" w:eastAsia="Aptos" w:cs="Aptos"/>
          <w:noProof w:val="0"/>
          <w:color w:val="000000" w:themeColor="text1" w:themeTint="FF" w:themeShade="FF"/>
          <w:sz w:val="24"/>
          <w:szCs w:val="24"/>
          <w:lang w:val="en-GB"/>
        </w:rPr>
        <w:t>demonstrates</w:t>
      </w:r>
      <w:r w:rsidRPr="2DB7371C" w:rsidR="2FDF5CA6">
        <w:rPr>
          <w:rFonts w:ascii="Aptos" w:hAnsi="Aptos" w:eastAsia="Aptos" w:cs="Aptos"/>
          <w:noProof w:val="0"/>
          <w:color w:val="000000" w:themeColor="text1" w:themeTint="FF" w:themeShade="FF"/>
          <w:sz w:val="24"/>
          <w:szCs w:val="24"/>
          <w:lang w:val="en-GB"/>
        </w:rPr>
        <w:t xml:space="preserve"> that cognitive skills develop most effectively when supported by social engagement, emotional security, and physical wellbeing. For example, children who feel safe and supported are more likely to engage in collaborative learning, experiment with </w:t>
      </w:r>
      <w:r w:rsidRPr="2DB7371C" w:rsidR="2FDF5CA6">
        <w:rPr>
          <w:rFonts w:ascii="Aptos" w:hAnsi="Aptos" w:eastAsia="Aptos" w:cs="Aptos"/>
          <w:noProof w:val="0"/>
          <w:color w:val="000000" w:themeColor="text1" w:themeTint="FF" w:themeShade="FF"/>
          <w:sz w:val="24"/>
          <w:szCs w:val="24"/>
          <w:lang w:val="en-GB"/>
        </w:rPr>
        <w:t>new ideas</w:t>
      </w:r>
      <w:r w:rsidRPr="2DB7371C" w:rsidR="2FDF5CA6">
        <w:rPr>
          <w:rFonts w:ascii="Aptos" w:hAnsi="Aptos" w:eastAsia="Aptos" w:cs="Aptos"/>
          <w:noProof w:val="0"/>
          <w:color w:val="000000" w:themeColor="text1" w:themeTint="FF" w:themeShade="FF"/>
          <w:sz w:val="24"/>
          <w:szCs w:val="24"/>
          <w:lang w:val="en-GB"/>
        </w:rPr>
        <w:t>, and persist in challenging tasks.</w:t>
      </w:r>
    </w:p>
    <w:p xmlns:wp14="http://schemas.microsoft.com/office/word/2010/wordml" w:rsidP="75FEA005" wp14:paraId="10ED849B" wp14:textId="1B08839D">
      <w:pPr>
        <w:spacing w:before="240" w:beforeAutospacing="off" w:after="240" w:afterAutospacing="off"/>
      </w:pPr>
      <w:r w:rsidRPr="2DB7371C" w:rsidR="2FDF5CA6">
        <w:rPr>
          <w:rFonts w:ascii="Aptos" w:hAnsi="Aptos" w:eastAsia="Aptos" w:cs="Aptos"/>
          <w:b w:val="0"/>
          <w:bCs w:val="0"/>
          <w:noProof w:val="0"/>
          <w:color w:val="000000" w:themeColor="text1" w:themeTint="FF" w:themeShade="FF"/>
          <w:sz w:val="24"/>
          <w:szCs w:val="24"/>
          <w:lang w:val="en-GB"/>
        </w:rPr>
        <w:t>Holistic development in practice</w:t>
      </w:r>
      <w:r w:rsidRPr="2DB7371C" w:rsidR="2FDF5CA6">
        <w:rPr>
          <w:rFonts w:ascii="Aptos" w:hAnsi="Aptos" w:eastAsia="Aptos" w:cs="Aptos"/>
          <w:b w:val="0"/>
          <w:bCs w:val="0"/>
          <w:noProof w:val="0"/>
          <w:color w:val="000000" w:themeColor="text1" w:themeTint="FF" w:themeShade="FF"/>
          <w:sz w:val="24"/>
          <w:szCs w:val="24"/>
          <w:lang w:val="en-GB"/>
        </w:rPr>
        <w:t xml:space="preserve"> </w:t>
      </w:r>
      <w:r w:rsidRPr="2DB7371C" w:rsidR="2FDF5CA6">
        <w:rPr>
          <w:rFonts w:ascii="Aptos" w:hAnsi="Aptos" w:eastAsia="Aptos" w:cs="Aptos"/>
          <w:noProof w:val="0"/>
          <w:color w:val="000000" w:themeColor="text1" w:themeTint="FF" w:themeShade="FF"/>
          <w:sz w:val="24"/>
          <w:szCs w:val="24"/>
          <w:lang w:val="en-GB"/>
        </w:rPr>
        <w:t>requires educators to nurture all domains simultaneously. Early years settings that encourage cooperative play, creative projects, and supportive adult relationships allow children to develop empathy, communication, social understanding, and problem-solving skills together. By embedding social, emotional, physical, and cognitive learning into daily experiences, practitioners ensure that development is mutually reinforcing rather than compartmentalised. This mirrors Maslow’s hierarchy, where progression from physiological needs to belonging, self-esteem, and self-actualisation occurs alongside and through engagement in meaningful learning experiences. Nevertheless, Maslow’s model assumes a linear progression, which may not reflect the reality for all children; some may pursue learning and self-expression even when certain basic needs are unmet, highlighting the importance of context-sensitive practice.</w:t>
      </w:r>
    </w:p>
    <w:p xmlns:wp14="http://schemas.microsoft.com/office/word/2010/wordml" w:rsidP="75FEA005" wp14:paraId="595C790C" wp14:textId="165F328B">
      <w:pPr>
        <w:spacing w:before="240" w:beforeAutospacing="off" w:after="240" w:afterAutospacing="off"/>
      </w:pPr>
      <w:r w:rsidRPr="2DB7371C" w:rsidR="2FDF5CA6">
        <w:rPr>
          <w:rFonts w:ascii="Aptos" w:hAnsi="Aptos" w:eastAsia="Aptos" w:cs="Aptos"/>
          <w:noProof w:val="0"/>
          <w:color w:val="000000" w:themeColor="text1" w:themeTint="FF" w:themeShade="FF"/>
          <w:sz w:val="24"/>
          <w:szCs w:val="24"/>
          <w:lang w:val="en-GB"/>
        </w:rPr>
        <w:t>In conclusion, holistic development recognises that children’s physical, emotional, social, and cognitive growth are deeply interconnected. Theories such as Maslow’s hierarchy of needs, Piaget’s cognitive stages, Vygotsky’s sociocultural framework, Bowlby’s attachment theory, and Bandura’s social learning model collectively provide a nuanced understanding of how development occurs. Emotional wellbeing, secure relationships, physical health, and social engagement create conditions for children to achieve their potential. Early years practitioners play a critical role in fostering these conditions, ensuring that children are supported as whole individuals. By embracing a holistic approach, educators enable children to progress across interconnected domains, promoting meaningful learning and supporting each child’s journey toward self-actualisation.</w:t>
      </w:r>
    </w:p>
    <w:p xmlns:wp14="http://schemas.microsoft.com/office/word/2010/wordml" w:rsidP="75FEA005" wp14:paraId="075EC56B" wp14:textId="03196262">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5AC801A1" wp14:textId="37A71398">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289AA0A4" wp14:textId="5BEB7ED8">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6868CDC0" wp14:textId="728ED507">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7F001A38" wp14:textId="3BAAAB76">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732E7D72" wp14:textId="25FB2532">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2D7E8BE3" wp14:textId="3B048BD2">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7CA41F18" wp14:textId="7AB9BCFF">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50089FD7" wp14:textId="07951914">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643A7734" wp14:textId="1B6A3911">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FEA005" wp14:paraId="44F8A71F" wp14:textId="58D45C04">
      <w:pPr>
        <w:rPr>
          <w:rFonts w:ascii="Aptos" w:hAnsi="Aptos" w:eastAsia="Aptos" w:cs="Aptos"/>
          <w:noProof w:val="0"/>
          <w:color w:val="000000" w:themeColor="text1" w:themeTint="FF" w:themeShade="FF"/>
          <w:sz w:val="24"/>
          <w:szCs w:val="24"/>
          <w:lang w:val="en-GB"/>
        </w:rPr>
      </w:pPr>
      <w:r w:rsidRPr="75FEA005" w:rsidR="1CC281B9">
        <w:rPr>
          <w:rFonts w:ascii="Aptos" w:hAnsi="Aptos" w:eastAsia="Aptos" w:cs="Aptos"/>
          <w:noProof w:val="0"/>
          <w:color w:val="000000" w:themeColor="text1" w:themeTint="FF" w:themeShade="FF"/>
          <w:sz w:val="24"/>
          <w:szCs w:val="24"/>
          <w:lang w:val="en-GB"/>
        </w:rPr>
        <w:t xml:space="preserve">Queen Margaret University, (2023) </w:t>
      </w:r>
      <w:r w:rsidRPr="75FEA005" w:rsidR="1CC281B9">
        <w:rPr>
          <w:rFonts w:ascii="Aptos" w:hAnsi="Aptos" w:eastAsia="Aptos" w:cs="Aptos"/>
          <w:i w:val="1"/>
          <w:iCs w:val="1"/>
          <w:noProof w:val="0"/>
          <w:color w:val="000000" w:themeColor="text1" w:themeTint="FF" w:themeShade="FF"/>
          <w:sz w:val="24"/>
          <w:szCs w:val="24"/>
          <w:lang w:val="en-GB"/>
        </w:rPr>
        <w:t>Nurturing holistic development in early childhood</w:t>
      </w:r>
      <w:r w:rsidRPr="75FEA005" w:rsidR="1CC281B9">
        <w:rPr>
          <w:rFonts w:ascii="Aptos" w:hAnsi="Aptos" w:eastAsia="Aptos" w:cs="Aptos"/>
          <w:noProof w:val="0"/>
          <w:color w:val="000000" w:themeColor="text1" w:themeTint="FF" w:themeShade="FF"/>
          <w:sz w:val="24"/>
          <w:szCs w:val="24"/>
          <w:lang w:val="en-GB"/>
        </w:rPr>
        <w:t xml:space="preserve">. Available at: </w:t>
      </w:r>
      <w:hyperlink r:id="Rf91d12a8feba4b1b">
        <w:r w:rsidRPr="75FEA005" w:rsidR="1CC281B9">
          <w:rPr>
            <w:rStyle w:val="Hyperlink"/>
            <w:rFonts w:ascii="Aptos" w:hAnsi="Aptos" w:eastAsia="Aptos" w:cs="Aptos"/>
            <w:strike w:val="0"/>
            <w:dstrike w:val="0"/>
            <w:noProof w:val="0"/>
            <w:sz w:val="24"/>
            <w:szCs w:val="24"/>
            <w:lang w:val="en-GB"/>
          </w:rPr>
          <w:t>https://online.qmu.ac.uk/blogs/nurturing-holistic-development-in-early-childhood/</w:t>
        </w:r>
      </w:hyperlink>
      <w:r w:rsidRPr="75FEA005" w:rsidR="1CC281B9">
        <w:rPr>
          <w:rFonts w:ascii="Aptos" w:hAnsi="Aptos" w:eastAsia="Aptos" w:cs="Aptos"/>
          <w:noProof w:val="0"/>
          <w:color w:val="000000" w:themeColor="text1" w:themeTint="FF" w:themeShade="FF"/>
          <w:sz w:val="24"/>
          <w:szCs w:val="24"/>
          <w:lang w:val="en-GB"/>
        </w:rPr>
        <w:t xml:space="preserve"> (Accessed: 20 November 2025).</w:t>
      </w:r>
    </w:p>
    <w:p xmlns:wp14="http://schemas.microsoft.com/office/word/2010/wordml" w:rsidP="75FEA005" wp14:paraId="3E3F38B6" wp14:textId="0A6EFD26">
      <w:pPr>
        <w:rPr>
          <w:rFonts w:ascii="Aptos" w:hAnsi="Aptos" w:eastAsia="Aptos" w:cs="Aptos"/>
          <w:noProof w:val="0"/>
          <w:color w:val="000000" w:themeColor="text1" w:themeTint="FF" w:themeShade="FF"/>
          <w:sz w:val="24"/>
          <w:szCs w:val="24"/>
          <w:lang w:val="en-GB"/>
        </w:rPr>
      </w:pPr>
      <w:r w:rsidRPr="75FEA005" w:rsidR="1CC281B9">
        <w:rPr>
          <w:rFonts w:ascii="Aptos" w:hAnsi="Aptos" w:eastAsia="Aptos" w:cs="Aptos"/>
          <w:noProof w:val="0"/>
          <w:color w:val="000000" w:themeColor="text1" w:themeTint="FF" w:themeShade="FF"/>
          <w:sz w:val="24"/>
          <w:szCs w:val="24"/>
          <w:lang w:val="en-GB"/>
        </w:rPr>
        <w:t xml:space="preserve">Brodie, K. (2018) </w:t>
      </w:r>
      <w:r w:rsidRPr="75FEA005" w:rsidR="1CC281B9">
        <w:rPr>
          <w:rFonts w:ascii="Aptos" w:hAnsi="Aptos" w:eastAsia="Aptos" w:cs="Aptos"/>
          <w:i w:val="1"/>
          <w:iCs w:val="1"/>
          <w:noProof w:val="0"/>
          <w:color w:val="000000" w:themeColor="text1" w:themeTint="FF" w:themeShade="FF"/>
          <w:sz w:val="24"/>
          <w:szCs w:val="24"/>
          <w:lang w:val="en-GB"/>
        </w:rPr>
        <w:t>The holistic care and development of children from birth to three: An essential guide for students and practitioners</w:t>
      </w:r>
      <w:r w:rsidRPr="75FEA005" w:rsidR="1CC281B9">
        <w:rPr>
          <w:rFonts w:ascii="Aptos" w:hAnsi="Aptos" w:eastAsia="Aptos" w:cs="Aptos"/>
          <w:noProof w:val="0"/>
          <w:color w:val="000000" w:themeColor="text1" w:themeTint="FF" w:themeShade="FF"/>
          <w:sz w:val="24"/>
          <w:szCs w:val="24"/>
          <w:lang w:val="en-GB"/>
        </w:rPr>
        <w:t>. London: Routledge, Taylor &amp; Francis Group.</w:t>
      </w:r>
    </w:p>
    <w:p xmlns:wp14="http://schemas.microsoft.com/office/word/2010/wordml" w:rsidP="75FEA005" wp14:paraId="7D22DE12" wp14:textId="61657490">
      <w:pPr>
        <w:rPr>
          <w:rFonts w:ascii="Aptos" w:hAnsi="Aptos" w:eastAsia="Aptos" w:cs="Aptos"/>
          <w:noProof w:val="0"/>
          <w:color w:val="000000" w:themeColor="text1" w:themeTint="FF" w:themeShade="FF"/>
          <w:sz w:val="24"/>
          <w:szCs w:val="24"/>
          <w:lang w:val="en-GB"/>
        </w:rPr>
      </w:pPr>
      <w:r w:rsidRPr="75FEA005" w:rsidR="1CC281B9">
        <w:rPr>
          <w:rFonts w:ascii="Aptos" w:hAnsi="Aptos" w:eastAsia="Aptos" w:cs="Aptos"/>
          <w:noProof w:val="0"/>
          <w:color w:val="000000" w:themeColor="text1" w:themeTint="FF" w:themeShade="FF"/>
          <w:sz w:val="24"/>
          <w:szCs w:val="24"/>
          <w:lang w:val="en-GB"/>
        </w:rPr>
        <w:t xml:space="preserve">Welsh Government (n.d.) </w:t>
      </w:r>
      <w:r w:rsidRPr="75FEA005" w:rsidR="1CC281B9">
        <w:rPr>
          <w:rFonts w:ascii="Aptos" w:hAnsi="Aptos" w:eastAsia="Aptos" w:cs="Aptos"/>
          <w:i w:val="1"/>
          <w:iCs w:val="1"/>
          <w:noProof w:val="0"/>
          <w:color w:val="000000" w:themeColor="text1" w:themeTint="FF" w:themeShade="FF"/>
          <w:sz w:val="24"/>
          <w:szCs w:val="24"/>
          <w:lang w:val="en-GB"/>
        </w:rPr>
        <w:t>Developing a vision for curriculum design: Curriculum for Wales – the four purposes</w:t>
      </w:r>
      <w:r w:rsidRPr="75FEA005" w:rsidR="1CC281B9">
        <w:rPr>
          <w:rFonts w:ascii="Aptos" w:hAnsi="Aptos" w:eastAsia="Aptos" w:cs="Aptos"/>
          <w:noProof w:val="0"/>
          <w:color w:val="000000" w:themeColor="text1" w:themeTint="FF" w:themeShade="FF"/>
          <w:sz w:val="24"/>
          <w:szCs w:val="24"/>
          <w:lang w:val="en-GB"/>
        </w:rPr>
        <w:t xml:space="preserve">. Hwb. Available at: </w:t>
      </w:r>
      <w:hyperlink w:anchor="curriculum-design-and-the-four-purposes" r:id="R42840901dc654492">
        <w:r w:rsidRPr="75FEA005" w:rsidR="1CC281B9">
          <w:rPr>
            <w:rStyle w:val="Hyperlink"/>
            <w:rFonts w:ascii="Aptos" w:hAnsi="Aptos" w:eastAsia="Aptos" w:cs="Aptos"/>
            <w:strike w:val="0"/>
            <w:dstrike w:val="0"/>
            <w:noProof w:val="0"/>
            <w:sz w:val="24"/>
            <w:szCs w:val="24"/>
            <w:lang w:val="en-GB"/>
          </w:rPr>
          <w:t>https://hwb.gov.wales/curriculum-for-wales/designing-your-curriculum/developing-a-vision-for-curriculum-design/#curriculum-design-and-the-four-purposes</w:t>
        </w:r>
      </w:hyperlink>
      <w:r w:rsidRPr="75FEA005" w:rsidR="1CC281B9">
        <w:rPr>
          <w:rFonts w:ascii="Aptos" w:hAnsi="Aptos" w:eastAsia="Aptos" w:cs="Aptos"/>
          <w:noProof w:val="0"/>
          <w:color w:val="000000" w:themeColor="text1" w:themeTint="FF" w:themeShade="FF"/>
          <w:sz w:val="24"/>
          <w:szCs w:val="24"/>
          <w:lang w:val="en-GB"/>
        </w:rPr>
        <w:t xml:space="preserve"> (Accessed: 21 November 2025).</w:t>
      </w:r>
    </w:p>
    <w:p xmlns:wp14="http://schemas.microsoft.com/office/word/2010/wordml" w:rsidP="75FEA005" wp14:paraId="1331672D" wp14:textId="5F480531">
      <w:pPr>
        <w:rPr>
          <w:rFonts w:ascii="Aptos" w:hAnsi="Aptos" w:eastAsia="Aptos" w:cs="Aptos"/>
          <w:noProof w:val="0"/>
          <w:color w:val="000000" w:themeColor="text1" w:themeTint="FF" w:themeShade="FF"/>
          <w:sz w:val="24"/>
          <w:szCs w:val="24"/>
          <w:lang w:val="en-GB"/>
        </w:rPr>
      </w:pPr>
      <w:r w:rsidRPr="75FEA005" w:rsidR="1CC281B9">
        <w:rPr>
          <w:rFonts w:ascii="Aptos" w:hAnsi="Aptos" w:eastAsia="Aptos" w:cs="Aptos"/>
          <w:noProof w:val="0"/>
          <w:color w:val="000000" w:themeColor="text1" w:themeTint="FF" w:themeShade="FF"/>
          <w:sz w:val="24"/>
          <w:szCs w:val="24"/>
          <w:lang w:val="en-GB"/>
        </w:rPr>
        <w:t xml:space="preserve">McGarvie, S. (2024) </w:t>
      </w:r>
      <w:r w:rsidRPr="75FEA005" w:rsidR="1CC281B9">
        <w:rPr>
          <w:rFonts w:ascii="Aptos" w:hAnsi="Aptos" w:eastAsia="Aptos" w:cs="Aptos"/>
          <w:i w:val="1"/>
          <w:iCs w:val="1"/>
          <w:noProof w:val="0"/>
          <w:color w:val="000000" w:themeColor="text1" w:themeTint="FF" w:themeShade="FF"/>
          <w:sz w:val="24"/>
          <w:szCs w:val="24"/>
          <w:lang w:val="en-GB"/>
        </w:rPr>
        <w:t>Attachment Theory, Bowlby’s Stages &amp; Attachment Styles</w:t>
      </w:r>
      <w:r w:rsidRPr="75FEA005" w:rsidR="1CC281B9">
        <w:rPr>
          <w:rFonts w:ascii="Aptos" w:hAnsi="Aptos" w:eastAsia="Aptos" w:cs="Aptos"/>
          <w:noProof w:val="0"/>
          <w:color w:val="000000" w:themeColor="text1" w:themeTint="FF" w:themeShade="FF"/>
          <w:sz w:val="24"/>
          <w:szCs w:val="24"/>
          <w:lang w:val="en-GB"/>
        </w:rPr>
        <w:t xml:space="preserve">. PositivePsychology.com. Available at: </w:t>
      </w:r>
      <w:hyperlink r:id="Rb457c478eaeb45c5">
        <w:r w:rsidRPr="75FEA005" w:rsidR="1CC281B9">
          <w:rPr>
            <w:rStyle w:val="Hyperlink"/>
            <w:rFonts w:ascii="Aptos" w:hAnsi="Aptos" w:eastAsia="Aptos" w:cs="Aptos"/>
            <w:strike w:val="0"/>
            <w:dstrike w:val="0"/>
            <w:noProof w:val="0"/>
            <w:sz w:val="24"/>
            <w:szCs w:val="24"/>
            <w:lang w:val="en-GB"/>
          </w:rPr>
          <w:t>https://positivepsychology.com/attachment-theory/</w:t>
        </w:r>
      </w:hyperlink>
      <w:r w:rsidRPr="75FEA005" w:rsidR="1CC281B9">
        <w:rPr>
          <w:rFonts w:ascii="Aptos" w:hAnsi="Aptos" w:eastAsia="Aptos" w:cs="Aptos"/>
          <w:noProof w:val="0"/>
          <w:color w:val="000000" w:themeColor="text1" w:themeTint="FF" w:themeShade="FF"/>
          <w:sz w:val="24"/>
          <w:szCs w:val="24"/>
          <w:lang w:val="en-GB"/>
        </w:rPr>
        <w:t xml:space="preserve"> (Accessed: 21 November 2025).</w:t>
      </w:r>
    </w:p>
    <w:p xmlns:wp14="http://schemas.microsoft.com/office/word/2010/wordml" w:rsidP="75FEA005" wp14:paraId="048604AB" wp14:textId="4CE85A62">
      <w:pPr>
        <w:rPr>
          <w:rFonts w:ascii="Aptos" w:hAnsi="Aptos" w:eastAsia="Aptos" w:cs="Aptos"/>
          <w:noProof w:val="0"/>
          <w:color w:val="000000" w:themeColor="text1" w:themeTint="FF" w:themeShade="FF"/>
          <w:sz w:val="24"/>
          <w:szCs w:val="24"/>
          <w:lang w:val="en-GB"/>
        </w:rPr>
      </w:pPr>
      <w:r w:rsidRPr="75FEA005" w:rsidR="1CC281B9">
        <w:rPr>
          <w:rFonts w:ascii="Aptos" w:hAnsi="Aptos" w:eastAsia="Aptos" w:cs="Aptos"/>
          <w:noProof w:val="0"/>
          <w:color w:val="000000" w:themeColor="text1" w:themeTint="FF" w:themeShade="FF"/>
          <w:sz w:val="24"/>
          <w:szCs w:val="24"/>
          <w:lang w:val="en-GB"/>
        </w:rPr>
        <w:t xml:space="preserve">Johnston, J., Nahmad‑Williams, L., Oates, R. &amp; Wood, V. (2018) </w:t>
      </w:r>
      <w:r w:rsidRPr="75FEA005" w:rsidR="1CC281B9">
        <w:rPr>
          <w:rFonts w:ascii="Aptos" w:hAnsi="Aptos" w:eastAsia="Aptos" w:cs="Aptos"/>
          <w:i w:val="1"/>
          <w:iCs w:val="1"/>
          <w:noProof w:val="0"/>
          <w:color w:val="000000" w:themeColor="text1" w:themeTint="FF" w:themeShade="FF"/>
          <w:sz w:val="24"/>
          <w:szCs w:val="24"/>
          <w:lang w:val="en-GB"/>
        </w:rPr>
        <w:t>Early Childhood Studies: Principles and Practice</w:t>
      </w:r>
      <w:r w:rsidRPr="75FEA005" w:rsidR="1CC281B9">
        <w:rPr>
          <w:rFonts w:ascii="Aptos" w:hAnsi="Aptos" w:eastAsia="Aptos" w:cs="Aptos"/>
          <w:noProof w:val="0"/>
          <w:color w:val="000000" w:themeColor="text1" w:themeTint="FF" w:themeShade="FF"/>
          <w:sz w:val="24"/>
          <w:szCs w:val="24"/>
          <w:lang w:val="en-GB"/>
        </w:rPr>
        <w:t>. 2nd edn. London: Routledge, Taylor &amp; Francis Group.</w:t>
      </w:r>
    </w:p>
    <w:p xmlns:wp14="http://schemas.microsoft.com/office/word/2010/wordml" w:rsidP="75FEA005" wp14:paraId="02614E58" wp14:textId="09981DC1">
      <w:pPr>
        <w:rPr>
          <w:rFonts w:ascii="Aptos" w:hAnsi="Aptos" w:eastAsia="Aptos" w:cs="Aptos"/>
          <w:noProof w:val="0"/>
          <w:color w:val="000000" w:themeColor="text1" w:themeTint="FF" w:themeShade="FF"/>
          <w:sz w:val="24"/>
          <w:szCs w:val="24"/>
          <w:lang w:val="en-GB"/>
        </w:rPr>
      </w:pPr>
      <w:r w:rsidRPr="75FEA005" w:rsidR="1CC281B9">
        <w:rPr>
          <w:rFonts w:ascii="Aptos" w:hAnsi="Aptos" w:eastAsia="Aptos" w:cs="Aptos"/>
          <w:noProof w:val="0"/>
          <w:color w:val="000000" w:themeColor="text1" w:themeTint="FF" w:themeShade="FF"/>
          <w:sz w:val="24"/>
          <w:szCs w:val="24"/>
          <w:lang w:val="en-GB"/>
        </w:rPr>
        <w:t xml:space="preserve">Cherry, K. (2019) </w:t>
      </w:r>
      <w:r w:rsidRPr="75FEA005" w:rsidR="1CC281B9">
        <w:rPr>
          <w:rFonts w:ascii="Aptos" w:hAnsi="Aptos" w:eastAsia="Aptos" w:cs="Aptos"/>
          <w:i w:val="1"/>
          <w:iCs w:val="1"/>
          <w:noProof w:val="0"/>
          <w:color w:val="000000" w:themeColor="text1" w:themeTint="FF" w:themeShade="FF"/>
          <w:sz w:val="24"/>
          <w:szCs w:val="24"/>
          <w:lang w:val="en-GB"/>
        </w:rPr>
        <w:t>Piaget’s stages of cognitive development</w:t>
      </w:r>
      <w:r w:rsidRPr="75FEA005" w:rsidR="1CC281B9">
        <w:rPr>
          <w:rFonts w:ascii="Aptos" w:hAnsi="Aptos" w:eastAsia="Aptos" w:cs="Aptos"/>
          <w:noProof w:val="0"/>
          <w:color w:val="000000" w:themeColor="text1" w:themeTint="FF" w:themeShade="FF"/>
          <w:sz w:val="24"/>
          <w:szCs w:val="24"/>
          <w:lang w:val="en-GB"/>
        </w:rPr>
        <w:t xml:space="preserve">. </w:t>
      </w:r>
      <w:r w:rsidRPr="75FEA005" w:rsidR="1CC281B9">
        <w:rPr>
          <w:rFonts w:ascii="Aptos" w:hAnsi="Aptos" w:eastAsia="Aptos" w:cs="Aptos"/>
          <w:noProof w:val="0"/>
          <w:color w:val="000000" w:themeColor="text1" w:themeTint="FF" w:themeShade="FF"/>
          <w:sz w:val="24"/>
          <w:szCs w:val="24"/>
          <w:lang w:val="en-GB"/>
        </w:rPr>
        <w:t>Verywell</w:t>
      </w:r>
      <w:r w:rsidRPr="75FEA005" w:rsidR="1CC281B9">
        <w:rPr>
          <w:rFonts w:ascii="Aptos" w:hAnsi="Aptos" w:eastAsia="Aptos" w:cs="Aptos"/>
          <w:noProof w:val="0"/>
          <w:color w:val="000000" w:themeColor="text1" w:themeTint="FF" w:themeShade="FF"/>
          <w:sz w:val="24"/>
          <w:szCs w:val="24"/>
          <w:lang w:val="en-GB"/>
        </w:rPr>
        <w:t xml:space="preserve"> Mind. Available at: </w:t>
      </w:r>
      <w:hyperlink r:id="R43c3e294207943a6">
        <w:r w:rsidRPr="75FEA005" w:rsidR="1CC281B9">
          <w:rPr>
            <w:rStyle w:val="Hyperlink"/>
            <w:rFonts w:ascii="Aptos" w:hAnsi="Aptos" w:eastAsia="Aptos" w:cs="Aptos"/>
            <w:strike w:val="0"/>
            <w:dstrike w:val="0"/>
            <w:noProof w:val="0"/>
            <w:sz w:val="24"/>
            <w:szCs w:val="24"/>
            <w:lang w:val="en-GB"/>
          </w:rPr>
          <w:t>https://www.verywellmind.com/piagets-stages-of-cognitive-development-2795457</w:t>
        </w:r>
      </w:hyperlink>
      <w:r w:rsidRPr="75FEA005" w:rsidR="1CC281B9">
        <w:rPr>
          <w:rFonts w:ascii="Aptos" w:hAnsi="Aptos" w:eastAsia="Aptos" w:cs="Aptos"/>
          <w:noProof w:val="0"/>
          <w:color w:val="000000" w:themeColor="text1" w:themeTint="FF" w:themeShade="FF"/>
          <w:sz w:val="24"/>
          <w:szCs w:val="24"/>
          <w:lang w:val="en-GB"/>
        </w:rPr>
        <w:t xml:space="preserve"> (Accessed: 22 November 2025)</w:t>
      </w:r>
    </w:p>
    <w:p xmlns:wp14="http://schemas.microsoft.com/office/word/2010/wordml" w:rsidP="75FEA005" wp14:paraId="749E40C5" wp14:textId="4C68B3EA">
      <w:pPr>
        <w:pStyle w:val="Normal"/>
      </w:pPr>
      <w:r w:rsidRPr="75FEA005" w:rsidR="189AB23B">
        <w:rPr>
          <w:rFonts w:ascii="Aptos" w:hAnsi="Aptos" w:eastAsia="Aptos" w:cs="Aptos"/>
          <w:noProof w:val="0"/>
          <w:color w:val="000000" w:themeColor="text1" w:themeTint="FF" w:themeShade="FF"/>
          <w:sz w:val="24"/>
          <w:szCs w:val="24"/>
          <w:lang w:val="en-GB"/>
        </w:rPr>
        <w:t xml:space="preserve">Lindon, J. (2012) </w:t>
      </w:r>
      <w:r w:rsidRPr="75FEA005" w:rsidR="189AB23B">
        <w:rPr>
          <w:rFonts w:ascii="Aptos" w:hAnsi="Aptos" w:eastAsia="Aptos" w:cs="Aptos"/>
          <w:i w:val="1"/>
          <w:iCs w:val="1"/>
          <w:noProof w:val="0"/>
          <w:color w:val="000000" w:themeColor="text1" w:themeTint="FF" w:themeShade="FF"/>
          <w:sz w:val="24"/>
          <w:szCs w:val="24"/>
          <w:lang w:val="en-GB"/>
        </w:rPr>
        <w:t>Understanding child development 0–8 years</w:t>
      </w:r>
      <w:r w:rsidRPr="75FEA005" w:rsidR="189AB23B">
        <w:rPr>
          <w:rFonts w:ascii="Aptos" w:hAnsi="Aptos" w:eastAsia="Aptos" w:cs="Aptos"/>
          <w:noProof w:val="0"/>
          <w:color w:val="000000" w:themeColor="text1" w:themeTint="FF" w:themeShade="FF"/>
          <w:sz w:val="24"/>
          <w:szCs w:val="24"/>
          <w:lang w:val="en-GB"/>
        </w:rPr>
        <w:t xml:space="preserve">. 3rd </w:t>
      </w:r>
      <w:r w:rsidRPr="75FEA005" w:rsidR="189AB23B">
        <w:rPr>
          <w:rFonts w:ascii="Aptos" w:hAnsi="Aptos" w:eastAsia="Aptos" w:cs="Aptos"/>
          <w:noProof w:val="0"/>
          <w:color w:val="000000" w:themeColor="text1" w:themeTint="FF" w:themeShade="FF"/>
          <w:sz w:val="24"/>
          <w:szCs w:val="24"/>
          <w:lang w:val="en-GB"/>
        </w:rPr>
        <w:t>edn</w:t>
      </w:r>
      <w:r w:rsidRPr="75FEA005" w:rsidR="189AB23B">
        <w:rPr>
          <w:rFonts w:ascii="Aptos" w:hAnsi="Aptos" w:eastAsia="Aptos" w:cs="Aptos"/>
          <w:noProof w:val="0"/>
          <w:color w:val="000000" w:themeColor="text1" w:themeTint="FF" w:themeShade="FF"/>
          <w:sz w:val="24"/>
          <w:szCs w:val="24"/>
          <w:lang w:val="en-GB"/>
        </w:rPr>
        <w:t>. London: Hodder Education.</w:t>
      </w:r>
    </w:p>
    <w:p xmlns:wp14="http://schemas.microsoft.com/office/word/2010/wordml" w:rsidP="75FEA005" wp14:paraId="4F6410E2" wp14:textId="3A06E7D8">
      <w:pPr>
        <w:pStyle w:val="Normal"/>
      </w:pPr>
      <w:r w:rsidRPr="2DB7371C" w:rsidR="28784AE5">
        <w:rPr>
          <w:rFonts w:ascii="Aptos" w:hAnsi="Aptos" w:eastAsia="Aptos" w:cs="Aptos"/>
          <w:noProof w:val="0"/>
          <w:color w:val="000000" w:themeColor="text1" w:themeTint="FF" w:themeShade="FF"/>
          <w:sz w:val="24"/>
          <w:szCs w:val="24"/>
          <w:lang w:val="en-GB"/>
        </w:rPr>
        <w:t xml:space="preserve">Open University (2010) </w:t>
      </w:r>
      <w:r w:rsidRPr="2DB7371C" w:rsidR="28784AE5">
        <w:rPr>
          <w:rFonts w:ascii="Aptos" w:hAnsi="Aptos" w:eastAsia="Aptos" w:cs="Aptos"/>
          <w:i w:val="1"/>
          <w:iCs w:val="1"/>
          <w:noProof w:val="0"/>
          <w:color w:val="000000" w:themeColor="text1" w:themeTint="FF" w:themeShade="FF"/>
          <w:sz w:val="24"/>
          <w:szCs w:val="24"/>
          <w:lang w:val="en-GB"/>
        </w:rPr>
        <w:t>Vygotskian principles on the ZPD and scaffolding</w:t>
      </w:r>
      <w:r w:rsidRPr="2DB7371C" w:rsidR="28784AE5">
        <w:rPr>
          <w:rFonts w:ascii="Aptos" w:hAnsi="Aptos" w:eastAsia="Aptos" w:cs="Aptos"/>
          <w:noProof w:val="0"/>
          <w:color w:val="000000" w:themeColor="text1" w:themeTint="FF" w:themeShade="FF"/>
          <w:sz w:val="24"/>
          <w:szCs w:val="24"/>
          <w:lang w:val="en-GB"/>
        </w:rPr>
        <w:t>. Milton Keynes: The Open University. Available at: https://www.open.edu/openlearncreate/8f/0d/8f0dadc31356b941f01191a927e556a703ca8c89 (Accessed: 22 November 2025).</w:t>
      </w:r>
    </w:p>
    <w:p xmlns:wp14="http://schemas.microsoft.com/office/word/2010/wordml" w:rsidP="2DB7371C" wp14:paraId="3B826AD7" wp14:textId="40D2CDFB">
      <w:pPr>
        <w:pStyle w:val="Normal"/>
        <w:spacing w:before="240" w:beforeAutospacing="off" w:after="240" w:afterAutospacing="off"/>
      </w:pPr>
      <w:r w:rsidRPr="2DB7371C" w:rsidR="0DEFF89A">
        <w:rPr>
          <w:rFonts w:ascii="Aptos" w:hAnsi="Aptos" w:eastAsia="Aptos" w:cs="Aptos"/>
          <w:noProof w:val="0"/>
          <w:color w:val="000000" w:themeColor="text1" w:themeTint="FF" w:themeShade="FF"/>
          <w:sz w:val="24"/>
          <w:szCs w:val="24"/>
          <w:lang w:val="en-GB"/>
        </w:rPr>
        <w:t xml:space="preserve">NSPCC (2021) </w:t>
      </w:r>
      <w:r w:rsidRPr="2DB7371C" w:rsidR="0DEFF89A">
        <w:rPr>
          <w:rFonts w:ascii="Aptos" w:hAnsi="Aptos" w:eastAsia="Aptos" w:cs="Aptos"/>
          <w:i w:val="1"/>
          <w:iCs w:val="1"/>
          <w:noProof w:val="0"/>
          <w:color w:val="000000" w:themeColor="text1" w:themeTint="FF" w:themeShade="FF"/>
          <w:sz w:val="24"/>
          <w:szCs w:val="24"/>
          <w:lang w:val="en-GB"/>
        </w:rPr>
        <w:t>Attachment and child development</w:t>
      </w:r>
      <w:r w:rsidRPr="2DB7371C" w:rsidR="0DEFF89A">
        <w:rPr>
          <w:rFonts w:ascii="Aptos" w:hAnsi="Aptos" w:eastAsia="Aptos" w:cs="Aptos"/>
          <w:noProof w:val="0"/>
          <w:color w:val="000000" w:themeColor="text1" w:themeTint="FF" w:themeShade="FF"/>
          <w:sz w:val="24"/>
          <w:szCs w:val="24"/>
          <w:lang w:val="en-GB"/>
        </w:rPr>
        <w:t xml:space="preserve">. NSPCC Learning. Available at: </w:t>
      </w:r>
      <w:hyperlink r:id="R0c7fecd8033d45a5">
        <w:r w:rsidRPr="2DB7371C" w:rsidR="0DEFF89A">
          <w:rPr>
            <w:rStyle w:val="Hyperlink"/>
            <w:rFonts w:ascii="Aptos" w:hAnsi="Aptos" w:eastAsia="Aptos" w:cs="Aptos"/>
            <w:noProof w:val="0"/>
            <w:sz w:val="24"/>
            <w:szCs w:val="24"/>
            <w:lang w:val="en-GB"/>
          </w:rPr>
          <w:t>https://learning.nspcc.org.uk/child-health-development/attachment-early-years</w:t>
        </w:r>
      </w:hyperlink>
      <w:r w:rsidRPr="2DB7371C" w:rsidR="0DEFF89A">
        <w:rPr>
          <w:rFonts w:ascii="Aptos" w:hAnsi="Aptos" w:eastAsia="Aptos" w:cs="Aptos"/>
          <w:noProof w:val="0"/>
          <w:color w:val="000000" w:themeColor="text1" w:themeTint="FF" w:themeShade="FF"/>
          <w:sz w:val="24"/>
          <w:szCs w:val="24"/>
          <w:lang w:val="en-GB"/>
        </w:rPr>
        <w:t xml:space="preserve"> (Accessed: 24 November 2025).</w:t>
      </w:r>
    </w:p>
    <w:p xmlns:wp14="http://schemas.microsoft.com/office/word/2010/wordml" w:rsidP="2DB7371C" wp14:paraId="5F90EF44" wp14:textId="5134E8DD">
      <w:pPr>
        <w:pStyle w:val="Normal"/>
        <w:spacing w:before="240" w:beforeAutospacing="off" w:after="240" w:afterAutospacing="off"/>
      </w:pPr>
      <w:r w:rsidRPr="2DB7371C" w:rsidR="534980FD">
        <w:rPr>
          <w:rFonts w:ascii="Aptos" w:hAnsi="Aptos" w:eastAsia="Aptos" w:cs="Aptos"/>
          <w:noProof w:val="0"/>
          <w:color w:val="000000" w:themeColor="text1" w:themeTint="FF" w:themeShade="FF"/>
          <w:sz w:val="24"/>
          <w:szCs w:val="24"/>
          <w:lang w:val="en-GB"/>
        </w:rPr>
        <w:t>Van </w:t>
      </w:r>
      <w:r w:rsidRPr="2DB7371C" w:rsidR="534980FD">
        <w:rPr>
          <w:rFonts w:ascii="Aptos" w:hAnsi="Aptos" w:eastAsia="Aptos" w:cs="Aptos"/>
          <w:noProof w:val="0"/>
          <w:color w:val="000000" w:themeColor="text1" w:themeTint="FF" w:themeShade="FF"/>
          <w:sz w:val="24"/>
          <w:szCs w:val="24"/>
          <w:lang w:val="en-GB"/>
        </w:rPr>
        <w:t>Ijzendoorn</w:t>
      </w:r>
      <w:r w:rsidRPr="2DB7371C" w:rsidR="534980FD">
        <w:rPr>
          <w:rFonts w:ascii="Aptos" w:hAnsi="Aptos" w:eastAsia="Aptos" w:cs="Aptos"/>
          <w:noProof w:val="0"/>
          <w:color w:val="000000" w:themeColor="text1" w:themeTint="FF" w:themeShade="FF"/>
          <w:sz w:val="24"/>
          <w:szCs w:val="24"/>
          <w:lang w:val="en-GB"/>
        </w:rPr>
        <w:t xml:space="preserve">, M. H., </w:t>
      </w:r>
      <w:r w:rsidRPr="2DB7371C" w:rsidR="534980FD">
        <w:rPr>
          <w:rFonts w:ascii="Aptos" w:hAnsi="Aptos" w:eastAsia="Aptos" w:cs="Aptos"/>
          <w:noProof w:val="0"/>
          <w:color w:val="000000" w:themeColor="text1" w:themeTint="FF" w:themeShade="FF"/>
          <w:sz w:val="24"/>
          <w:szCs w:val="24"/>
          <w:lang w:val="en-GB"/>
        </w:rPr>
        <w:t>Bakermans</w:t>
      </w:r>
      <w:r w:rsidRPr="2DB7371C" w:rsidR="534980FD">
        <w:rPr>
          <w:rFonts w:ascii="Aptos" w:hAnsi="Aptos" w:eastAsia="Aptos" w:cs="Aptos"/>
          <w:noProof w:val="0"/>
          <w:color w:val="000000" w:themeColor="text1" w:themeTint="FF" w:themeShade="FF"/>
          <w:sz w:val="24"/>
          <w:szCs w:val="24"/>
          <w:lang w:val="en-GB"/>
        </w:rPr>
        <w:t xml:space="preserve">‑Kranenburg, M. J. &amp; </w:t>
      </w:r>
      <w:r w:rsidRPr="2DB7371C" w:rsidR="534980FD">
        <w:rPr>
          <w:rFonts w:ascii="Aptos" w:hAnsi="Aptos" w:eastAsia="Aptos" w:cs="Aptos"/>
          <w:noProof w:val="0"/>
          <w:color w:val="000000" w:themeColor="text1" w:themeTint="FF" w:themeShade="FF"/>
          <w:sz w:val="24"/>
          <w:szCs w:val="24"/>
          <w:lang w:val="en-GB"/>
        </w:rPr>
        <w:t>Dobrava</w:t>
      </w:r>
      <w:r w:rsidRPr="2DB7371C" w:rsidR="534980FD">
        <w:rPr>
          <w:rFonts w:ascii="Aptos" w:hAnsi="Aptos" w:eastAsia="Aptos" w:cs="Aptos"/>
          <w:noProof w:val="0"/>
          <w:color w:val="000000" w:themeColor="text1" w:themeTint="FF" w:themeShade="FF"/>
          <w:sz w:val="24"/>
          <w:szCs w:val="24"/>
          <w:lang w:val="en-GB"/>
        </w:rPr>
        <w:t xml:space="preserve">‑Krol, N. (2016) ‘Attachment Styles in Children Living in Alternative Care: A Systematic Review of the Literature’, </w:t>
      </w:r>
      <w:r w:rsidRPr="2DB7371C" w:rsidR="534980FD">
        <w:rPr>
          <w:rFonts w:ascii="Aptos" w:hAnsi="Aptos" w:eastAsia="Aptos" w:cs="Aptos"/>
          <w:i w:val="1"/>
          <w:iCs w:val="1"/>
          <w:noProof w:val="0"/>
          <w:color w:val="000000" w:themeColor="text1" w:themeTint="FF" w:themeShade="FF"/>
          <w:sz w:val="24"/>
          <w:szCs w:val="24"/>
          <w:lang w:val="en-GB"/>
        </w:rPr>
        <w:t>Attachment &amp; Human Development</w:t>
      </w:r>
      <w:r w:rsidRPr="2DB7371C" w:rsidR="534980FD">
        <w:rPr>
          <w:rFonts w:ascii="Aptos" w:hAnsi="Aptos" w:eastAsia="Aptos" w:cs="Aptos"/>
          <w:noProof w:val="0"/>
          <w:color w:val="000000" w:themeColor="text1" w:themeTint="FF" w:themeShade="FF"/>
          <w:sz w:val="24"/>
          <w:szCs w:val="24"/>
          <w:lang w:val="en-GB"/>
        </w:rPr>
        <w:t>, 18(4), pp. 377–396.</w:t>
      </w:r>
    </w:p>
    <w:p w:rsidR="4E948001" w:rsidP="2DB7371C" w:rsidRDefault="4E948001" w14:paraId="1610644B" w14:textId="717C9EF0">
      <w:pPr>
        <w:pStyle w:val="Normal"/>
        <w:spacing w:before="240" w:beforeAutospacing="off" w:after="240" w:afterAutospacing="off"/>
      </w:pPr>
      <w:r w:rsidRPr="2DB7371C" w:rsidR="4E948001">
        <w:rPr>
          <w:rFonts w:ascii="Aptos" w:hAnsi="Aptos" w:eastAsia="Aptos" w:cs="Aptos"/>
          <w:noProof w:val="0"/>
          <w:color w:val="000000" w:themeColor="text1" w:themeTint="FF" w:themeShade="FF"/>
          <w:sz w:val="24"/>
          <w:szCs w:val="24"/>
          <w:lang w:val="en-GB"/>
        </w:rPr>
        <w:t xml:space="preserve">Britannica Editors (n.d.) </w:t>
      </w:r>
      <w:r w:rsidRPr="2DB7371C" w:rsidR="4E948001">
        <w:rPr>
          <w:rFonts w:ascii="Aptos" w:hAnsi="Aptos" w:eastAsia="Aptos" w:cs="Aptos"/>
          <w:i w:val="1"/>
          <w:iCs w:val="1"/>
          <w:noProof w:val="0"/>
          <w:color w:val="000000" w:themeColor="text1" w:themeTint="FF" w:themeShade="FF"/>
          <w:sz w:val="24"/>
          <w:szCs w:val="24"/>
          <w:lang w:val="en-GB"/>
        </w:rPr>
        <w:t>Observational learning</w:t>
      </w:r>
      <w:r w:rsidRPr="2DB7371C" w:rsidR="4E948001">
        <w:rPr>
          <w:rFonts w:ascii="Aptos" w:hAnsi="Aptos" w:eastAsia="Aptos" w:cs="Aptos"/>
          <w:noProof w:val="0"/>
          <w:color w:val="000000" w:themeColor="text1" w:themeTint="FF" w:themeShade="FF"/>
          <w:sz w:val="24"/>
          <w:szCs w:val="24"/>
          <w:lang w:val="en-GB"/>
        </w:rPr>
        <w:t xml:space="preserve">. </w:t>
      </w:r>
      <w:r w:rsidRPr="2DB7371C" w:rsidR="4E948001">
        <w:rPr>
          <w:rFonts w:ascii="Aptos" w:hAnsi="Aptos" w:eastAsia="Aptos" w:cs="Aptos"/>
          <w:i w:val="1"/>
          <w:iCs w:val="1"/>
          <w:noProof w:val="0"/>
          <w:color w:val="000000" w:themeColor="text1" w:themeTint="FF" w:themeShade="FF"/>
          <w:sz w:val="24"/>
          <w:szCs w:val="24"/>
          <w:lang w:val="en-GB"/>
        </w:rPr>
        <w:t>Encyclopaedia Britannica</w:t>
      </w:r>
      <w:r w:rsidRPr="2DB7371C" w:rsidR="4E948001">
        <w:rPr>
          <w:rFonts w:ascii="Aptos" w:hAnsi="Aptos" w:eastAsia="Aptos" w:cs="Aptos"/>
          <w:noProof w:val="0"/>
          <w:color w:val="000000" w:themeColor="text1" w:themeTint="FF" w:themeShade="FF"/>
          <w:sz w:val="24"/>
          <w:szCs w:val="24"/>
          <w:lang w:val="en-GB"/>
        </w:rPr>
        <w:t xml:space="preserve">. Available at: </w:t>
      </w:r>
      <w:hyperlink r:id="R610a21c5445f4fd4">
        <w:r w:rsidRPr="2DB7371C" w:rsidR="4E948001">
          <w:rPr>
            <w:rStyle w:val="Hyperlink"/>
            <w:rFonts w:ascii="Aptos" w:hAnsi="Aptos" w:eastAsia="Aptos" w:cs="Aptos"/>
            <w:noProof w:val="0"/>
            <w:sz w:val="24"/>
            <w:szCs w:val="24"/>
            <w:lang w:val="en-GB"/>
          </w:rPr>
          <w:t>https://www.britannica.com/science/observational-learning</w:t>
        </w:r>
      </w:hyperlink>
      <w:r w:rsidRPr="2DB7371C" w:rsidR="4E948001">
        <w:rPr>
          <w:rFonts w:ascii="Aptos" w:hAnsi="Aptos" w:eastAsia="Aptos" w:cs="Aptos"/>
          <w:noProof w:val="0"/>
          <w:color w:val="000000" w:themeColor="text1" w:themeTint="FF" w:themeShade="FF"/>
          <w:sz w:val="24"/>
          <w:szCs w:val="24"/>
          <w:lang w:val="en-GB"/>
        </w:rPr>
        <w:t xml:space="preserve"> (Accessed: 24 November 2025).</w:t>
      </w:r>
    </w:p>
    <w:p xmlns:wp14="http://schemas.microsoft.com/office/word/2010/wordml" wp14:paraId="5E5787A5" wp14:textId="2C9972F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058333"/>
    <w:rsid w:val="03058333"/>
    <w:rsid w:val="052836A5"/>
    <w:rsid w:val="05FC8549"/>
    <w:rsid w:val="09029B9B"/>
    <w:rsid w:val="091B30C1"/>
    <w:rsid w:val="09A1FAA8"/>
    <w:rsid w:val="0DEFF89A"/>
    <w:rsid w:val="0E501E95"/>
    <w:rsid w:val="12CB7E84"/>
    <w:rsid w:val="131614CF"/>
    <w:rsid w:val="146A5610"/>
    <w:rsid w:val="180AB73D"/>
    <w:rsid w:val="189AB23B"/>
    <w:rsid w:val="19FECAFE"/>
    <w:rsid w:val="1A65B3E9"/>
    <w:rsid w:val="1B1613D8"/>
    <w:rsid w:val="1CC281B9"/>
    <w:rsid w:val="1DD21574"/>
    <w:rsid w:val="1E5C0416"/>
    <w:rsid w:val="25C6DD77"/>
    <w:rsid w:val="264058D0"/>
    <w:rsid w:val="28784AE5"/>
    <w:rsid w:val="2DAD6D01"/>
    <w:rsid w:val="2DB7371C"/>
    <w:rsid w:val="2FDF5CA6"/>
    <w:rsid w:val="31946DE1"/>
    <w:rsid w:val="32071097"/>
    <w:rsid w:val="33F1BCF0"/>
    <w:rsid w:val="35FB96DE"/>
    <w:rsid w:val="39745112"/>
    <w:rsid w:val="3E8ADBE7"/>
    <w:rsid w:val="3EDF4FED"/>
    <w:rsid w:val="406FE560"/>
    <w:rsid w:val="40AD5446"/>
    <w:rsid w:val="40ECDFCA"/>
    <w:rsid w:val="44F41A92"/>
    <w:rsid w:val="450C1586"/>
    <w:rsid w:val="46170E08"/>
    <w:rsid w:val="47BC878C"/>
    <w:rsid w:val="497CF4ED"/>
    <w:rsid w:val="4A7F0819"/>
    <w:rsid w:val="4CB94BDF"/>
    <w:rsid w:val="4E948001"/>
    <w:rsid w:val="51677DF4"/>
    <w:rsid w:val="52DF8D93"/>
    <w:rsid w:val="534980FD"/>
    <w:rsid w:val="54D2B772"/>
    <w:rsid w:val="57597B54"/>
    <w:rsid w:val="5950992E"/>
    <w:rsid w:val="5ADC6445"/>
    <w:rsid w:val="5C5CEDF1"/>
    <w:rsid w:val="5E22395D"/>
    <w:rsid w:val="638288E9"/>
    <w:rsid w:val="63DE4CE7"/>
    <w:rsid w:val="63F00F79"/>
    <w:rsid w:val="6445343F"/>
    <w:rsid w:val="66E8DFD9"/>
    <w:rsid w:val="68B3F3D9"/>
    <w:rsid w:val="6BD2A364"/>
    <w:rsid w:val="6CE86154"/>
    <w:rsid w:val="6D91CAAA"/>
    <w:rsid w:val="6F8945B5"/>
    <w:rsid w:val="721DD31A"/>
    <w:rsid w:val="73715161"/>
    <w:rsid w:val="73E07A38"/>
    <w:rsid w:val="73E3B591"/>
    <w:rsid w:val="750964EF"/>
    <w:rsid w:val="75FEA005"/>
    <w:rsid w:val="787FC7C5"/>
    <w:rsid w:val="79530B6A"/>
    <w:rsid w:val="7C292375"/>
    <w:rsid w:val="7DDE5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58333"/>
  <w15:chartTrackingRefBased/>
  <w15:docId w15:val="{B87225B1-D5B0-45AB-B6ED-C67C018D98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5FEA0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nline.qmu.ac.uk/blogs/nurturing-holistic-development-in-early-childhood/?utm_source=chatgpt.com" TargetMode="External" Id="Rf91d12a8feba4b1b" /><Relationship Type="http://schemas.openxmlformats.org/officeDocument/2006/relationships/hyperlink" Target="https://hwb.gov.wales/curriculum-for-wales/designing-your-curriculum/developing-a-vision-for-curriculum-design/" TargetMode="External" Id="R42840901dc654492" /><Relationship Type="http://schemas.openxmlformats.org/officeDocument/2006/relationships/hyperlink" Target="https://positivepsychology.com/attachment-theory/?utm_source=chatgpt.com" TargetMode="External" Id="Rb457c478eaeb45c5" /><Relationship Type="http://schemas.openxmlformats.org/officeDocument/2006/relationships/hyperlink" Target="https://www.verywellmind.com/piagets-stages-of-cognitive-development-2795457?utm_source=chatgpt.com" TargetMode="External" Id="R43c3e294207943a6" /><Relationship Type="http://schemas.openxmlformats.org/officeDocument/2006/relationships/hyperlink" Target="https://learning.nspcc.org.uk/child-health-development/attachment-early-years?utm_source=chatgpt.com" TargetMode="External" Id="R0c7fecd8033d45a5" /><Relationship Type="http://schemas.openxmlformats.org/officeDocument/2006/relationships/hyperlink" Target="https://www.britannica.com/science/observational-learning?utm_source=chatgpt.com" TargetMode="External" Id="R610a21c5445f4f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4</revision>
  <dcterms:created xsi:type="dcterms:W3CDTF">2025-11-22T12:15:40.1329008Z</dcterms:created>
  <dcterms:modified xsi:type="dcterms:W3CDTF">2025-11-24T14:37:10.0796545Z</dcterms:modified>
</coreProperties>
</file>